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6858" w14:textId="77777777" w:rsidR="00F1075D" w:rsidRDefault="0047498B" w:rsidP="003E67CA">
      <w:pPr>
        <w:pStyle w:val="BodyText3"/>
        <w:jc w:val="center"/>
        <w:rPr>
          <w:i w:val="0"/>
          <w:sz w:val="26"/>
          <w:szCs w:val="26"/>
        </w:rPr>
      </w:pPr>
      <w:bookmarkStart w:id="0" w:name="OLE_LINK1"/>
      <w:bookmarkStart w:id="1" w:name="OLE_LINK2"/>
      <w:bookmarkStart w:id="2" w:name="_GoBack"/>
      <w:bookmarkEnd w:id="2"/>
      <w:r w:rsidRPr="00D13B02">
        <w:rPr>
          <w:bCs/>
          <w:i w:val="0"/>
          <w:sz w:val="26"/>
          <w:szCs w:val="26"/>
        </w:rPr>
        <w:t>M</w:t>
      </w:r>
      <w:r w:rsidR="002B5BA9" w:rsidRPr="00D13B02">
        <w:rPr>
          <w:bCs/>
          <w:i w:val="0"/>
          <w:sz w:val="26"/>
          <w:szCs w:val="26"/>
        </w:rPr>
        <w:t xml:space="preserve">inistru kabineta noteikumu </w:t>
      </w:r>
      <w:r w:rsidR="00C4534E">
        <w:rPr>
          <w:bCs/>
          <w:i w:val="0"/>
          <w:sz w:val="26"/>
          <w:szCs w:val="26"/>
        </w:rPr>
        <w:t xml:space="preserve">projekta </w:t>
      </w:r>
      <w:r w:rsidR="00EF4D59">
        <w:rPr>
          <w:bCs/>
          <w:i w:val="0"/>
          <w:sz w:val="26"/>
          <w:szCs w:val="26"/>
        </w:rPr>
        <w:t>"</w:t>
      </w:r>
      <w:r w:rsidR="00852CD2" w:rsidRPr="00D13B02">
        <w:rPr>
          <w:bCs/>
          <w:i w:val="0"/>
          <w:sz w:val="26"/>
          <w:szCs w:val="26"/>
        </w:rPr>
        <w:t xml:space="preserve">Grozījumi </w:t>
      </w:r>
      <w:r w:rsidR="002F3A46" w:rsidRPr="002F3A46">
        <w:rPr>
          <w:i w:val="0"/>
          <w:sz w:val="26"/>
          <w:szCs w:val="26"/>
        </w:rPr>
        <w:t xml:space="preserve">Ministru kabineta </w:t>
      </w:r>
    </w:p>
    <w:p w14:paraId="573AB9C8" w14:textId="49CF1E92" w:rsidR="00DD6261" w:rsidRDefault="002F3A46" w:rsidP="003E67CA">
      <w:pPr>
        <w:pStyle w:val="BodyText3"/>
        <w:jc w:val="center"/>
        <w:rPr>
          <w:i w:val="0"/>
          <w:sz w:val="26"/>
          <w:szCs w:val="26"/>
        </w:rPr>
      </w:pPr>
      <w:r w:rsidRPr="002F3A46">
        <w:rPr>
          <w:i w:val="0"/>
          <w:sz w:val="26"/>
          <w:szCs w:val="26"/>
        </w:rPr>
        <w:t>2015.</w:t>
      </w:r>
      <w:r w:rsidR="00DD413F">
        <w:rPr>
          <w:i w:val="0"/>
          <w:sz w:val="26"/>
          <w:szCs w:val="26"/>
        </w:rPr>
        <w:t> </w:t>
      </w:r>
      <w:r w:rsidRPr="002F3A46">
        <w:rPr>
          <w:i w:val="0"/>
          <w:sz w:val="26"/>
          <w:szCs w:val="26"/>
        </w:rPr>
        <w:t>gada 14.</w:t>
      </w:r>
      <w:r w:rsidR="00DD413F">
        <w:rPr>
          <w:i w:val="0"/>
          <w:sz w:val="26"/>
          <w:szCs w:val="26"/>
        </w:rPr>
        <w:t> </w:t>
      </w:r>
      <w:r w:rsidRPr="002F3A46">
        <w:rPr>
          <w:i w:val="0"/>
          <w:sz w:val="26"/>
          <w:szCs w:val="26"/>
        </w:rPr>
        <w:t>jūlija noteikumos Nr.</w:t>
      </w:r>
      <w:r w:rsidR="00DD413F">
        <w:rPr>
          <w:i w:val="0"/>
          <w:sz w:val="26"/>
          <w:szCs w:val="26"/>
        </w:rPr>
        <w:t> </w:t>
      </w:r>
      <w:r w:rsidRPr="002F3A46">
        <w:rPr>
          <w:i w:val="0"/>
          <w:sz w:val="26"/>
          <w:szCs w:val="26"/>
        </w:rPr>
        <w:t xml:space="preserve">389 </w:t>
      </w:r>
      <w:r w:rsidR="00F1075D">
        <w:rPr>
          <w:i w:val="0"/>
          <w:sz w:val="26"/>
          <w:szCs w:val="26"/>
        </w:rPr>
        <w:t>"</w:t>
      </w:r>
      <w:r w:rsidRPr="002F3A46">
        <w:rPr>
          <w:i w:val="0"/>
          <w:sz w:val="26"/>
          <w:szCs w:val="26"/>
        </w:rPr>
        <w:t xml:space="preserve">Darbības programmas </w:t>
      </w:r>
      <w:r w:rsidR="00EF4D59">
        <w:rPr>
          <w:i w:val="0"/>
          <w:sz w:val="26"/>
          <w:szCs w:val="26"/>
        </w:rPr>
        <w:t>"</w:t>
      </w:r>
      <w:r w:rsidRPr="002F3A46">
        <w:rPr>
          <w:i w:val="0"/>
          <w:sz w:val="26"/>
          <w:szCs w:val="26"/>
        </w:rPr>
        <w:t>Izaugsme un nodarbinātība</w:t>
      </w:r>
      <w:r w:rsidR="00EF4D59">
        <w:rPr>
          <w:i w:val="0"/>
          <w:sz w:val="26"/>
          <w:szCs w:val="26"/>
        </w:rPr>
        <w:t>"</w:t>
      </w:r>
      <w:r w:rsidRPr="002F3A46">
        <w:rPr>
          <w:i w:val="0"/>
          <w:sz w:val="26"/>
          <w:szCs w:val="26"/>
        </w:rPr>
        <w:t xml:space="preserve"> 3.4.2. specifiskā atbalsta mērķa </w:t>
      </w:r>
      <w:r w:rsidR="00EF4D59">
        <w:rPr>
          <w:i w:val="0"/>
          <w:sz w:val="26"/>
          <w:szCs w:val="26"/>
        </w:rPr>
        <w:t>"</w:t>
      </w:r>
      <w:r w:rsidRPr="002F3A46">
        <w:rPr>
          <w:i w:val="0"/>
          <w:sz w:val="26"/>
          <w:szCs w:val="26"/>
        </w:rPr>
        <w:t>Valsts pārvaldes profesionālā pilnveide labāka tiesiskā regulējuma izstrādē mazo un vidējo komersantu atbalsta, korupcijas novēršanas un ēnu ekonomikas mazināša</w:t>
      </w:r>
      <w:r w:rsidR="00C4534E">
        <w:rPr>
          <w:i w:val="0"/>
          <w:sz w:val="26"/>
          <w:szCs w:val="26"/>
        </w:rPr>
        <w:t>nas jomās</w:t>
      </w:r>
      <w:r w:rsidR="00EF4D59">
        <w:rPr>
          <w:i w:val="0"/>
          <w:sz w:val="26"/>
          <w:szCs w:val="26"/>
        </w:rPr>
        <w:t>"</w:t>
      </w:r>
      <w:r w:rsidR="00C4534E">
        <w:rPr>
          <w:i w:val="0"/>
          <w:sz w:val="26"/>
          <w:szCs w:val="26"/>
        </w:rPr>
        <w:t xml:space="preserve"> īstenošanas noteikum</w:t>
      </w:r>
      <w:r w:rsidR="00F1075D">
        <w:rPr>
          <w:i w:val="0"/>
          <w:sz w:val="26"/>
          <w:szCs w:val="26"/>
        </w:rPr>
        <w:t>i</w:t>
      </w:r>
      <w:r w:rsidR="00EF4D59">
        <w:rPr>
          <w:i w:val="0"/>
          <w:sz w:val="26"/>
          <w:szCs w:val="26"/>
        </w:rPr>
        <w:t>"</w:t>
      </w:r>
      <w:bookmarkEnd w:id="0"/>
      <w:bookmarkEnd w:id="1"/>
      <w:r w:rsidR="00F1075D">
        <w:rPr>
          <w:i w:val="0"/>
          <w:sz w:val="26"/>
          <w:szCs w:val="26"/>
        </w:rPr>
        <w:t>"</w:t>
      </w:r>
    </w:p>
    <w:p w14:paraId="38850CC9" w14:textId="02F60780" w:rsidR="0070526D" w:rsidRPr="00D13B02" w:rsidRDefault="003E67CA" w:rsidP="003E67CA">
      <w:pPr>
        <w:pStyle w:val="BodyText3"/>
        <w:jc w:val="center"/>
        <w:rPr>
          <w:bCs/>
          <w:i w:val="0"/>
          <w:sz w:val="26"/>
          <w:szCs w:val="26"/>
        </w:rPr>
      </w:pPr>
      <w:r w:rsidRPr="00D13B02">
        <w:rPr>
          <w:bCs/>
          <w:i w:val="0"/>
          <w:sz w:val="26"/>
          <w:szCs w:val="26"/>
        </w:rPr>
        <w:t>sākotnējās</w:t>
      </w:r>
      <w:r w:rsidR="005A74FF" w:rsidRPr="00D13B02">
        <w:rPr>
          <w:bCs/>
          <w:i w:val="0"/>
          <w:sz w:val="26"/>
          <w:szCs w:val="26"/>
        </w:rPr>
        <w:t xml:space="preserve"> </w:t>
      </w:r>
      <w:r w:rsidRPr="00D13B02">
        <w:rPr>
          <w:bCs/>
          <w:i w:val="0"/>
          <w:sz w:val="26"/>
          <w:szCs w:val="26"/>
        </w:rPr>
        <w:t>ietekmes novērtējuma ziņojums (anotācija)</w:t>
      </w:r>
    </w:p>
    <w:p w14:paraId="38850CCA" w14:textId="77777777" w:rsidR="0024678C" w:rsidRPr="00F1075D" w:rsidRDefault="0024678C" w:rsidP="0024678C">
      <w:pPr>
        <w:pStyle w:val="BodyText3"/>
        <w:jc w:val="center"/>
        <w:rPr>
          <w:b w:val="0"/>
          <w:i w:val="0"/>
          <w:sz w:val="26"/>
          <w:szCs w:val="26"/>
        </w:rPr>
      </w:pPr>
    </w:p>
    <w:tbl>
      <w:tblPr>
        <w:tblW w:w="975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
        <w:gridCol w:w="2327"/>
        <w:gridCol w:w="7022"/>
      </w:tblGrid>
      <w:tr w:rsidR="00D13B02" w:rsidRPr="00D13B02" w14:paraId="38850CCC" w14:textId="77777777" w:rsidTr="00FC1B30">
        <w:trPr>
          <w:tblCellSpacing w:w="0" w:type="dxa"/>
        </w:trPr>
        <w:tc>
          <w:tcPr>
            <w:tcW w:w="9759" w:type="dxa"/>
            <w:gridSpan w:val="3"/>
            <w:tcBorders>
              <w:top w:val="outset" w:sz="6" w:space="0" w:color="auto"/>
              <w:left w:val="outset" w:sz="6" w:space="0" w:color="auto"/>
              <w:bottom w:val="outset" w:sz="6" w:space="0" w:color="auto"/>
              <w:right w:val="outset" w:sz="6" w:space="0" w:color="auto"/>
            </w:tcBorders>
            <w:vAlign w:val="center"/>
            <w:hideMark/>
          </w:tcPr>
          <w:p w14:paraId="38850CCB" w14:textId="77777777" w:rsidR="00062334" w:rsidRPr="00DD413F" w:rsidRDefault="00DD413F" w:rsidP="00DD413F">
            <w:pPr>
              <w:ind w:left="-588"/>
              <w:jc w:val="center"/>
              <w:rPr>
                <w:rFonts w:eastAsia="Times New Roman" w:cs="Times New Roman"/>
                <w:sz w:val="26"/>
                <w:szCs w:val="26"/>
                <w:lang w:eastAsia="lv-LV"/>
              </w:rPr>
            </w:pPr>
            <w:r>
              <w:rPr>
                <w:rFonts w:eastAsia="Times New Roman" w:cs="Times New Roman"/>
                <w:b/>
                <w:bCs/>
                <w:sz w:val="26"/>
                <w:szCs w:val="26"/>
                <w:lang w:eastAsia="lv-LV"/>
              </w:rPr>
              <w:t>I. </w:t>
            </w:r>
            <w:r w:rsidR="0070526D" w:rsidRPr="00DD413F">
              <w:rPr>
                <w:rFonts w:eastAsia="Times New Roman" w:cs="Times New Roman"/>
                <w:b/>
                <w:bCs/>
                <w:sz w:val="26"/>
                <w:szCs w:val="26"/>
                <w:lang w:eastAsia="lv-LV"/>
              </w:rPr>
              <w:t>Tiesību akta projekta izstrādes nepieciešamība</w:t>
            </w:r>
          </w:p>
        </w:tc>
      </w:tr>
      <w:tr w:rsidR="00D13B02" w:rsidRPr="00D13B02" w14:paraId="38850CD9" w14:textId="77777777" w:rsidTr="00325024">
        <w:trPr>
          <w:trHeight w:val="630"/>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38850CCD" w14:textId="77777777" w:rsidR="00852CD2" w:rsidRPr="00D13B02" w:rsidRDefault="00852CD2" w:rsidP="00F1075D">
            <w:pPr>
              <w:ind w:right="140"/>
              <w:rPr>
                <w:rFonts w:eastAsia="Times New Roman" w:cs="Times New Roman"/>
                <w:sz w:val="24"/>
                <w:szCs w:val="24"/>
                <w:lang w:eastAsia="lv-LV"/>
              </w:rPr>
            </w:pPr>
            <w:r w:rsidRPr="00D13B02">
              <w:rPr>
                <w:rFonts w:eastAsia="Times New Roman" w:cs="Times New Roman"/>
                <w:sz w:val="24"/>
                <w:szCs w:val="24"/>
                <w:lang w:eastAsia="lv-LV"/>
              </w:rPr>
              <w:t> 1.</w:t>
            </w:r>
          </w:p>
        </w:tc>
        <w:tc>
          <w:tcPr>
            <w:tcW w:w="2334" w:type="dxa"/>
            <w:tcBorders>
              <w:top w:val="outset" w:sz="6" w:space="0" w:color="auto"/>
              <w:left w:val="outset" w:sz="6" w:space="0" w:color="auto"/>
              <w:bottom w:val="outset" w:sz="6" w:space="0" w:color="auto"/>
              <w:right w:val="outset" w:sz="6" w:space="0" w:color="auto"/>
            </w:tcBorders>
            <w:hideMark/>
          </w:tcPr>
          <w:p w14:paraId="38850CD6" w14:textId="29D4AE4B" w:rsidR="00852CD2" w:rsidRPr="003671E2" w:rsidRDefault="00852CD2" w:rsidP="0091388D">
            <w:pPr>
              <w:ind w:left="143" w:right="140"/>
              <w:rPr>
                <w:rFonts w:eastAsia="Times New Roman" w:cs="Times New Roman"/>
                <w:sz w:val="24"/>
                <w:szCs w:val="24"/>
                <w:lang w:eastAsia="lv-LV"/>
              </w:rPr>
            </w:pPr>
            <w:r w:rsidRPr="00D13B02">
              <w:rPr>
                <w:rFonts w:eastAsia="Times New Roman" w:cs="Times New Roman"/>
                <w:sz w:val="24"/>
                <w:szCs w:val="24"/>
                <w:lang w:eastAsia="lv-LV"/>
              </w:rPr>
              <w:t>Pamatojums</w:t>
            </w:r>
          </w:p>
        </w:tc>
        <w:tc>
          <w:tcPr>
            <w:tcW w:w="7065" w:type="dxa"/>
            <w:tcBorders>
              <w:top w:val="outset" w:sz="6" w:space="0" w:color="auto"/>
              <w:left w:val="outset" w:sz="6" w:space="0" w:color="auto"/>
              <w:bottom w:val="outset" w:sz="6" w:space="0" w:color="auto"/>
              <w:right w:val="outset" w:sz="6" w:space="0" w:color="auto"/>
            </w:tcBorders>
            <w:hideMark/>
          </w:tcPr>
          <w:p w14:paraId="38850CD8" w14:textId="5D53B6C9" w:rsidR="00603159" w:rsidRPr="00D13B02" w:rsidRDefault="00FB093A" w:rsidP="00F1075D">
            <w:pPr>
              <w:ind w:left="127" w:right="140"/>
              <w:jc w:val="both"/>
              <w:rPr>
                <w:sz w:val="24"/>
                <w:szCs w:val="24"/>
              </w:rPr>
            </w:pPr>
            <w:r w:rsidRPr="00D13B02">
              <w:rPr>
                <w:sz w:val="24"/>
                <w:szCs w:val="24"/>
              </w:rPr>
              <w:t>Ministru kabineta noteikumu</w:t>
            </w:r>
            <w:r>
              <w:rPr>
                <w:sz w:val="24"/>
                <w:szCs w:val="24"/>
              </w:rPr>
              <w:t xml:space="preserve"> </w:t>
            </w:r>
            <w:r w:rsidR="000044FB">
              <w:rPr>
                <w:sz w:val="24"/>
                <w:szCs w:val="24"/>
              </w:rPr>
              <w:t>projekts</w:t>
            </w:r>
            <w:r w:rsidR="000044FB" w:rsidRPr="00FB093A">
              <w:rPr>
                <w:sz w:val="24"/>
                <w:szCs w:val="24"/>
              </w:rPr>
              <w:t xml:space="preserve"> </w:t>
            </w:r>
            <w:r w:rsidR="00EF4D59">
              <w:rPr>
                <w:sz w:val="24"/>
                <w:szCs w:val="24"/>
              </w:rPr>
              <w:t>"</w:t>
            </w:r>
            <w:r w:rsidR="00763466" w:rsidRPr="00763466">
              <w:rPr>
                <w:sz w:val="24"/>
                <w:szCs w:val="24"/>
              </w:rPr>
              <w:t>Grozī</w:t>
            </w:r>
            <w:r w:rsidR="00763466">
              <w:rPr>
                <w:sz w:val="24"/>
                <w:szCs w:val="24"/>
              </w:rPr>
              <w:t xml:space="preserve">jumi </w:t>
            </w:r>
            <w:r w:rsidR="000044FB">
              <w:rPr>
                <w:sz w:val="24"/>
                <w:szCs w:val="24"/>
              </w:rPr>
              <w:t xml:space="preserve">Ministru kabineta </w:t>
            </w:r>
            <w:r w:rsidR="00763466" w:rsidRPr="00763466">
              <w:rPr>
                <w:sz w:val="24"/>
                <w:szCs w:val="24"/>
              </w:rPr>
              <w:t>2015.</w:t>
            </w:r>
            <w:r w:rsidR="00DD413F">
              <w:rPr>
                <w:sz w:val="24"/>
                <w:szCs w:val="24"/>
              </w:rPr>
              <w:t> </w:t>
            </w:r>
            <w:r w:rsidR="00763466" w:rsidRPr="00763466">
              <w:rPr>
                <w:sz w:val="24"/>
                <w:szCs w:val="24"/>
              </w:rPr>
              <w:t>gada 14.</w:t>
            </w:r>
            <w:r w:rsidR="00DD413F">
              <w:rPr>
                <w:sz w:val="24"/>
                <w:szCs w:val="24"/>
              </w:rPr>
              <w:t> </w:t>
            </w:r>
            <w:r w:rsidR="00763466" w:rsidRPr="00763466">
              <w:rPr>
                <w:sz w:val="24"/>
                <w:szCs w:val="24"/>
              </w:rPr>
              <w:t>jūlija noteikumos Nr.</w:t>
            </w:r>
            <w:r w:rsidR="00DD413F">
              <w:rPr>
                <w:sz w:val="24"/>
                <w:szCs w:val="24"/>
              </w:rPr>
              <w:t> </w:t>
            </w:r>
            <w:r w:rsidR="00763466" w:rsidRPr="00763466">
              <w:rPr>
                <w:sz w:val="24"/>
                <w:szCs w:val="24"/>
              </w:rPr>
              <w:t xml:space="preserve">389 </w:t>
            </w:r>
            <w:r w:rsidR="00EF4D59">
              <w:rPr>
                <w:sz w:val="24"/>
                <w:szCs w:val="24"/>
              </w:rPr>
              <w:t>"</w:t>
            </w:r>
            <w:r w:rsidR="00763466" w:rsidRPr="00763466">
              <w:rPr>
                <w:sz w:val="24"/>
                <w:szCs w:val="24"/>
              </w:rPr>
              <w:t xml:space="preserve">Darbības programmas </w:t>
            </w:r>
            <w:r w:rsidR="00EF4D59">
              <w:rPr>
                <w:sz w:val="24"/>
                <w:szCs w:val="24"/>
              </w:rPr>
              <w:t>"</w:t>
            </w:r>
            <w:r w:rsidR="00763466" w:rsidRPr="00763466">
              <w:rPr>
                <w:sz w:val="24"/>
                <w:szCs w:val="24"/>
              </w:rPr>
              <w:t>Izaugsme un nodarbinātība</w:t>
            </w:r>
            <w:r w:rsidR="00EF4D59">
              <w:rPr>
                <w:sz w:val="24"/>
                <w:szCs w:val="24"/>
              </w:rPr>
              <w:t>"</w:t>
            </w:r>
            <w:r w:rsidR="00763466" w:rsidRPr="00763466">
              <w:rPr>
                <w:sz w:val="24"/>
                <w:szCs w:val="24"/>
              </w:rPr>
              <w:t xml:space="preserve"> 3.4.2. specifiskā atbalsta mērķa </w:t>
            </w:r>
            <w:r w:rsidR="00EF4D59">
              <w:rPr>
                <w:sz w:val="24"/>
                <w:szCs w:val="24"/>
              </w:rPr>
              <w:t>"</w:t>
            </w:r>
            <w:r w:rsidR="00763466" w:rsidRPr="00763466">
              <w:rPr>
                <w:sz w:val="24"/>
                <w:szCs w:val="24"/>
              </w:rPr>
              <w:t>Valsts pārvaldes profesionālā pilnveide labāka tiesiskā regulējuma izstrādē mazo un vidējo komersantu atbalsta, korupcijas novēršanas un ēnu ekonomikas mazināšanas jomās</w:t>
            </w:r>
            <w:r w:rsidR="00EF4D59">
              <w:rPr>
                <w:sz w:val="24"/>
                <w:szCs w:val="24"/>
              </w:rPr>
              <w:t>"</w:t>
            </w:r>
            <w:r w:rsidR="00763466" w:rsidRPr="00763466">
              <w:rPr>
                <w:sz w:val="24"/>
                <w:szCs w:val="24"/>
              </w:rPr>
              <w:t xml:space="preserve"> īstenošanas </w:t>
            </w:r>
            <w:r w:rsidR="00763466" w:rsidRPr="00D61335">
              <w:rPr>
                <w:sz w:val="24"/>
                <w:szCs w:val="24"/>
              </w:rPr>
              <w:t>noteikum</w:t>
            </w:r>
            <w:r w:rsidR="00F1075D">
              <w:rPr>
                <w:sz w:val="24"/>
                <w:szCs w:val="24"/>
              </w:rPr>
              <w:t>i"</w:t>
            </w:r>
            <w:r w:rsidR="00EF4D59">
              <w:rPr>
                <w:sz w:val="24"/>
                <w:szCs w:val="24"/>
              </w:rPr>
              <w:t>"</w:t>
            </w:r>
            <w:r w:rsidR="00763466" w:rsidRPr="00763466">
              <w:rPr>
                <w:sz w:val="24"/>
                <w:szCs w:val="24"/>
              </w:rPr>
              <w:t xml:space="preserve"> </w:t>
            </w:r>
            <w:r w:rsidRPr="00E13418">
              <w:rPr>
                <w:sz w:val="24"/>
                <w:szCs w:val="24"/>
              </w:rPr>
              <w:t>(turpmāk –</w:t>
            </w:r>
            <w:r w:rsidR="00DD413F">
              <w:rPr>
                <w:sz w:val="24"/>
                <w:szCs w:val="24"/>
              </w:rPr>
              <w:t xml:space="preserve"> </w:t>
            </w:r>
            <w:r w:rsidR="00E13418" w:rsidRPr="00E13418">
              <w:rPr>
                <w:sz w:val="24"/>
                <w:szCs w:val="24"/>
              </w:rPr>
              <w:t>noteikum</w:t>
            </w:r>
            <w:r w:rsidR="00F25869">
              <w:rPr>
                <w:sz w:val="24"/>
                <w:szCs w:val="24"/>
              </w:rPr>
              <w:t>u projekts</w:t>
            </w:r>
            <w:r w:rsidR="0026757D" w:rsidRPr="00E13418">
              <w:rPr>
                <w:sz w:val="24"/>
                <w:szCs w:val="24"/>
              </w:rPr>
              <w:t>)</w:t>
            </w:r>
            <w:r w:rsidR="00CA3778">
              <w:t xml:space="preserve"> </w:t>
            </w:r>
            <w:r w:rsidR="00CA3778" w:rsidRPr="00CA3778">
              <w:rPr>
                <w:sz w:val="24"/>
                <w:szCs w:val="24"/>
              </w:rPr>
              <w:t>izstrādāts</w:t>
            </w:r>
            <w:r w:rsidR="00F1075D">
              <w:rPr>
                <w:sz w:val="24"/>
                <w:szCs w:val="24"/>
              </w:rPr>
              <w:t>,</w:t>
            </w:r>
            <w:r w:rsidR="00CA3778" w:rsidRPr="00CA3778">
              <w:rPr>
                <w:sz w:val="24"/>
                <w:szCs w:val="24"/>
              </w:rPr>
              <w:t xml:space="preserve"> pamatojoties </w:t>
            </w:r>
            <w:r w:rsidR="00F25869">
              <w:rPr>
                <w:sz w:val="24"/>
                <w:szCs w:val="24"/>
              </w:rPr>
              <w:t xml:space="preserve">uz </w:t>
            </w:r>
            <w:r w:rsidR="00603159" w:rsidRPr="00603159">
              <w:rPr>
                <w:sz w:val="24"/>
                <w:szCs w:val="24"/>
              </w:rPr>
              <w:t>M</w:t>
            </w:r>
            <w:r w:rsidR="00603159">
              <w:rPr>
                <w:sz w:val="24"/>
                <w:szCs w:val="24"/>
              </w:rPr>
              <w:t xml:space="preserve">inistru kabineta </w:t>
            </w:r>
            <w:r w:rsidR="00D85B1D" w:rsidRPr="00603159">
              <w:rPr>
                <w:sz w:val="24"/>
                <w:szCs w:val="24"/>
              </w:rPr>
              <w:t>2016</w:t>
            </w:r>
            <w:r w:rsidR="00EF4D59">
              <w:rPr>
                <w:sz w:val="24"/>
                <w:szCs w:val="24"/>
              </w:rPr>
              <w:t>. g</w:t>
            </w:r>
            <w:r w:rsidR="00D85B1D" w:rsidRPr="00603159">
              <w:rPr>
                <w:sz w:val="24"/>
                <w:szCs w:val="24"/>
              </w:rPr>
              <w:t>ada 6</w:t>
            </w:r>
            <w:r w:rsidR="00EF4D59">
              <w:rPr>
                <w:sz w:val="24"/>
                <w:szCs w:val="24"/>
              </w:rPr>
              <w:t>. s</w:t>
            </w:r>
            <w:r w:rsidR="00D85B1D" w:rsidRPr="00603159">
              <w:rPr>
                <w:sz w:val="24"/>
                <w:szCs w:val="24"/>
              </w:rPr>
              <w:t xml:space="preserve">eptembra </w:t>
            </w:r>
            <w:r w:rsidR="00603159">
              <w:rPr>
                <w:sz w:val="24"/>
                <w:szCs w:val="24"/>
              </w:rPr>
              <w:t>sēdes protokola Nr.</w:t>
            </w:r>
            <w:r w:rsidR="00F1075D">
              <w:rPr>
                <w:sz w:val="24"/>
                <w:szCs w:val="24"/>
              </w:rPr>
              <w:t> </w:t>
            </w:r>
            <w:r w:rsidR="00603159">
              <w:rPr>
                <w:sz w:val="24"/>
                <w:szCs w:val="24"/>
              </w:rPr>
              <w:t xml:space="preserve">44 </w:t>
            </w:r>
            <w:r w:rsidR="00F1075D">
              <w:rPr>
                <w:sz w:val="24"/>
                <w:szCs w:val="24"/>
              </w:rPr>
              <w:t xml:space="preserve"> </w:t>
            </w:r>
            <w:r w:rsidR="00603159">
              <w:rPr>
                <w:sz w:val="24"/>
                <w:szCs w:val="24"/>
              </w:rPr>
              <w:t>1.</w:t>
            </w:r>
            <w:r w:rsidR="00F1075D">
              <w:rPr>
                <w:sz w:val="24"/>
                <w:szCs w:val="24"/>
              </w:rPr>
              <w:t> </w:t>
            </w:r>
            <w:r w:rsidR="00603159">
              <w:rPr>
                <w:sz w:val="24"/>
                <w:szCs w:val="24"/>
              </w:rPr>
              <w:t>§ 2.1</w:t>
            </w:r>
            <w:r w:rsidR="00EF4D59">
              <w:rPr>
                <w:sz w:val="24"/>
                <w:szCs w:val="24"/>
              </w:rPr>
              <w:t>.</w:t>
            </w:r>
            <w:r w:rsidR="00F1075D">
              <w:rPr>
                <w:sz w:val="24"/>
                <w:szCs w:val="24"/>
              </w:rPr>
              <w:t> apakš</w:t>
            </w:r>
            <w:r w:rsidR="00EF4D59">
              <w:rPr>
                <w:sz w:val="24"/>
                <w:szCs w:val="24"/>
              </w:rPr>
              <w:t>p</w:t>
            </w:r>
            <w:r w:rsidR="00603159">
              <w:rPr>
                <w:sz w:val="24"/>
                <w:szCs w:val="24"/>
              </w:rPr>
              <w:t>unkt</w:t>
            </w:r>
            <w:r w:rsidR="000044FB">
              <w:rPr>
                <w:sz w:val="24"/>
                <w:szCs w:val="24"/>
              </w:rPr>
              <w:t xml:space="preserve">ā </w:t>
            </w:r>
            <w:r w:rsidR="00F1075D">
              <w:rPr>
                <w:sz w:val="24"/>
                <w:szCs w:val="24"/>
              </w:rPr>
              <w:t xml:space="preserve">Valsts kancelejai </w:t>
            </w:r>
            <w:r w:rsidR="000044FB">
              <w:rPr>
                <w:sz w:val="24"/>
                <w:szCs w:val="24"/>
              </w:rPr>
              <w:t xml:space="preserve">doto uzdevumu izstrādāt grozījumus noteikumos, </w:t>
            </w:r>
            <w:r w:rsidR="00D85B1D">
              <w:rPr>
                <w:sz w:val="24"/>
                <w:szCs w:val="24"/>
              </w:rPr>
              <w:t>p</w:t>
            </w:r>
            <w:r w:rsidR="00D85B1D" w:rsidRPr="000044FB">
              <w:rPr>
                <w:sz w:val="24"/>
                <w:szCs w:val="24"/>
              </w:rPr>
              <w:t>aredzot samazināt specifiskajam atbalsta mērķim pieejamo finansējumu 909</w:t>
            </w:r>
            <w:r w:rsidR="00F1075D">
              <w:rPr>
                <w:sz w:val="24"/>
                <w:szCs w:val="24"/>
              </w:rPr>
              <w:t> </w:t>
            </w:r>
            <w:r w:rsidR="00D85B1D" w:rsidRPr="000044FB">
              <w:rPr>
                <w:sz w:val="24"/>
                <w:szCs w:val="24"/>
              </w:rPr>
              <w:t>776</w:t>
            </w:r>
            <w:r w:rsidR="00F1075D">
              <w:rPr>
                <w:sz w:val="24"/>
                <w:szCs w:val="24"/>
              </w:rPr>
              <w:t> </w:t>
            </w:r>
            <w:r w:rsidR="00750D07" w:rsidRPr="00F1075D">
              <w:rPr>
                <w:i/>
                <w:sz w:val="24"/>
                <w:szCs w:val="24"/>
              </w:rPr>
              <w:t>euro</w:t>
            </w:r>
            <w:r w:rsidR="00750D07">
              <w:rPr>
                <w:sz w:val="24"/>
                <w:szCs w:val="24"/>
              </w:rPr>
              <w:t xml:space="preserve"> </w:t>
            </w:r>
            <w:r w:rsidR="00D85B1D" w:rsidRPr="000044FB">
              <w:rPr>
                <w:sz w:val="24"/>
                <w:szCs w:val="24"/>
              </w:rPr>
              <w:t>apmērā un novirzīt to 3.4.2.2</w:t>
            </w:r>
            <w:r w:rsidR="00EF4D59">
              <w:rPr>
                <w:sz w:val="24"/>
                <w:szCs w:val="24"/>
              </w:rPr>
              <w:t>.</w:t>
            </w:r>
            <w:r w:rsidR="00F1075D">
              <w:rPr>
                <w:sz w:val="24"/>
                <w:szCs w:val="24"/>
              </w:rPr>
              <w:t> </w:t>
            </w:r>
            <w:r w:rsidR="00EF4D59">
              <w:rPr>
                <w:sz w:val="24"/>
                <w:szCs w:val="24"/>
              </w:rPr>
              <w:t>p</w:t>
            </w:r>
            <w:r w:rsidR="00D85B1D" w:rsidRPr="000044FB">
              <w:rPr>
                <w:sz w:val="24"/>
                <w:szCs w:val="24"/>
              </w:rPr>
              <w:t>asākuma projektu īstenošanai</w:t>
            </w:r>
            <w:r w:rsidR="00F1075D">
              <w:rPr>
                <w:sz w:val="24"/>
                <w:szCs w:val="24"/>
              </w:rPr>
              <w:t>,</w:t>
            </w:r>
            <w:r w:rsidR="00093820">
              <w:rPr>
                <w:sz w:val="24"/>
                <w:szCs w:val="24"/>
              </w:rPr>
              <w:t xml:space="preserve"> </w:t>
            </w:r>
            <w:r w:rsidR="00F1075D">
              <w:rPr>
                <w:sz w:val="24"/>
                <w:szCs w:val="24"/>
              </w:rPr>
              <w:t>kā arī pamatojoties</w:t>
            </w:r>
            <w:r w:rsidR="00093820" w:rsidRPr="00CA4586">
              <w:t xml:space="preserve"> </w:t>
            </w:r>
            <w:r w:rsidR="00093820" w:rsidRPr="00CA4586">
              <w:rPr>
                <w:sz w:val="24"/>
                <w:szCs w:val="24"/>
              </w:rPr>
              <w:t>uz Eiropas Savienības struktūrfondu un Kohēzijas fonda 2014.–2020.</w:t>
            </w:r>
            <w:r w:rsidR="00F1075D">
              <w:rPr>
                <w:sz w:val="24"/>
                <w:szCs w:val="24"/>
              </w:rPr>
              <w:t> </w:t>
            </w:r>
            <w:r w:rsidR="00093820" w:rsidRPr="00CA4586">
              <w:rPr>
                <w:sz w:val="24"/>
                <w:szCs w:val="24"/>
              </w:rPr>
              <w:t>gada plānošanas perioda vadības likuma 20. panta 6. un 13.</w:t>
            </w:r>
            <w:r w:rsidR="00F1075D">
              <w:rPr>
                <w:sz w:val="24"/>
                <w:szCs w:val="24"/>
              </w:rPr>
              <w:t> </w:t>
            </w:r>
            <w:r w:rsidR="00E52CB0" w:rsidRPr="00CA4586">
              <w:rPr>
                <w:sz w:val="24"/>
                <w:szCs w:val="24"/>
              </w:rPr>
              <w:t>p</w:t>
            </w:r>
            <w:r w:rsidR="00F1075D">
              <w:rPr>
                <w:sz w:val="24"/>
                <w:szCs w:val="24"/>
              </w:rPr>
              <w:t>unktu</w:t>
            </w:r>
          </w:p>
        </w:tc>
      </w:tr>
      <w:tr w:rsidR="00D13B02" w:rsidRPr="00D13B02" w14:paraId="38850CF1" w14:textId="77777777" w:rsidTr="00325024">
        <w:trPr>
          <w:trHeight w:val="1186"/>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38850CDA" w14:textId="77777777" w:rsidR="0070526D" w:rsidRPr="00D13B02" w:rsidRDefault="0070526D" w:rsidP="00F1075D">
            <w:pPr>
              <w:spacing w:before="100" w:beforeAutospacing="1" w:after="100" w:afterAutospacing="1"/>
              <w:ind w:right="140"/>
              <w:rPr>
                <w:rFonts w:eastAsia="Times New Roman" w:cs="Times New Roman"/>
                <w:sz w:val="24"/>
                <w:szCs w:val="24"/>
                <w:lang w:eastAsia="lv-LV"/>
              </w:rPr>
            </w:pPr>
            <w:r w:rsidRPr="00D13B02">
              <w:rPr>
                <w:rFonts w:eastAsia="Times New Roman" w:cs="Times New Roman"/>
                <w:sz w:val="24"/>
                <w:szCs w:val="24"/>
                <w:lang w:eastAsia="lv-LV"/>
              </w:rPr>
              <w:t> 2.</w:t>
            </w:r>
          </w:p>
        </w:tc>
        <w:tc>
          <w:tcPr>
            <w:tcW w:w="2334" w:type="dxa"/>
            <w:tcBorders>
              <w:top w:val="outset" w:sz="6" w:space="0" w:color="auto"/>
              <w:left w:val="outset" w:sz="6" w:space="0" w:color="auto"/>
              <w:bottom w:val="outset" w:sz="6" w:space="0" w:color="auto"/>
              <w:right w:val="outset" w:sz="6" w:space="0" w:color="auto"/>
            </w:tcBorders>
            <w:hideMark/>
          </w:tcPr>
          <w:p w14:paraId="38850CDB" w14:textId="77777777" w:rsidR="0070526D" w:rsidRPr="00D13B02" w:rsidRDefault="00CD29CB" w:rsidP="0091388D">
            <w:pPr>
              <w:ind w:left="143" w:right="140"/>
              <w:rPr>
                <w:rFonts w:eastAsia="Times New Roman" w:cs="Times New Roman"/>
                <w:sz w:val="24"/>
                <w:szCs w:val="24"/>
                <w:lang w:eastAsia="lv-LV"/>
              </w:rPr>
            </w:pPr>
            <w:r w:rsidRPr="00D13B02">
              <w:rPr>
                <w:rFonts w:eastAsia="Times New Roman" w:cs="Times New Roman"/>
                <w:sz w:val="24"/>
                <w:szCs w:val="24"/>
                <w:lang w:eastAsia="lv-LV"/>
              </w:rPr>
              <w:t>Pašreizējā situācija un problēmas, kuru risināšanai tiesību akta projekts izstrādāts, tiesiskā regulējuma mērķis un būtība</w:t>
            </w:r>
          </w:p>
        </w:tc>
        <w:tc>
          <w:tcPr>
            <w:tcW w:w="7065" w:type="dxa"/>
            <w:tcBorders>
              <w:top w:val="outset" w:sz="6" w:space="0" w:color="auto"/>
              <w:left w:val="outset" w:sz="6" w:space="0" w:color="auto"/>
              <w:bottom w:val="outset" w:sz="6" w:space="0" w:color="auto"/>
              <w:right w:val="outset" w:sz="6" w:space="0" w:color="auto"/>
            </w:tcBorders>
          </w:tcPr>
          <w:p w14:paraId="38850CDC" w14:textId="41C101AF" w:rsidR="00915A93" w:rsidRDefault="00CA3778" w:rsidP="00F1075D">
            <w:pPr>
              <w:pStyle w:val="BodyText"/>
              <w:tabs>
                <w:tab w:val="left" w:pos="547"/>
              </w:tabs>
              <w:spacing w:after="0"/>
              <w:ind w:left="127" w:right="140"/>
              <w:jc w:val="both"/>
              <w:rPr>
                <w:spacing w:val="-3"/>
                <w:sz w:val="24"/>
                <w:szCs w:val="24"/>
              </w:rPr>
            </w:pPr>
            <w:r w:rsidRPr="00CA3778">
              <w:rPr>
                <w:spacing w:val="-3"/>
                <w:sz w:val="24"/>
                <w:szCs w:val="24"/>
              </w:rPr>
              <w:t>Noteikumu projekta izstrādes nepieciešamība saistīta ar</w:t>
            </w:r>
            <w:r w:rsidR="00C02179">
              <w:rPr>
                <w:spacing w:val="-3"/>
                <w:sz w:val="24"/>
                <w:szCs w:val="24"/>
              </w:rPr>
              <w:t xml:space="preserve"> </w:t>
            </w:r>
            <w:r w:rsidR="00290A28">
              <w:rPr>
                <w:spacing w:val="-3"/>
                <w:sz w:val="24"/>
                <w:szCs w:val="24"/>
              </w:rPr>
              <w:t>2016</w:t>
            </w:r>
            <w:r w:rsidR="00EF4D59">
              <w:rPr>
                <w:spacing w:val="-3"/>
                <w:sz w:val="24"/>
                <w:szCs w:val="24"/>
              </w:rPr>
              <w:t>.</w:t>
            </w:r>
            <w:r w:rsidR="0091388D">
              <w:rPr>
                <w:spacing w:val="-3"/>
                <w:sz w:val="24"/>
                <w:szCs w:val="24"/>
              </w:rPr>
              <w:t> </w:t>
            </w:r>
            <w:r w:rsidR="00EF4D59">
              <w:rPr>
                <w:spacing w:val="-3"/>
                <w:sz w:val="24"/>
                <w:szCs w:val="24"/>
              </w:rPr>
              <w:t>g</w:t>
            </w:r>
            <w:r w:rsidR="00290A28">
              <w:rPr>
                <w:spacing w:val="-3"/>
                <w:sz w:val="24"/>
                <w:szCs w:val="24"/>
              </w:rPr>
              <w:t xml:space="preserve">ada </w:t>
            </w:r>
            <w:r w:rsidR="00171EE7">
              <w:rPr>
                <w:spacing w:val="-3"/>
                <w:sz w:val="24"/>
                <w:szCs w:val="24"/>
              </w:rPr>
              <w:t>12</w:t>
            </w:r>
            <w:r w:rsidR="00EF4D59">
              <w:rPr>
                <w:spacing w:val="-3"/>
                <w:sz w:val="24"/>
                <w:szCs w:val="24"/>
              </w:rPr>
              <w:t>.</w:t>
            </w:r>
            <w:r w:rsidR="0091388D">
              <w:rPr>
                <w:spacing w:val="-3"/>
                <w:sz w:val="24"/>
                <w:szCs w:val="24"/>
              </w:rPr>
              <w:t> </w:t>
            </w:r>
            <w:r w:rsidR="00EF4D59">
              <w:rPr>
                <w:spacing w:val="-3"/>
                <w:sz w:val="24"/>
                <w:szCs w:val="24"/>
              </w:rPr>
              <w:t>a</w:t>
            </w:r>
            <w:r w:rsidR="00171EE7">
              <w:rPr>
                <w:spacing w:val="-3"/>
                <w:sz w:val="24"/>
                <w:szCs w:val="24"/>
              </w:rPr>
              <w:t>prīlī</w:t>
            </w:r>
            <w:r w:rsidR="00290A28">
              <w:rPr>
                <w:spacing w:val="-3"/>
                <w:sz w:val="24"/>
                <w:szCs w:val="24"/>
              </w:rPr>
              <w:t xml:space="preserve"> Ministru kabinetā a</w:t>
            </w:r>
            <w:r w:rsidR="00154D97">
              <w:rPr>
                <w:spacing w:val="-3"/>
                <w:sz w:val="24"/>
                <w:szCs w:val="24"/>
              </w:rPr>
              <w:t>p</w:t>
            </w:r>
            <w:r w:rsidR="00290A28">
              <w:rPr>
                <w:spacing w:val="-3"/>
                <w:sz w:val="24"/>
                <w:szCs w:val="24"/>
              </w:rPr>
              <w:t xml:space="preserve">stiprinātajiem grozījumiem Eiropas Savienības fondu un Kohēzijas politikas fondu 2014.–2020. gada plānošanas perioda darbības programmā </w:t>
            </w:r>
            <w:r w:rsidR="00EF4D59">
              <w:rPr>
                <w:spacing w:val="-3"/>
                <w:sz w:val="24"/>
                <w:szCs w:val="24"/>
              </w:rPr>
              <w:t>"</w:t>
            </w:r>
            <w:r w:rsidR="00290A28">
              <w:rPr>
                <w:spacing w:val="-3"/>
                <w:sz w:val="24"/>
                <w:szCs w:val="24"/>
              </w:rPr>
              <w:t>Izaugsme un nodarbinātība</w:t>
            </w:r>
            <w:r w:rsidR="00EF4D59">
              <w:rPr>
                <w:spacing w:val="-3"/>
                <w:sz w:val="24"/>
                <w:szCs w:val="24"/>
              </w:rPr>
              <w:t>"</w:t>
            </w:r>
            <w:r w:rsidR="00290A28">
              <w:rPr>
                <w:spacing w:val="-3"/>
                <w:sz w:val="24"/>
                <w:szCs w:val="24"/>
              </w:rPr>
              <w:t>, kuru ietvaros tika precizēts 3.4.2. specifiskais atbalsta mērķis</w:t>
            </w:r>
            <w:r w:rsidR="0022662C">
              <w:rPr>
                <w:spacing w:val="-3"/>
                <w:sz w:val="24"/>
                <w:szCs w:val="24"/>
              </w:rPr>
              <w:t xml:space="preserve"> (turpmāk</w:t>
            </w:r>
            <w:r w:rsidR="0091388D">
              <w:rPr>
                <w:spacing w:val="-3"/>
                <w:sz w:val="24"/>
                <w:szCs w:val="24"/>
              </w:rPr>
              <w:t> </w:t>
            </w:r>
            <w:r w:rsidR="0022662C">
              <w:rPr>
                <w:spacing w:val="-3"/>
                <w:sz w:val="24"/>
                <w:szCs w:val="24"/>
              </w:rPr>
              <w:t>– SAM)</w:t>
            </w:r>
            <w:r w:rsidR="00290A28">
              <w:rPr>
                <w:spacing w:val="-3"/>
                <w:sz w:val="24"/>
                <w:szCs w:val="24"/>
              </w:rPr>
              <w:t>, papildinot to ar soci</w:t>
            </w:r>
            <w:r w:rsidR="00901ACE">
              <w:rPr>
                <w:spacing w:val="-3"/>
                <w:sz w:val="24"/>
                <w:szCs w:val="24"/>
              </w:rPr>
              <w:t>ālā dialoga attīstīb</w:t>
            </w:r>
            <w:r w:rsidR="00171EE7">
              <w:rPr>
                <w:spacing w:val="-3"/>
                <w:sz w:val="24"/>
                <w:szCs w:val="24"/>
              </w:rPr>
              <w:t>as jomu</w:t>
            </w:r>
            <w:r w:rsidR="00901ACE">
              <w:rPr>
                <w:spacing w:val="-3"/>
                <w:sz w:val="24"/>
                <w:szCs w:val="24"/>
              </w:rPr>
              <w:t xml:space="preserve"> </w:t>
            </w:r>
            <w:r w:rsidR="0091388D">
              <w:rPr>
                <w:spacing w:val="-3"/>
                <w:sz w:val="24"/>
                <w:szCs w:val="24"/>
              </w:rPr>
              <w:t>–</w:t>
            </w:r>
            <w:r w:rsidR="00290A28">
              <w:rPr>
                <w:spacing w:val="-3"/>
                <w:sz w:val="24"/>
                <w:szCs w:val="24"/>
              </w:rPr>
              <w:t xml:space="preserve"> </w:t>
            </w:r>
            <w:r w:rsidR="00EF4D59">
              <w:rPr>
                <w:spacing w:val="-3"/>
                <w:sz w:val="24"/>
                <w:szCs w:val="24"/>
              </w:rPr>
              <w:t>"</w:t>
            </w:r>
            <w:r w:rsidR="00290A28" w:rsidRPr="00290A28">
              <w:rPr>
                <w:spacing w:val="-3"/>
                <w:sz w:val="24"/>
                <w:szCs w:val="24"/>
              </w:rPr>
              <w:t xml:space="preserve">Valsts pārvaldes profesionālā pilnveide </w:t>
            </w:r>
            <w:r w:rsidR="00290A28">
              <w:rPr>
                <w:spacing w:val="-3"/>
                <w:sz w:val="24"/>
                <w:szCs w:val="24"/>
              </w:rPr>
              <w:t xml:space="preserve">un sociālā dialoga attīstība </w:t>
            </w:r>
            <w:r w:rsidR="00290A28" w:rsidRPr="00290A28">
              <w:rPr>
                <w:spacing w:val="-3"/>
                <w:sz w:val="24"/>
                <w:szCs w:val="24"/>
              </w:rPr>
              <w:t>labāka tiesiskā regulējuma izstrādē mazo un vidējo komersantu atbalsta, korupcijas novēršanas un ēnu ekonomikas mazināšanas jomās</w:t>
            </w:r>
            <w:r w:rsidR="00EF4D59">
              <w:rPr>
                <w:spacing w:val="-3"/>
                <w:sz w:val="24"/>
                <w:szCs w:val="24"/>
              </w:rPr>
              <w:t>"</w:t>
            </w:r>
            <w:r w:rsidR="00290A28">
              <w:rPr>
                <w:spacing w:val="-3"/>
                <w:sz w:val="24"/>
                <w:szCs w:val="24"/>
              </w:rPr>
              <w:t xml:space="preserve"> un izdalot </w:t>
            </w:r>
            <w:r w:rsidR="00C02179">
              <w:rPr>
                <w:spacing w:val="-3"/>
                <w:sz w:val="24"/>
                <w:szCs w:val="24"/>
              </w:rPr>
              <w:t>divus pasākumus šajā</w:t>
            </w:r>
            <w:r w:rsidR="00915A93">
              <w:rPr>
                <w:spacing w:val="-3"/>
                <w:sz w:val="24"/>
                <w:szCs w:val="24"/>
              </w:rPr>
              <w:t xml:space="preserve"> </w:t>
            </w:r>
            <w:r w:rsidR="0022662C">
              <w:rPr>
                <w:spacing w:val="-3"/>
                <w:sz w:val="24"/>
                <w:szCs w:val="24"/>
              </w:rPr>
              <w:t>SAM</w:t>
            </w:r>
            <w:r w:rsidR="00C02179">
              <w:rPr>
                <w:spacing w:val="-3"/>
                <w:sz w:val="24"/>
                <w:szCs w:val="24"/>
              </w:rPr>
              <w:t>:</w:t>
            </w:r>
            <w:r w:rsidR="00915A93">
              <w:rPr>
                <w:spacing w:val="-3"/>
                <w:sz w:val="24"/>
                <w:szCs w:val="24"/>
              </w:rPr>
              <w:t xml:space="preserve"> </w:t>
            </w:r>
          </w:p>
          <w:p w14:paraId="38850CDD" w14:textId="4007DB54" w:rsidR="00C02179" w:rsidRDefault="00416DEE" w:rsidP="00416DEE">
            <w:pPr>
              <w:pStyle w:val="BodyText"/>
              <w:tabs>
                <w:tab w:val="left" w:pos="547"/>
              </w:tabs>
              <w:spacing w:after="0"/>
              <w:ind w:left="84" w:right="140"/>
              <w:jc w:val="both"/>
              <w:rPr>
                <w:spacing w:val="-3"/>
                <w:sz w:val="24"/>
                <w:szCs w:val="24"/>
              </w:rPr>
            </w:pPr>
            <w:r>
              <w:rPr>
                <w:spacing w:val="-3"/>
                <w:sz w:val="24"/>
                <w:szCs w:val="24"/>
              </w:rPr>
              <w:t>1) </w:t>
            </w:r>
            <w:r w:rsidR="00290A28">
              <w:rPr>
                <w:spacing w:val="-3"/>
                <w:sz w:val="24"/>
                <w:szCs w:val="24"/>
              </w:rPr>
              <w:t>3.4.2.1.</w:t>
            </w:r>
            <w:r w:rsidR="00290A28" w:rsidRPr="00290A28">
              <w:rPr>
                <w:spacing w:val="-3"/>
                <w:sz w:val="24"/>
                <w:szCs w:val="24"/>
              </w:rPr>
              <w:t xml:space="preserve"> </w:t>
            </w:r>
            <w:r w:rsidR="00EF4D59">
              <w:rPr>
                <w:spacing w:val="-3"/>
                <w:sz w:val="24"/>
                <w:szCs w:val="24"/>
              </w:rPr>
              <w:t>"</w:t>
            </w:r>
            <w:r w:rsidR="00290A28" w:rsidRPr="00290A28">
              <w:rPr>
                <w:spacing w:val="-3"/>
                <w:sz w:val="24"/>
                <w:szCs w:val="24"/>
              </w:rPr>
              <w:t>Valsts pārvaldes profesionālā pilnveide labāka tiesiskā regulējuma izstrādē mazo un vidējo komersantu atbalsta, korupcijas novēršanas un ēnu ekonomikas mazināšanas jomās</w:t>
            </w:r>
            <w:r w:rsidR="00EF4D59">
              <w:rPr>
                <w:spacing w:val="-3"/>
                <w:sz w:val="24"/>
                <w:szCs w:val="24"/>
              </w:rPr>
              <w:t>"</w:t>
            </w:r>
            <w:r w:rsidR="00654CF6">
              <w:rPr>
                <w:spacing w:val="-3"/>
                <w:sz w:val="24"/>
                <w:szCs w:val="24"/>
              </w:rPr>
              <w:t xml:space="preserve"> (turpmāk – 3.4.2.1.</w:t>
            </w:r>
            <w:r>
              <w:rPr>
                <w:spacing w:val="-3"/>
                <w:sz w:val="24"/>
                <w:szCs w:val="24"/>
              </w:rPr>
              <w:t> </w:t>
            </w:r>
            <w:r w:rsidR="00654CF6">
              <w:rPr>
                <w:spacing w:val="-3"/>
                <w:sz w:val="24"/>
                <w:szCs w:val="24"/>
              </w:rPr>
              <w:t>pasākums)</w:t>
            </w:r>
            <w:r w:rsidR="00755E5F">
              <w:rPr>
                <w:spacing w:val="-3"/>
                <w:sz w:val="24"/>
                <w:szCs w:val="24"/>
              </w:rPr>
              <w:t xml:space="preserve"> ar finansējumu </w:t>
            </w:r>
            <w:r w:rsidR="00755E5F" w:rsidRPr="00755E5F">
              <w:rPr>
                <w:spacing w:val="-3"/>
                <w:sz w:val="24"/>
                <w:szCs w:val="24"/>
              </w:rPr>
              <w:t xml:space="preserve">8 581 616 </w:t>
            </w:r>
            <w:r w:rsidR="00755E5F" w:rsidRPr="00416DEE">
              <w:rPr>
                <w:i/>
                <w:spacing w:val="-3"/>
                <w:sz w:val="24"/>
                <w:szCs w:val="24"/>
              </w:rPr>
              <w:t>euro</w:t>
            </w:r>
            <w:r w:rsidR="00C02179">
              <w:rPr>
                <w:spacing w:val="-3"/>
                <w:sz w:val="24"/>
                <w:szCs w:val="24"/>
              </w:rPr>
              <w:t>;</w:t>
            </w:r>
          </w:p>
          <w:p w14:paraId="38850CDE" w14:textId="63E53A52" w:rsidR="00603159" w:rsidRDefault="00416DEE" w:rsidP="00F1075D">
            <w:pPr>
              <w:pStyle w:val="BodyText"/>
              <w:tabs>
                <w:tab w:val="left" w:pos="547"/>
              </w:tabs>
              <w:spacing w:after="0"/>
              <w:ind w:left="127" w:right="140"/>
              <w:jc w:val="both"/>
              <w:rPr>
                <w:spacing w:val="-3"/>
                <w:sz w:val="24"/>
                <w:szCs w:val="24"/>
              </w:rPr>
            </w:pPr>
            <w:r>
              <w:rPr>
                <w:spacing w:val="-3"/>
                <w:sz w:val="24"/>
                <w:szCs w:val="24"/>
              </w:rPr>
              <w:t>2) </w:t>
            </w:r>
            <w:r w:rsidR="00901ACE">
              <w:rPr>
                <w:spacing w:val="-3"/>
                <w:sz w:val="24"/>
                <w:szCs w:val="24"/>
              </w:rPr>
              <w:t>3.4.2.2.</w:t>
            </w:r>
            <w:r w:rsidR="006F2907">
              <w:rPr>
                <w:spacing w:val="-3"/>
                <w:sz w:val="24"/>
                <w:szCs w:val="24"/>
              </w:rPr>
              <w:t xml:space="preserve"> </w:t>
            </w:r>
            <w:r w:rsidR="00EF4D59">
              <w:rPr>
                <w:spacing w:val="-3"/>
                <w:sz w:val="24"/>
                <w:szCs w:val="24"/>
              </w:rPr>
              <w:t>"</w:t>
            </w:r>
            <w:r w:rsidR="00901ACE">
              <w:rPr>
                <w:spacing w:val="-3"/>
                <w:sz w:val="24"/>
                <w:szCs w:val="24"/>
              </w:rPr>
              <w:t>Sociālā dialoga attīstība labāka tiesisk</w:t>
            </w:r>
            <w:r w:rsidR="00171EE7">
              <w:rPr>
                <w:spacing w:val="-3"/>
                <w:sz w:val="24"/>
                <w:szCs w:val="24"/>
              </w:rPr>
              <w:t>ā</w:t>
            </w:r>
            <w:r w:rsidR="00901ACE">
              <w:rPr>
                <w:spacing w:val="-3"/>
                <w:sz w:val="24"/>
                <w:szCs w:val="24"/>
              </w:rPr>
              <w:t xml:space="preserve"> regulējuma izstrādē uzņēmējdarbības atbalsta jomā</w:t>
            </w:r>
            <w:r w:rsidR="00EF4D59">
              <w:rPr>
                <w:spacing w:val="-3"/>
                <w:sz w:val="24"/>
                <w:szCs w:val="24"/>
              </w:rPr>
              <w:t>"</w:t>
            </w:r>
            <w:r w:rsidR="00654CF6">
              <w:rPr>
                <w:spacing w:val="-3"/>
                <w:sz w:val="24"/>
                <w:szCs w:val="24"/>
              </w:rPr>
              <w:t xml:space="preserve"> (turpmāk – 3.4.2.2.</w:t>
            </w:r>
            <w:r>
              <w:rPr>
                <w:spacing w:val="-3"/>
                <w:sz w:val="24"/>
                <w:szCs w:val="24"/>
              </w:rPr>
              <w:t> </w:t>
            </w:r>
            <w:r w:rsidR="00654CF6">
              <w:rPr>
                <w:spacing w:val="-3"/>
                <w:sz w:val="24"/>
                <w:szCs w:val="24"/>
              </w:rPr>
              <w:t>pasākums)</w:t>
            </w:r>
            <w:r w:rsidR="00755E5F">
              <w:rPr>
                <w:spacing w:val="-3"/>
                <w:sz w:val="24"/>
                <w:szCs w:val="24"/>
              </w:rPr>
              <w:t xml:space="preserve"> ar finansējumu 1 500 0</w:t>
            </w:r>
            <w:r w:rsidR="00BD34BC">
              <w:rPr>
                <w:spacing w:val="-3"/>
                <w:sz w:val="24"/>
                <w:szCs w:val="24"/>
              </w:rPr>
              <w:t>0</w:t>
            </w:r>
            <w:r w:rsidR="00755E5F">
              <w:rPr>
                <w:spacing w:val="-3"/>
                <w:sz w:val="24"/>
                <w:szCs w:val="24"/>
              </w:rPr>
              <w:t xml:space="preserve">0 </w:t>
            </w:r>
            <w:r w:rsidR="00755E5F" w:rsidRPr="00416DEE">
              <w:rPr>
                <w:i/>
                <w:spacing w:val="-3"/>
                <w:sz w:val="24"/>
                <w:szCs w:val="24"/>
              </w:rPr>
              <w:t>euro</w:t>
            </w:r>
            <w:r w:rsidR="00901ACE">
              <w:rPr>
                <w:spacing w:val="-3"/>
                <w:sz w:val="24"/>
                <w:szCs w:val="24"/>
              </w:rPr>
              <w:t>.</w:t>
            </w:r>
          </w:p>
          <w:p w14:paraId="38850CDF" w14:textId="77777777" w:rsidR="00915A93" w:rsidRDefault="00915A93" w:rsidP="00F1075D">
            <w:pPr>
              <w:pStyle w:val="BodyText"/>
              <w:tabs>
                <w:tab w:val="left" w:pos="547"/>
              </w:tabs>
              <w:spacing w:after="0"/>
              <w:ind w:left="127" w:right="140"/>
              <w:jc w:val="both"/>
              <w:rPr>
                <w:spacing w:val="-3"/>
                <w:sz w:val="24"/>
                <w:szCs w:val="24"/>
              </w:rPr>
            </w:pPr>
          </w:p>
          <w:p w14:paraId="38850CE0" w14:textId="7EF7B6EA" w:rsidR="00D552AA" w:rsidRPr="00CA4586" w:rsidRDefault="006F2907" w:rsidP="00F1075D">
            <w:pPr>
              <w:pStyle w:val="BodyText"/>
              <w:tabs>
                <w:tab w:val="left" w:pos="547"/>
              </w:tabs>
              <w:spacing w:after="0"/>
              <w:ind w:left="127" w:right="140"/>
              <w:jc w:val="both"/>
              <w:rPr>
                <w:spacing w:val="-3"/>
                <w:sz w:val="24"/>
                <w:szCs w:val="24"/>
              </w:rPr>
            </w:pPr>
            <w:r>
              <w:rPr>
                <w:spacing w:val="-3"/>
                <w:sz w:val="24"/>
                <w:szCs w:val="24"/>
              </w:rPr>
              <w:t>Ņemot vērā</w:t>
            </w:r>
            <w:r w:rsidR="00B433A0">
              <w:rPr>
                <w:spacing w:val="-3"/>
                <w:sz w:val="24"/>
                <w:szCs w:val="24"/>
              </w:rPr>
              <w:t xml:space="preserve"> veiktās izmaiņas </w:t>
            </w:r>
            <w:r w:rsidR="00654CF6">
              <w:rPr>
                <w:spacing w:val="-3"/>
                <w:sz w:val="24"/>
                <w:szCs w:val="24"/>
              </w:rPr>
              <w:t>darbības programmā</w:t>
            </w:r>
            <w:r w:rsidR="00CA4586">
              <w:rPr>
                <w:spacing w:val="-3"/>
                <w:sz w:val="24"/>
                <w:szCs w:val="24"/>
              </w:rPr>
              <w:t>,</w:t>
            </w:r>
            <w:r w:rsidR="00654CF6">
              <w:rPr>
                <w:spacing w:val="-3"/>
                <w:sz w:val="24"/>
                <w:szCs w:val="24"/>
              </w:rPr>
              <w:t xml:space="preserve"> ir nepieciešams grozīt </w:t>
            </w:r>
            <w:r w:rsidR="00B202B0">
              <w:rPr>
                <w:spacing w:val="-3"/>
                <w:sz w:val="24"/>
                <w:szCs w:val="24"/>
              </w:rPr>
              <w:t>noteikumu projektu</w:t>
            </w:r>
            <w:r w:rsidR="00416DEE">
              <w:rPr>
                <w:spacing w:val="-3"/>
                <w:sz w:val="24"/>
                <w:szCs w:val="24"/>
              </w:rPr>
              <w:t>,</w:t>
            </w:r>
            <w:r w:rsidR="00B202B0">
              <w:rPr>
                <w:spacing w:val="-3"/>
                <w:sz w:val="24"/>
                <w:szCs w:val="24"/>
              </w:rPr>
              <w:t xml:space="preserve"> </w:t>
            </w:r>
            <w:r w:rsidR="00654CF6">
              <w:rPr>
                <w:spacing w:val="-3"/>
                <w:sz w:val="24"/>
                <w:szCs w:val="24"/>
              </w:rPr>
              <w:t>pārveidojot to no SAM par 3.4.2.1.</w:t>
            </w:r>
            <w:r w:rsidR="00416DEE">
              <w:rPr>
                <w:spacing w:val="-3"/>
                <w:sz w:val="24"/>
                <w:szCs w:val="24"/>
              </w:rPr>
              <w:t> </w:t>
            </w:r>
            <w:r w:rsidR="004C6FE9">
              <w:rPr>
                <w:spacing w:val="-3"/>
                <w:sz w:val="24"/>
                <w:szCs w:val="24"/>
              </w:rPr>
              <w:t xml:space="preserve">pasākuma </w:t>
            </w:r>
            <w:r w:rsidR="00654CF6">
              <w:rPr>
                <w:spacing w:val="-3"/>
                <w:sz w:val="24"/>
                <w:szCs w:val="24"/>
              </w:rPr>
              <w:t>noteikumiem</w:t>
            </w:r>
            <w:r w:rsidR="00D552AA">
              <w:rPr>
                <w:spacing w:val="-3"/>
                <w:sz w:val="24"/>
                <w:szCs w:val="24"/>
              </w:rPr>
              <w:t xml:space="preserve"> </w:t>
            </w:r>
            <w:r w:rsidR="00654CF6">
              <w:rPr>
                <w:spacing w:val="-3"/>
                <w:sz w:val="24"/>
                <w:szCs w:val="24"/>
              </w:rPr>
              <w:t xml:space="preserve">un attiecīgi </w:t>
            </w:r>
            <w:r w:rsidR="00D552AA">
              <w:rPr>
                <w:spacing w:val="-3"/>
                <w:sz w:val="24"/>
                <w:szCs w:val="24"/>
              </w:rPr>
              <w:t>samazinot kopējo finansējumu par 909 776</w:t>
            </w:r>
            <w:r w:rsidR="00416DEE">
              <w:rPr>
                <w:spacing w:val="-3"/>
                <w:sz w:val="24"/>
                <w:szCs w:val="24"/>
              </w:rPr>
              <w:t> </w:t>
            </w:r>
            <w:r w:rsidR="00B433A0" w:rsidRPr="00416DEE">
              <w:rPr>
                <w:i/>
                <w:spacing w:val="-3"/>
                <w:sz w:val="24"/>
                <w:szCs w:val="24"/>
              </w:rPr>
              <w:t>euro</w:t>
            </w:r>
            <w:r w:rsidR="00654CF6">
              <w:rPr>
                <w:spacing w:val="-3"/>
                <w:sz w:val="24"/>
                <w:szCs w:val="24"/>
              </w:rPr>
              <w:t xml:space="preserve">, kas </w:t>
            </w:r>
            <w:r w:rsidR="004C6FE9">
              <w:rPr>
                <w:spacing w:val="-3"/>
                <w:sz w:val="24"/>
                <w:szCs w:val="24"/>
              </w:rPr>
              <w:t xml:space="preserve">pēc noteikumu projekta apstiprināšanas </w:t>
            </w:r>
            <w:r w:rsidR="00654CF6">
              <w:rPr>
                <w:spacing w:val="-3"/>
                <w:sz w:val="24"/>
                <w:szCs w:val="24"/>
              </w:rPr>
              <w:t>tik</w:t>
            </w:r>
            <w:r w:rsidR="004C6FE9">
              <w:rPr>
                <w:spacing w:val="-3"/>
                <w:sz w:val="24"/>
                <w:szCs w:val="24"/>
              </w:rPr>
              <w:t>s</w:t>
            </w:r>
            <w:r w:rsidR="00654CF6">
              <w:rPr>
                <w:spacing w:val="-3"/>
                <w:sz w:val="24"/>
                <w:szCs w:val="24"/>
              </w:rPr>
              <w:t xml:space="preserve"> novirzīt</w:t>
            </w:r>
            <w:r w:rsidR="00BD34BC">
              <w:rPr>
                <w:spacing w:val="-3"/>
                <w:sz w:val="24"/>
                <w:szCs w:val="24"/>
              </w:rPr>
              <w:t>i</w:t>
            </w:r>
            <w:r w:rsidR="00654CF6">
              <w:rPr>
                <w:spacing w:val="-3"/>
                <w:sz w:val="24"/>
                <w:szCs w:val="24"/>
              </w:rPr>
              <w:t xml:space="preserve"> sociālā dialoga attīstības 3.4.2.2.</w:t>
            </w:r>
            <w:r w:rsidR="00416DEE">
              <w:rPr>
                <w:spacing w:val="-3"/>
                <w:sz w:val="24"/>
                <w:szCs w:val="24"/>
              </w:rPr>
              <w:t> </w:t>
            </w:r>
            <w:r w:rsidR="00654CF6">
              <w:rPr>
                <w:spacing w:val="-3"/>
                <w:sz w:val="24"/>
                <w:szCs w:val="24"/>
              </w:rPr>
              <w:t>pasākuma īstenošanai</w:t>
            </w:r>
            <w:r w:rsidR="00B433A0">
              <w:rPr>
                <w:spacing w:val="-3"/>
                <w:sz w:val="24"/>
                <w:szCs w:val="24"/>
              </w:rPr>
              <w:t>.</w:t>
            </w:r>
            <w:r w:rsidR="00654CF6">
              <w:rPr>
                <w:spacing w:val="-3"/>
                <w:sz w:val="24"/>
                <w:szCs w:val="24"/>
              </w:rPr>
              <w:t xml:space="preserve"> </w:t>
            </w:r>
            <w:r w:rsidR="000044FB">
              <w:rPr>
                <w:spacing w:val="-3"/>
                <w:sz w:val="24"/>
                <w:szCs w:val="24"/>
              </w:rPr>
              <w:t xml:space="preserve">Saistībā ar finansējuma samazinājumu </w:t>
            </w:r>
            <w:r w:rsidR="00654CF6">
              <w:rPr>
                <w:spacing w:val="-3"/>
                <w:sz w:val="24"/>
                <w:szCs w:val="24"/>
              </w:rPr>
              <w:t>tiek samazināt</w:t>
            </w:r>
            <w:r w:rsidR="00F70DF9">
              <w:rPr>
                <w:spacing w:val="-3"/>
                <w:sz w:val="24"/>
                <w:szCs w:val="24"/>
              </w:rPr>
              <w:t>s</w:t>
            </w:r>
            <w:r w:rsidR="00654CF6">
              <w:rPr>
                <w:spacing w:val="-3"/>
                <w:sz w:val="24"/>
                <w:szCs w:val="24"/>
              </w:rPr>
              <w:t xml:space="preserve"> arī 3.4.2.1</w:t>
            </w:r>
            <w:r w:rsidR="00EF4D59">
              <w:rPr>
                <w:spacing w:val="-3"/>
                <w:sz w:val="24"/>
                <w:szCs w:val="24"/>
              </w:rPr>
              <w:t>.</w:t>
            </w:r>
            <w:r w:rsidR="00416DEE">
              <w:rPr>
                <w:spacing w:val="-3"/>
                <w:sz w:val="24"/>
                <w:szCs w:val="24"/>
              </w:rPr>
              <w:t> </w:t>
            </w:r>
            <w:r w:rsidR="00EF4D59">
              <w:rPr>
                <w:spacing w:val="-3"/>
                <w:sz w:val="24"/>
                <w:szCs w:val="24"/>
              </w:rPr>
              <w:t>p</w:t>
            </w:r>
            <w:r w:rsidR="00654CF6">
              <w:rPr>
                <w:spacing w:val="-3"/>
                <w:sz w:val="24"/>
                <w:szCs w:val="24"/>
              </w:rPr>
              <w:t>asākuma ietvaros sasniedzam</w:t>
            </w:r>
            <w:r w:rsidR="00496F77">
              <w:rPr>
                <w:spacing w:val="-3"/>
                <w:sz w:val="24"/>
                <w:szCs w:val="24"/>
              </w:rPr>
              <w:t>ais</w:t>
            </w:r>
            <w:r w:rsidR="00654CF6">
              <w:rPr>
                <w:spacing w:val="-3"/>
                <w:sz w:val="24"/>
                <w:szCs w:val="24"/>
              </w:rPr>
              <w:t xml:space="preserve"> iznākuma</w:t>
            </w:r>
            <w:r w:rsidR="00496F77">
              <w:rPr>
                <w:spacing w:val="-3"/>
                <w:sz w:val="24"/>
                <w:szCs w:val="24"/>
              </w:rPr>
              <w:t xml:space="preserve"> </w:t>
            </w:r>
            <w:r w:rsidR="00496F77" w:rsidRPr="00CA4586">
              <w:rPr>
                <w:spacing w:val="-3"/>
                <w:sz w:val="24"/>
                <w:szCs w:val="24"/>
              </w:rPr>
              <w:lastRenderedPageBreak/>
              <w:t xml:space="preserve">rādītājs no 17 598 uz 14 817 (personu skaits) </w:t>
            </w:r>
            <w:r w:rsidR="00654CF6" w:rsidRPr="00CA4586">
              <w:rPr>
                <w:spacing w:val="-3"/>
                <w:sz w:val="24"/>
                <w:szCs w:val="24"/>
              </w:rPr>
              <w:t>un rezultāta rādītāj</w:t>
            </w:r>
            <w:r w:rsidR="00496F77" w:rsidRPr="00CA4586">
              <w:rPr>
                <w:spacing w:val="-3"/>
                <w:sz w:val="24"/>
                <w:szCs w:val="24"/>
              </w:rPr>
              <w:t>s no 4450 uz 3747</w:t>
            </w:r>
            <w:r w:rsidR="004C6FE9">
              <w:rPr>
                <w:spacing w:val="-3"/>
                <w:sz w:val="24"/>
                <w:szCs w:val="24"/>
              </w:rPr>
              <w:t xml:space="preserve"> </w:t>
            </w:r>
            <w:r w:rsidR="00496F77" w:rsidRPr="00CA4586">
              <w:rPr>
                <w:spacing w:val="-3"/>
                <w:sz w:val="24"/>
                <w:szCs w:val="24"/>
              </w:rPr>
              <w:t>(personu skaits)</w:t>
            </w:r>
            <w:r w:rsidR="000044FB" w:rsidRPr="00CA4586">
              <w:rPr>
                <w:spacing w:val="-3"/>
                <w:sz w:val="24"/>
                <w:szCs w:val="24"/>
              </w:rPr>
              <w:t>.</w:t>
            </w:r>
            <w:r w:rsidR="004F1C81" w:rsidRPr="00CA4586">
              <w:rPr>
                <w:spacing w:val="-3"/>
                <w:sz w:val="24"/>
                <w:szCs w:val="24"/>
              </w:rPr>
              <w:t xml:space="preserve"> Sasniedzamo rādītāju samazinājums ir veikts,</w:t>
            </w:r>
            <w:r w:rsidR="005C4B5A" w:rsidRPr="00CA4586">
              <w:rPr>
                <w:spacing w:val="-3"/>
                <w:sz w:val="24"/>
                <w:szCs w:val="24"/>
              </w:rPr>
              <w:t xml:space="preserve"> ņemot vērā projektos pieejamos dažādos apmācību veidus</w:t>
            </w:r>
            <w:r w:rsidR="004F1C81" w:rsidRPr="00CA4586">
              <w:rPr>
                <w:spacing w:val="-3"/>
                <w:sz w:val="24"/>
                <w:szCs w:val="24"/>
              </w:rPr>
              <w:t xml:space="preserve"> </w:t>
            </w:r>
            <w:r w:rsidR="005C4B5A" w:rsidRPr="00CA4586">
              <w:rPr>
                <w:spacing w:val="-3"/>
                <w:sz w:val="24"/>
                <w:szCs w:val="24"/>
              </w:rPr>
              <w:t xml:space="preserve">un </w:t>
            </w:r>
            <w:r w:rsidR="004F1C81" w:rsidRPr="00CA4586">
              <w:rPr>
                <w:spacing w:val="-3"/>
                <w:sz w:val="24"/>
                <w:szCs w:val="24"/>
              </w:rPr>
              <w:t>pamatojoties uz projektos veiktajām faktiskajām vidējām izmaksām uz vienu apmāc</w:t>
            </w:r>
            <w:r w:rsidR="005C4B5A" w:rsidRPr="00CA4586">
              <w:rPr>
                <w:spacing w:val="-3"/>
                <w:sz w:val="24"/>
                <w:szCs w:val="24"/>
              </w:rPr>
              <w:t>āmo, kā arī</w:t>
            </w:r>
            <w:r w:rsidR="004F1C81" w:rsidRPr="00CA4586">
              <w:rPr>
                <w:spacing w:val="-3"/>
                <w:sz w:val="24"/>
                <w:szCs w:val="24"/>
              </w:rPr>
              <w:t xml:space="preserve"> rādītāju skaitliskais samazinājums ir atbilstošs</w:t>
            </w:r>
            <w:r w:rsidR="005C4B5A" w:rsidRPr="00CA4586">
              <w:rPr>
                <w:spacing w:val="-3"/>
                <w:sz w:val="24"/>
                <w:szCs w:val="24"/>
              </w:rPr>
              <w:t xml:space="preserve"> </w:t>
            </w:r>
            <w:r w:rsidR="004F1C81" w:rsidRPr="00CA4586">
              <w:rPr>
                <w:spacing w:val="-3"/>
                <w:sz w:val="24"/>
                <w:szCs w:val="24"/>
              </w:rPr>
              <w:t>Darbības programmas</w:t>
            </w:r>
            <w:r w:rsidR="005C4B5A" w:rsidRPr="00CA4586">
              <w:rPr>
                <w:spacing w:val="-3"/>
                <w:sz w:val="24"/>
                <w:szCs w:val="24"/>
              </w:rPr>
              <w:t xml:space="preserve"> </w:t>
            </w:r>
            <w:r w:rsidR="00EF4D59">
              <w:rPr>
                <w:spacing w:val="-3"/>
                <w:sz w:val="24"/>
                <w:szCs w:val="24"/>
              </w:rPr>
              <w:t>"</w:t>
            </w:r>
            <w:r w:rsidR="005C4B5A" w:rsidRPr="00CA4586">
              <w:rPr>
                <w:spacing w:val="-3"/>
                <w:sz w:val="24"/>
                <w:szCs w:val="24"/>
              </w:rPr>
              <w:t>Izaugsme un nodarbinātība</w:t>
            </w:r>
            <w:r w:rsidR="00EF4D59">
              <w:rPr>
                <w:spacing w:val="-3"/>
                <w:sz w:val="24"/>
                <w:szCs w:val="24"/>
              </w:rPr>
              <w:t>"</w:t>
            </w:r>
            <w:r w:rsidR="005C4B5A" w:rsidRPr="00CA4586">
              <w:rPr>
                <w:spacing w:val="-3"/>
                <w:sz w:val="24"/>
                <w:szCs w:val="24"/>
              </w:rPr>
              <w:t xml:space="preserve"> grozījumos </w:t>
            </w:r>
            <w:r w:rsidR="00154D97" w:rsidRPr="00CA4586">
              <w:rPr>
                <w:spacing w:val="-3"/>
                <w:sz w:val="24"/>
                <w:szCs w:val="24"/>
              </w:rPr>
              <w:t>2016</w:t>
            </w:r>
            <w:r w:rsidR="00154D97">
              <w:rPr>
                <w:spacing w:val="-3"/>
                <w:sz w:val="24"/>
                <w:szCs w:val="24"/>
              </w:rPr>
              <w:t>. g</w:t>
            </w:r>
            <w:r w:rsidR="00154D97" w:rsidRPr="00CA4586">
              <w:rPr>
                <w:spacing w:val="-3"/>
                <w:sz w:val="24"/>
                <w:szCs w:val="24"/>
              </w:rPr>
              <w:t>ada 12</w:t>
            </w:r>
            <w:r w:rsidR="00154D97">
              <w:rPr>
                <w:spacing w:val="-3"/>
                <w:sz w:val="24"/>
                <w:szCs w:val="24"/>
              </w:rPr>
              <w:t>. a</w:t>
            </w:r>
            <w:r w:rsidR="00154D97" w:rsidRPr="00CA4586">
              <w:rPr>
                <w:spacing w:val="-3"/>
                <w:sz w:val="24"/>
                <w:szCs w:val="24"/>
              </w:rPr>
              <w:t>prī</w:t>
            </w:r>
            <w:r w:rsidR="00154D97">
              <w:rPr>
                <w:spacing w:val="-3"/>
                <w:sz w:val="24"/>
                <w:szCs w:val="24"/>
              </w:rPr>
              <w:t>lī</w:t>
            </w:r>
            <w:r w:rsidR="00154D97" w:rsidRPr="00CA4586">
              <w:rPr>
                <w:spacing w:val="-3"/>
                <w:sz w:val="24"/>
                <w:szCs w:val="24"/>
              </w:rPr>
              <w:t xml:space="preserve"> </w:t>
            </w:r>
            <w:r w:rsidR="005C4B5A" w:rsidRPr="00CA4586">
              <w:rPr>
                <w:spacing w:val="-3"/>
                <w:sz w:val="24"/>
                <w:szCs w:val="24"/>
              </w:rPr>
              <w:t>apstiprinātajā</w:t>
            </w:r>
            <w:r w:rsidR="00154D97">
              <w:rPr>
                <w:spacing w:val="-3"/>
                <w:sz w:val="24"/>
                <w:szCs w:val="24"/>
              </w:rPr>
              <w:t>m</w:t>
            </w:r>
            <w:r w:rsidR="005C4B5A" w:rsidRPr="00CA4586">
              <w:rPr>
                <w:spacing w:val="-3"/>
                <w:sz w:val="24"/>
                <w:szCs w:val="24"/>
              </w:rPr>
              <w:t xml:space="preserve"> rādītāju skaitliskajām vērtībām.</w:t>
            </w:r>
          </w:p>
          <w:p w14:paraId="38850CE1" w14:textId="5DC880C0" w:rsidR="00901ACE" w:rsidRDefault="004F1C81" w:rsidP="00F1075D">
            <w:pPr>
              <w:pStyle w:val="BodyText"/>
              <w:tabs>
                <w:tab w:val="left" w:pos="547"/>
              </w:tabs>
              <w:spacing w:after="0"/>
              <w:ind w:left="127" w:right="140"/>
              <w:jc w:val="both"/>
              <w:rPr>
                <w:spacing w:val="-3"/>
                <w:sz w:val="24"/>
                <w:szCs w:val="24"/>
              </w:rPr>
            </w:pPr>
            <w:r w:rsidRPr="00CA4586">
              <w:rPr>
                <w:spacing w:val="-3"/>
                <w:sz w:val="24"/>
                <w:szCs w:val="24"/>
              </w:rPr>
              <w:t>3.4.2.1</w:t>
            </w:r>
            <w:r w:rsidR="00EF4D59">
              <w:rPr>
                <w:spacing w:val="-3"/>
                <w:sz w:val="24"/>
                <w:szCs w:val="24"/>
              </w:rPr>
              <w:t>.</w:t>
            </w:r>
            <w:r w:rsidR="00154D97">
              <w:rPr>
                <w:spacing w:val="-3"/>
                <w:sz w:val="24"/>
                <w:szCs w:val="24"/>
              </w:rPr>
              <w:t> </w:t>
            </w:r>
            <w:r w:rsidR="00EF4D59">
              <w:rPr>
                <w:spacing w:val="-3"/>
                <w:sz w:val="24"/>
                <w:szCs w:val="24"/>
              </w:rPr>
              <w:t>p</w:t>
            </w:r>
            <w:r w:rsidRPr="00CA4586">
              <w:rPr>
                <w:spacing w:val="-3"/>
                <w:sz w:val="24"/>
                <w:szCs w:val="24"/>
              </w:rPr>
              <w:t>asākuma</w:t>
            </w:r>
            <w:r w:rsidR="00202324" w:rsidRPr="00CA4586">
              <w:rPr>
                <w:spacing w:val="-3"/>
                <w:sz w:val="24"/>
                <w:szCs w:val="24"/>
              </w:rPr>
              <w:t xml:space="preserve"> starpposma finanšu </w:t>
            </w:r>
            <w:r w:rsidRPr="00CA4586">
              <w:rPr>
                <w:spacing w:val="-3"/>
                <w:sz w:val="24"/>
                <w:szCs w:val="24"/>
              </w:rPr>
              <w:t>rādītāj</w:t>
            </w:r>
            <w:r w:rsidR="00202324" w:rsidRPr="00CA4586">
              <w:rPr>
                <w:spacing w:val="-3"/>
                <w:sz w:val="24"/>
                <w:szCs w:val="24"/>
              </w:rPr>
              <w:t xml:space="preserve">s netiek samazināts </w:t>
            </w:r>
            <w:r w:rsidR="00DB4851" w:rsidRPr="00CA4586">
              <w:rPr>
                <w:spacing w:val="-3"/>
                <w:sz w:val="24"/>
                <w:szCs w:val="24"/>
              </w:rPr>
              <w:t xml:space="preserve">un </w:t>
            </w:r>
            <w:r w:rsidR="00202324" w:rsidRPr="00CA4586">
              <w:rPr>
                <w:spacing w:val="-3"/>
                <w:sz w:val="24"/>
                <w:szCs w:val="24"/>
              </w:rPr>
              <w:t xml:space="preserve">kopā ar </w:t>
            </w:r>
            <w:r w:rsidR="00DB4851" w:rsidRPr="00CA4586">
              <w:rPr>
                <w:spacing w:val="-3"/>
                <w:sz w:val="24"/>
                <w:szCs w:val="24"/>
              </w:rPr>
              <w:t>3.4.2.2</w:t>
            </w:r>
            <w:r w:rsidR="00EF4D59">
              <w:rPr>
                <w:spacing w:val="-3"/>
                <w:sz w:val="24"/>
                <w:szCs w:val="24"/>
              </w:rPr>
              <w:t>.</w:t>
            </w:r>
            <w:r w:rsidR="00154D97">
              <w:rPr>
                <w:spacing w:val="-3"/>
                <w:sz w:val="24"/>
                <w:szCs w:val="24"/>
              </w:rPr>
              <w:t> </w:t>
            </w:r>
            <w:r w:rsidR="00EF4D59">
              <w:rPr>
                <w:spacing w:val="-3"/>
                <w:sz w:val="24"/>
                <w:szCs w:val="24"/>
              </w:rPr>
              <w:t>p</w:t>
            </w:r>
            <w:r w:rsidR="00DB4851" w:rsidRPr="00CA4586">
              <w:rPr>
                <w:spacing w:val="-3"/>
                <w:sz w:val="24"/>
                <w:szCs w:val="24"/>
              </w:rPr>
              <w:t>asākuma starpposma finanšu rādītāj</w:t>
            </w:r>
            <w:r w:rsidR="001D7728" w:rsidRPr="00CA4586">
              <w:rPr>
                <w:spacing w:val="-3"/>
                <w:sz w:val="24"/>
                <w:szCs w:val="24"/>
              </w:rPr>
              <w:t>u</w:t>
            </w:r>
            <w:r w:rsidR="00DB4851" w:rsidRPr="00CA4586">
              <w:rPr>
                <w:spacing w:val="-3"/>
                <w:sz w:val="24"/>
                <w:szCs w:val="24"/>
              </w:rPr>
              <w:t xml:space="preserve"> veido kopējo 3.4.2.</w:t>
            </w:r>
            <w:r w:rsidR="00154D97">
              <w:rPr>
                <w:spacing w:val="-3"/>
                <w:sz w:val="24"/>
                <w:szCs w:val="24"/>
              </w:rPr>
              <w:t> </w:t>
            </w:r>
            <w:r w:rsidR="00DB4851" w:rsidRPr="00CA4586">
              <w:rPr>
                <w:spacing w:val="-3"/>
                <w:sz w:val="24"/>
                <w:szCs w:val="24"/>
              </w:rPr>
              <w:t>SAM starpposma finanšu rādītāju</w:t>
            </w:r>
            <w:r w:rsidR="00202324" w:rsidRPr="00CA4586">
              <w:rPr>
                <w:spacing w:val="-3"/>
                <w:sz w:val="24"/>
                <w:szCs w:val="24"/>
              </w:rPr>
              <w:t>, kas</w:t>
            </w:r>
            <w:r w:rsidR="00DB4851" w:rsidRPr="00CA4586">
              <w:rPr>
                <w:spacing w:val="-3"/>
                <w:sz w:val="24"/>
                <w:szCs w:val="24"/>
              </w:rPr>
              <w:t xml:space="preserve"> ir </w:t>
            </w:r>
            <w:r w:rsidR="00202324" w:rsidRPr="00CA4586">
              <w:rPr>
                <w:spacing w:val="-3"/>
                <w:sz w:val="24"/>
                <w:szCs w:val="24"/>
              </w:rPr>
              <w:t xml:space="preserve">sasniedzams </w:t>
            </w:r>
            <w:r w:rsidR="00DB4851" w:rsidRPr="00CA4586">
              <w:rPr>
                <w:spacing w:val="-3"/>
                <w:sz w:val="24"/>
                <w:szCs w:val="24"/>
              </w:rPr>
              <w:t>līdz 2018</w:t>
            </w:r>
            <w:r w:rsidR="00EF4D59">
              <w:rPr>
                <w:spacing w:val="-3"/>
                <w:sz w:val="24"/>
                <w:szCs w:val="24"/>
              </w:rPr>
              <w:t>.</w:t>
            </w:r>
            <w:r w:rsidR="00416DEE">
              <w:rPr>
                <w:spacing w:val="-3"/>
                <w:sz w:val="24"/>
                <w:szCs w:val="24"/>
              </w:rPr>
              <w:t> </w:t>
            </w:r>
            <w:r w:rsidR="00EF4D59">
              <w:rPr>
                <w:spacing w:val="-3"/>
                <w:sz w:val="24"/>
                <w:szCs w:val="24"/>
              </w:rPr>
              <w:t>g</w:t>
            </w:r>
            <w:r w:rsidR="00DB4851" w:rsidRPr="00CA4586">
              <w:rPr>
                <w:spacing w:val="-3"/>
                <w:sz w:val="24"/>
                <w:szCs w:val="24"/>
              </w:rPr>
              <w:t>ada 31</w:t>
            </w:r>
            <w:r w:rsidR="00EF4D59">
              <w:rPr>
                <w:spacing w:val="-3"/>
                <w:sz w:val="24"/>
                <w:szCs w:val="24"/>
              </w:rPr>
              <w:t>.</w:t>
            </w:r>
            <w:r w:rsidR="00416DEE">
              <w:rPr>
                <w:spacing w:val="-3"/>
                <w:sz w:val="24"/>
                <w:szCs w:val="24"/>
              </w:rPr>
              <w:t> </w:t>
            </w:r>
            <w:r w:rsidR="00EF4D59">
              <w:rPr>
                <w:spacing w:val="-3"/>
                <w:sz w:val="24"/>
                <w:szCs w:val="24"/>
              </w:rPr>
              <w:t>d</w:t>
            </w:r>
            <w:r w:rsidR="00DB4851" w:rsidRPr="00CA4586">
              <w:rPr>
                <w:spacing w:val="-3"/>
                <w:sz w:val="24"/>
                <w:szCs w:val="24"/>
              </w:rPr>
              <w:t>ecembrim.</w:t>
            </w:r>
            <w:r w:rsidR="00DB4851">
              <w:rPr>
                <w:spacing w:val="-3"/>
                <w:sz w:val="24"/>
                <w:szCs w:val="24"/>
              </w:rPr>
              <w:t xml:space="preserve"> </w:t>
            </w:r>
            <w:r w:rsidR="00B433A0">
              <w:rPr>
                <w:spacing w:val="-3"/>
                <w:sz w:val="24"/>
                <w:szCs w:val="24"/>
              </w:rPr>
              <w:t>M</w:t>
            </w:r>
            <w:r w:rsidR="000044FB">
              <w:rPr>
                <w:spacing w:val="-3"/>
                <w:sz w:val="24"/>
                <w:szCs w:val="24"/>
              </w:rPr>
              <w:t xml:space="preserve">inistru </w:t>
            </w:r>
            <w:r w:rsidR="00D85B1D">
              <w:rPr>
                <w:spacing w:val="-3"/>
                <w:sz w:val="24"/>
                <w:szCs w:val="24"/>
              </w:rPr>
              <w:t>kabinets</w:t>
            </w:r>
            <w:r w:rsidR="00416DEE">
              <w:rPr>
                <w:spacing w:val="-3"/>
                <w:sz w:val="24"/>
                <w:szCs w:val="24"/>
              </w:rPr>
              <w:t xml:space="preserve"> 2016. gada 6. septembra sēdē</w:t>
            </w:r>
            <w:r w:rsidR="00D85B1D">
              <w:rPr>
                <w:spacing w:val="-3"/>
                <w:sz w:val="24"/>
                <w:szCs w:val="24"/>
              </w:rPr>
              <w:t xml:space="preserve">, pieņemot </w:t>
            </w:r>
            <w:r w:rsidR="00B433A0">
              <w:rPr>
                <w:spacing w:val="-3"/>
                <w:sz w:val="24"/>
                <w:szCs w:val="24"/>
              </w:rPr>
              <w:t>noteikum</w:t>
            </w:r>
            <w:r w:rsidR="00D85B1D">
              <w:rPr>
                <w:spacing w:val="-3"/>
                <w:sz w:val="24"/>
                <w:szCs w:val="24"/>
              </w:rPr>
              <w:t>us</w:t>
            </w:r>
            <w:r w:rsidR="00B433A0">
              <w:rPr>
                <w:spacing w:val="-3"/>
                <w:sz w:val="24"/>
                <w:szCs w:val="24"/>
              </w:rPr>
              <w:t xml:space="preserve"> Nr.</w:t>
            </w:r>
            <w:r w:rsidR="00416DEE">
              <w:rPr>
                <w:spacing w:val="-3"/>
                <w:sz w:val="24"/>
                <w:szCs w:val="24"/>
              </w:rPr>
              <w:t> </w:t>
            </w:r>
            <w:r w:rsidR="00B433A0">
              <w:rPr>
                <w:spacing w:val="-3"/>
                <w:sz w:val="24"/>
                <w:szCs w:val="24"/>
              </w:rPr>
              <w:t xml:space="preserve">600 </w:t>
            </w:r>
            <w:r w:rsidR="00EF4D59">
              <w:rPr>
                <w:spacing w:val="-3"/>
                <w:sz w:val="24"/>
                <w:szCs w:val="24"/>
              </w:rPr>
              <w:t>"</w:t>
            </w:r>
            <w:r w:rsidR="00B433A0" w:rsidRPr="00C02179">
              <w:rPr>
                <w:spacing w:val="-3"/>
                <w:sz w:val="24"/>
                <w:szCs w:val="24"/>
              </w:rPr>
              <w:t xml:space="preserve">Darbības programmas </w:t>
            </w:r>
            <w:r w:rsidR="00EF4D59">
              <w:rPr>
                <w:spacing w:val="-3"/>
                <w:sz w:val="24"/>
                <w:szCs w:val="24"/>
              </w:rPr>
              <w:t>"</w:t>
            </w:r>
            <w:r w:rsidR="00B433A0" w:rsidRPr="00C02179">
              <w:rPr>
                <w:spacing w:val="-3"/>
                <w:sz w:val="24"/>
                <w:szCs w:val="24"/>
              </w:rPr>
              <w:t>Izaugsme un nodarbinātība</w:t>
            </w:r>
            <w:r w:rsidR="00EF4D59">
              <w:rPr>
                <w:spacing w:val="-3"/>
                <w:sz w:val="24"/>
                <w:szCs w:val="24"/>
              </w:rPr>
              <w:t>"</w:t>
            </w:r>
            <w:r w:rsidR="00B433A0" w:rsidRPr="00C02179">
              <w:rPr>
                <w:spacing w:val="-3"/>
                <w:sz w:val="24"/>
                <w:szCs w:val="24"/>
              </w:rPr>
              <w:t xml:space="preserve"> 3.4.2. specifiskā atbalsta mērķa </w:t>
            </w:r>
            <w:r w:rsidR="00EF4D59">
              <w:rPr>
                <w:spacing w:val="-3"/>
                <w:sz w:val="24"/>
                <w:szCs w:val="24"/>
              </w:rPr>
              <w:t>"</w:t>
            </w:r>
            <w:r w:rsidR="00B433A0" w:rsidRPr="00C02179">
              <w:rPr>
                <w:spacing w:val="-3"/>
                <w:sz w:val="24"/>
                <w:szCs w:val="24"/>
              </w:rPr>
              <w:t>Valsts pārvaldes profesionālā pilnveide un sociālā dialoga attīstība labāka tiesiskā regulējuma izstrādē mazo un vidējo komersantu atbalsta, korupcijas novēršanas un ēnu ekonomikas mazināšanas jomās</w:t>
            </w:r>
            <w:r w:rsidR="00EF4D59">
              <w:rPr>
                <w:spacing w:val="-3"/>
                <w:sz w:val="24"/>
                <w:szCs w:val="24"/>
              </w:rPr>
              <w:t>"</w:t>
            </w:r>
            <w:r w:rsidR="00B433A0" w:rsidRPr="00C02179">
              <w:rPr>
                <w:spacing w:val="-3"/>
                <w:sz w:val="24"/>
                <w:szCs w:val="24"/>
              </w:rPr>
              <w:t xml:space="preserve"> 3.4.2.2. pasākuma </w:t>
            </w:r>
            <w:r w:rsidR="00EF4D59">
              <w:rPr>
                <w:spacing w:val="-3"/>
                <w:sz w:val="24"/>
                <w:szCs w:val="24"/>
              </w:rPr>
              <w:t>"</w:t>
            </w:r>
            <w:r w:rsidR="00B433A0" w:rsidRPr="00C02179">
              <w:rPr>
                <w:spacing w:val="-3"/>
                <w:sz w:val="24"/>
                <w:szCs w:val="24"/>
              </w:rPr>
              <w:t>Sociālā dialoga attīstība labāka tiesisk</w:t>
            </w:r>
            <w:r w:rsidR="00154D97">
              <w:rPr>
                <w:spacing w:val="-3"/>
                <w:sz w:val="24"/>
                <w:szCs w:val="24"/>
              </w:rPr>
              <w:t>ā</w:t>
            </w:r>
            <w:r w:rsidR="00B433A0" w:rsidRPr="00C02179">
              <w:rPr>
                <w:spacing w:val="-3"/>
                <w:sz w:val="24"/>
                <w:szCs w:val="24"/>
              </w:rPr>
              <w:t xml:space="preserve"> regulējuma izstrādē uzņēmējdarbības atbalsta jomā</w:t>
            </w:r>
            <w:r w:rsidR="00EF4D59">
              <w:rPr>
                <w:spacing w:val="-3"/>
                <w:sz w:val="24"/>
                <w:szCs w:val="24"/>
              </w:rPr>
              <w:t>"</w:t>
            </w:r>
            <w:r w:rsidR="00B433A0" w:rsidRPr="00C02179">
              <w:rPr>
                <w:spacing w:val="-3"/>
                <w:sz w:val="24"/>
                <w:szCs w:val="24"/>
              </w:rPr>
              <w:t xml:space="preserve"> īstenošanas noteikumi</w:t>
            </w:r>
            <w:r w:rsidR="00EF4D59">
              <w:rPr>
                <w:spacing w:val="-3"/>
                <w:sz w:val="24"/>
                <w:szCs w:val="24"/>
              </w:rPr>
              <w:t>"</w:t>
            </w:r>
            <w:r w:rsidR="00416DEE">
              <w:rPr>
                <w:spacing w:val="-3"/>
                <w:sz w:val="24"/>
                <w:szCs w:val="24"/>
              </w:rPr>
              <w:t>,</w:t>
            </w:r>
            <w:r w:rsidR="00D85B1D">
              <w:rPr>
                <w:spacing w:val="-3"/>
                <w:sz w:val="24"/>
                <w:szCs w:val="24"/>
              </w:rPr>
              <w:t xml:space="preserve"> uzdeva</w:t>
            </w:r>
            <w:r w:rsidR="00603159">
              <w:rPr>
                <w:spacing w:val="-3"/>
                <w:sz w:val="24"/>
                <w:szCs w:val="24"/>
              </w:rPr>
              <w:t xml:space="preserve"> </w:t>
            </w:r>
            <w:r w:rsidR="00603159" w:rsidRPr="00603159">
              <w:rPr>
                <w:spacing w:val="-3"/>
                <w:sz w:val="24"/>
                <w:szCs w:val="24"/>
              </w:rPr>
              <w:t>Valsts kancelejai</w:t>
            </w:r>
            <w:r w:rsidR="00F66005">
              <w:rPr>
                <w:spacing w:val="-3"/>
                <w:sz w:val="24"/>
                <w:szCs w:val="24"/>
              </w:rPr>
              <w:t xml:space="preserve"> divu mēnešu laikā Valsts sekretāru sanāksmē izsludin</w:t>
            </w:r>
            <w:r w:rsidR="004C6FE9">
              <w:rPr>
                <w:spacing w:val="-3"/>
                <w:sz w:val="24"/>
                <w:szCs w:val="24"/>
              </w:rPr>
              <w:t>āt</w:t>
            </w:r>
            <w:r w:rsidR="00603159" w:rsidRPr="00603159">
              <w:rPr>
                <w:spacing w:val="-3"/>
                <w:sz w:val="24"/>
                <w:szCs w:val="24"/>
              </w:rPr>
              <w:t xml:space="preserve"> grozījumus Ministru kabineta 2015. gada 14. jūlija noteikumos Nr. 389 </w:t>
            </w:r>
            <w:r w:rsidR="00EF4D59">
              <w:rPr>
                <w:spacing w:val="-3"/>
                <w:sz w:val="24"/>
                <w:szCs w:val="24"/>
              </w:rPr>
              <w:t>"</w:t>
            </w:r>
            <w:r w:rsidR="00603159" w:rsidRPr="00603159">
              <w:rPr>
                <w:spacing w:val="-3"/>
                <w:sz w:val="24"/>
                <w:szCs w:val="24"/>
              </w:rPr>
              <w:t xml:space="preserve">Darbības programmas </w:t>
            </w:r>
            <w:r w:rsidR="00EF4D59">
              <w:rPr>
                <w:spacing w:val="-3"/>
                <w:sz w:val="24"/>
                <w:szCs w:val="24"/>
              </w:rPr>
              <w:t>"</w:t>
            </w:r>
            <w:r w:rsidR="00603159" w:rsidRPr="00603159">
              <w:rPr>
                <w:spacing w:val="-3"/>
                <w:sz w:val="24"/>
                <w:szCs w:val="24"/>
              </w:rPr>
              <w:t>Izaugsme un nodarbinātība</w:t>
            </w:r>
            <w:r w:rsidR="00EF4D59">
              <w:rPr>
                <w:spacing w:val="-3"/>
                <w:sz w:val="24"/>
                <w:szCs w:val="24"/>
              </w:rPr>
              <w:t>"</w:t>
            </w:r>
            <w:r w:rsidR="00603159" w:rsidRPr="00603159">
              <w:rPr>
                <w:spacing w:val="-3"/>
                <w:sz w:val="24"/>
                <w:szCs w:val="24"/>
              </w:rPr>
              <w:t xml:space="preserve"> 3.4.2. specifiskā atbalsta mērķa </w:t>
            </w:r>
            <w:r w:rsidR="00EF4D59">
              <w:rPr>
                <w:spacing w:val="-3"/>
                <w:sz w:val="24"/>
                <w:szCs w:val="24"/>
              </w:rPr>
              <w:t>"</w:t>
            </w:r>
            <w:r w:rsidR="00603159" w:rsidRPr="00603159">
              <w:rPr>
                <w:spacing w:val="-3"/>
                <w:sz w:val="24"/>
                <w:szCs w:val="24"/>
              </w:rPr>
              <w:t>Valsts pārvaldes profesionālā pilnveide labāka tiesiskā regulējuma izstrādē mazo un vidējo komersantu atbalsta, korupcijas novēršanas un ēnu ekonomikas mazināšanas jomās</w:t>
            </w:r>
            <w:r w:rsidR="00EF4D59">
              <w:rPr>
                <w:spacing w:val="-3"/>
                <w:sz w:val="24"/>
                <w:szCs w:val="24"/>
              </w:rPr>
              <w:t>"</w:t>
            </w:r>
            <w:r w:rsidR="00603159" w:rsidRPr="00603159">
              <w:rPr>
                <w:spacing w:val="-3"/>
                <w:sz w:val="24"/>
                <w:szCs w:val="24"/>
              </w:rPr>
              <w:t xml:space="preserve"> īstenošanas noteikumi</w:t>
            </w:r>
            <w:r w:rsidR="00EF4D59">
              <w:rPr>
                <w:spacing w:val="-3"/>
                <w:sz w:val="24"/>
                <w:szCs w:val="24"/>
              </w:rPr>
              <w:t>"</w:t>
            </w:r>
            <w:r w:rsidR="00603159" w:rsidRPr="00603159">
              <w:rPr>
                <w:spacing w:val="-3"/>
                <w:sz w:val="24"/>
                <w:szCs w:val="24"/>
              </w:rPr>
              <w:t xml:space="preserve">, paredzot samazināt specifiskajam atbalsta mērķim pieejamo finansējumu </w:t>
            </w:r>
            <w:r w:rsidR="00416DEE">
              <w:rPr>
                <w:spacing w:val="-3"/>
                <w:sz w:val="24"/>
                <w:szCs w:val="24"/>
              </w:rPr>
              <w:t xml:space="preserve">par </w:t>
            </w:r>
            <w:r w:rsidR="00603159" w:rsidRPr="00603159">
              <w:rPr>
                <w:spacing w:val="-3"/>
                <w:sz w:val="24"/>
                <w:szCs w:val="24"/>
              </w:rPr>
              <w:t>909</w:t>
            </w:r>
            <w:r w:rsidR="00416DEE">
              <w:rPr>
                <w:spacing w:val="-3"/>
                <w:sz w:val="24"/>
                <w:szCs w:val="24"/>
              </w:rPr>
              <w:t> </w:t>
            </w:r>
            <w:r w:rsidR="00603159" w:rsidRPr="00603159">
              <w:rPr>
                <w:spacing w:val="-3"/>
                <w:sz w:val="24"/>
                <w:szCs w:val="24"/>
              </w:rPr>
              <w:t>776</w:t>
            </w:r>
            <w:r w:rsidR="00416DEE">
              <w:rPr>
                <w:spacing w:val="-3"/>
                <w:sz w:val="24"/>
                <w:szCs w:val="24"/>
              </w:rPr>
              <w:t> </w:t>
            </w:r>
            <w:r w:rsidR="00750D07" w:rsidRPr="00416DEE">
              <w:rPr>
                <w:i/>
                <w:spacing w:val="-3"/>
                <w:sz w:val="24"/>
                <w:szCs w:val="24"/>
              </w:rPr>
              <w:t>euro</w:t>
            </w:r>
            <w:r w:rsidR="00750D07">
              <w:rPr>
                <w:spacing w:val="-3"/>
                <w:sz w:val="24"/>
                <w:szCs w:val="24"/>
              </w:rPr>
              <w:t xml:space="preserve"> </w:t>
            </w:r>
            <w:r w:rsidR="00603159" w:rsidRPr="00603159">
              <w:rPr>
                <w:spacing w:val="-3"/>
                <w:sz w:val="24"/>
                <w:szCs w:val="24"/>
              </w:rPr>
              <w:t>un novirzīt to 3.4.2.2.</w:t>
            </w:r>
            <w:r w:rsidR="00416DEE">
              <w:rPr>
                <w:spacing w:val="-3"/>
                <w:sz w:val="24"/>
                <w:szCs w:val="24"/>
              </w:rPr>
              <w:t> </w:t>
            </w:r>
            <w:r w:rsidR="00603159" w:rsidRPr="00603159">
              <w:rPr>
                <w:spacing w:val="-3"/>
                <w:sz w:val="24"/>
                <w:szCs w:val="24"/>
              </w:rPr>
              <w:t>pasākuma projektu īstenošanai</w:t>
            </w:r>
            <w:r w:rsidR="00603159">
              <w:rPr>
                <w:spacing w:val="-3"/>
                <w:sz w:val="24"/>
                <w:szCs w:val="24"/>
              </w:rPr>
              <w:t>.</w:t>
            </w:r>
            <w:r w:rsidR="00C02179">
              <w:rPr>
                <w:spacing w:val="-3"/>
                <w:sz w:val="24"/>
                <w:szCs w:val="24"/>
              </w:rPr>
              <w:t xml:space="preserve"> </w:t>
            </w:r>
            <w:r w:rsidR="00EE5CC9">
              <w:rPr>
                <w:spacing w:val="-3"/>
                <w:sz w:val="24"/>
                <w:szCs w:val="24"/>
              </w:rPr>
              <w:t xml:space="preserve">Uzdevums tika izvirzīts, lai nekavētu ES fondu </w:t>
            </w:r>
            <w:r w:rsidR="00BD34BC">
              <w:rPr>
                <w:spacing w:val="-3"/>
                <w:sz w:val="24"/>
                <w:szCs w:val="24"/>
              </w:rPr>
              <w:t xml:space="preserve">investīciju plūsmu </w:t>
            </w:r>
            <w:r w:rsidR="00D85B1D">
              <w:rPr>
                <w:spacing w:val="-3"/>
                <w:sz w:val="24"/>
                <w:szCs w:val="24"/>
              </w:rPr>
              <w:t>(prot. Nr.</w:t>
            </w:r>
            <w:r w:rsidR="00416DEE">
              <w:rPr>
                <w:spacing w:val="-3"/>
                <w:sz w:val="24"/>
                <w:szCs w:val="24"/>
              </w:rPr>
              <w:t> </w:t>
            </w:r>
            <w:r w:rsidR="00D85B1D">
              <w:rPr>
                <w:spacing w:val="-3"/>
                <w:sz w:val="24"/>
                <w:szCs w:val="24"/>
              </w:rPr>
              <w:t>44 1.</w:t>
            </w:r>
            <w:r w:rsidR="00416DEE">
              <w:rPr>
                <w:spacing w:val="-3"/>
                <w:sz w:val="24"/>
                <w:szCs w:val="24"/>
              </w:rPr>
              <w:t> </w:t>
            </w:r>
            <w:r w:rsidR="00D85B1D">
              <w:rPr>
                <w:rFonts w:cs="Times New Roman"/>
                <w:spacing w:val="-3"/>
                <w:sz w:val="24"/>
                <w:szCs w:val="24"/>
              </w:rPr>
              <w:t>§</w:t>
            </w:r>
            <w:r w:rsidR="00D85B1D">
              <w:rPr>
                <w:spacing w:val="-3"/>
                <w:sz w:val="24"/>
                <w:szCs w:val="24"/>
              </w:rPr>
              <w:t xml:space="preserve"> 2.1</w:t>
            </w:r>
            <w:r w:rsidR="00EF4D59">
              <w:rPr>
                <w:spacing w:val="-3"/>
                <w:sz w:val="24"/>
                <w:szCs w:val="24"/>
              </w:rPr>
              <w:t>.</w:t>
            </w:r>
            <w:r w:rsidR="00416DEE">
              <w:rPr>
                <w:spacing w:val="-3"/>
                <w:sz w:val="24"/>
                <w:szCs w:val="24"/>
              </w:rPr>
              <w:t> apakš</w:t>
            </w:r>
            <w:r w:rsidR="00EF4D59">
              <w:rPr>
                <w:spacing w:val="-3"/>
                <w:sz w:val="24"/>
                <w:szCs w:val="24"/>
              </w:rPr>
              <w:t>p</w:t>
            </w:r>
            <w:r w:rsidR="00D85B1D">
              <w:rPr>
                <w:spacing w:val="-3"/>
                <w:sz w:val="24"/>
                <w:szCs w:val="24"/>
              </w:rPr>
              <w:t>unkts)</w:t>
            </w:r>
            <w:r w:rsidR="00EE5CC9">
              <w:rPr>
                <w:spacing w:val="-3"/>
                <w:sz w:val="24"/>
                <w:szCs w:val="24"/>
              </w:rPr>
              <w:t>.</w:t>
            </w:r>
            <w:r w:rsidR="00D85B1D">
              <w:rPr>
                <w:spacing w:val="-3"/>
                <w:sz w:val="24"/>
                <w:szCs w:val="24"/>
              </w:rPr>
              <w:t xml:space="preserve"> </w:t>
            </w:r>
          </w:p>
          <w:p w14:paraId="38850CE2" w14:textId="77777777" w:rsidR="00B433A0" w:rsidRDefault="00B433A0" w:rsidP="00F1075D">
            <w:pPr>
              <w:pStyle w:val="BodyText"/>
              <w:tabs>
                <w:tab w:val="left" w:pos="547"/>
              </w:tabs>
              <w:spacing w:after="0"/>
              <w:ind w:left="127" w:right="140"/>
              <w:jc w:val="both"/>
              <w:rPr>
                <w:spacing w:val="-3"/>
                <w:sz w:val="24"/>
                <w:szCs w:val="24"/>
              </w:rPr>
            </w:pPr>
          </w:p>
          <w:p w14:paraId="38850CE3" w14:textId="54C7DBFA" w:rsidR="00D73F56" w:rsidRDefault="00603159" w:rsidP="00F1075D">
            <w:pPr>
              <w:pStyle w:val="BodyText"/>
              <w:tabs>
                <w:tab w:val="left" w:pos="547"/>
              </w:tabs>
              <w:spacing w:after="0"/>
              <w:ind w:left="127" w:right="140"/>
              <w:jc w:val="both"/>
              <w:rPr>
                <w:spacing w:val="-3"/>
                <w:sz w:val="24"/>
                <w:szCs w:val="24"/>
              </w:rPr>
            </w:pPr>
            <w:r>
              <w:rPr>
                <w:spacing w:val="-3"/>
                <w:sz w:val="24"/>
                <w:szCs w:val="24"/>
              </w:rPr>
              <w:t>Papildus tiek veikti precizējumi</w:t>
            </w:r>
            <w:r w:rsidR="00D73F56">
              <w:rPr>
                <w:spacing w:val="-3"/>
                <w:sz w:val="24"/>
                <w:szCs w:val="24"/>
              </w:rPr>
              <w:t xml:space="preserve"> </w:t>
            </w:r>
            <w:r>
              <w:rPr>
                <w:spacing w:val="-3"/>
                <w:sz w:val="24"/>
                <w:szCs w:val="24"/>
              </w:rPr>
              <w:t xml:space="preserve">atbalstāmajās darbībās un attiecināmajās izmaksās, kas izriet no </w:t>
            </w:r>
            <w:r w:rsidR="00915A93">
              <w:rPr>
                <w:spacing w:val="-3"/>
                <w:sz w:val="24"/>
                <w:szCs w:val="24"/>
              </w:rPr>
              <w:t>līdzšinējās projektu īstenošanas pi</w:t>
            </w:r>
            <w:r w:rsidR="00E539CE">
              <w:rPr>
                <w:spacing w:val="-3"/>
                <w:sz w:val="24"/>
                <w:szCs w:val="24"/>
              </w:rPr>
              <w:t>eredzes un</w:t>
            </w:r>
            <w:r w:rsidR="00915A93">
              <w:rPr>
                <w:spacing w:val="-3"/>
                <w:sz w:val="24"/>
                <w:szCs w:val="24"/>
              </w:rPr>
              <w:t xml:space="preserve"> sadarbības ar Centrālo finanšu un līgum</w:t>
            </w:r>
            <w:r w:rsidR="00154D97">
              <w:rPr>
                <w:spacing w:val="-3"/>
                <w:sz w:val="24"/>
                <w:szCs w:val="24"/>
              </w:rPr>
              <w:t>u</w:t>
            </w:r>
            <w:r w:rsidR="00915A93">
              <w:rPr>
                <w:spacing w:val="-3"/>
                <w:sz w:val="24"/>
                <w:szCs w:val="24"/>
              </w:rPr>
              <w:t xml:space="preserve"> aģentūru</w:t>
            </w:r>
            <w:r w:rsidR="00D73F56">
              <w:rPr>
                <w:spacing w:val="-3"/>
                <w:sz w:val="24"/>
                <w:szCs w:val="24"/>
              </w:rPr>
              <w:t>:</w:t>
            </w:r>
          </w:p>
          <w:p w14:paraId="38850CE4" w14:textId="1D1C308E" w:rsidR="00603159" w:rsidRPr="00CA4586" w:rsidRDefault="00D73F56" w:rsidP="00F1075D">
            <w:pPr>
              <w:pStyle w:val="BodyText"/>
              <w:numPr>
                <w:ilvl w:val="0"/>
                <w:numId w:val="9"/>
              </w:numPr>
              <w:tabs>
                <w:tab w:val="left" w:pos="547"/>
              </w:tabs>
              <w:ind w:left="127" w:right="140" w:firstLine="0"/>
              <w:jc w:val="both"/>
              <w:rPr>
                <w:spacing w:val="-3"/>
                <w:sz w:val="24"/>
                <w:szCs w:val="24"/>
              </w:rPr>
            </w:pPr>
            <w:r>
              <w:rPr>
                <w:spacing w:val="-3"/>
                <w:sz w:val="24"/>
                <w:szCs w:val="24"/>
              </w:rPr>
              <w:t xml:space="preserve">saistībā ar </w:t>
            </w:r>
            <w:r w:rsidR="00416DEE">
              <w:rPr>
                <w:spacing w:val="-3"/>
                <w:sz w:val="24"/>
                <w:szCs w:val="24"/>
              </w:rPr>
              <w:t>m</w:t>
            </w:r>
            <w:r>
              <w:rPr>
                <w:spacing w:val="-3"/>
                <w:sz w:val="24"/>
                <w:szCs w:val="24"/>
              </w:rPr>
              <w:t>ācību pārvaldības sistēmas izstrādi un ieviešanu</w:t>
            </w:r>
            <w:r w:rsidR="00E539CE">
              <w:rPr>
                <w:spacing w:val="-3"/>
                <w:sz w:val="24"/>
                <w:szCs w:val="24"/>
              </w:rPr>
              <w:t>.</w:t>
            </w:r>
            <w:r w:rsidR="000F5E0E">
              <w:rPr>
                <w:spacing w:val="-3"/>
                <w:sz w:val="24"/>
                <w:szCs w:val="24"/>
              </w:rPr>
              <w:t xml:space="preserve"> Saskaņā ar </w:t>
            </w:r>
            <w:r w:rsidR="00093820" w:rsidRPr="00CA4586">
              <w:rPr>
                <w:spacing w:val="-3"/>
                <w:sz w:val="24"/>
                <w:szCs w:val="24"/>
              </w:rPr>
              <w:t>Finanšu ministrijas</w:t>
            </w:r>
            <w:r w:rsidR="00093820">
              <w:rPr>
                <w:spacing w:val="-3"/>
                <w:sz w:val="24"/>
                <w:szCs w:val="24"/>
              </w:rPr>
              <w:t xml:space="preserve"> </w:t>
            </w:r>
            <w:r w:rsidR="000F5E0E">
              <w:rPr>
                <w:spacing w:val="-3"/>
                <w:sz w:val="24"/>
                <w:szCs w:val="24"/>
              </w:rPr>
              <w:t>2016</w:t>
            </w:r>
            <w:r w:rsidR="00EF4D59">
              <w:rPr>
                <w:spacing w:val="-3"/>
                <w:sz w:val="24"/>
                <w:szCs w:val="24"/>
              </w:rPr>
              <w:t>. g</w:t>
            </w:r>
            <w:r w:rsidR="000F5E0E">
              <w:rPr>
                <w:spacing w:val="-3"/>
                <w:sz w:val="24"/>
                <w:szCs w:val="24"/>
              </w:rPr>
              <w:t>ada 15</w:t>
            </w:r>
            <w:r w:rsidR="00EF4D59">
              <w:rPr>
                <w:spacing w:val="-3"/>
                <w:sz w:val="24"/>
                <w:szCs w:val="24"/>
              </w:rPr>
              <w:t>. j</w:t>
            </w:r>
            <w:r w:rsidR="000F5E0E">
              <w:rPr>
                <w:spacing w:val="-3"/>
                <w:sz w:val="24"/>
                <w:szCs w:val="24"/>
              </w:rPr>
              <w:t>ūlija vadlīniju Nr.</w:t>
            </w:r>
            <w:r w:rsidR="00416DEE">
              <w:rPr>
                <w:spacing w:val="-3"/>
                <w:sz w:val="24"/>
                <w:szCs w:val="24"/>
              </w:rPr>
              <w:t> </w:t>
            </w:r>
            <w:r w:rsidR="000F5E0E">
              <w:rPr>
                <w:spacing w:val="-3"/>
                <w:sz w:val="24"/>
                <w:szCs w:val="24"/>
              </w:rPr>
              <w:t xml:space="preserve">2.1 </w:t>
            </w:r>
            <w:r w:rsidR="00EF4D59">
              <w:rPr>
                <w:spacing w:val="-3"/>
                <w:sz w:val="24"/>
                <w:szCs w:val="24"/>
              </w:rPr>
              <w:t>"</w:t>
            </w:r>
            <w:r w:rsidR="000F5E0E">
              <w:rPr>
                <w:spacing w:val="-3"/>
                <w:sz w:val="24"/>
                <w:szCs w:val="24"/>
              </w:rPr>
              <w:t>Vadlīnijas attiecināmo un neattiecināmo izmaksu noteikšanai 2014.</w:t>
            </w:r>
            <w:r w:rsidR="00416DEE">
              <w:rPr>
                <w:spacing w:val="-3"/>
                <w:sz w:val="24"/>
                <w:szCs w:val="24"/>
              </w:rPr>
              <w:t>–</w:t>
            </w:r>
            <w:r w:rsidR="000F5E0E">
              <w:rPr>
                <w:spacing w:val="-3"/>
                <w:sz w:val="24"/>
                <w:szCs w:val="24"/>
              </w:rPr>
              <w:t>2020</w:t>
            </w:r>
            <w:r w:rsidR="00EF4D59">
              <w:rPr>
                <w:spacing w:val="-3"/>
                <w:sz w:val="24"/>
                <w:szCs w:val="24"/>
              </w:rPr>
              <w:t>.</w:t>
            </w:r>
            <w:r w:rsidR="00416DEE">
              <w:rPr>
                <w:spacing w:val="-3"/>
                <w:sz w:val="24"/>
                <w:szCs w:val="24"/>
              </w:rPr>
              <w:t> </w:t>
            </w:r>
            <w:r w:rsidR="00EF4D59">
              <w:rPr>
                <w:spacing w:val="-3"/>
                <w:sz w:val="24"/>
                <w:szCs w:val="24"/>
              </w:rPr>
              <w:t>g</w:t>
            </w:r>
            <w:r w:rsidR="000F5E0E">
              <w:rPr>
                <w:spacing w:val="-3"/>
                <w:sz w:val="24"/>
                <w:szCs w:val="24"/>
              </w:rPr>
              <w:t>ada plānošanas periodā</w:t>
            </w:r>
            <w:r w:rsidR="00EF4D59">
              <w:rPr>
                <w:spacing w:val="-3"/>
                <w:sz w:val="24"/>
                <w:szCs w:val="24"/>
              </w:rPr>
              <w:t>"</w:t>
            </w:r>
            <w:r w:rsidR="000F5E0E">
              <w:rPr>
                <w:spacing w:val="-3"/>
                <w:sz w:val="24"/>
                <w:szCs w:val="24"/>
              </w:rPr>
              <w:t xml:space="preserve"> 9.4</w:t>
            </w:r>
            <w:r w:rsidR="00EF4D59">
              <w:rPr>
                <w:spacing w:val="-3"/>
                <w:sz w:val="24"/>
                <w:szCs w:val="24"/>
              </w:rPr>
              <w:t>.</w:t>
            </w:r>
            <w:r w:rsidR="00416DEE">
              <w:rPr>
                <w:spacing w:val="-3"/>
                <w:sz w:val="24"/>
                <w:szCs w:val="24"/>
              </w:rPr>
              <w:t> apakš</w:t>
            </w:r>
            <w:r w:rsidR="00EF4D59">
              <w:rPr>
                <w:spacing w:val="-3"/>
                <w:sz w:val="24"/>
                <w:szCs w:val="24"/>
              </w:rPr>
              <w:t>p</w:t>
            </w:r>
            <w:r w:rsidR="000F5E0E">
              <w:rPr>
                <w:spacing w:val="-3"/>
                <w:sz w:val="24"/>
                <w:szCs w:val="24"/>
              </w:rPr>
              <w:t>unktā noteikto uzturēšanas izmaksas ir uzskatāmas par attiecināmām, ja tās ir noteiktas normatīvajā aktā par pasākuma īstenošanu. 3.4.2.1. pasākuma ietvaros tiek plānota</w:t>
            </w:r>
            <w:r w:rsidR="00EC604B">
              <w:rPr>
                <w:spacing w:val="-3"/>
                <w:sz w:val="24"/>
                <w:szCs w:val="24"/>
              </w:rPr>
              <w:t xml:space="preserve"> </w:t>
            </w:r>
            <w:r w:rsidR="00416DEE">
              <w:rPr>
                <w:spacing w:val="-3"/>
                <w:sz w:val="24"/>
                <w:szCs w:val="24"/>
              </w:rPr>
              <w:t>m</w:t>
            </w:r>
            <w:r w:rsidR="00EC604B" w:rsidRPr="00EC604B">
              <w:rPr>
                <w:spacing w:val="-3"/>
                <w:sz w:val="24"/>
                <w:szCs w:val="24"/>
              </w:rPr>
              <w:t>ācību pārvaldības sistēmas izstrāde un ieviešana</w:t>
            </w:r>
            <w:r w:rsidR="00EC604B">
              <w:rPr>
                <w:spacing w:val="-3"/>
                <w:sz w:val="24"/>
                <w:szCs w:val="24"/>
              </w:rPr>
              <w:t>, kuras ietvaros tiks uzkrāti dati atbilstoši</w:t>
            </w:r>
            <w:r>
              <w:rPr>
                <w:spacing w:val="-3"/>
                <w:sz w:val="24"/>
                <w:szCs w:val="24"/>
              </w:rPr>
              <w:t xml:space="preserve"> </w:t>
            </w:r>
            <w:r w:rsidR="00EC604B" w:rsidRPr="00D73F56">
              <w:rPr>
                <w:spacing w:val="-3"/>
                <w:sz w:val="24"/>
                <w:szCs w:val="24"/>
              </w:rPr>
              <w:t>Eiropas Parlamenta un Padomes 2013</w:t>
            </w:r>
            <w:r w:rsidR="00EF4D59">
              <w:rPr>
                <w:spacing w:val="-3"/>
                <w:sz w:val="24"/>
                <w:szCs w:val="24"/>
              </w:rPr>
              <w:t>. g</w:t>
            </w:r>
            <w:r w:rsidR="00EC604B" w:rsidRPr="00D73F56">
              <w:rPr>
                <w:spacing w:val="-3"/>
                <w:sz w:val="24"/>
                <w:szCs w:val="24"/>
              </w:rPr>
              <w:t>ada 17</w:t>
            </w:r>
            <w:r w:rsidR="00EF4D59">
              <w:rPr>
                <w:spacing w:val="-3"/>
                <w:sz w:val="24"/>
                <w:szCs w:val="24"/>
              </w:rPr>
              <w:t>.</w:t>
            </w:r>
            <w:r w:rsidR="00416DEE">
              <w:rPr>
                <w:spacing w:val="-3"/>
                <w:sz w:val="24"/>
                <w:szCs w:val="24"/>
              </w:rPr>
              <w:t> </w:t>
            </w:r>
            <w:r w:rsidR="00EF4D59">
              <w:rPr>
                <w:spacing w:val="-3"/>
                <w:sz w:val="24"/>
                <w:szCs w:val="24"/>
              </w:rPr>
              <w:t>d</w:t>
            </w:r>
            <w:r w:rsidR="00EC604B" w:rsidRPr="00D73F56">
              <w:rPr>
                <w:spacing w:val="-3"/>
                <w:sz w:val="24"/>
                <w:szCs w:val="24"/>
              </w:rPr>
              <w:t>ecembra Regulas Nr.</w:t>
            </w:r>
            <w:r w:rsidR="00416DEE">
              <w:rPr>
                <w:spacing w:val="-3"/>
                <w:sz w:val="24"/>
                <w:szCs w:val="24"/>
              </w:rPr>
              <w:t> </w:t>
            </w:r>
            <w:r w:rsidR="00EC604B" w:rsidRPr="00D73F56">
              <w:rPr>
                <w:spacing w:val="-3"/>
                <w:sz w:val="24"/>
                <w:szCs w:val="24"/>
              </w:rPr>
              <w:t>1304/2013 par Eiropas Sociālo fondu un ar ko atceļ Padomes Regulu (EK) Nr.</w:t>
            </w:r>
            <w:r w:rsidR="00416DEE">
              <w:rPr>
                <w:spacing w:val="-3"/>
                <w:sz w:val="24"/>
                <w:szCs w:val="24"/>
              </w:rPr>
              <w:t> </w:t>
            </w:r>
            <w:r w:rsidR="00EC604B" w:rsidRPr="00D73F56">
              <w:rPr>
                <w:spacing w:val="-3"/>
                <w:sz w:val="24"/>
                <w:szCs w:val="24"/>
              </w:rPr>
              <w:t>1081/2006 1</w:t>
            </w:r>
            <w:r w:rsidR="00EF4D59">
              <w:rPr>
                <w:spacing w:val="-3"/>
                <w:sz w:val="24"/>
                <w:szCs w:val="24"/>
              </w:rPr>
              <w:t>.</w:t>
            </w:r>
            <w:r w:rsidR="00416DEE">
              <w:rPr>
                <w:spacing w:val="-3"/>
                <w:sz w:val="24"/>
                <w:szCs w:val="24"/>
              </w:rPr>
              <w:t> </w:t>
            </w:r>
            <w:r w:rsidR="00EF4D59">
              <w:rPr>
                <w:spacing w:val="-3"/>
                <w:sz w:val="24"/>
                <w:szCs w:val="24"/>
              </w:rPr>
              <w:t>p</w:t>
            </w:r>
            <w:r w:rsidR="00EC604B" w:rsidRPr="00D73F56">
              <w:rPr>
                <w:spacing w:val="-3"/>
                <w:sz w:val="24"/>
                <w:szCs w:val="24"/>
              </w:rPr>
              <w:t>ielikum</w:t>
            </w:r>
            <w:r w:rsidR="006B201C">
              <w:rPr>
                <w:spacing w:val="-3"/>
                <w:sz w:val="24"/>
                <w:szCs w:val="24"/>
              </w:rPr>
              <w:t>ā</w:t>
            </w:r>
            <w:r w:rsidR="00EC604B" w:rsidRPr="00D73F56">
              <w:rPr>
                <w:spacing w:val="-3"/>
                <w:sz w:val="24"/>
                <w:szCs w:val="24"/>
              </w:rPr>
              <w:t xml:space="preserve"> par kopējo iznākuma un rezultāta rādītāju apkopošanu</w:t>
            </w:r>
            <w:r w:rsidR="006B201C">
              <w:rPr>
                <w:spacing w:val="-3"/>
                <w:sz w:val="24"/>
                <w:szCs w:val="24"/>
              </w:rPr>
              <w:t xml:space="preserve"> noteiktajam.</w:t>
            </w:r>
            <w:r w:rsidR="00EC604B" w:rsidRPr="00D73F56">
              <w:rPr>
                <w:spacing w:val="-3"/>
                <w:sz w:val="24"/>
                <w:szCs w:val="24"/>
              </w:rPr>
              <w:t xml:space="preserve"> </w:t>
            </w:r>
            <w:r w:rsidR="006B201C">
              <w:rPr>
                <w:spacing w:val="-3"/>
                <w:sz w:val="24"/>
                <w:szCs w:val="24"/>
              </w:rPr>
              <w:t xml:space="preserve">Mācību pārvaldības </w:t>
            </w:r>
            <w:r w:rsidR="00A0505B" w:rsidRPr="00D73F56">
              <w:rPr>
                <w:spacing w:val="-3"/>
                <w:sz w:val="24"/>
                <w:szCs w:val="24"/>
              </w:rPr>
              <w:t>sistēma</w:t>
            </w:r>
            <w:r w:rsidR="00EC604B" w:rsidRPr="00D73F56">
              <w:rPr>
                <w:spacing w:val="-3"/>
                <w:sz w:val="24"/>
                <w:szCs w:val="24"/>
              </w:rPr>
              <w:t xml:space="preserve"> nodrošinās mācību materiālu apriti un dalībnieku uzskaiti datubāzēs</w:t>
            </w:r>
            <w:r w:rsidR="00A0505B" w:rsidRPr="00D73F56">
              <w:rPr>
                <w:spacing w:val="-3"/>
                <w:sz w:val="24"/>
                <w:szCs w:val="24"/>
              </w:rPr>
              <w:t>, kas būtiski atvieglo</w:t>
            </w:r>
            <w:r w:rsidR="006B201C">
              <w:rPr>
                <w:spacing w:val="-3"/>
                <w:sz w:val="24"/>
                <w:szCs w:val="24"/>
              </w:rPr>
              <w:t>s</w:t>
            </w:r>
            <w:r w:rsidR="00A0505B" w:rsidRPr="00D73F56">
              <w:rPr>
                <w:spacing w:val="-3"/>
                <w:sz w:val="24"/>
                <w:szCs w:val="24"/>
              </w:rPr>
              <w:t xml:space="preserve"> un padarī</w:t>
            </w:r>
            <w:r w:rsidR="006B201C">
              <w:rPr>
                <w:spacing w:val="-3"/>
                <w:sz w:val="24"/>
                <w:szCs w:val="24"/>
              </w:rPr>
              <w:t>s</w:t>
            </w:r>
            <w:r w:rsidR="00A0505B" w:rsidRPr="00D73F56">
              <w:rPr>
                <w:spacing w:val="-3"/>
                <w:sz w:val="24"/>
                <w:szCs w:val="24"/>
              </w:rPr>
              <w:t xml:space="preserve"> mūsdienīgu mācību procesu</w:t>
            </w:r>
            <w:r w:rsidR="006B201C">
              <w:rPr>
                <w:spacing w:val="-3"/>
                <w:sz w:val="24"/>
                <w:szCs w:val="24"/>
              </w:rPr>
              <w:t>, kā arī</w:t>
            </w:r>
            <w:r w:rsidR="00A0505B" w:rsidRPr="00D73F56">
              <w:rPr>
                <w:spacing w:val="-3"/>
                <w:sz w:val="24"/>
                <w:szCs w:val="24"/>
              </w:rPr>
              <w:t xml:space="preserve"> atvieglo</w:t>
            </w:r>
            <w:r w:rsidR="006B201C">
              <w:rPr>
                <w:spacing w:val="-3"/>
                <w:sz w:val="24"/>
                <w:szCs w:val="24"/>
              </w:rPr>
              <w:t>s</w:t>
            </w:r>
            <w:r w:rsidR="00A0505B" w:rsidRPr="00D73F56">
              <w:rPr>
                <w:spacing w:val="-3"/>
                <w:sz w:val="24"/>
                <w:szCs w:val="24"/>
              </w:rPr>
              <w:t xml:space="preserve"> uzraudzības procesu, ņemot vērā apjomīgo mācību dalībnieku skaitu</w:t>
            </w:r>
            <w:r w:rsidR="00805DBC">
              <w:rPr>
                <w:spacing w:val="-3"/>
                <w:sz w:val="24"/>
                <w:szCs w:val="24"/>
              </w:rPr>
              <w:t>, kas sastāda</w:t>
            </w:r>
            <w:r w:rsidR="00A0505B" w:rsidRPr="00D73F56">
              <w:rPr>
                <w:spacing w:val="-3"/>
                <w:sz w:val="24"/>
                <w:szCs w:val="24"/>
              </w:rPr>
              <w:t xml:space="preserve"> 14</w:t>
            </w:r>
            <w:r w:rsidR="00805DBC">
              <w:rPr>
                <w:spacing w:val="-3"/>
                <w:sz w:val="24"/>
                <w:szCs w:val="24"/>
              </w:rPr>
              <w:t> </w:t>
            </w:r>
            <w:r w:rsidR="00A0505B" w:rsidRPr="00D73F56">
              <w:rPr>
                <w:spacing w:val="-3"/>
                <w:sz w:val="24"/>
                <w:szCs w:val="24"/>
              </w:rPr>
              <w:t>817</w:t>
            </w:r>
            <w:r w:rsidR="00416DEE">
              <w:rPr>
                <w:spacing w:val="-3"/>
                <w:sz w:val="24"/>
                <w:szCs w:val="24"/>
              </w:rPr>
              <w:t> </w:t>
            </w:r>
            <w:r w:rsidR="00805DBC">
              <w:rPr>
                <w:spacing w:val="-3"/>
                <w:sz w:val="24"/>
                <w:szCs w:val="24"/>
              </w:rPr>
              <w:t>vienības</w:t>
            </w:r>
            <w:r w:rsidR="00A0505B" w:rsidRPr="00D73F56">
              <w:rPr>
                <w:spacing w:val="-3"/>
                <w:sz w:val="24"/>
                <w:szCs w:val="24"/>
              </w:rPr>
              <w:t xml:space="preserve">. Lai izveidotā </w:t>
            </w:r>
            <w:r w:rsidR="00416DEE">
              <w:rPr>
                <w:spacing w:val="-3"/>
                <w:sz w:val="24"/>
                <w:szCs w:val="24"/>
              </w:rPr>
              <w:t>m</w:t>
            </w:r>
            <w:r w:rsidR="006B201C">
              <w:rPr>
                <w:spacing w:val="-3"/>
                <w:sz w:val="24"/>
                <w:szCs w:val="24"/>
              </w:rPr>
              <w:t xml:space="preserve">ācību pārvaldības </w:t>
            </w:r>
            <w:r w:rsidR="00A0505B" w:rsidRPr="00D73F56">
              <w:rPr>
                <w:spacing w:val="-3"/>
                <w:sz w:val="24"/>
                <w:szCs w:val="24"/>
              </w:rPr>
              <w:t>sistēma varētu atbilstoši darboties</w:t>
            </w:r>
            <w:r w:rsidR="005F515C">
              <w:rPr>
                <w:spacing w:val="-3"/>
                <w:sz w:val="24"/>
                <w:szCs w:val="24"/>
              </w:rPr>
              <w:t>,</w:t>
            </w:r>
            <w:r w:rsidR="00A0505B" w:rsidRPr="00D73F56">
              <w:rPr>
                <w:spacing w:val="-3"/>
                <w:sz w:val="24"/>
                <w:szCs w:val="24"/>
              </w:rPr>
              <w:t xml:space="preserve"> ir nepieciešami uzturēšanas izdevumi</w:t>
            </w:r>
            <w:r w:rsidR="00EE5CC9">
              <w:rPr>
                <w:spacing w:val="-3"/>
                <w:sz w:val="24"/>
                <w:szCs w:val="24"/>
              </w:rPr>
              <w:t>.</w:t>
            </w:r>
            <w:r w:rsidR="00F03548">
              <w:rPr>
                <w:spacing w:val="-3"/>
                <w:sz w:val="24"/>
                <w:szCs w:val="24"/>
              </w:rPr>
              <w:t xml:space="preserve"> </w:t>
            </w:r>
            <w:r w:rsidR="00F03548" w:rsidRPr="00CA4586">
              <w:rPr>
                <w:spacing w:val="-3"/>
                <w:sz w:val="24"/>
                <w:szCs w:val="24"/>
              </w:rPr>
              <w:t>Starpinstitūciju saskaņošanas sanāksmē</w:t>
            </w:r>
            <w:r w:rsidR="008E127B" w:rsidRPr="00CA4586">
              <w:rPr>
                <w:spacing w:val="-3"/>
                <w:sz w:val="24"/>
                <w:szCs w:val="24"/>
              </w:rPr>
              <w:t xml:space="preserve"> tika </w:t>
            </w:r>
            <w:r w:rsidR="008E127B" w:rsidRPr="00CA4586">
              <w:rPr>
                <w:spacing w:val="-3"/>
                <w:sz w:val="24"/>
                <w:szCs w:val="24"/>
              </w:rPr>
              <w:lastRenderedPageBreak/>
              <w:t xml:space="preserve">panākta vienošanās, ka mācību pārvaldības sistēmas izveides izmaksas proporcionāli tiks segtas no Valsts administrācijas skolas (turpmāk – VAS) </w:t>
            </w:r>
            <w:r w:rsidR="00416DEE" w:rsidRPr="00CA4586">
              <w:rPr>
                <w:spacing w:val="-3"/>
                <w:sz w:val="24"/>
                <w:szCs w:val="24"/>
              </w:rPr>
              <w:t>projekta</w:t>
            </w:r>
            <w:r w:rsidR="00416DEE">
              <w:rPr>
                <w:spacing w:val="-3"/>
                <w:sz w:val="24"/>
                <w:szCs w:val="24"/>
              </w:rPr>
              <w:t xml:space="preserve"> </w:t>
            </w:r>
            <w:r w:rsidR="00EF4D59">
              <w:rPr>
                <w:spacing w:val="-3"/>
                <w:sz w:val="24"/>
                <w:szCs w:val="24"/>
              </w:rPr>
              <w:t>"</w:t>
            </w:r>
            <w:r w:rsidR="008E127B" w:rsidRPr="00CA4586">
              <w:rPr>
                <w:spacing w:val="-3"/>
                <w:sz w:val="24"/>
                <w:szCs w:val="24"/>
              </w:rPr>
              <w:t>Valsts pārvaldes cilvēkresursu profesionālā pilnveide labāka regulējuma izstrādē mazo un vidējo komersantu atbalsta jomā</w:t>
            </w:r>
            <w:r w:rsidR="00EF4D59">
              <w:rPr>
                <w:spacing w:val="-3"/>
                <w:sz w:val="24"/>
                <w:szCs w:val="24"/>
              </w:rPr>
              <w:t>"</w:t>
            </w:r>
            <w:r w:rsidR="008E127B" w:rsidRPr="00CA4586">
              <w:rPr>
                <w:spacing w:val="-3"/>
                <w:sz w:val="24"/>
                <w:szCs w:val="24"/>
              </w:rPr>
              <w:t xml:space="preserve"> un </w:t>
            </w:r>
            <w:r w:rsidR="00416DEE" w:rsidRPr="00CA4586">
              <w:rPr>
                <w:spacing w:val="-3"/>
                <w:sz w:val="24"/>
                <w:szCs w:val="24"/>
              </w:rPr>
              <w:t xml:space="preserve">projekta </w:t>
            </w:r>
            <w:r w:rsidR="00EF4D59">
              <w:rPr>
                <w:spacing w:val="-3"/>
                <w:sz w:val="24"/>
                <w:szCs w:val="24"/>
              </w:rPr>
              <w:t>"</w:t>
            </w:r>
            <w:r w:rsidR="008E127B" w:rsidRPr="00CA4586">
              <w:rPr>
                <w:spacing w:val="-3"/>
                <w:sz w:val="24"/>
                <w:szCs w:val="24"/>
              </w:rPr>
              <w:t>Valsts pārvaldes cilvēkresursu profesionālā pilnveide korupcijas novēršanas un ēnu ekonomikas mazināšanas jomā</w:t>
            </w:r>
            <w:r w:rsidR="00EF4D59">
              <w:rPr>
                <w:spacing w:val="-3"/>
                <w:sz w:val="24"/>
                <w:szCs w:val="24"/>
              </w:rPr>
              <w:t>"</w:t>
            </w:r>
            <w:r w:rsidR="008E127B" w:rsidRPr="00CA4586">
              <w:rPr>
                <w:spacing w:val="-3"/>
                <w:sz w:val="24"/>
                <w:szCs w:val="24"/>
              </w:rPr>
              <w:t xml:space="preserve"> 50</w:t>
            </w:r>
            <w:r w:rsidR="00416DEE">
              <w:rPr>
                <w:spacing w:val="-3"/>
                <w:sz w:val="24"/>
                <w:szCs w:val="24"/>
              </w:rPr>
              <w:t> </w:t>
            </w:r>
            <w:r w:rsidR="008E127B" w:rsidRPr="00CA4586">
              <w:rPr>
                <w:spacing w:val="-3"/>
                <w:sz w:val="24"/>
                <w:szCs w:val="24"/>
              </w:rPr>
              <w:t>% apmērā</w:t>
            </w:r>
            <w:r w:rsidR="00BB28F9" w:rsidRPr="00CA4586">
              <w:rPr>
                <w:spacing w:val="-3"/>
                <w:sz w:val="24"/>
                <w:szCs w:val="24"/>
              </w:rPr>
              <w:t xml:space="preserve"> no katra</w:t>
            </w:r>
            <w:r w:rsidR="008E127B" w:rsidRPr="00CA4586">
              <w:rPr>
                <w:spacing w:val="-3"/>
                <w:sz w:val="24"/>
                <w:szCs w:val="24"/>
              </w:rPr>
              <w:t>, bet sistēmas uzturēšan</w:t>
            </w:r>
            <w:r w:rsidR="00A5592E" w:rsidRPr="00CA4586">
              <w:rPr>
                <w:spacing w:val="-3"/>
                <w:sz w:val="24"/>
                <w:szCs w:val="24"/>
              </w:rPr>
              <w:t>as izmaksas</w:t>
            </w:r>
            <w:r w:rsidR="00416DEE">
              <w:rPr>
                <w:spacing w:val="-3"/>
                <w:sz w:val="24"/>
                <w:szCs w:val="24"/>
              </w:rPr>
              <w:t xml:space="preserve"> –</w:t>
            </w:r>
            <w:r w:rsidR="00A5592E" w:rsidRPr="00CA4586">
              <w:rPr>
                <w:spacing w:val="-3"/>
                <w:sz w:val="24"/>
                <w:szCs w:val="24"/>
              </w:rPr>
              <w:t xml:space="preserve"> no VAS pamatbudžeta.</w:t>
            </w:r>
            <w:r w:rsidR="008E127B" w:rsidRPr="00CA4586">
              <w:rPr>
                <w:spacing w:val="-3"/>
                <w:sz w:val="24"/>
                <w:szCs w:val="24"/>
              </w:rPr>
              <w:t xml:space="preserve"> </w:t>
            </w:r>
            <w:r w:rsidR="00A5592E" w:rsidRPr="00CA4586">
              <w:rPr>
                <w:spacing w:val="-3"/>
                <w:sz w:val="24"/>
                <w:szCs w:val="24"/>
              </w:rPr>
              <w:t xml:space="preserve">Lai pilnībā ieviestu funkcionējošu </w:t>
            </w:r>
            <w:r w:rsidR="00416DEE">
              <w:rPr>
                <w:spacing w:val="-3"/>
                <w:sz w:val="24"/>
                <w:szCs w:val="24"/>
              </w:rPr>
              <w:t>m</w:t>
            </w:r>
            <w:r w:rsidR="00A5592E" w:rsidRPr="00CA4586">
              <w:rPr>
                <w:spacing w:val="-3"/>
                <w:sz w:val="24"/>
                <w:szCs w:val="24"/>
              </w:rPr>
              <w:t>ācību pārvaldības sistēmu</w:t>
            </w:r>
            <w:r w:rsidR="00167994" w:rsidRPr="00CA4586">
              <w:rPr>
                <w:spacing w:val="-3"/>
                <w:sz w:val="24"/>
                <w:szCs w:val="24"/>
              </w:rPr>
              <w:t>,</w:t>
            </w:r>
            <w:r w:rsidR="006A3B3E" w:rsidRPr="00CA4586">
              <w:rPr>
                <w:spacing w:val="-3"/>
                <w:sz w:val="24"/>
                <w:szCs w:val="24"/>
              </w:rPr>
              <w:t xml:space="preserve"> vienlīdz būtiski ir rast finansējumu</w:t>
            </w:r>
            <w:r w:rsidR="00A5592E" w:rsidRPr="00CA4586">
              <w:rPr>
                <w:spacing w:val="-3"/>
                <w:sz w:val="24"/>
                <w:szCs w:val="24"/>
              </w:rPr>
              <w:t xml:space="preserve"> </w:t>
            </w:r>
            <w:r w:rsidR="006A3B3E" w:rsidRPr="00CA4586">
              <w:rPr>
                <w:spacing w:val="-3"/>
                <w:sz w:val="24"/>
                <w:szCs w:val="24"/>
              </w:rPr>
              <w:t xml:space="preserve">sistēmas </w:t>
            </w:r>
            <w:r w:rsidR="00A5592E" w:rsidRPr="00CA4586">
              <w:rPr>
                <w:spacing w:val="-3"/>
                <w:sz w:val="24"/>
                <w:szCs w:val="24"/>
              </w:rPr>
              <w:t>izveides un uzturēšanas izmaksu</w:t>
            </w:r>
            <w:r w:rsidR="006A3B3E" w:rsidRPr="00CA4586">
              <w:rPr>
                <w:spacing w:val="-3"/>
                <w:sz w:val="24"/>
                <w:szCs w:val="24"/>
              </w:rPr>
              <w:t xml:space="preserve"> segšanai, kas kopā veido</w:t>
            </w:r>
            <w:r w:rsidR="00A5592E" w:rsidRPr="00CA4586">
              <w:rPr>
                <w:spacing w:val="-3"/>
                <w:sz w:val="24"/>
                <w:szCs w:val="24"/>
              </w:rPr>
              <w:t xml:space="preserve"> </w:t>
            </w:r>
            <w:r w:rsidR="006A3B3E" w:rsidRPr="00CA4586">
              <w:rPr>
                <w:spacing w:val="-3"/>
                <w:sz w:val="24"/>
                <w:szCs w:val="24"/>
              </w:rPr>
              <w:t>sistēmas ieviešanas izmaksu kopsummu</w:t>
            </w:r>
            <w:r w:rsidR="00167994" w:rsidRPr="00CA4586">
              <w:rPr>
                <w:spacing w:val="-3"/>
                <w:sz w:val="24"/>
                <w:szCs w:val="24"/>
              </w:rPr>
              <w:t>, jo iztrūkums kādā no minētajām izmaksu kategorijām padarītu sistēmu nefunkcionālu</w:t>
            </w:r>
            <w:r w:rsidR="006A3B3E" w:rsidRPr="00CA4586">
              <w:rPr>
                <w:spacing w:val="-3"/>
                <w:sz w:val="24"/>
                <w:szCs w:val="24"/>
              </w:rPr>
              <w:t>. Kopējā izmaksu tāme dalījumā</w:t>
            </w:r>
            <w:r w:rsidR="00A5592E" w:rsidRPr="00CA4586">
              <w:rPr>
                <w:spacing w:val="-3"/>
                <w:sz w:val="24"/>
                <w:szCs w:val="24"/>
              </w:rPr>
              <w:t xml:space="preserve"> pa finansējuma avotiem indikatīvi </w:t>
            </w:r>
            <w:r w:rsidR="006A3B3E" w:rsidRPr="00CA4586">
              <w:rPr>
                <w:spacing w:val="-3"/>
                <w:sz w:val="24"/>
                <w:szCs w:val="24"/>
              </w:rPr>
              <w:t>sastāvētu no</w:t>
            </w:r>
            <w:r w:rsidR="00A5592E" w:rsidRPr="00CA4586">
              <w:rPr>
                <w:spacing w:val="-3"/>
                <w:sz w:val="24"/>
                <w:szCs w:val="24"/>
              </w:rPr>
              <w:t xml:space="preserve"> attiecīgi </w:t>
            </w:r>
            <w:r w:rsidR="003F521B" w:rsidRPr="00CA4586">
              <w:rPr>
                <w:spacing w:val="-3"/>
                <w:sz w:val="24"/>
                <w:szCs w:val="24"/>
              </w:rPr>
              <w:t>70</w:t>
            </w:r>
            <w:r w:rsidR="00416DEE">
              <w:rPr>
                <w:spacing w:val="-3"/>
                <w:sz w:val="24"/>
                <w:szCs w:val="24"/>
              </w:rPr>
              <w:t> </w:t>
            </w:r>
            <w:r w:rsidR="003F521B" w:rsidRPr="00CA4586">
              <w:rPr>
                <w:spacing w:val="-3"/>
                <w:sz w:val="24"/>
                <w:szCs w:val="24"/>
              </w:rPr>
              <w:t>%</w:t>
            </w:r>
            <w:r w:rsidR="00416DEE">
              <w:rPr>
                <w:spacing w:val="-3"/>
                <w:sz w:val="24"/>
                <w:szCs w:val="24"/>
              </w:rPr>
              <w:t>–</w:t>
            </w:r>
            <w:r w:rsidR="003F521B" w:rsidRPr="00CA4586">
              <w:rPr>
                <w:spacing w:val="-3"/>
                <w:sz w:val="24"/>
                <w:szCs w:val="24"/>
              </w:rPr>
              <w:t>75</w:t>
            </w:r>
            <w:r w:rsidR="00416DEE">
              <w:rPr>
                <w:spacing w:val="-3"/>
                <w:sz w:val="24"/>
                <w:szCs w:val="24"/>
              </w:rPr>
              <w:t> </w:t>
            </w:r>
            <w:r w:rsidR="00A5592E" w:rsidRPr="00CA4586">
              <w:rPr>
                <w:spacing w:val="-3"/>
                <w:sz w:val="24"/>
                <w:szCs w:val="24"/>
              </w:rPr>
              <w:t>% Eiropas Sociālā fonda projektu līdzekļ</w:t>
            </w:r>
            <w:r w:rsidR="006A3B3E" w:rsidRPr="00CA4586">
              <w:rPr>
                <w:spacing w:val="-3"/>
                <w:sz w:val="24"/>
                <w:szCs w:val="24"/>
              </w:rPr>
              <w:t xml:space="preserve">u (mācību pārvaldības sistēmas izveides izmaksas) un </w:t>
            </w:r>
            <w:r w:rsidR="003F521B" w:rsidRPr="00CA4586">
              <w:rPr>
                <w:spacing w:val="-3"/>
                <w:sz w:val="24"/>
                <w:szCs w:val="24"/>
              </w:rPr>
              <w:t>25</w:t>
            </w:r>
            <w:r w:rsidR="00416DEE">
              <w:rPr>
                <w:spacing w:val="-3"/>
                <w:sz w:val="24"/>
                <w:szCs w:val="24"/>
              </w:rPr>
              <w:t> </w:t>
            </w:r>
            <w:r w:rsidR="006A3B3E" w:rsidRPr="00CA4586">
              <w:rPr>
                <w:spacing w:val="-3"/>
                <w:sz w:val="24"/>
                <w:szCs w:val="24"/>
              </w:rPr>
              <w:t>%</w:t>
            </w:r>
            <w:r w:rsidR="00416DEE">
              <w:rPr>
                <w:spacing w:val="-3"/>
                <w:sz w:val="24"/>
                <w:szCs w:val="24"/>
              </w:rPr>
              <w:t>–</w:t>
            </w:r>
            <w:r w:rsidR="003F521B" w:rsidRPr="00CA4586">
              <w:rPr>
                <w:spacing w:val="-3"/>
                <w:sz w:val="24"/>
                <w:szCs w:val="24"/>
              </w:rPr>
              <w:t>30</w:t>
            </w:r>
            <w:r w:rsidR="00416DEE">
              <w:rPr>
                <w:spacing w:val="-3"/>
                <w:sz w:val="24"/>
                <w:szCs w:val="24"/>
              </w:rPr>
              <w:t> </w:t>
            </w:r>
            <w:r w:rsidR="003F521B" w:rsidRPr="00CA4586">
              <w:rPr>
                <w:spacing w:val="-3"/>
                <w:sz w:val="24"/>
                <w:szCs w:val="24"/>
              </w:rPr>
              <w:t>%</w:t>
            </w:r>
            <w:r w:rsidR="006A3B3E" w:rsidRPr="00CA4586">
              <w:rPr>
                <w:spacing w:val="-3"/>
                <w:sz w:val="24"/>
                <w:szCs w:val="24"/>
              </w:rPr>
              <w:t xml:space="preserve"> VAS pamatbudžeta līdzekļu (mācību pārvaldības sistēmas uzturēšanas izmaksas).</w:t>
            </w:r>
            <w:r w:rsidR="00A5592E" w:rsidRPr="00CA4586">
              <w:rPr>
                <w:spacing w:val="-3"/>
                <w:sz w:val="24"/>
                <w:szCs w:val="24"/>
              </w:rPr>
              <w:t xml:space="preserve"> </w:t>
            </w:r>
            <w:r w:rsidR="006A3B3E" w:rsidRPr="00CA4586">
              <w:rPr>
                <w:spacing w:val="-3"/>
                <w:sz w:val="24"/>
                <w:szCs w:val="24"/>
              </w:rPr>
              <w:t xml:space="preserve">Uzturēšanas izmaksās, kas tiks </w:t>
            </w:r>
            <w:r w:rsidR="00416DEE">
              <w:rPr>
                <w:spacing w:val="-3"/>
                <w:sz w:val="24"/>
                <w:szCs w:val="24"/>
              </w:rPr>
              <w:t>seg</w:t>
            </w:r>
            <w:r w:rsidR="006A3B3E" w:rsidRPr="00CA4586">
              <w:rPr>
                <w:spacing w:val="-3"/>
                <w:sz w:val="24"/>
                <w:szCs w:val="24"/>
              </w:rPr>
              <w:t xml:space="preserve">tas no VAS pamatbudžeta </w:t>
            </w:r>
            <w:r w:rsidR="00167994" w:rsidRPr="00CA4586">
              <w:rPr>
                <w:spacing w:val="-3"/>
                <w:sz w:val="24"/>
                <w:szCs w:val="24"/>
              </w:rPr>
              <w:t xml:space="preserve">resursiem, </w:t>
            </w:r>
            <w:r w:rsidR="006A3B3E" w:rsidRPr="00CA4586">
              <w:rPr>
                <w:spacing w:val="-3"/>
                <w:sz w:val="24"/>
                <w:szCs w:val="24"/>
              </w:rPr>
              <w:t xml:space="preserve">ietilps, piemēram, </w:t>
            </w:r>
            <w:r w:rsidR="00167994" w:rsidRPr="00CA4586">
              <w:rPr>
                <w:spacing w:val="-3"/>
                <w:sz w:val="24"/>
                <w:szCs w:val="24"/>
              </w:rPr>
              <w:t>sistēmas datubāzes rezerves kopiju izveide, servisa ātruma jeb reakcijas laika nodrošināšana, datu apjoma un serveru infrastruktūras uzturēšana</w:t>
            </w:r>
            <w:r w:rsidR="00416DEE">
              <w:rPr>
                <w:spacing w:val="-3"/>
                <w:sz w:val="24"/>
                <w:szCs w:val="24"/>
              </w:rPr>
              <w:t xml:space="preserve"> no pakalpojumu sniedzēja puses</w:t>
            </w:r>
            <w:r w:rsidR="00167994" w:rsidRPr="00CA4586">
              <w:rPr>
                <w:spacing w:val="-3"/>
                <w:sz w:val="24"/>
                <w:szCs w:val="24"/>
              </w:rPr>
              <w:t xml:space="preserve"> u.</w:t>
            </w:r>
            <w:r w:rsidR="00416DEE">
              <w:rPr>
                <w:spacing w:val="-3"/>
                <w:sz w:val="24"/>
                <w:szCs w:val="24"/>
              </w:rPr>
              <w:t> </w:t>
            </w:r>
            <w:r w:rsidR="00167994" w:rsidRPr="00CA4586">
              <w:rPr>
                <w:spacing w:val="-3"/>
                <w:sz w:val="24"/>
                <w:szCs w:val="24"/>
              </w:rPr>
              <w:t xml:space="preserve">c. izmaksas. </w:t>
            </w:r>
            <w:r w:rsidR="00A5592E" w:rsidRPr="00CA4586">
              <w:rPr>
                <w:spacing w:val="-3"/>
                <w:sz w:val="24"/>
                <w:szCs w:val="24"/>
              </w:rPr>
              <w:t>T</w:t>
            </w:r>
            <w:r w:rsidR="008E127B" w:rsidRPr="00CA4586">
              <w:rPr>
                <w:spacing w:val="-3"/>
                <w:sz w:val="24"/>
                <w:szCs w:val="24"/>
              </w:rPr>
              <w:t>āda pieeja tiek piemērota, ņemot vērā, ka izveides izmaksas proporcionāli ir ļoti komplicēti noteikt starp VAS pamatbudžetu un VAS projektu izdevumiem, jo primāri šī sistēma tiek izveidota projektu veiksmīgai mērķu un rezultātu sasniegšanai, kā arī datu uzkrāšanai par projektiem, kas izriet no Eiropas Parlamenta un Padomes 2013</w:t>
            </w:r>
            <w:r w:rsidR="00EF4D59">
              <w:rPr>
                <w:spacing w:val="-3"/>
                <w:sz w:val="24"/>
                <w:szCs w:val="24"/>
              </w:rPr>
              <w:t>. g</w:t>
            </w:r>
            <w:r w:rsidR="008E127B" w:rsidRPr="00CA4586">
              <w:rPr>
                <w:spacing w:val="-3"/>
                <w:sz w:val="24"/>
                <w:szCs w:val="24"/>
              </w:rPr>
              <w:t>ada 17</w:t>
            </w:r>
            <w:r w:rsidR="00EF4D59">
              <w:rPr>
                <w:spacing w:val="-3"/>
                <w:sz w:val="24"/>
                <w:szCs w:val="24"/>
              </w:rPr>
              <w:t>. d</w:t>
            </w:r>
            <w:r w:rsidR="008E127B" w:rsidRPr="00CA4586">
              <w:rPr>
                <w:spacing w:val="-3"/>
                <w:sz w:val="24"/>
                <w:szCs w:val="24"/>
              </w:rPr>
              <w:t>ecembra Regulas Nr.</w:t>
            </w:r>
            <w:r w:rsidR="00416DEE">
              <w:rPr>
                <w:spacing w:val="-3"/>
                <w:sz w:val="24"/>
                <w:szCs w:val="24"/>
              </w:rPr>
              <w:t> </w:t>
            </w:r>
            <w:r w:rsidR="008E127B" w:rsidRPr="00CA4586">
              <w:rPr>
                <w:spacing w:val="-3"/>
                <w:sz w:val="24"/>
                <w:szCs w:val="24"/>
              </w:rPr>
              <w:t>1304/2013 par Eiropas Sociālo fondu un ar ko atceļ Padomes Regulu (EK) Nr.</w:t>
            </w:r>
            <w:r w:rsidR="00416DEE">
              <w:rPr>
                <w:spacing w:val="-3"/>
                <w:sz w:val="24"/>
                <w:szCs w:val="24"/>
              </w:rPr>
              <w:t> </w:t>
            </w:r>
            <w:r w:rsidR="008E127B" w:rsidRPr="00CA4586">
              <w:rPr>
                <w:spacing w:val="-3"/>
                <w:sz w:val="24"/>
                <w:szCs w:val="24"/>
              </w:rPr>
              <w:t>1081/2006</w:t>
            </w:r>
            <w:r w:rsidR="00BB28F9">
              <w:rPr>
                <w:spacing w:val="-3"/>
                <w:sz w:val="24"/>
                <w:szCs w:val="24"/>
              </w:rPr>
              <w:t xml:space="preserve"> </w:t>
            </w:r>
            <w:r w:rsidR="008E127B" w:rsidRPr="00CA4586">
              <w:rPr>
                <w:spacing w:val="-3"/>
                <w:sz w:val="24"/>
                <w:szCs w:val="24"/>
              </w:rPr>
              <w:t xml:space="preserve"> 1</w:t>
            </w:r>
            <w:r w:rsidR="00EF4D59">
              <w:rPr>
                <w:spacing w:val="-3"/>
                <w:sz w:val="24"/>
                <w:szCs w:val="24"/>
              </w:rPr>
              <w:t>.</w:t>
            </w:r>
            <w:r w:rsidR="00416DEE">
              <w:rPr>
                <w:spacing w:val="-3"/>
                <w:sz w:val="24"/>
                <w:szCs w:val="24"/>
              </w:rPr>
              <w:t> </w:t>
            </w:r>
            <w:r w:rsidR="00EF4D59">
              <w:rPr>
                <w:spacing w:val="-3"/>
                <w:sz w:val="24"/>
                <w:szCs w:val="24"/>
              </w:rPr>
              <w:t>p</w:t>
            </w:r>
            <w:r w:rsidR="008E127B" w:rsidRPr="00CA4586">
              <w:rPr>
                <w:spacing w:val="-3"/>
                <w:sz w:val="24"/>
                <w:szCs w:val="24"/>
              </w:rPr>
              <w:t xml:space="preserve">ielikumā par kopējo iznākuma un rezultāta </w:t>
            </w:r>
            <w:r w:rsidR="00FF15DA" w:rsidRPr="00CA4586">
              <w:rPr>
                <w:spacing w:val="-3"/>
                <w:sz w:val="24"/>
                <w:szCs w:val="24"/>
              </w:rPr>
              <w:t>rādītāju apkopošanu noteikt</w:t>
            </w:r>
            <w:r w:rsidR="00563B54">
              <w:rPr>
                <w:spacing w:val="-3"/>
                <w:sz w:val="24"/>
                <w:szCs w:val="24"/>
              </w:rPr>
              <w:t>ā</w:t>
            </w:r>
            <w:r w:rsidR="00416DEE">
              <w:rPr>
                <w:spacing w:val="-3"/>
                <w:sz w:val="24"/>
                <w:szCs w:val="24"/>
              </w:rPr>
              <w:t>,</w:t>
            </w:r>
            <w:r w:rsidR="00FF15DA" w:rsidRPr="00CA4586">
              <w:rPr>
                <w:spacing w:val="-3"/>
                <w:sz w:val="24"/>
                <w:szCs w:val="24"/>
              </w:rPr>
              <w:t xml:space="preserve"> un</w:t>
            </w:r>
            <w:r w:rsidR="008E127B" w:rsidRPr="00CA4586">
              <w:rPr>
                <w:spacing w:val="-3"/>
                <w:sz w:val="24"/>
                <w:szCs w:val="24"/>
              </w:rPr>
              <w:t xml:space="preserve"> tikai sekundāri tiek plānots šo sistēmu izmantot VAS pamatbudž</w:t>
            </w:r>
            <w:r w:rsidR="00FF15DA" w:rsidRPr="00CA4586">
              <w:rPr>
                <w:spacing w:val="-3"/>
                <w:sz w:val="24"/>
                <w:szCs w:val="24"/>
              </w:rPr>
              <w:t xml:space="preserve">eta apmācību </w:t>
            </w:r>
            <w:r w:rsidR="00004F5C" w:rsidRPr="00CA4586">
              <w:rPr>
                <w:spacing w:val="-3"/>
                <w:sz w:val="24"/>
                <w:szCs w:val="24"/>
              </w:rPr>
              <w:t xml:space="preserve">uzskaites </w:t>
            </w:r>
            <w:r w:rsidR="00FF15DA" w:rsidRPr="00CA4586">
              <w:rPr>
                <w:spacing w:val="-3"/>
                <w:sz w:val="24"/>
                <w:szCs w:val="24"/>
              </w:rPr>
              <w:t>veikšanai</w:t>
            </w:r>
            <w:r w:rsidR="00004F5C" w:rsidRPr="00CA4586">
              <w:rPr>
                <w:spacing w:val="-3"/>
                <w:sz w:val="24"/>
                <w:szCs w:val="24"/>
              </w:rPr>
              <w:t>.</w:t>
            </w:r>
            <w:r w:rsidR="00FF15DA" w:rsidRPr="00CA4586">
              <w:rPr>
                <w:spacing w:val="-3"/>
                <w:sz w:val="24"/>
                <w:szCs w:val="24"/>
              </w:rPr>
              <w:t xml:space="preserve"> Mācību pārvaldības sistēm</w:t>
            </w:r>
            <w:r w:rsidR="00004F5C" w:rsidRPr="00CA4586">
              <w:rPr>
                <w:spacing w:val="-3"/>
                <w:sz w:val="24"/>
                <w:szCs w:val="24"/>
              </w:rPr>
              <w:t>as</w:t>
            </w:r>
            <w:r w:rsidR="00FF15DA" w:rsidRPr="00CA4586">
              <w:rPr>
                <w:spacing w:val="-3"/>
                <w:sz w:val="24"/>
                <w:szCs w:val="24"/>
              </w:rPr>
              <w:t xml:space="preserve"> izmantošanas apjomu un biežumu šobrīd </w:t>
            </w:r>
            <w:r w:rsidR="008E127B" w:rsidRPr="00CA4586">
              <w:rPr>
                <w:spacing w:val="-3"/>
                <w:sz w:val="24"/>
                <w:szCs w:val="24"/>
              </w:rPr>
              <w:t xml:space="preserve">nav iespējams precīzi noteikt. </w:t>
            </w:r>
            <w:r w:rsidR="00C65E5C" w:rsidRPr="00CA4586">
              <w:rPr>
                <w:spacing w:val="-3"/>
                <w:sz w:val="24"/>
                <w:szCs w:val="24"/>
              </w:rPr>
              <w:t xml:space="preserve">Brīdī, kad būs noslēgta iepirkuma procedūra un noskaidrots sistēmas izstrādātājs, būs zināms arī precīzs izmaksu sadalījums pa finansējuma avotiem, kas tiks fiksēts VAS direktora rīkojumā. </w:t>
            </w:r>
            <w:r w:rsidR="003D2575" w:rsidRPr="00CA4586">
              <w:rPr>
                <w:spacing w:val="-3"/>
                <w:sz w:val="24"/>
                <w:szCs w:val="24"/>
              </w:rPr>
              <w:t>Līdz ar to gan darbības saistībā ar šīs sistēmas izstrādi, gan attiecinām</w:t>
            </w:r>
            <w:r w:rsidR="00A57675" w:rsidRPr="00CA4586">
              <w:rPr>
                <w:spacing w:val="-3"/>
                <w:sz w:val="24"/>
                <w:szCs w:val="24"/>
              </w:rPr>
              <w:t>o</w:t>
            </w:r>
            <w:r w:rsidR="003D2575" w:rsidRPr="00CA4586">
              <w:rPr>
                <w:spacing w:val="-3"/>
                <w:sz w:val="24"/>
                <w:szCs w:val="24"/>
              </w:rPr>
              <w:t xml:space="preserve"> izmaks</w:t>
            </w:r>
            <w:r w:rsidR="00A57675" w:rsidRPr="00CA4586">
              <w:rPr>
                <w:spacing w:val="-3"/>
                <w:sz w:val="24"/>
                <w:szCs w:val="24"/>
              </w:rPr>
              <w:t>u saraksts</w:t>
            </w:r>
            <w:r w:rsidR="003D2575" w:rsidRPr="00CA4586">
              <w:rPr>
                <w:spacing w:val="-3"/>
                <w:sz w:val="24"/>
                <w:szCs w:val="24"/>
              </w:rPr>
              <w:t xml:space="preserve"> ir papildināts ar </w:t>
            </w:r>
            <w:r w:rsidR="00A57675" w:rsidRPr="00CA4586">
              <w:rPr>
                <w:spacing w:val="-3"/>
                <w:sz w:val="24"/>
                <w:szCs w:val="24"/>
              </w:rPr>
              <w:t xml:space="preserve">sistēmas </w:t>
            </w:r>
            <w:r w:rsidR="003D2575" w:rsidRPr="00CA4586">
              <w:rPr>
                <w:spacing w:val="-3"/>
                <w:sz w:val="24"/>
                <w:szCs w:val="24"/>
              </w:rPr>
              <w:t>uzturēšan</w:t>
            </w:r>
            <w:r w:rsidR="00A57675" w:rsidRPr="00CA4586">
              <w:rPr>
                <w:spacing w:val="-3"/>
                <w:sz w:val="24"/>
                <w:szCs w:val="24"/>
              </w:rPr>
              <w:t>as izmaksām</w:t>
            </w:r>
            <w:r w:rsidR="009E5B7F" w:rsidRPr="00CA4586">
              <w:rPr>
                <w:spacing w:val="-3"/>
                <w:sz w:val="24"/>
                <w:szCs w:val="24"/>
              </w:rPr>
              <w:t>.</w:t>
            </w:r>
            <w:r w:rsidR="00FF15DA" w:rsidRPr="00CA4586">
              <w:rPr>
                <w:spacing w:val="-3"/>
                <w:sz w:val="24"/>
                <w:szCs w:val="24"/>
              </w:rPr>
              <w:t xml:space="preserve"> </w:t>
            </w:r>
            <w:r w:rsidR="009E5B7F" w:rsidRPr="00CA4586">
              <w:rPr>
                <w:spacing w:val="-3"/>
                <w:sz w:val="24"/>
                <w:szCs w:val="24"/>
              </w:rPr>
              <w:t xml:space="preserve">Papildus norādām, ka arī pēc projektu beigām tiek plānota </w:t>
            </w:r>
            <w:r w:rsidR="00A44E75">
              <w:rPr>
                <w:spacing w:val="-3"/>
                <w:sz w:val="24"/>
                <w:szCs w:val="24"/>
              </w:rPr>
              <w:t>m</w:t>
            </w:r>
            <w:r w:rsidR="009E5B7F" w:rsidRPr="00CA4586">
              <w:rPr>
                <w:spacing w:val="-3"/>
                <w:sz w:val="24"/>
                <w:szCs w:val="24"/>
              </w:rPr>
              <w:t xml:space="preserve">ācību pārvaldības sistēmas izmantošana valsts pārvaldes apmācību nodrošināšanai un informācijas uzkrāšanai par apmācāmajiem atbilstoši normatīvajos aktos izvirzītajām prasībām. Tiek plānots, ka </w:t>
            </w:r>
            <w:r w:rsidR="002502B6" w:rsidRPr="00CA4586">
              <w:rPr>
                <w:spacing w:val="-3"/>
                <w:sz w:val="24"/>
                <w:szCs w:val="24"/>
              </w:rPr>
              <w:t xml:space="preserve">tiks nodrošināta </w:t>
            </w:r>
            <w:r w:rsidR="00A44E75">
              <w:rPr>
                <w:spacing w:val="-3"/>
                <w:sz w:val="24"/>
                <w:szCs w:val="24"/>
              </w:rPr>
              <w:t>m</w:t>
            </w:r>
            <w:r w:rsidR="002502B6" w:rsidRPr="00CA4586">
              <w:rPr>
                <w:spacing w:val="-3"/>
                <w:sz w:val="24"/>
                <w:szCs w:val="24"/>
              </w:rPr>
              <w:t>ācību pārvaldības sistēmas un</w:t>
            </w:r>
            <w:r w:rsidR="002502B6" w:rsidRPr="00CA4586">
              <w:rPr>
                <w:rFonts w:ascii="Calibri" w:hAnsi="Calibri" w:cs="Times New Roman"/>
                <w:sz w:val="22"/>
              </w:rPr>
              <w:t xml:space="preserve"> </w:t>
            </w:r>
            <w:r w:rsidR="002502B6" w:rsidRPr="00CA4586">
              <w:rPr>
                <w:spacing w:val="-3"/>
                <w:sz w:val="24"/>
                <w:szCs w:val="24"/>
              </w:rPr>
              <w:t>Valsts pārvaldes cilvēkresursu vadības informācijas sistēma</w:t>
            </w:r>
            <w:r w:rsidR="00563B54">
              <w:rPr>
                <w:spacing w:val="-3"/>
                <w:sz w:val="24"/>
                <w:szCs w:val="24"/>
              </w:rPr>
              <w:t>s</w:t>
            </w:r>
            <w:r w:rsidR="002502B6" w:rsidRPr="00CA4586">
              <w:rPr>
                <w:spacing w:val="-3"/>
                <w:sz w:val="24"/>
                <w:szCs w:val="24"/>
              </w:rPr>
              <w:t xml:space="preserve"> CIVIS savietojamība.</w:t>
            </w:r>
          </w:p>
          <w:p w14:paraId="38850CE6" w14:textId="1A28FA7E" w:rsidR="00D552AA" w:rsidRPr="00CA4586" w:rsidRDefault="00A44E75" w:rsidP="00F1075D">
            <w:pPr>
              <w:pStyle w:val="BodyText"/>
              <w:numPr>
                <w:ilvl w:val="0"/>
                <w:numId w:val="9"/>
              </w:numPr>
              <w:tabs>
                <w:tab w:val="left" w:pos="547"/>
              </w:tabs>
              <w:spacing w:after="0"/>
              <w:ind w:left="127" w:right="140" w:firstLine="0"/>
              <w:jc w:val="both"/>
              <w:rPr>
                <w:spacing w:val="-3"/>
                <w:sz w:val="24"/>
                <w:szCs w:val="24"/>
              </w:rPr>
            </w:pPr>
            <w:r>
              <w:rPr>
                <w:spacing w:val="-3"/>
                <w:sz w:val="24"/>
                <w:szCs w:val="24"/>
              </w:rPr>
              <w:t>S</w:t>
            </w:r>
            <w:r w:rsidR="00D552AA" w:rsidRPr="00CA4586">
              <w:rPr>
                <w:spacing w:val="-3"/>
                <w:sz w:val="24"/>
                <w:szCs w:val="24"/>
              </w:rPr>
              <w:t>aistībā ar ēdināšanas pakalpojumiem tiek precizēts attiecināmo izmaksu saraksts, norādot kafijas paužu, pusdienu un vakariņu izmaksu limitus, lai nerastos pārpratumi uzraudzības procesā</w:t>
            </w:r>
            <w:r w:rsidR="00C64858" w:rsidRPr="00CA4586">
              <w:rPr>
                <w:spacing w:val="-3"/>
                <w:sz w:val="24"/>
                <w:szCs w:val="24"/>
              </w:rPr>
              <w:t xml:space="preserve"> un apmācību pasākumu īstenošanas gaitā</w:t>
            </w:r>
            <w:r w:rsidR="00D552AA" w:rsidRPr="00CA4586">
              <w:rPr>
                <w:spacing w:val="-3"/>
                <w:sz w:val="24"/>
                <w:szCs w:val="24"/>
              </w:rPr>
              <w:t>.</w:t>
            </w:r>
            <w:r w:rsidR="00C7062D" w:rsidRPr="00CA4586">
              <w:rPr>
                <w:spacing w:val="-3"/>
                <w:sz w:val="24"/>
                <w:szCs w:val="24"/>
              </w:rPr>
              <w:t xml:space="preserve"> Papildus finansējuma saņēmējam tiek noteikts pienākums pusdienu un vakariņu izmaksas pirms to veikšanas saskaņot ar atbildīgo iestādi.</w:t>
            </w:r>
          </w:p>
          <w:p w14:paraId="38850CE7" w14:textId="479F611F" w:rsidR="00603159" w:rsidRPr="00CA4586" w:rsidRDefault="00D552AA" w:rsidP="00F1075D">
            <w:pPr>
              <w:pStyle w:val="BodyText"/>
              <w:tabs>
                <w:tab w:val="left" w:pos="547"/>
              </w:tabs>
              <w:spacing w:after="0"/>
              <w:ind w:left="127" w:right="140"/>
              <w:jc w:val="both"/>
              <w:rPr>
                <w:spacing w:val="-3"/>
                <w:sz w:val="24"/>
                <w:szCs w:val="24"/>
              </w:rPr>
            </w:pPr>
            <w:r w:rsidRPr="00CA4586">
              <w:rPr>
                <w:spacing w:val="-3"/>
                <w:sz w:val="24"/>
                <w:szCs w:val="24"/>
              </w:rPr>
              <w:t xml:space="preserve">Tiek veikti arī tehniski grozījumi atbilstoši </w:t>
            </w:r>
            <w:r w:rsidR="00FD257A">
              <w:rPr>
                <w:spacing w:val="-3"/>
                <w:sz w:val="24"/>
                <w:szCs w:val="24"/>
              </w:rPr>
              <w:t xml:space="preserve">Finanšu ministrijas </w:t>
            </w:r>
            <w:r w:rsidRPr="00CA4586">
              <w:rPr>
                <w:spacing w:val="-3"/>
                <w:sz w:val="24"/>
                <w:szCs w:val="24"/>
              </w:rPr>
              <w:lastRenderedPageBreak/>
              <w:t>2016</w:t>
            </w:r>
            <w:r w:rsidR="00EF4D59">
              <w:rPr>
                <w:spacing w:val="-3"/>
                <w:sz w:val="24"/>
                <w:szCs w:val="24"/>
              </w:rPr>
              <w:t>.</w:t>
            </w:r>
            <w:r w:rsidR="00A44E75">
              <w:rPr>
                <w:spacing w:val="-3"/>
                <w:sz w:val="24"/>
                <w:szCs w:val="24"/>
              </w:rPr>
              <w:t> </w:t>
            </w:r>
            <w:r w:rsidR="00EF4D59">
              <w:rPr>
                <w:spacing w:val="-3"/>
                <w:sz w:val="24"/>
                <w:szCs w:val="24"/>
              </w:rPr>
              <w:t>g</w:t>
            </w:r>
            <w:r w:rsidRPr="00CA4586">
              <w:rPr>
                <w:spacing w:val="-3"/>
                <w:sz w:val="24"/>
                <w:szCs w:val="24"/>
              </w:rPr>
              <w:t>ada 8</w:t>
            </w:r>
            <w:r w:rsidR="00EF4D59">
              <w:rPr>
                <w:spacing w:val="-3"/>
                <w:sz w:val="24"/>
                <w:szCs w:val="24"/>
              </w:rPr>
              <w:t>. a</w:t>
            </w:r>
            <w:r w:rsidRPr="00CA4586">
              <w:rPr>
                <w:spacing w:val="-3"/>
                <w:sz w:val="24"/>
                <w:szCs w:val="24"/>
              </w:rPr>
              <w:t>prīļa vadlīnijām Nr.</w:t>
            </w:r>
            <w:r w:rsidR="00A44E75">
              <w:rPr>
                <w:spacing w:val="-3"/>
                <w:sz w:val="24"/>
                <w:szCs w:val="24"/>
              </w:rPr>
              <w:t> </w:t>
            </w:r>
            <w:r w:rsidRPr="00CA4586">
              <w:rPr>
                <w:spacing w:val="-3"/>
                <w:sz w:val="24"/>
                <w:szCs w:val="24"/>
              </w:rPr>
              <w:t xml:space="preserve">2.2 </w:t>
            </w:r>
            <w:r w:rsidR="00EF4D59">
              <w:rPr>
                <w:spacing w:val="-3"/>
                <w:sz w:val="24"/>
                <w:szCs w:val="24"/>
              </w:rPr>
              <w:t>"</w:t>
            </w:r>
            <w:r w:rsidRPr="00CA4586">
              <w:rPr>
                <w:spacing w:val="-3"/>
                <w:sz w:val="24"/>
                <w:szCs w:val="24"/>
              </w:rPr>
              <w:t>Vadlīnijas Ministru kabineta noteikumu par specifiskā atbalsta mērķa īstenošanu izstrādei</w:t>
            </w:r>
            <w:r w:rsidR="00EF4D59">
              <w:rPr>
                <w:spacing w:val="-3"/>
                <w:sz w:val="24"/>
                <w:szCs w:val="24"/>
              </w:rPr>
              <w:t>"</w:t>
            </w:r>
            <w:r w:rsidR="00C02179" w:rsidRPr="00CA4586">
              <w:rPr>
                <w:spacing w:val="-3"/>
                <w:sz w:val="24"/>
                <w:szCs w:val="24"/>
              </w:rPr>
              <w:t>, kas attiecas uz ne</w:t>
            </w:r>
            <w:r w:rsidR="003D2575" w:rsidRPr="00CA4586">
              <w:rPr>
                <w:spacing w:val="-3"/>
                <w:sz w:val="24"/>
                <w:szCs w:val="24"/>
              </w:rPr>
              <w:t>tiešajām izmaksām un horizontālā</w:t>
            </w:r>
            <w:r w:rsidR="00C02179" w:rsidRPr="00CA4586">
              <w:rPr>
                <w:spacing w:val="-3"/>
                <w:sz w:val="24"/>
                <w:szCs w:val="24"/>
              </w:rPr>
              <w:t xml:space="preserve"> principa </w:t>
            </w:r>
            <w:r w:rsidR="00EF4D59">
              <w:rPr>
                <w:spacing w:val="-3"/>
                <w:sz w:val="24"/>
                <w:szCs w:val="24"/>
              </w:rPr>
              <w:t>"</w:t>
            </w:r>
            <w:r w:rsidR="00C02179" w:rsidRPr="00CA4586">
              <w:rPr>
                <w:spacing w:val="-3"/>
                <w:sz w:val="24"/>
                <w:szCs w:val="24"/>
              </w:rPr>
              <w:t>Vienlīdzīgas iespējas</w:t>
            </w:r>
            <w:r w:rsidR="00EF4D59">
              <w:rPr>
                <w:spacing w:val="-3"/>
                <w:sz w:val="24"/>
                <w:szCs w:val="24"/>
              </w:rPr>
              <w:t>"</w:t>
            </w:r>
            <w:r w:rsidR="00C02179" w:rsidRPr="00CA4586">
              <w:rPr>
                <w:spacing w:val="-3"/>
                <w:sz w:val="24"/>
                <w:szCs w:val="24"/>
              </w:rPr>
              <w:t xml:space="preserve"> rādītāju uzkrāšanu.</w:t>
            </w:r>
          </w:p>
          <w:p w14:paraId="38850CE8" w14:textId="77777777" w:rsidR="00C64858" w:rsidRPr="00CA4586" w:rsidRDefault="00C64858" w:rsidP="00F1075D">
            <w:pPr>
              <w:pStyle w:val="BodyText"/>
              <w:tabs>
                <w:tab w:val="left" w:pos="547"/>
              </w:tabs>
              <w:spacing w:after="0"/>
              <w:ind w:left="127" w:right="140"/>
              <w:jc w:val="both"/>
              <w:rPr>
                <w:spacing w:val="-3"/>
                <w:sz w:val="24"/>
                <w:szCs w:val="24"/>
              </w:rPr>
            </w:pPr>
          </w:p>
          <w:p w14:paraId="38850CE9" w14:textId="0644DB0D" w:rsidR="002805B1" w:rsidRPr="00CA4586" w:rsidRDefault="00C64858" w:rsidP="00F1075D">
            <w:pPr>
              <w:pStyle w:val="BodyText"/>
              <w:tabs>
                <w:tab w:val="left" w:pos="547"/>
              </w:tabs>
              <w:spacing w:after="0"/>
              <w:ind w:left="127" w:right="140"/>
              <w:jc w:val="both"/>
              <w:rPr>
                <w:spacing w:val="-3"/>
                <w:sz w:val="24"/>
                <w:szCs w:val="24"/>
              </w:rPr>
            </w:pPr>
            <w:r w:rsidRPr="00CA4586">
              <w:rPr>
                <w:spacing w:val="-3"/>
                <w:sz w:val="24"/>
                <w:szCs w:val="24"/>
              </w:rPr>
              <w:t>Noteikumu projekts papildināts arī ar kārtību</w:t>
            </w:r>
            <w:r w:rsidR="00132ECA" w:rsidRPr="00CA4586">
              <w:rPr>
                <w:spacing w:val="-3"/>
                <w:sz w:val="24"/>
                <w:szCs w:val="24"/>
              </w:rPr>
              <w:t>,</w:t>
            </w:r>
            <w:r w:rsidRPr="00CA4586">
              <w:rPr>
                <w:spacing w:val="-3"/>
                <w:sz w:val="24"/>
                <w:szCs w:val="24"/>
              </w:rPr>
              <w:t xml:space="preserve"> kādā veicama datu uzkrāšana par pasākuma mērķa grupas dalībniekiem, kuri veic izlūkošanas, pretizlūkošanas darbības un ir operatīvās darbības subjekti un kuru identitāte nav atklājama </w:t>
            </w:r>
            <w:r w:rsidR="006978CF" w:rsidRPr="00CA4586">
              <w:rPr>
                <w:spacing w:val="-3"/>
                <w:sz w:val="24"/>
                <w:szCs w:val="24"/>
              </w:rPr>
              <w:t xml:space="preserve">saskaņā ar </w:t>
            </w:r>
            <w:r w:rsidR="00132ECA" w:rsidRPr="00CA4586">
              <w:rPr>
                <w:spacing w:val="-3"/>
                <w:sz w:val="24"/>
                <w:szCs w:val="24"/>
              </w:rPr>
              <w:t>likum</w:t>
            </w:r>
            <w:r w:rsidR="006978CF" w:rsidRPr="00CA4586">
              <w:rPr>
                <w:spacing w:val="-3"/>
                <w:sz w:val="24"/>
                <w:szCs w:val="24"/>
              </w:rPr>
              <w:t>u</w:t>
            </w:r>
            <w:r w:rsidR="00132ECA" w:rsidRPr="00CA4586">
              <w:rPr>
                <w:spacing w:val="-3"/>
                <w:sz w:val="24"/>
                <w:szCs w:val="24"/>
              </w:rPr>
              <w:t xml:space="preserve"> </w:t>
            </w:r>
            <w:r w:rsidR="00EF4D59">
              <w:rPr>
                <w:spacing w:val="-3"/>
                <w:sz w:val="24"/>
                <w:szCs w:val="24"/>
              </w:rPr>
              <w:t>"</w:t>
            </w:r>
            <w:r w:rsidRPr="00CA4586">
              <w:rPr>
                <w:spacing w:val="-3"/>
                <w:sz w:val="24"/>
                <w:szCs w:val="24"/>
              </w:rPr>
              <w:t>Par valsts noslēpumu</w:t>
            </w:r>
            <w:r w:rsidR="00EF4D59">
              <w:rPr>
                <w:spacing w:val="-3"/>
                <w:sz w:val="24"/>
                <w:szCs w:val="24"/>
              </w:rPr>
              <w:t>"</w:t>
            </w:r>
            <w:r w:rsidR="00FD1DAA" w:rsidRPr="00CA4586">
              <w:rPr>
                <w:spacing w:val="-3"/>
                <w:sz w:val="24"/>
                <w:szCs w:val="24"/>
              </w:rPr>
              <w:t xml:space="preserve">, Operatīvās darbības </w:t>
            </w:r>
            <w:r w:rsidR="00132ECA" w:rsidRPr="00CA4586">
              <w:rPr>
                <w:spacing w:val="-3"/>
                <w:sz w:val="24"/>
                <w:szCs w:val="24"/>
              </w:rPr>
              <w:t>likum</w:t>
            </w:r>
            <w:r w:rsidR="006978CF" w:rsidRPr="00CA4586">
              <w:rPr>
                <w:spacing w:val="-3"/>
                <w:sz w:val="24"/>
                <w:szCs w:val="24"/>
              </w:rPr>
              <w:t xml:space="preserve">u </w:t>
            </w:r>
            <w:r w:rsidRPr="00CA4586">
              <w:rPr>
                <w:spacing w:val="-3"/>
                <w:sz w:val="24"/>
                <w:szCs w:val="24"/>
              </w:rPr>
              <w:t xml:space="preserve">un Valsts drošības iestāžu </w:t>
            </w:r>
            <w:r w:rsidR="00132ECA" w:rsidRPr="00CA4586">
              <w:rPr>
                <w:spacing w:val="-3"/>
                <w:sz w:val="24"/>
                <w:szCs w:val="24"/>
              </w:rPr>
              <w:t>likum</w:t>
            </w:r>
            <w:r w:rsidR="006978CF" w:rsidRPr="00CA4586">
              <w:rPr>
                <w:spacing w:val="-3"/>
                <w:sz w:val="24"/>
                <w:szCs w:val="24"/>
              </w:rPr>
              <w:t>u</w:t>
            </w:r>
            <w:r w:rsidR="00FD1DAA" w:rsidRPr="00CA4586">
              <w:rPr>
                <w:spacing w:val="-3"/>
                <w:sz w:val="24"/>
                <w:szCs w:val="24"/>
              </w:rPr>
              <w:t>, kā arī</w:t>
            </w:r>
            <w:r w:rsidR="006214CF">
              <w:rPr>
                <w:spacing w:val="-3"/>
                <w:sz w:val="24"/>
                <w:szCs w:val="24"/>
              </w:rPr>
              <w:t xml:space="preserve"> normatīv</w:t>
            </w:r>
            <w:r w:rsidR="00A44E75">
              <w:rPr>
                <w:spacing w:val="-3"/>
                <w:sz w:val="24"/>
                <w:szCs w:val="24"/>
              </w:rPr>
              <w:t>aj</w:t>
            </w:r>
            <w:r w:rsidR="006214CF">
              <w:rPr>
                <w:spacing w:val="-3"/>
                <w:sz w:val="24"/>
                <w:szCs w:val="24"/>
              </w:rPr>
              <w:t>iem aktiem par valsts noslēpumu sarakstu</w:t>
            </w:r>
            <w:r w:rsidR="002805B1" w:rsidRPr="00CA4586">
              <w:rPr>
                <w:spacing w:val="-3"/>
                <w:sz w:val="24"/>
                <w:szCs w:val="24"/>
              </w:rPr>
              <w:t xml:space="preserve">. </w:t>
            </w:r>
            <w:r w:rsidR="006978CF" w:rsidRPr="00CA4586">
              <w:rPr>
                <w:spacing w:val="-3"/>
                <w:sz w:val="24"/>
                <w:szCs w:val="24"/>
              </w:rPr>
              <w:t>P</w:t>
            </w:r>
            <w:r w:rsidR="00956731" w:rsidRPr="00CA4586">
              <w:rPr>
                <w:spacing w:val="-3"/>
                <w:sz w:val="24"/>
                <w:szCs w:val="24"/>
              </w:rPr>
              <w:t xml:space="preserve">rojektu uzraudzības procesa ietvaros </w:t>
            </w:r>
            <w:r w:rsidR="002805B1" w:rsidRPr="00CA4586">
              <w:rPr>
                <w:spacing w:val="-3"/>
                <w:sz w:val="24"/>
                <w:szCs w:val="24"/>
              </w:rPr>
              <w:t>par minētajiem dalībniekiem nevar tikt pieprasīta informācija, kas apdraud viņu identitātes atklāšanu, bet</w:t>
            </w:r>
            <w:r w:rsidR="00A44E75">
              <w:rPr>
                <w:spacing w:val="-3"/>
                <w:sz w:val="24"/>
                <w:szCs w:val="24"/>
              </w:rPr>
              <w:t>,</w:t>
            </w:r>
            <w:r w:rsidR="002805B1" w:rsidRPr="00CA4586">
              <w:rPr>
                <w:spacing w:val="-3"/>
                <w:sz w:val="24"/>
                <w:szCs w:val="24"/>
              </w:rPr>
              <w:t xml:space="preserve"> lai nodrošinātu korektu 3.4.2.1. pasākuma iznākuma un rezultāta rādītāju izpildes uzskaiti, finansējuma saņēmējam ir jāveic tikai kvantitatīvo datu uzkrāšana.</w:t>
            </w:r>
            <w:r w:rsidR="00C25CD8" w:rsidRPr="00CA4586">
              <w:rPr>
                <w:spacing w:val="-3"/>
                <w:sz w:val="24"/>
                <w:szCs w:val="24"/>
              </w:rPr>
              <w:t xml:space="preserve"> </w:t>
            </w:r>
            <w:r w:rsidR="005E3D57" w:rsidRPr="00CA4586">
              <w:rPr>
                <w:spacing w:val="-3"/>
                <w:sz w:val="24"/>
                <w:szCs w:val="24"/>
              </w:rPr>
              <w:t>Tas nozīmē, ka finansējuma saņēmējam par minētajiem dalībniekiem nav jāaizpilda Ministru kabineta 2015</w:t>
            </w:r>
            <w:r w:rsidR="00EF4D59">
              <w:rPr>
                <w:spacing w:val="-3"/>
                <w:sz w:val="24"/>
                <w:szCs w:val="24"/>
              </w:rPr>
              <w:t>.</w:t>
            </w:r>
            <w:r w:rsidR="00A44E75">
              <w:rPr>
                <w:spacing w:val="-3"/>
                <w:sz w:val="24"/>
                <w:szCs w:val="24"/>
              </w:rPr>
              <w:t> </w:t>
            </w:r>
            <w:r w:rsidR="00EF4D59">
              <w:rPr>
                <w:spacing w:val="-3"/>
                <w:sz w:val="24"/>
                <w:szCs w:val="24"/>
              </w:rPr>
              <w:t>g</w:t>
            </w:r>
            <w:r w:rsidR="005E3D57" w:rsidRPr="00CA4586">
              <w:rPr>
                <w:spacing w:val="-3"/>
                <w:sz w:val="24"/>
                <w:szCs w:val="24"/>
              </w:rPr>
              <w:t>ada 10</w:t>
            </w:r>
            <w:r w:rsidR="00EF4D59">
              <w:rPr>
                <w:spacing w:val="-3"/>
                <w:sz w:val="24"/>
                <w:szCs w:val="24"/>
              </w:rPr>
              <w:t>.</w:t>
            </w:r>
            <w:r w:rsidR="00A44E75">
              <w:rPr>
                <w:spacing w:val="-3"/>
                <w:sz w:val="24"/>
                <w:szCs w:val="24"/>
              </w:rPr>
              <w:t> </w:t>
            </w:r>
            <w:r w:rsidR="00EF4D59">
              <w:rPr>
                <w:spacing w:val="-3"/>
                <w:sz w:val="24"/>
                <w:szCs w:val="24"/>
              </w:rPr>
              <w:t>f</w:t>
            </w:r>
            <w:r w:rsidR="005E3D57" w:rsidRPr="00CA4586">
              <w:rPr>
                <w:spacing w:val="-3"/>
                <w:sz w:val="24"/>
                <w:szCs w:val="24"/>
              </w:rPr>
              <w:t>ebruāra noteikumu Nr.</w:t>
            </w:r>
            <w:r w:rsidR="00A44E75">
              <w:rPr>
                <w:spacing w:val="-3"/>
                <w:sz w:val="24"/>
                <w:szCs w:val="24"/>
              </w:rPr>
              <w:t> </w:t>
            </w:r>
            <w:r w:rsidR="005E3D57" w:rsidRPr="00CA4586">
              <w:rPr>
                <w:spacing w:val="-3"/>
                <w:sz w:val="24"/>
                <w:szCs w:val="24"/>
              </w:rPr>
              <w:t xml:space="preserve">77 </w:t>
            </w:r>
            <w:r w:rsidR="00EF4D59">
              <w:rPr>
                <w:spacing w:val="-3"/>
                <w:sz w:val="24"/>
                <w:szCs w:val="24"/>
              </w:rPr>
              <w:t>"</w:t>
            </w:r>
            <w:r w:rsidR="005E3D57" w:rsidRPr="00CA4586">
              <w:rPr>
                <w:spacing w:val="-3"/>
                <w:sz w:val="24"/>
                <w:szCs w:val="24"/>
              </w:rPr>
              <w:t>Eiropas Savienības struktūrfondu un Kohēzijas fonda projektu pārbaužu veikšanas kārtība 2014.–2020</w:t>
            </w:r>
            <w:r w:rsidR="00EF4D59">
              <w:rPr>
                <w:spacing w:val="-3"/>
                <w:sz w:val="24"/>
                <w:szCs w:val="24"/>
              </w:rPr>
              <w:t>. g</w:t>
            </w:r>
            <w:r w:rsidR="005E3D57" w:rsidRPr="00CA4586">
              <w:rPr>
                <w:spacing w:val="-3"/>
                <w:sz w:val="24"/>
                <w:szCs w:val="24"/>
              </w:rPr>
              <w:t>ada plānošanas periodā</w:t>
            </w:r>
            <w:r w:rsidR="00EF4D59">
              <w:rPr>
                <w:spacing w:val="-3"/>
                <w:sz w:val="24"/>
                <w:szCs w:val="24"/>
              </w:rPr>
              <w:t>"</w:t>
            </w:r>
            <w:r w:rsidR="005E3D57" w:rsidRPr="00CA4586">
              <w:rPr>
                <w:spacing w:val="-3"/>
                <w:sz w:val="24"/>
                <w:szCs w:val="24"/>
              </w:rPr>
              <w:t xml:space="preserve"> 2</w:t>
            </w:r>
            <w:r w:rsidR="00EF4D59">
              <w:rPr>
                <w:spacing w:val="-3"/>
                <w:sz w:val="24"/>
                <w:szCs w:val="24"/>
              </w:rPr>
              <w:t>.</w:t>
            </w:r>
            <w:r w:rsidR="00A44E75">
              <w:rPr>
                <w:spacing w:val="-3"/>
                <w:sz w:val="24"/>
                <w:szCs w:val="24"/>
              </w:rPr>
              <w:t> </w:t>
            </w:r>
            <w:r w:rsidR="00EF4D59">
              <w:rPr>
                <w:spacing w:val="-3"/>
                <w:sz w:val="24"/>
                <w:szCs w:val="24"/>
              </w:rPr>
              <w:t>p</w:t>
            </w:r>
            <w:r w:rsidR="005E3D57" w:rsidRPr="00CA4586">
              <w:rPr>
                <w:spacing w:val="-3"/>
                <w:sz w:val="24"/>
                <w:szCs w:val="24"/>
              </w:rPr>
              <w:t>ielikuma E sadaļa, jo šī sadaļa ietver informāciju, kas pieprasa identificēt mācību dalībniekus</w:t>
            </w:r>
            <w:r w:rsidR="00956731" w:rsidRPr="00CA4586">
              <w:rPr>
                <w:spacing w:val="-3"/>
                <w:sz w:val="24"/>
                <w:szCs w:val="24"/>
              </w:rPr>
              <w:t>, norādot detalizētu informāciju (piemēram, personas kods, amats, ģimenes stāvoklis, tautība, invaliditāte), tai skaitā atklājot viņu identitāti,</w:t>
            </w:r>
            <w:r w:rsidR="005E3D57" w:rsidRPr="00CA4586">
              <w:rPr>
                <w:spacing w:val="-3"/>
                <w:sz w:val="24"/>
                <w:szCs w:val="24"/>
              </w:rPr>
              <w:t xml:space="preserve"> savukārt </w:t>
            </w:r>
            <w:r w:rsidR="00814AE1" w:rsidRPr="00CA4586">
              <w:rPr>
                <w:spacing w:val="-3"/>
                <w:sz w:val="24"/>
                <w:szCs w:val="24"/>
              </w:rPr>
              <w:t xml:space="preserve">atsevišķu institūciju nodarbināto identitātes atklāšanas aizliegumu nosaka likums </w:t>
            </w:r>
            <w:r w:rsidR="00EF4D59">
              <w:rPr>
                <w:spacing w:val="-3"/>
                <w:sz w:val="24"/>
                <w:szCs w:val="24"/>
              </w:rPr>
              <w:t>"</w:t>
            </w:r>
            <w:r w:rsidR="00814AE1" w:rsidRPr="00CA4586">
              <w:rPr>
                <w:spacing w:val="-3"/>
                <w:sz w:val="24"/>
                <w:szCs w:val="24"/>
              </w:rPr>
              <w:t>Par valsts noslēpumu</w:t>
            </w:r>
            <w:r w:rsidR="00EF4D59">
              <w:rPr>
                <w:spacing w:val="-3"/>
                <w:sz w:val="24"/>
                <w:szCs w:val="24"/>
              </w:rPr>
              <w:t>"</w:t>
            </w:r>
            <w:r w:rsidR="00FD1DAA" w:rsidRPr="00CA4586">
              <w:rPr>
                <w:spacing w:val="-3"/>
                <w:sz w:val="24"/>
                <w:szCs w:val="24"/>
              </w:rPr>
              <w:t xml:space="preserve">, Operatīvās darbības likums </w:t>
            </w:r>
            <w:r w:rsidR="00814AE1" w:rsidRPr="00CA4586">
              <w:rPr>
                <w:spacing w:val="-3"/>
                <w:sz w:val="24"/>
                <w:szCs w:val="24"/>
              </w:rPr>
              <w:t xml:space="preserve">un Valsts drošības iestāžu likums. </w:t>
            </w:r>
            <w:r w:rsidR="00C25CD8" w:rsidRPr="00CA4586">
              <w:rPr>
                <w:spacing w:val="-3"/>
                <w:sz w:val="24"/>
                <w:szCs w:val="24"/>
              </w:rPr>
              <w:t xml:space="preserve">Saskaņā ar vienošanos </w:t>
            </w:r>
            <w:r w:rsidR="008563B6">
              <w:rPr>
                <w:spacing w:val="-3"/>
                <w:sz w:val="24"/>
                <w:szCs w:val="24"/>
              </w:rPr>
              <w:t>starp</w:t>
            </w:r>
            <w:r w:rsidR="008563B6" w:rsidRPr="00CA4586">
              <w:rPr>
                <w:spacing w:val="-3"/>
                <w:sz w:val="24"/>
                <w:szCs w:val="24"/>
              </w:rPr>
              <w:t xml:space="preserve"> </w:t>
            </w:r>
            <w:r w:rsidR="006978CF" w:rsidRPr="00CA4586">
              <w:rPr>
                <w:spacing w:val="-3"/>
                <w:sz w:val="24"/>
                <w:szCs w:val="24"/>
              </w:rPr>
              <w:t>ES fondu uzraudzībā iesaistīt</w:t>
            </w:r>
            <w:r w:rsidR="008563B6">
              <w:rPr>
                <w:spacing w:val="-3"/>
                <w:sz w:val="24"/>
                <w:szCs w:val="24"/>
              </w:rPr>
              <w:t>ajām</w:t>
            </w:r>
            <w:r w:rsidR="006978CF" w:rsidRPr="00CA4586">
              <w:rPr>
                <w:spacing w:val="-3"/>
                <w:sz w:val="24"/>
                <w:szCs w:val="24"/>
              </w:rPr>
              <w:t xml:space="preserve"> </w:t>
            </w:r>
            <w:r w:rsidR="008563B6">
              <w:rPr>
                <w:spacing w:val="-3"/>
                <w:sz w:val="24"/>
                <w:szCs w:val="24"/>
              </w:rPr>
              <w:t xml:space="preserve">institūcijām </w:t>
            </w:r>
            <w:r w:rsidR="002805B1" w:rsidRPr="00CA4586">
              <w:rPr>
                <w:spacing w:val="-3"/>
                <w:sz w:val="24"/>
                <w:szCs w:val="24"/>
              </w:rPr>
              <w:t>minēt</w:t>
            </w:r>
            <w:r w:rsidR="00785CF6" w:rsidRPr="00CA4586">
              <w:rPr>
                <w:spacing w:val="-3"/>
                <w:sz w:val="24"/>
                <w:szCs w:val="24"/>
              </w:rPr>
              <w:t>o</w:t>
            </w:r>
            <w:r w:rsidR="002805B1" w:rsidRPr="00CA4586">
              <w:rPr>
                <w:spacing w:val="-3"/>
                <w:sz w:val="24"/>
                <w:szCs w:val="24"/>
              </w:rPr>
              <w:t xml:space="preserve"> mērķa </w:t>
            </w:r>
            <w:r w:rsidR="00785CF6" w:rsidRPr="00CA4586">
              <w:rPr>
                <w:spacing w:val="-3"/>
                <w:sz w:val="24"/>
                <w:szCs w:val="24"/>
              </w:rPr>
              <w:t xml:space="preserve">grupas dalībnieku pieteikšanu </w:t>
            </w:r>
            <w:r w:rsidR="004F400E" w:rsidRPr="00CA4586">
              <w:rPr>
                <w:spacing w:val="-3"/>
                <w:sz w:val="24"/>
                <w:szCs w:val="24"/>
              </w:rPr>
              <w:t>profesionālās pilnveides pasākumā apstiprina attiecīgās nosūt</w:t>
            </w:r>
            <w:r w:rsidR="00A44E75">
              <w:rPr>
                <w:spacing w:val="-3"/>
                <w:sz w:val="24"/>
                <w:szCs w:val="24"/>
              </w:rPr>
              <w:t>ītāj</w:t>
            </w:r>
            <w:r w:rsidR="004F400E" w:rsidRPr="00CA4586">
              <w:rPr>
                <w:spacing w:val="-3"/>
                <w:sz w:val="24"/>
                <w:szCs w:val="24"/>
              </w:rPr>
              <w:t>institūcijas vadītājs, pirms apmācībām iesniedzot finansējuma saņēmējam apliecinājum</w:t>
            </w:r>
            <w:r w:rsidR="00954E14" w:rsidRPr="00CA4586">
              <w:rPr>
                <w:spacing w:val="-3"/>
                <w:sz w:val="24"/>
                <w:szCs w:val="24"/>
              </w:rPr>
              <w:t>u par plānoto dalībnieku skaitu, s</w:t>
            </w:r>
            <w:r w:rsidR="004F400E" w:rsidRPr="00CA4586">
              <w:rPr>
                <w:spacing w:val="-3"/>
                <w:sz w:val="24"/>
                <w:szCs w:val="24"/>
              </w:rPr>
              <w:t xml:space="preserve">avukārt </w:t>
            </w:r>
            <w:r w:rsidR="00954E14" w:rsidRPr="00CA4586">
              <w:rPr>
                <w:spacing w:val="-3"/>
                <w:sz w:val="24"/>
                <w:szCs w:val="24"/>
              </w:rPr>
              <w:t>pēc apmācībām attiecīgās nosūt</w:t>
            </w:r>
            <w:r w:rsidR="00A44E75">
              <w:rPr>
                <w:spacing w:val="-3"/>
                <w:sz w:val="24"/>
                <w:szCs w:val="24"/>
              </w:rPr>
              <w:t>ītāj</w:t>
            </w:r>
            <w:r w:rsidR="00954E14" w:rsidRPr="00CA4586">
              <w:rPr>
                <w:spacing w:val="-3"/>
                <w:sz w:val="24"/>
                <w:szCs w:val="24"/>
              </w:rPr>
              <w:t xml:space="preserve">institūcijas vadītājs finansējuma saņēmējam </w:t>
            </w:r>
            <w:r w:rsidR="00A44E75" w:rsidRPr="00CA4586">
              <w:rPr>
                <w:spacing w:val="-3"/>
                <w:sz w:val="24"/>
                <w:szCs w:val="24"/>
              </w:rPr>
              <w:t xml:space="preserve">ar </w:t>
            </w:r>
            <w:r w:rsidR="00A44E75">
              <w:rPr>
                <w:spacing w:val="-3"/>
                <w:sz w:val="24"/>
                <w:szCs w:val="24"/>
              </w:rPr>
              <w:t>rakstisku</w:t>
            </w:r>
            <w:r w:rsidR="00954E14" w:rsidRPr="00CA4586">
              <w:rPr>
                <w:spacing w:val="-3"/>
                <w:sz w:val="24"/>
                <w:szCs w:val="24"/>
              </w:rPr>
              <w:t xml:space="preserve"> </w:t>
            </w:r>
            <w:r w:rsidR="00A44E75" w:rsidRPr="00CA4586">
              <w:rPr>
                <w:spacing w:val="-3"/>
                <w:sz w:val="24"/>
                <w:szCs w:val="24"/>
              </w:rPr>
              <w:t xml:space="preserve">izziņu </w:t>
            </w:r>
            <w:r w:rsidR="00954E14" w:rsidRPr="00CA4586">
              <w:rPr>
                <w:spacing w:val="-3"/>
                <w:sz w:val="24"/>
                <w:szCs w:val="24"/>
              </w:rPr>
              <w:t xml:space="preserve">apliecina </w:t>
            </w:r>
            <w:r w:rsidR="004F400E" w:rsidRPr="00CA4586">
              <w:rPr>
                <w:spacing w:val="-3"/>
                <w:sz w:val="24"/>
                <w:szCs w:val="24"/>
              </w:rPr>
              <w:t>faktisk</w:t>
            </w:r>
            <w:r w:rsidR="00954E14" w:rsidRPr="00CA4586">
              <w:rPr>
                <w:spacing w:val="-3"/>
                <w:sz w:val="24"/>
                <w:szCs w:val="24"/>
              </w:rPr>
              <w:t>i</w:t>
            </w:r>
            <w:r w:rsidR="004F400E" w:rsidRPr="00CA4586">
              <w:rPr>
                <w:spacing w:val="-3"/>
                <w:sz w:val="24"/>
                <w:szCs w:val="24"/>
              </w:rPr>
              <w:t xml:space="preserve"> apmācī</w:t>
            </w:r>
            <w:r w:rsidR="00954E14" w:rsidRPr="00CA4586">
              <w:rPr>
                <w:spacing w:val="-3"/>
                <w:sz w:val="24"/>
                <w:szCs w:val="24"/>
              </w:rPr>
              <w:t>to</w:t>
            </w:r>
            <w:r w:rsidR="004F400E" w:rsidRPr="00CA4586">
              <w:rPr>
                <w:spacing w:val="-3"/>
                <w:sz w:val="24"/>
                <w:szCs w:val="24"/>
              </w:rPr>
              <w:t xml:space="preserve"> dalībnieku skaitu</w:t>
            </w:r>
            <w:r w:rsidR="00785CF6" w:rsidRPr="00CA4586">
              <w:rPr>
                <w:spacing w:val="-3"/>
                <w:sz w:val="24"/>
                <w:szCs w:val="24"/>
              </w:rPr>
              <w:t>.</w:t>
            </w:r>
          </w:p>
          <w:p w14:paraId="38850CEC" w14:textId="7958D903" w:rsidR="00C25CD8" w:rsidRPr="00CA4586" w:rsidRDefault="008563B6" w:rsidP="00F1075D">
            <w:pPr>
              <w:pStyle w:val="BodyText"/>
              <w:tabs>
                <w:tab w:val="left" w:pos="547"/>
              </w:tabs>
              <w:ind w:left="127" w:right="140"/>
              <w:jc w:val="both"/>
              <w:rPr>
                <w:spacing w:val="-3"/>
                <w:sz w:val="24"/>
                <w:szCs w:val="24"/>
              </w:rPr>
            </w:pPr>
            <w:r>
              <w:rPr>
                <w:spacing w:val="-3"/>
                <w:sz w:val="24"/>
                <w:szCs w:val="24"/>
              </w:rPr>
              <w:t>Tādu d</w:t>
            </w:r>
            <w:r w:rsidR="00C25CD8" w:rsidRPr="00CA4586">
              <w:rPr>
                <w:spacing w:val="-3"/>
                <w:sz w:val="24"/>
                <w:szCs w:val="24"/>
              </w:rPr>
              <w:t>alībnieku</w:t>
            </w:r>
            <w:r w:rsidRPr="00CA4586">
              <w:rPr>
                <w:spacing w:val="-3"/>
                <w:sz w:val="24"/>
                <w:szCs w:val="24"/>
              </w:rPr>
              <w:t xml:space="preserve"> iesaiste</w:t>
            </w:r>
            <w:r w:rsidR="00C25CD8" w:rsidRPr="00CA4586">
              <w:rPr>
                <w:spacing w:val="-3"/>
                <w:sz w:val="24"/>
                <w:szCs w:val="24"/>
              </w:rPr>
              <w:t>, kuri ir operatīvās darbības subjekti un kuru identitāte nav atklājama</w:t>
            </w:r>
            <w:r w:rsidR="005E3D57" w:rsidRPr="00CA4586">
              <w:rPr>
                <w:spacing w:val="-3"/>
                <w:sz w:val="24"/>
                <w:szCs w:val="24"/>
              </w:rPr>
              <w:t xml:space="preserve"> (piemēram, Drošības policijas un Korupcijas novēršanas un apkarošanas biroja darbinieki)</w:t>
            </w:r>
            <w:r w:rsidR="00C25CD8" w:rsidRPr="00CA4586">
              <w:rPr>
                <w:spacing w:val="-3"/>
                <w:sz w:val="24"/>
                <w:szCs w:val="24"/>
              </w:rPr>
              <w:t xml:space="preserve">, paredzama </w:t>
            </w:r>
            <w:r w:rsidR="005918A7">
              <w:rPr>
                <w:spacing w:val="-3"/>
                <w:sz w:val="24"/>
                <w:szCs w:val="24"/>
              </w:rPr>
              <w:t xml:space="preserve">VAS </w:t>
            </w:r>
            <w:r w:rsidR="00C25CD8" w:rsidRPr="00CA4586">
              <w:rPr>
                <w:spacing w:val="-3"/>
                <w:sz w:val="24"/>
                <w:szCs w:val="24"/>
              </w:rPr>
              <w:t xml:space="preserve">īstenotajā Eiropas Sociālā fonda projektā </w:t>
            </w:r>
            <w:r w:rsidR="00EF4D59">
              <w:rPr>
                <w:spacing w:val="-3"/>
                <w:sz w:val="24"/>
                <w:szCs w:val="24"/>
              </w:rPr>
              <w:t>"</w:t>
            </w:r>
            <w:r w:rsidR="00C25CD8" w:rsidRPr="00CA4586">
              <w:rPr>
                <w:spacing w:val="-3"/>
                <w:sz w:val="24"/>
                <w:szCs w:val="24"/>
              </w:rPr>
              <w:t>Valsts pārvaldes cilvēkresursu profesionālā pilnveide korupcijas novēršanas un ēnu ekonomikas mazināšanas jomā</w:t>
            </w:r>
            <w:r w:rsidR="00EF4D59">
              <w:rPr>
                <w:spacing w:val="-3"/>
                <w:sz w:val="24"/>
                <w:szCs w:val="24"/>
              </w:rPr>
              <w:t>"</w:t>
            </w:r>
            <w:r w:rsidR="00C25CD8" w:rsidRPr="00CA4586">
              <w:rPr>
                <w:spacing w:val="-3"/>
                <w:sz w:val="24"/>
                <w:szCs w:val="24"/>
              </w:rPr>
              <w:t xml:space="preserve"> </w:t>
            </w:r>
            <w:r w:rsidR="00131E15" w:rsidRPr="00CA4586">
              <w:rPr>
                <w:spacing w:val="-3"/>
                <w:sz w:val="24"/>
                <w:szCs w:val="24"/>
              </w:rPr>
              <w:t>(Nr.3.4.2.0/15/I/002), kura ietvaros ir paredzētas apmācības, piemēram par ekonomisko noziegumu izmeklēšanu</w:t>
            </w:r>
            <w:r w:rsidR="00956731" w:rsidRPr="00CA4586">
              <w:rPr>
                <w:spacing w:val="-3"/>
                <w:sz w:val="24"/>
                <w:szCs w:val="24"/>
              </w:rPr>
              <w:t xml:space="preserve"> un </w:t>
            </w:r>
            <w:r w:rsidR="00131E15" w:rsidRPr="00CA4586">
              <w:rPr>
                <w:spacing w:val="-3"/>
                <w:sz w:val="24"/>
                <w:szCs w:val="24"/>
              </w:rPr>
              <w:t xml:space="preserve">stratēģiskās un operatīvās analīzes metodēm noziedzīgu nodarījumu izmeklēšanā </w:t>
            </w:r>
            <w:r w:rsidR="00C25CD8" w:rsidRPr="00CA4586">
              <w:rPr>
                <w:spacing w:val="-3"/>
                <w:sz w:val="24"/>
                <w:szCs w:val="24"/>
              </w:rPr>
              <w:t xml:space="preserve">un iespēju robežās šo dalībnieku apmācība tiks organizēta nošķirti no citu institūciju mērķa grupas dalībniekiem. </w:t>
            </w:r>
            <w:r w:rsidR="00542B50" w:rsidRPr="00CA4586">
              <w:rPr>
                <w:spacing w:val="-3"/>
                <w:sz w:val="24"/>
                <w:szCs w:val="24"/>
              </w:rPr>
              <w:t xml:space="preserve">Informāciju par mācību pasākumiem, kurās tiek vai var tikt skatīti jautājumi par operatīvas darbības, izmeklēšanas, izlūkošanas aspektiem, finansējuma saņēmējs sniegs sadarbības iestādei, taču neievietos tīmekļvietnē un mācību pasākumu kalendārā, lai neveidotu šiem pasākumiem nevajadzīgu publicitāti un izvairītos no nepiederošu personu klātbūtnes. </w:t>
            </w:r>
            <w:r w:rsidR="00C25CD8" w:rsidRPr="00CA4586">
              <w:rPr>
                <w:spacing w:val="-3"/>
                <w:sz w:val="24"/>
                <w:szCs w:val="24"/>
              </w:rPr>
              <w:t xml:space="preserve">Ja tomēr </w:t>
            </w:r>
            <w:r w:rsidR="005E3D57" w:rsidRPr="00CA4586">
              <w:rPr>
                <w:spacing w:val="-3"/>
                <w:sz w:val="24"/>
                <w:szCs w:val="24"/>
              </w:rPr>
              <w:t>minētie dalībnieki tiks integrēti kopējā mācību plūsmā, tad visu d</w:t>
            </w:r>
            <w:r w:rsidR="00C25CD8" w:rsidRPr="00CA4586">
              <w:rPr>
                <w:spacing w:val="-3"/>
                <w:sz w:val="24"/>
                <w:szCs w:val="24"/>
              </w:rPr>
              <w:t xml:space="preserve">alībnieku reģistrācija notiks ārpus apmācību </w:t>
            </w:r>
            <w:r w:rsidR="00C25CD8" w:rsidRPr="00CA4586">
              <w:rPr>
                <w:spacing w:val="-3"/>
                <w:sz w:val="24"/>
                <w:szCs w:val="24"/>
              </w:rPr>
              <w:lastRenderedPageBreak/>
              <w:t xml:space="preserve">telpas, </w:t>
            </w:r>
            <w:r w:rsidR="00A44E75">
              <w:rPr>
                <w:spacing w:val="-3"/>
                <w:sz w:val="24"/>
                <w:szCs w:val="24"/>
              </w:rPr>
              <w:t xml:space="preserve">lai </w:t>
            </w:r>
            <w:r w:rsidR="005E3D57" w:rsidRPr="00CA4586">
              <w:rPr>
                <w:spacing w:val="-3"/>
                <w:sz w:val="24"/>
                <w:szCs w:val="24"/>
              </w:rPr>
              <w:t>reģistrācijas lap</w:t>
            </w:r>
            <w:r w:rsidR="00A44E75">
              <w:rPr>
                <w:spacing w:val="-3"/>
                <w:sz w:val="24"/>
                <w:szCs w:val="24"/>
              </w:rPr>
              <w:t>as</w:t>
            </w:r>
            <w:r w:rsidR="005E3D57" w:rsidRPr="00CA4586">
              <w:rPr>
                <w:spacing w:val="-3"/>
                <w:sz w:val="24"/>
                <w:szCs w:val="24"/>
              </w:rPr>
              <w:t xml:space="preserve"> mācību laikā </w:t>
            </w:r>
            <w:r w:rsidR="00A44E75" w:rsidRPr="00CA4586">
              <w:rPr>
                <w:spacing w:val="-3"/>
                <w:sz w:val="24"/>
                <w:szCs w:val="24"/>
              </w:rPr>
              <w:t>necirkulēt</w:t>
            </w:r>
            <w:r w:rsidR="00A44E75">
              <w:rPr>
                <w:spacing w:val="-3"/>
                <w:sz w:val="24"/>
                <w:szCs w:val="24"/>
              </w:rPr>
              <w:t>u</w:t>
            </w:r>
            <w:r w:rsidR="00A44E75" w:rsidRPr="00CA4586">
              <w:rPr>
                <w:spacing w:val="-3"/>
                <w:sz w:val="24"/>
                <w:szCs w:val="24"/>
              </w:rPr>
              <w:t xml:space="preserve"> </w:t>
            </w:r>
            <w:r w:rsidR="005E3D57" w:rsidRPr="00CA4586">
              <w:rPr>
                <w:spacing w:val="-3"/>
                <w:sz w:val="24"/>
                <w:szCs w:val="24"/>
              </w:rPr>
              <w:t>starp dalībniekiem</w:t>
            </w:r>
            <w:r w:rsidR="00A44E75">
              <w:rPr>
                <w:spacing w:val="-3"/>
                <w:sz w:val="24"/>
                <w:szCs w:val="24"/>
              </w:rPr>
              <w:t xml:space="preserve"> un</w:t>
            </w:r>
            <w:r w:rsidR="00C25CD8" w:rsidRPr="00CA4586">
              <w:rPr>
                <w:spacing w:val="-3"/>
                <w:sz w:val="24"/>
                <w:szCs w:val="24"/>
              </w:rPr>
              <w:t xml:space="preserve"> neveidotos nevajadzīgi pārpratumi par mācību telpā</w:t>
            </w:r>
            <w:r w:rsidR="005E3D57" w:rsidRPr="00CA4586">
              <w:rPr>
                <w:spacing w:val="-3"/>
                <w:sz w:val="24"/>
                <w:szCs w:val="24"/>
              </w:rPr>
              <w:t xml:space="preserve"> esošo personu skaitu vai</w:t>
            </w:r>
            <w:r w:rsidR="00814AE1" w:rsidRPr="00CA4586">
              <w:rPr>
                <w:spacing w:val="-3"/>
                <w:sz w:val="24"/>
                <w:szCs w:val="24"/>
              </w:rPr>
              <w:t xml:space="preserve"> viņu</w:t>
            </w:r>
            <w:r w:rsidR="005E3D57" w:rsidRPr="00CA4586">
              <w:rPr>
                <w:spacing w:val="-3"/>
                <w:sz w:val="24"/>
                <w:szCs w:val="24"/>
              </w:rPr>
              <w:t xml:space="preserve"> identitāti.</w:t>
            </w:r>
            <w:r w:rsidR="003C1C1C" w:rsidRPr="00CA4586">
              <w:rPr>
                <w:spacing w:val="-3"/>
                <w:sz w:val="24"/>
                <w:szCs w:val="24"/>
              </w:rPr>
              <w:t xml:space="preserve"> </w:t>
            </w:r>
            <w:r w:rsidR="00956731" w:rsidRPr="00CA4586">
              <w:rPr>
                <w:spacing w:val="-3"/>
                <w:sz w:val="24"/>
                <w:szCs w:val="24"/>
              </w:rPr>
              <w:t xml:space="preserve">Komandējumu gadījumā </w:t>
            </w:r>
            <w:r w:rsidR="00956731" w:rsidRPr="00CA4586">
              <w:rPr>
                <w:rFonts w:cs="Times New Roman"/>
                <w:sz w:val="24"/>
                <w:szCs w:val="24"/>
              </w:rPr>
              <w:t xml:space="preserve">komandējumu </w:t>
            </w:r>
            <w:r w:rsidR="00A44E75" w:rsidRPr="00CA4586">
              <w:rPr>
                <w:rFonts w:cs="Times New Roman"/>
                <w:sz w:val="24"/>
                <w:szCs w:val="24"/>
              </w:rPr>
              <w:t xml:space="preserve">rīkojumu </w:t>
            </w:r>
            <w:r w:rsidR="00956731" w:rsidRPr="00CA4586">
              <w:rPr>
                <w:rFonts w:cs="Times New Roman"/>
                <w:sz w:val="24"/>
                <w:szCs w:val="24"/>
              </w:rPr>
              <w:t xml:space="preserve">oriģinālus </w:t>
            </w:r>
            <w:r w:rsidR="00647E83" w:rsidRPr="00CA4586">
              <w:rPr>
                <w:rFonts w:cs="Times New Roman"/>
                <w:sz w:val="24"/>
                <w:szCs w:val="24"/>
              </w:rPr>
              <w:t xml:space="preserve">attiecīgā iestāde un/vai finansējuma saņēmējs </w:t>
            </w:r>
            <w:r w:rsidR="00956731" w:rsidRPr="00CA4586">
              <w:rPr>
                <w:rFonts w:cs="Times New Roman"/>
                <w:sz w:val="24"/>
                <w:szCs w:val="24"/>
              </w:rPr>
              <w:t>var neiesniegt, ja tie satur sevišķi slepenu, slepenu vai konfidenciālu informāciju, šādā gadījumā norādot tikai informāciju par dokumenta reģistrāciju (izdevējs, datums, r</w:t>
            </w:r>
            <w:r w:rsidR="00647E83" w:rsidRPr="00CA4586">
              <w:rPr>
                <w:rFonts w:cs="Times New Roman"/>
                <w:sz w:val="24"/>
                <w:szCs w:val="24"/>
              </w:rPr>
              <w:t>eģistrācijas</w:t>
            </w:r>
            <w:r w:rsidR="00956731" w:rsidRPr="00CA4586">
              <w:rPr>
                <w:rFonts w:cs="Times New Roman"/>
                <w:sz w:val="24"/>
                <w:szCs w:val="24"/>
              </w:rPr>
              <w:t xml:space="preserve"> numurs</w:t>
            </w:r>
            <w:r w:rsidR="00647E83" w:rsidRPr="00CA4586">
              <w:rPr>
                <w:rFonts w:cs="Times New Roman"/>
                <w:sz w:val="24"/>
                <w:szCs w:val="24"/>
              </w:rPr>
              <w:t>).</w:t>
            </w:r>
          </w:p>
          <w:p w14:paraId="38850CF0" w14:textId="400F9B40" w:rsidR="00BF6A46" w:rsidRPr="004D2624" w:rsidRDefault="005918A7" w:rsidP="00A44E75">
            <w:pPr>
              <w:pStyle w:val="BodyText"/>
              <w:tabs>
                <w:tab w:val="left" w:pos="547"/>
              </w:tabs>
              <w:spacing w:after="0"/>
              <w:ind w:left="127" w:right="140"/>
              <w:jc w:val="both"/>
              <w:rPr>
                <w:iCs/>
                <w:sz w:val="24"/>
                <w:szCs w:val="24"/>
              </w:rPr>
            </w:pPr>
            <w:r>
              <w:rPr>
                <w:spacing w:val="-3"/>
                <w:sz w:val="24"/>
                <w:szCs w:val="24"/>
              </w:rPr>
              <w:t xml:space="preserve">VAS </w:t>
            </w:r>
            <w:r w:rsidR="00814AE1" w:rsidRPr="00CA4586">
              <w:rPr>
                <w:spacing w:val="-3"/>
                <w:sz w:val="24"/>
                <w:szCs w:val="24"/>
              </w:rPr>
              <w:t>neparedz organizēt tādus apmācību pasākumus, kuru saturā būtu ietverta valsts noslēpumu saturoša informācija, tāpēc atsevišķas darbības attiecībā uz mācību organizatorisko pusi un mācību</w:t>
            </w:r>
            <w:r w:rsidR="003C1C1C" w:rsidRPr="00CA4586">
              <w:rPr>
                <w:spacing w:val="-3"/>
                <w:sz w:val="24"/>
                <w:szCs w:val="24"/>
              </w:rPr>
              <w:t xml:space="preserve"> organizēšanā iesaistītā personāla nodrošināšanu ar pielaidi darbam</w:t>
            </w:r>
            <w:r w:rsidR="00A44E75">
              <w:rPr>
                <w:spacing w:val="-3"/>
                <w:sz w:val="24"/>
                <w:szCs w:val="24"/>
              </w:rPr>
              <w:t xml:space="preserve"> ar valsts noslēpumu nav jāveic</w:t>
            </w:r>
          </w:p>
        </w:tc>
      </w:tr>
      <w:tr w:rsidR="00D13B02" w:rsidRPr="00D13B02" w14:paraId="38850CF5" w14:textId="77777777" w:rsidTr="00325024">
        <w:trPr>
          <w:trHeight w:val="476"/>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38850CF2" w14:textId="77777777" w:rsidR="0070526D" w:rsidRPr="00D13B02" w:rsidRDefault="00CD29CB" w:rsidP="00F1075D">
            <w:pPr>
              <w:spacing w:before="100" w:beforeAutospacing="1" w:after="100" w:afterAutospacing="1"/>
              <w:ind w:right="140"/>
              <w:rPr>
                <w:rFonts w:eastAsia="Times New Roman" w:cs="Times New Roman"/>
                <w:sz w:val="24"/>
                <w:szCs w:val="24"/>
                <w:lang w:eastAsia="lv-LV"/>
              </w:rPr>
            </w:pPr>
            <w:r w:rsidRPr="00D13B02">
              <w:rPr>
                <w:rFonts w:eastAsia="Times New Roman" w:cs="Times New Roman"/>
                <w:sz w:val="24"/>
                <w:szCs w:val="24"/>
                <w:lang w:eastAsia="lv-LV"/>
              </w:rPr>
              <w:lastRenderedPageBreak/>
              <w:t> 3</w:t>
            </w:r>
            <w:r w:rsidR="0070526D" w:rsidRPr="00D13B02">
              <w:rPr>
                <w:rFonts w:eastAsia="Times New Roman" w:cs="Times New Roman"/>
                <w:sz w:val="24"/>
                <w:szCs w:val="24"/>
                <w:lang w:eastAsia="lv-LV"/>
              </w:rPr>
              <w:t>.</w:t>
            </w:r>
          </w:p>
        </w:tc>
        <w:tc>
          <w:tcPr>
            <w:tcW w:w="2334" w:type="dxa"/>
            <w:tcBorders>
              <w:top w:val="outset" w:sz="6" w:space="0" w:color="auto"/>
              <w:left w:val="outset" w:sz="6" w:space="0" w:color="auto"/>
              <w:bottom w:val="outset" w:sz="6" w:space="0" w:color="auto"/>
              <w:right w:val="outset" w:sz="6" w:space="0" w:color="auto"/>
            </w:tcBorders>
            <w:hideMark/>
          </w:tcPr>
          <w:p w14:paraId="38850CF3" w14:textId="77777777" w:rsidR="0070526D" w:rsidRPr="00D13B02" w:rsidRDefault="0070526D" w:rsidP="00F1075D">
            <w:pPr>
              <w:spacing w:before="100" w:beforeAutospacing="1" w:after="100" w:afterAutospacing="1"/>
              <w:ind w:right="140"/>
              <w:rPr>
                <w:rFonts w:eastAsia="Times New Roman" w:cs="Times New Roman"/>
                <w:sz w:val="24"/>
                <w:szCs w:val="24"/>
                <w:lang w:eastAsia="lv-LV"/>
              </w:rPr>
            </w:pPr>
            <w:r w:rsidRPr="00D13B02">
              <w:rPr>
                <w:rFonts w:eastAsia="Times New Roman" w:cs="Times New Roman"/>
                <w:sz w:val="24"/>
                <w:szCs w:val="24"/>
                <w:lang w:eastAsia="lv-LV"/>
              </w:rPr>
              <w:t> Projekta izstrādē iesaistītās institūcijas</w:t>
            </w:r>
          </w:p>
        </w:tc>
        <w:tc>
          <w:tcPr>
            <w:tcW w:w="7065" w:type="dxa"/>
            <w:tcBorders>
              <w:top w:val="outset" w:sz="6" w:space="0" w:color="auto"/>
              <w:left w:val="outset" w:sz="6" w:space="0" w:color="auto"/>
              <w:bottom w:val="outset" w:sz="6" w:space="0" w:color="auto"/>
              <w:right w:val="outset" w:sz="6" w:space="0" w:color="auto"/>
            </w:tcBorders>
            <w:hideMark/>
          </w:tcPr>
          <w:p w14:paraId="38850CF4" w14:textId="77777777" w:rsidR="0070526D" w:rsidRPr="00D13B02" w:rsidRDefault="00E13418" w:rsidP="00F1075D">
            <w:pPr>
              <w:tabs>
                <w:tab w:val="left" w:pos="572"/>
              </w:tabs>
              <w:spacing w:before="100" w:beforeAutospacing="1" w:after="100" w:afterAutospacing="1"/>
              <w:ind w:left="127" w:right="140"/>
              <w:jc w:val="both"/>
              <w:rPr>
                <w:rFonts w:eastAsia="Times New Roman" w:cs="Times New Roman"/>
                <w:sz w:val="24"/>
                <w:szCs w:val="24"/>
                <w:lang w:eastAsia="lv-LV"/>
              </w:rPr>
            </w:pPr>
            <w:r w:rsidRPr="00E13418">
              <w:rPr>
                <w:rFonts w:eastAsia="Times New Roman" w:cs="Times New Roman"/>
                <w:sz w:val="24"/>
                <w:szCs w:val="24"/>
                <w:lang w:eastAsia="lv-LV"/>
              </w:rPr>
              <w:t xml:space="preserve">Valsts kancelejas Eiropas Savienības struktūrfondu </w:t>
            </w:r>
            <w:r>
              <w:rPr>
                <w:rFonts w:eastAsia="Times New Roman" w:cs="Times New Roman"/>
                <w:sz w:val="24"/>
                <w:szCs w:val="24"/>
                <w:lang w:eastAsia="lv-LV"/>
              </w:rPr>
              <w:t>nodaļa</w:t>
            </w:r>
          </w:p>
        </w:tc>
      </w:tr>
      <w:tr w:rsidR="00D13B02" w:rsidRPr="00D13B02" w14:paraId="38850CF9" w14:textId="77777777" w:rsidTr="00325024">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38850CF6" w14:textId="77777777" w:rsidR="0070526D" w:rsidRPr="00D13B02" w:rsidRDefault="0070526D" w:rsidP="00F1075D">
            <w:pPr>
              <w:spacing w:before="100" w:beforeAutospacing="1" w:after="100" w:afterAutospacing="1"/>
              <w:ind w:right="140"/>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4</w:t>
            </w:r>
            <w:r w:rsidRPr="00D13B02">
              <w:rPr>
                <w:rFonts w:eastAsia="Times New Roman" w:cs="Times New Roman"/>
                <w:sz w:val="24"/>
                <w:szCs w:val="24"/>
                <w:lang w:eastAsia="lv-LV"/>
              </w:rPr>
              <w:t>.</w:t>
            </w:r>
          </w:p>
        </w:tc>
        <w:tc>
          <w:tcPr>
            <w:tcW w:w="2334" w:type="dxa"/>
            <w:tcBorders>
              <w:top w:val="outset" w:sz="6" w:space="0" w:color="auto"/>
              <w:left w:val="outset" w:sz="6" w:space="0" w:color="auto"/>
              <w:bottom w:val="outset" w:sz="6" w:space="0" w:color="auto"/>
              <w:right w:val="outset" w:sz="6" w:space="0" w:color="auto"/>
            </w:tcBorders>
            <w:hideMark/>
          </w:tcPr>
          <w:p w14:paraId="38850CF7" w14:textId="77777777" w:rsidR="0070526D" w:rsidRPr="00D13B02" w:rsidRDefault="0070526D" w:rsidP="00F1075D">
            <w:pPr>
              <w:spacing w:before="100" w:beforeAutospacing="1" w:after="100" w:afterAutospacing="1"/>
              <w:ind w:right="140"/>
              <w:rPr>
                <w:rFonts w:eastAsia="Times New Roman" w:cs="Times New Roman"/>
                <w:sz w:val="24"/>
                <w:szCs w:val="24"/>
                <w:lang w:eastAsia="lv-LV"/>
              </w:rPr>
            </w:pPr>
            <w:r w:rsidRPr="00D13B02">
              <w:rPr>
                <w:rFonts w:eastAsia="Times New Roman" w:cs="Times New Roman"/>
                <w:sz w:val="24"/>
                <w:szCs w:val="24"/>
                <w:lang w:eastAsia="lv-LV"/>
              </w:rPr>
              <w:t> Cita informācija</w:t>
            </w:r>
          </w:p>
        </w:tc>
        <w:tc>
          <w:tcPr>
            <w:tcW w:w="7065" w:type="dxa"/>
            <w:tcBorders>
              <w:top w:val="outset" w:sz="6" w:space="0" w:color="auto"/>
              <w:left w:val="outset" w:sz="6" w:space="0" w:color="auto"/>
              <w:bottom w:val="outset" w:sz="6" w:space="0" w:color="auto"/>
              <w:right w:val="outset" w:sz="6" w:space="0" w:color="auto"/>
            </w:tcBorders>
            <w:hideMark/>
          </w:tcPr>
          <w:p w14:paraId="38850CF8" w14:textId="20C71269" w:rsidR="0070526D" w:rsidRPr="00D13B02" w:rsidRDefault="006F716F" w:rsidP="00A44E75">
            <w:pPr>
              <w:spacing w:before="100" w:beforeAutospacing="1" w:after="100" w:afterAutospacing="1"/>
              <w:ind w:left="127" w:right="140"/>
              <w:rPr>
                <w:rFonts w:eastAsia="Times New Roman" w:cs="Times New Roman"/>
                <w:sz w:val="24"/>
                <w:szCs w:val="24"/>
                <w:lang w:eastAsia="lv-LV"/>
              </w:rPr>
            </w:pPr>
            <w:r>
              <w:rPr>
                <w:rFonts w:eastAsia="Times New Roman" w:cs="Times New Roman"/>
                <w:sz w:val="24"/>
                <w:szCs w:val="24"/>
                <w:lang w:eastAsia="lv-LV"/>
              </w:rPr>
              <w:t xml:space="preserve">Grozījumi noteikumu projektā jāiesniedz atbilstoši </w:t>
            </w:r>
            <w:r w:rsidR="00A44E75" w:rsidRPr="00B433A0">
              <w:rPr>
                <w:rFonts w:eastAsia="Times New Roman" w:cs="Times New Roman"/>
                <w:sz w:val="24"/>
                <w:szCs w:val="24"/>
                <w:lang w:eastAsia="lv-LV"/>
              </w:rPr>
              <w:t xml:space="preserve">Ministru kabineta </w:t>
            </w:r>
            <w:r w:rsidR="00B433A0" w:rsidRPr="00B433A0">
              <w:rPr>
                <w:rFonts w:eastAsia="Times New Roman" w:cs="Times New Roman"/>
                <w:sz w:val="24"/>
                <w:szCs w:val="24"/>
                <w:lang w:eastAsia="lv-LV"/>
              </w:rPr>
              <w:t>2016</w:t>
            </w:r>
            <w:r w:rsidR="00EF4D59">
              <w:rPr>
                <w:rFonts w:eastAsia="Times New Roman" w:cs="Times New Roman"/>
                <w:sz w:val="24"/>
                <w:szCs w:val="24"/>
                <w:lang w:eastAsia="lv-LV"/>
              </w:rPr>
              <w:t>. g</w:t>
            </w:r>
            <w:r w:rsidR="00B433A0" w:rsidRPr="00B433A0">
              <w:rPr>
                <w:rFonts w:eastAsia="Times New Roman" w:cs="Times New Roman"/>
                <w:sz w:val="24"/>
                <w:szCs w:val="24"/>
                <w:lang w:eastAsia="lv-LV"/>
              </w:rPr>
              <w:t>ada 6</w:t>
            </w:r>
            <w:r w:rsidR="00EF4D59">
              <w:rPr>
                <w:rFonts w:eastAsia="Times New Roman" w:cs="Times New Roman"/>
                <w:sz w:val="24"/>
                <w:szCs w:val="24"/>
                <w:lang w:eastAsia="lv-LV"/>
              </w:rPr>
              <w:t>.</w:t>
            </w:r>
            <w:r w:rsidR="00A44E75">
              <w:rPr>
                <w:rFonts w:eastAsia="Times New Roman" w:cs="Times New Roman"/>
                <w:sz w:val="24"/>
                <w:szCs w:val="24"/>
                <w:lang w:eastAsia="lv-LV"/>
              </w:rPr>
              <w:t> </w:t>
            </w:r>
            <w:r w:rsidR="00EF4D59">
              <w:rPr>
                <w:rFonts w:eastAsia="Times New Roman" w:cs="Times New Roman"/>
                <w:sz w:val="24"/>
                <w:szCs w:val="24"/>
                <w:lang w:eastAsia="lv-LV"/>
              </w:rPr>
              <w:t>s</w:t>
            </w:r>
            <w:r w:rsidR="00B433A0" w:rsidRPr="00B433A0">
              <w:rPr>
                <w:rFonts w:eastAsia="Times New Roman" w:cs="Times New Roman"/>
                <w:sz w:val="24"/>
                <w:szCs w:val="24"/>
                <w:lang w:eastAsia="lv-LV"/>
              </w:rPr>
              <w:t>eptembra sēde</w:t>
            </w:r>
            <w:r>
              <w:rPr>
                <w:rFonts w:eastAsia="Times New Roman" w:cs="Times New Roman"/>
                <w:sz w:val="24"/>
                <w:szCs w:val="24"/>
                <w:lang w:eastAsia="lv-LV"/>
              </w:rPr>
              <w:t>s protokola Nr.</w:t>
            </w:r>
            <w:r w:rsidR="00A44E75">
              <w:rPr>
                <w:rFonts w:eastAsia="Times New Roman" w:cs="Times New Roman"/>
                <w:sz w:val="24"/>
                <w:szCs w:val="24"/>
                <w:lang w:eastAsia="lv-LV"/>
              </w:rPr>
              <w:t> </w:t>
            </w:r>
            <w:r>
              <w:rPr>
                <w:rFonts w:eastAsia="Times New Roman" w:cs="Times New Roman"/>
                <w:sz w:val="24"/>
                <w:szCs w:val="24"/>
                <w:lang w:eastAsia="lv-LV"/>
              </w:rPr>
              <w:t>44</w:t>
            </w:r>
            <w:proofErr w:type="gramStart"/>
            <w:r>
              <w:rPr>
                <w:rFonts w:eastAsia="Times New Roman" w:cs="Times New Roman"/>
                <w:sz w:val="24"/>
                <w:szCs w:val="24"/>
                <w:lang w:eastAsia="lv-LV"/>
              </w:rPr>
              <w:t xml:space="preserve"> </w:t>
            </w:r>
            <w:r w:rsidR="00A44E75">
              <w:rPr>
                <w:rFonts w:eastAsia="Times New Roman" w:cs="Times New Roman"/>
                <w:sz w:val="24"/>
                <w:szCs w:val="24"/>
                <w:lang w:eastAsia="lv-LV"/>
              </w:rPr>
              <w:t xml:space="preserve"> </w:t>
            </w:r>
            <w:proofErr w:type="gramEnd"/>
            <w:r>
              <w:rPr>
                <w:rFonts w:eastAsia="Times New Roman" w:cs="Times New Roman"/>
                <w:sz w:val="24"/>
                <w:szCs w:val="24"/>
                <w:lang w:eastAsia="lv-LV"/>
              </w:rPr>
              <w:t>1.</w:t>
            </w:r>
            <w:r w:rsidR="00A44E75">
              <w:rPr>
                <w:rFonts w:eastAsia="Times New Roman" w:cs="Times New Roman"/>
                <w:sz w:val="24"/>
                <w:szCs w:val="24"/>
                <w:lang w:eastAsia="lv-LV"/>
              </w:rPr>
              <w:t> </w:t>
            </w:r>
            <w:r>
              <w:rPr>
                <w:rFonts w:eastAsia="Times New Roman" w:cs="Times New Roman"/>
                <w:sz w:val="24"/>
                <w:szCs w:val="24"/>
                <w:lang w:eastAsia="lv-LV"/>
              </w:rPr>
              <w:t>§ 2.1</w:t>
            </w:r>
            <w:r w:rsidR="00EF4D59">
              <w:rPr>
                <w:rFonts w:eastAsia="Times New Roman" w:cs="Times New Roman"/>
                <w:sz w:val="24"/>
                <w:szCs w:val="24"/>
                <w:lang w:eastAsia="lv-LV"/>
              </w:rPr>
              <w:t>.</w:t>
            </w:r>
            <w:r w:rsidR="00A44E75">
              <w:rPr>
                <w:rFonts w:eastAsia="Times New Roman" w:cs="Times New Roman"/>
                <w:sz w:val="24"/>
                <w:szCs w:val="24"/>
                <w:lang w:eastAsia="lv-LV"/>
              </w:rPr>
              <w:t> apakš</w:t>
            </w:r>
            <w:r w:rsidR="00EF4D59">
              <w:rPr>
                <w:rFonts w:eastAsia="Times New Roman" w:cs="Times New Roman"/>
                <w:sz w:val="24"/>
                <w:szCs w:val="24"/>
                <w:lang w:eastAsia="lv-LV"/>
              </w:rPr>
              <w:t>p</w:t>
            </w:r>
            <w:r>
              <w:rPr>
                <w:rFonts w:eastAsia="Times New Roman" w:cs="Times New Roman"/>
                <w:sz w:val="24"/>
                <w:szCs w:val="24"/>
                <w:lang w:eastAsia="lv-LV"/>
              </w:rPr>
              <w:t>unktā noteiktajam termiņam</w:t>
            </w:r>
          </w:p>
        </w:tc>
      </w:tr>
    </w:tbl>
    <w:p w14:paraId="38850CFA" w14:textId="77777777" w:rsidR="0070526D" w:rsidRPr="00D13B02" w:rsidRDefault="0070526D" w:rsidP="00F1075D">
      <w:pPr>
        <w:ind w:right="140"/>
        <w:rPr>
          <w:rFonts w:eastAsia="Times New Roman" w:cs="Times New Roman"/>
          <w:sz w:val="16"/>
          <w:szCs w:val="16"/>
          <w:lang w:eastAsia="lv-LV"/>
        </w:rPr>
      </w:pP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3024"/>
        <w:gridCol w:w="6237"/>
      </w:tblGrid>
      <w:tr w:rsidR="00D13B02" w:rsidRPr="00D13B02" w14:paraId="38850CFC" w14:textId="77777777" w:rsidTr="006E6796">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14:paraId="38850CFB" w14:textId="77777777" w:rsidR="00062334" w:rsidRPr="00751650" w:rsidRDefault="0070526D" w:rsidP="00F1075D">
            <w:pPr>
              <w:spacing w:before="100" w:beforeAutospacing="1" w:after="100" w:afterAutospacing="1"/>
              <w:ind w:right="140"/>
              <w:jc w:val="center"/>
              <w:rPr>
                <w:rFonts w:eastAsia="Times New Roman" w:cs="Times New Roman"/>
                <w:b/>
                <w:sz w:val="24"/>
                <w:szCs w:val="24"/>
                <w:lang w:eastAsia="lv-LV"/>
              </w:rPr>
            </w:pPr>
            <w:r w:rsidRPr="00751650">
              <w:rPr>
                <w:rFonts w:eastAsia="Times New Roman" w:cs="Times New Roman"/>
                <w:b/>
                <w:sz w:val="24"/>
                <w:szCs w:val="24"/>
                <w:lang w:eastAsia="lv-LV"/>
              </w:rPr>
              <w:t xml:space="preserve">II. </w:t>
            </w:r>
            <w:r w:rsidR="00222330" w:rsidRPr="00751650">
              <w:rPr>
                <w:rFonts w:eastAsia="Times New Roman" w:cs="Times New Roman"/>
                <w:b/>
                <w:bCs/>
                <w:sz w:val="24"/>
                <w:szCs w:val="24"/>
                <w:lang w:eastAsia="lv-LV"/>
              </w:rPr>
              <w:t>Tiesību akta projekta ietekme uz sabiedrību, tautsaimniecības attīstību un administratīvo slogu</w:t>
            </w:r>
          </w:p>
        </w:tc>
      </w:tr>
      <w:tr w:rsidR="00D13B02" w:rsidRPr="00D13B02" w14:paraId="38850D00" w14:textId="77777777" w:rsidTr="005219E9">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38850CFD" w14:textId="77777777" w:rsidR="0070526D" w:rsidRPr="00D13B02" w:rsidRDefault="0070526D" w:rsidP="00F1075D">
            <w:pPr>
              <w:spacing w:before="100" w:beforeAutospacing="1" w:after="100" w:afterAutospacing="1"/>
              <w:ind w:right="140"/>
              <w:rPr>
                <w:rFonts w:eastAsia="Times New Roman" w:cs="Times New Roman"/>
                <w:sz w:val="24"/>
                <w:szCs w:val="24"/>
                <w:lang w:eastAsia="lv-LV"/>
              </w:rPr>
            </w:pPr>
            <w:r w:rsidRPr="00D13B02">
              <w:rPr>
                <w:rFonts w:eastAsia="Times New Roman" w:cs="Times New Roman"/>
                <w:sz w:val="24"/>
                <w:szCs w:val="24"/>
                <w:lang w:eastAsia="lv-LV"/>
              </w:rPr>
              <w:t> 1.</w:t>
            </w:r>
          </w:p>
        </w:tc>
        <w:tc>
          <w:tcPr>
            <w:tcW w:w="3024" w:type="dxa"/>
            <w:tcBorders>
              <w:top w:val="outset" w:sz="6" w:space="0" w:color="auto"/>
              <w:left w:val="outset" w:sz="6" w:space="0" w:color="auto"/>
              <w:bottom w:val="outset" w:sz="6" w:space="0" w:color="auto"/>
              <w:right w:val="outset" w:sz="6" w:space="0" w:color="auto"/>
            </w:tcBorders>
            <w:hideMark/>
          </w:tcPr>
          <w:p w14:paraId="38850CFE" w14:textId="101A0E87" w:rsidR="0070526D" w:rsidRPr="00D13B02" w:rsidRDefault="00CD29CB" w:rsidP="00A44E75">
            <w:pPr>
              <w:spacing w:before="100" w:beforeAutospacing="1" w:after="100" w:afterAutospacing="1"/>
              <w:ind w:left="32" w:right="140"/>
              <w:rPr>
                <w:rFonts w:eastAsia="Times New Roman" w:cs="Times New Roman"/>
                <w:sz w:val="24"/>
                <w:szCs w:val="24"/>
                <w:lang w:eastAsia="lv-LV"/>
              </w:rPr>
            </w:pPr>
            <w:r w:rsidRPr="00D13B02">
              <w:rPr>
                <w:rFonts w:eastAsia="Times New Roman" w:cs="Times New Roman"/>
                <w:sz w:val="24"/>
                <w:szCs w:val="24"/>
                <w:lang w:eastAsia="lv-LV"/>
              </w:rPr>
              <w:t>Sabiedrības mērķgrupas, kuras tiesiskais regulējums ietekmē vai varētu ietekmēt</w:t>
            </w:r>
          </w:p>
        </w:tc>
        <w:tc>
          <w:tcPr>
            <w:tcW w:w="6237" w:type="dxa"/>
            <w:tcBorders>
              <w:top w:val="outset" w:sz="6" w:space="0" w:color="auto"/>
              <w:left w:val="outset" w:sz="6" w:space="0" w:color="auto"/>
              <w:bottom w:val="outset" w:sz="6" w:space="0" w:color="auto"/>
              <w:right w:val="outset" w:sz="6" w:space="0" w:color="auto"/>
            </w:tcBorders>
            <w:hideMark/>
          </w:tcPr>
          <w:p w14:paraId="38850CFF" w14:textId="77777777" w:rsidR="0070526D" w:rsidRPr="00D13B02" w:rsidRDefault="00C61D1E" w:rsidP="00A44E75">
            <w:pPr>
              <w:spacing w:before="100" w:beforeAutospacing="1" w:after="100" w:afterAutospacing="1"/>
              <w:ind w:left="127" w:right="140"/>
              <w:rPr>
                <w:rFonts w:eastAsia="Times New Roman" w:cs="Times New Roman"/>
                <w:sz w:val="24"/>
                <w:szCs w:val="24"/>
                <w:lang w:eastAsia="lv-LV"/>
              </w:rPr>
            </w:pPr>
            <w:r>
              <w:rPr>
                <w:rFonts w:eastAsia="Times New Roman" w:cs="Times New Roman"/>
                <w:sz w:val="24"/>
                <w:szCs w:val="24"/>
                <w:lang w:eastAsia="lv-LV"/>
              </w:rPr>
              <w:t>N</w:t>
            </w:r>
            <w:r w:rsidR="0034293C" w:rsidRPr="0034293C">
              <w:rPr>
                <w:rFonts w:eastAsia="Times New Roman" w:cs="Times New Roman"/>
                <w:sz w:val="24"/>
                <w:szCs w:val="24"/>
                <w:lang w:eastAsia="lv-LV"/>
              </w:rPr>
              <w:t>oteikumu projektā ir iekļautas normas, kas attiecas uz E</w:t>
            </w:r>
            <w:r w:rsidR="0034293C">
              <w:rPr>
                <w:rFonts w:eastAsia="Times New Roman" w:cs="Times New Roman"/>
                <w:sz w:val="24"/>
                <w:szCs w:val="24"/>
                <w:lang w:eastAsia="lv-LV"/>
              </w:rPr>
              <w:t xml:space="preserve">iropas </w:t>
            </w:r>
            <w:r w:rsidR="0034293C" w:rsidRPr="0034293C">
              <w:rPr>
                <w:rFonts w:eastAsia="Times New Roman" w:cs="Times New Roman"/>
                <w:sz w:val="24"/>
                <w:szCs w:val="24"/>
                <w:lang w:eastAsia="lv-LV"/>
              </w:rPr>
              <w:t>S</w:t>
            </w:r>
            <w:r w:rsidR="0034293C">
              <w:rPr>
                <w:rFonts w:eastAsia="Times New Roman" w:cs="Times New Roman"/>
                <w:sz w:val="24"/>
                <w:szCs w:val="24"/>
                <w:lang w:eastAsia="lv-LV"/>
              </w:rPr>
              <w:t>avienības</w:t>
            </w:r>
            <w:r w:rsidR="00751650">
              <w:rPr>
                <w:rFonts w:eastAsia="Times New Roman" w:cs="Times New Roman"/>
                <w:sz w:val="24"/>
                <w:szCs w:val="24"/>
                <w:lang w:eastAsia="lv-LV"/>
              </w:rPr>
              <w:t xml:space="preserve"> fondu finansējuma saņēmējiem</w:t>
            </w:r>
          </w:p>
        </w:tc>
      </w:tr>
      <w:tr w:rsidR="00D13B02" w:rsidRPr="00D13B02" w14:paraId="38850D04" w14:textId="77777777" w:rsidTr="005219E9">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38850D01"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2.</w:t>
            </w:r>
          </w:p>
        </w:tc>
        <w:tc>
          <w:tcPr>
            <w:tcW w:w="3024" w:type="dxa"/>
            <w:tcBorders>
              <w:top w:val="outset" w:sz="6" w:space="0" w:color="auto"/>
              <w:left w:val="outset" w:sz="6" w:space="0" w:color="auto"/>
              <w:bottom w:val="outset" w:sz="6" w:space="0" w:color="auto"/>
              <w:right w:val="outset" w:sz="6" w:space="0" w:color="auto"/>
            </w:tcBorders>
            <w:hideMark/>
          </w:tcPr>
          <w:p w14:paraId="38850D02" w14:textId="52AC165A" w:rsidR="0070526D" w:rsidRPr="00D13B02" w:rsidRDefault="00CD29CB" w:rsidP="00A44E75">
            <w:pPr>
              <w:spacing w:before="100" w:beforeAutospacing="1" w:after="100" w:afterAutospacing="1"/>
              <w:ind w:left="32"/>
              <w:rPr>
                <w:rFonts w:eastAsia="Times New Roman" w:cs="Times New Roman"/>
                <w:sz w:val="24"/>
                <w:szCs w:val="24"/>
                <w:lang w:eastAsia="lv-LV"/>
              </w:rPr>
            </w:pPr>
            <w:r w:rsidRPr="00D13B02">
              <w:rPr>
                <w:rFonts w:eastAsia="Times New Roman" w:cs="Times New Roman"/>
                <w:sz w:val="24"/>
                <w:szCs w:val="24"/>
                <w:lang w:eastAsia="lv-LV"/>
              </w:rPr>
              <w:t>Tiesiskā regulējuma ietekme uz tautsaimniecību un administratīvo slogu</w:t>
            </w:r>
          </w:p>
        </w:tc>
        <w:tc>
          <w:tcPr>
            <w:tcW w:w="6237" w:type="dxa"/>
            <w:tcBorders>
              <w:top w:val="outset" w:sz="6" w:space="0" w:color="auto"/>
              <w:left w:val="outset" w:sz="6" w:space="0" w:color="auto"/>
              <w:bottom w:val="outset" w:sz="6" w:space="0" w:color="auto"/>
              <w:right w:val="outset" w:sz="6" w:space="0" w:color="auto"/>
            </w:tcBorders>
          </w:tcPr>
          <w:p w14:paraId="38850D03" w14:textId="531A916F" w:rsidR="00076B41" w:rsidRPr="00D13B02" w:rsidRDefault="00FC29B4" w:rsidP="00A44E75">
            <w:pPr>
              <w:ind w:left="127"/>
              <w:rPr>
                <w:rFonts w:eastAsia="Times New Roman" w:cs="Times New Roman"/>
                <w:sz w:val="24"/>
                <w:szCs w:val="24"/>
                <w:lang w:eastAsia="lv-LV"/>
              </w:rPr>
            </w:pPr>
            <w:r>
              <w:rPr>
                <w:rFonts w:eastAsia="Times New Roman" w:cs="Times New Roman"/>
                <w:sz w:val="24"/>
                <w:szCs w:val="24"/>
                <w:lang w:eastAsia="lv-LV"/>
              </w:rPr>
              <w:t>Noteikumu p</w:t>
            </w:r>
            <w:r w:rsidR="00C61D1E">
              <w:rPr>
                <w:rFonts w:eastAsia="Times New Roman" w:cs="Times New Roman"/>
                <w:sz w:val="24"/>
                <w:szCs w:val="24"/>
                <w:lang w:eastAsia="lv-LV"/>
              </w:rPr>
              <w:t>rojekts šo jomu neskar</w:t>
            </w:r>
          </w:p>
        </w:tc>
      </w:tr>
      <w:tr w:rsidR="00D13B02" w:rsidRPr="00D13B02" w14:paraId="38850D08" w14:textId="77777777" w:rsidTr="005219E9">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38850D05"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3.</w:t>
            </w:r>
          </w:p>
        </w:tc>
        <w:tc>
          <w:tcPr>
            <w:tcW w:w="3024" w:type="dxa"/>
            <w:tcBorders>
              <w:top w:val="outset" w:sz="6" w:space="0" w:color="auto"/>
              <w:left w:val="outset" w:sz="6" w:space="0" w:color="auto"/>
              <w:bottom w:val="outset" w:sz="6" w:space="0" w:color="auto"/>
              <w:right w:val="outset" w:sz="6" w:space="0" w:color="auto"/>
            </w:tcBorders>
            <w:hideMark/>
          </w:tcPr>
          <w:p w14:paraId="38850D06" w14:textId="2EE25536" w:rsidR="0070526D" w:rsidRPr="00D13B02" w:rsidRDefault="00D34375" w:rsidP="00A44E75">
            <w:pPr>
              <w:spacing w:before="100" w:beforeAutospacing="1" w:after="100" w:afterAutospacing="1"/>
              <w:ind w:left="32"/>
              <w:rPr>
                <w:rFonts w:eastAsia="Times New Roman" w:cs="Times New Roman"/>
                <w:sz w:val="24"/>
                <w:szCs w:val="24"/>
                <w:lang w:eastAsia="lv-LV"/>
              </w:rPr>
            </w:pPr>
            <w:r w:rsidRPr="00D13B02">
              <w:rPr>
                <w:rFonts w:eastAsia="Times New Roman" w:cs="Times New Roman"/>
                <w:sz w:val="24"/>
                <w:szCs w:val="24"/>
                <w:lang w:eastAsia="lv-LV"/>
              </w:rPr>
              <w:t>Administratīvo izmaksu monetārs novērtējums</w:t>
            </w:r>
          </w:p>
        </w:tc>
        <w:tc>
          <w:tcPr>
            <w:tcW w:w="6237" w:type="dxa"/>
            <w:tcBorders>
              <w:top w:val="outset" w:sz="6" w:space="0" w:color="auto"/>
              <w:left w:val="outset" w:sz="6" w:space="0" w:color="auto"/>
              <w:bottom w:val="outset" w:sz="6" w:space="0" w:color="auto"/>
              <w:right w:val="outset" w:sz="6" w:space="0" w:color="auto"/>
            </w:tcBorders>
          </w:tcPr>
          <w:p w14:paraId="38850D07" w14:textId="5A2A5F96" w:rsidR="002D23CC" w:rsidRPr="00D13B02" w:rsidRDefault="00C61D1E" w:rsidP="00A44E75">
            <w:pPr>
              <w:ind w:left="127" w:right="127"/>
              <w:jc w:val="both"/>
              <w:rPr>
                <w:rFonts w:eastAsia="Times New Roman"/>
                <w:b/>
                <w:sz w:val="24"/>
                <w:szCs w:val="24"/>
                <w:lang w:eastAsia="lv-LV"/>
              </w:rPr>
            </w:pPr>
            <w:r w:rsidRPr="00C61D1E">
              <w:rPr>
                <w:rFonts w:eastAsia="Times New Roman" w:cs="Times New Roman"/>
                <w:sz w:val="24"/>
                <w:szCs w:val="24"/>
                <w:lang w:eastAsia="lv-LV"/>
              </w:rPr>
              <w:t>Noteikumu projekta ietvaros projekta finansējuma saņēmējs sagatavo</w:t>
            </w:r>
            <w:r w:rsidR="00B433A0">
              <w:rPr>
                <w:rFonts w:eastAsia="Times New Roman" w:cs="Times New Roman"/>
                <w:sz w:val="24"/>
                <w:szCs w:val="24"/>
                <w:lang w:eastAsia="lv-LV"/>
              </w:rPr>
              <w:t xml:space="preserve"> projekta grozījumus, samazinot projektā pieejamo finansējumu</w:t>
            </w:r>
            <w:r w:rsidRPr="00C61D1E">
              <w:rPr>
                <w:rFonts w:eastAsia="Times New Roman" w:cs="Times New Roman"/>
                <w:sz w:val="24"/>
                <w:szCs w:val="24"/>
                <w:lang w:eastAsia="lv-LV"/>
              </w:rPr>
              <w:t xml:space="preserve">, kā arī vismaz reizi trijos mēnešos </w:t>
            </w:r>
            <w:r w:rsidR="00A44E75" w:rsidRPr="00C61D1E">
              <w:rPr>
                <w:rFonts w:eastAsia="Times New Roman" w:cs="Times New Roman"/>
                <w:sz w:val="24"/>
                <w:szCs w:val="24"/>
                <w:lang w:eastAsia="lv-LV"/>
              </w:rPr>
              <w:t xml:space="preserve">tīmekļvietnē </w:t>
            </w:r>
            <w:r w:rsidRPr="00C61D1E">
              <w:rPr>
                <w:rFonts w:eastAsia="Times New Roman" w:cs="Times New Roman"/>
                <w:sz w:val="24"/>
                <w:szCs w:val="24"/>
                <w:lang w:eastAsia="lv-LV"/>
              </w:rPr>
              <w:t xml:space="preserve">aktualizē informāciju par projektu, savukārt sadarbības iestāde iesniedz atbildīgajā iestādē saskaņošanai finansējuma saņēmēja iesniegtos grozījumus, kas skar būtiskus projekta īstenošanas jautājumus. </w:t>
            </w:r>
            <w:r w:rsidR="00542B50">
              <w:rPr>
                <w:sz w:val="24"/>
                <w:szCs w:val="24"/>
              </w:rPr>
              <w:t>Ņemot vērā, ka atbilstoši aplēsēm noteikumu projektā ietverto prasību</w:t>
            </w:r>
            <w:r w:rsidR="00542B50" w:rsidRPr="00033B17">
              <w:rPr>
                <w:sz w:val="24"/>
                <w:szCs w:val="24"/>
              </w:rPr>
              <w:t xml:space="preserve"> administratīvo izmaksu</w:t>
            </w:r>
            <w:r w:rsidR="00542B50">
              <w:rPr>
                <w:sz w:val="24"/>
                <w:szCs w:val="24"/>
              </w:rPr>
              <w:t xml:space="preserve"> </w:t>
            </w:r>
            <w:r w:rsidR="00542B50" w:rsidRPr="00033B17">
              <w:rPr>
                <w:sz w:val="24"/>
                <w:szCs w:val="24"/>
              </w:rPr>
              <w:t xml:space="preserve">finansiālais novērtējums Eiropas Sociālā fonda projekta iesniedzējam un sadarbības partnerim </w:t>
            </w:r>
            <w:r w:rsidR="00542B50">
              <w:rPr>
                <w:sz w:val="24"/>
                <w:szCs w:val="24"/>
              </w:rPr>
              <w:t>gada laikā</w:t>
            </w:r>
            <w:r w:rsidR="00542B50" w:rsidRPr="00033B17">
              <w:rPr>
                <w:sz w:val="24"/>
                <w:szCs w:val="24"/>
              </w:rPr>
              <w:t xml:space="preserve"> </w:t>
            </w:r>
            <w:r w:rsidR="00542B50">
              <w:rPr>
                <w:sz w:val="24"/>
                <w:szCs w:val="24"/>
              </w:rPr>
              <w:t>ne</w:t>
            </w:r>
            <w:r w:rsidR="00542B50" w:rsidRPr="00033B17">
              <w:rPr>
                <w:sz w:val="24"/>
                <w:szCs w:val="24"/>
              </w:rPr>
              <w:t>pārsniedz 2</w:t>
            </w:r>
            <w:r w:rsidR="00A44E75">
              <w:rPr>
                <w:sz w:val="24"/>
                <w:szCs w:val="24"/>
              </w:rPr>
              <w:t> </w:t>
            </w:r>
            <w:r w:rsidR="00542B50" w:rsidRPr="00033B17">
              <w:rPr>
                <w:sz w:val="24"/>
                <w:szCs w:val="24"/>
              </w:rPr>
              <w:t>000</w:t>
            </w:r>
            <w:r w:rsidR="00A44E75">
              <w:rPr>
                <w:sz w:val="24"/>
                <w:szCs w:val="24"/>
              </w:rPr>
              <w:t> </w:t>
            </w:r>
            <w:r w:rsidR="00542B50" w:rsidRPr="00420F62">
              <w:rPr>
                <w:i/>
                <w:sz w:val="24"/>
                <w:szCs w:val="24"/>
              </w:rPr>
              <w:t>euro</w:t>
            </w:r>
            <w:r w:rsidR="00542B50">
              <w:rPr>
                <w:sz w:val="24"/>
                <w:szCs w:val="24"/>
              </w:rPr>
              <w:t>, tad administratīvā sloga detalizēts monetā</w:t>
            </w:r>
            <w:r w:rsidR="00A44E75">
              <w:rPr>
                <w:sz w:val="24"/>
                <w:szCs w:val="24"/>
              </w:rPr>
              <w:t>rais novērtējums netiek veikts</w:t>
            </w:r>
          </w:p>
        </w:tc>
      </w:tr>
      <w:tr w:rsidR="00D13B02" w:rsidRPr="00D13B02" w14:paraId="38850D0C" w14:textId="77777777" w:rsidTr="005219E9">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38850D09"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4.</w:t>
            </w:r>
          </w:p>
        </w:tc>
        <w:tc>
          <w:tcPr>
            <w:tcW w:w="3024" w:type="dxa"/>
            <w:tcBorders>
              <w:top w:val="outset" w:sz="6" w:space="0" w:color="auto"/>
              <w:left w:val="outset" w:sz="6" w:space="0" w:color="auto"/>
              <w:bottom w:val="outset" w:sz="6" w:space="0" w:color="auto"/>
              <w:right w:val="outset" w:sz="6" w:space="0" w:color="auto"/>
            </w:tcBorders>
            <w:hideMark/>
          </w:tcPr>
          <w:p w14:paraId="38850D0A"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D34375" w:rsidRPr="00D13B02">
              <w:rPr>
                <w:rFonts w:eastAsia="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14:paraId="38850D0B" w14:textId="77777777" w:rsidR="0070526D" w:rsidRPr="00D13B02" w:rsidRDefault="00AD6191" w:rsidP="00A44E75">
            <w:pPr>
              <w:spacing w:before="100" w:beforeAutospacing="1" w:after="100" w:afterAutospacing="1"/>
              <w:ind w:left="127"/>
              <w:rPr>
                <w:rFonts w:eastAsia="Times New Roman" w:cs="Times New Roman"/>
                <w:sz w:val="24"/>
                <w:szCs w:val="24"/>
                <w:lang w:eastAsia="lv-LV"/>
              </w:rPr>
            </w:pPr>
            <w:r w:rsidRPr="00D13B02">
              <w:rPr>
                <w:rFonts w:eastAsia="Times New Roman" w:cs="Times New Roman"/>
                <w:sz w:val="24"/>
                <w:szCs w:val="24"/>
                <w:lang w:eastAsia="lv-LV"/>
              </w:rPr>
              <w:t>Nav</w:t>
            </w:r>
          </w:p>
        </w:tc>
      </w:tr>
    </w:tbl>
    <w:p w14:paraId="38850D0D" w14:textId="4CDF4BD1" w:rsidR="00A44E75" w:rsidRDefault="0070526D" w:rsidP="00115E82">
      <w:pPr>
        <w:rPr>
          <w:rFonts w:eastAsia="Times New Roman" w:cs="Times New Roman"/>
          <w:sz w:val="16"/>
          <w:szCs w:val="16"/>
          <w:lang w:eastAsia="lv-LV"/>
        </w:rPr>
      </w:pPr>
      <w:r w:rsidRPr="00D13B02">
        <w:rPr>
          <w:rFonts w:eastAsia="Times New Roman" w:cs="Times New Roman"/>
          <w:sz w:val="16"/>
          <w:szCs w:val="16"/>
          <w:lang w:eastAsia="lv-LV"/>
        </w:rPr>
        <w:t> </w:t>
      </w:r>
    </w:p>
    <w:p w14:paraId="2D6C7302" w14:textId="77777777" w:rsidR="00A44E75" w:rsidRDefault="00A44E75">
      <w:pPr>
        <w:rPr>
          <w:rFonts w:eastAsia="Times New Roman" w:cs="Times New Roman"/>
          <w:sz w:val="16"/>
          <w:szCs w:val="16"/>
          <w:lang w:eastAsia="lv-LV"/>
        </w:rPr>
      </w:pPr>
      <w:r>
        <w:rPr>
          <w:rFonts w:eastAsia="Times New Roman" w:cs="Times New Roman"/>
          <w:sz w:val="16"/>
          <w:szCs w:val="16"/>
          <w:lang w:eastAsia="lv-LV"/>
        </w:rPr>
        <w:br w:type="page"/>
      </w:r>
    </w:p>
    <w:p w14:paraId="2A6702B3" w14:textId="77777777" w:rsidR="008F7BEC" w:rsidRDefault="008F7BEC" w:rsidP="00115E82">
      <w:pPr>
        <w:rPr>
          <w:rFonts w:eastAsia="Times New Roman" w:cs="Times New Roman"/>
          <w:sz w:val="16"/>
          <w:szCs w:val="16"/>
          <w:lang w:eastAsia="lv-LV"/>
        </w:rPr>
      </w:pPr>
    </w:p>
    <w:tbl>
      <w:tblPr>
        <w:tblpPr w:leftFromText="180" w:rightFromText="180" w:vertAnchor="text" w:horzAnchor="margin" w:tblpXSpec="center" w:tblpY="23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559"/>
        <w:gridCol w:w="1843"/>
        <w:gridCol w:w="1701"/>
        <w:gridCol w:w="1598"/>
      </w:tblGrid>
      <w:tr w:rsidR="008F7BEC" w:rsidRPr="000927B6" w14:paraId="38850D10" w14:textId="77777777" w:rsidTr="00803D65">
        <w:trPr>
          <w:trHeight w:val="361"/>
        </w:trPr>
        <w:tc>
          <w:tcPr>
            <w:tcW w:w="9786" w:type="dxa"/>
            <w:gridSpan w:val="6"/>
            <w:vAlign w:val="center"/>
          </w:tcPr>
          <w:p w14:paraId="38850D0F" w14:textId="77777777" w:rsidR="008F7BEC" w:rsidRPr="000927B6" w:rsidRDefault="008F7BEC" w:rsidP="008F7BEC">
            <w:pPr>
              <w:pStyle w:val="naisnod"/>
              <w:spacing w:before="0" w:beforeAutospacing="0" w:after="0" w:afterAutospacing="0"/>
              <w:jc w:val="center"/>
              <w:rPr>
                <w:b/>
                <w:i/>
              </w:rPr>
            </w:pPr>
            <w:r w:rsidRPr="000927B6">
              <w:br w:type="page"/>
            </w:r>
            <w:r w:rsidRPr="000927B6">
              <w:rPr>
                <w:b/>
              </w:rPr>
              <w:t>III. Tiesību akta projekta ietekme uz valsts budžetu un pašvaldību budžetiem</w:t>
            </w:r>
          </w:p>
        </w:tc>
      </w:tr>
      <w:tr w:rsidR="00803D65" w:rsidRPr="000927B6" w14:paraId="38850D14" w14:textId="77777777" w:rsidTr="00A44E75">
        <w:trPr>
          <w:trHeight w:val="20"/>
        </w:trPr>
        <w:tc>
          <w:tcPr>
            <w:tcW w:w="1951" w:type="dxa"/>
            <w:vMerge w:val="restart"/>
            <w:vAlign w:val="center"/>
          </w:tcPr>
          <w:p w14:paraId="38850D11" w14:textId="77777777" w:rsidR="008F7BEC" w:rsidRPr="000927B6" w:rsidRDefault="008F7BEC" w:rsidP="008F7BEC">
            <w:pPr>
              <w:pStyle w:val="naisf"/>
              <w:spacing w:before="0" w:beforeAutospacing="0" w:after="0" w:afterAutospacing="0"/>
              <w:jc w:val="center"/>
            </w:pPr>
            <w:r w:rsidRPr="000927B6">
              <w:t>Rādītāji</w:t>
            </w:r>
          </w:p>
        </w:tc>
        <w:tc>
          <w:tcPr>
            <w:tcW w:w="2693" w:type="dxa"/>
            <w:gridSpan w:val="2"/>
            <w:vMerge w:val="restart"/>
            <w:vAlign w:val="center"/>
          </w:tcPr>
          <w:p w14:paraId="38850D12" w14:textId="3D4A341A" w:rsidR="008F7BEC" w:rsidRPr="000927B6" w:rsidRDefault="008F7BEC" w:rsidP="008F7BEC">
            <w:pPr>
              <w:pStyle w:val="naisf"/>
              <w:spacing w:before="0" w:beforeAutospacing="0" w:after="0" w:afterAutospacing="0"/>
              <w:jc w:val="center"/>
            </w:pPr>
            <w:r w:rsidRPr="000927B6">
              <w:t>201</w:t>
            </w:r>
            <w:r w:rsidR="00510B9D">
              <w:t>7</w:t>
            </w:r>
            <w:r w:rsidRPr="000927B6">
              <w:t>. gads</w:t>
            </w:r>
          </w:p>
        </w:tc>
        <w:tc>
          <w:tcPr>
            <w:tcW w:w="5142" w:type="dxa"/>
            <w:gridSpan w:val="3"/>
            <w:vAlign w:val="center"/>
          </w:tcPr>
          <w:p w14:paraId="38850D13" w14:textId="77777777" w:rsidR="008F7BEC" w:rsidRPr="000927B6" w:rsidRDefault="008F7BEC" w:rsidP="008F7BEC">
            <w:pPr>
              <w:pStyle w:val="naisf"/>
              <w:spacing w:before="0" w:beforeAutospacing="0" w:after="0" w:afterAutospacing="0"/>
              <w:jc w:val="center"/>
              <w:rPr>
                <w:i/>
              </w:rPr>
            </w:pPr>
            <w:r w:rsidRPr="000927B6">
              <w:t>Turpmākie trīs gadi (</w:t>
            </w:r>
            <w:r w:rsidRPr="000927B6">
              <w:rPr>
                <w:i/>
              </w:rPr>
              <w:t>euro</w:t>
            </w:r>
            <w:r w:rsidRPr="000927B6">
              <w:t>)</w:t>
            </w:r>
          </w:p>
        </w:tc>
      </w:tr>
      <w:tr w:rsidR="00803D65" w:rsidRPr="000927B6" w14:paraId="38850D1A" w14:textId="77777777" w:rsidTr="00A44E75">
        <w:trPr>
          <w:trHeight w:val="20"/>
        </w:trPr>
        <w:tc>
          <w:tcPr>
            <w:tcW w:w="1951" w:type="dxa"/>
            <w:vMerge/>
            <w:vAlign w:val="center"/>
          </w:tcPr>
          <w:p w14:paraId="38850D15" w14:textId="77777777" w:rsidR="008F7BEC" w:rsidRPr="000927B6" w:rsidRDefault="008F7BEC" w:rsidP="008F7BEC">
            <w:pPr>
              <w:pStyle w:val="naisf"/>
              <w:spacing w:before="0" w:beforeAutospacing="0" w:after="0" w:afterAutospacing="0"/>
              <w:jc w:val="center"/>
              <w:rPr>
                <w:i/>
              </w:rPr>
            </w:pPr>
          </w:p>
        </w:tc>
        <w:tc>
          <w:tcPr>
            <w:tcW w:w="2693" w:type="dxa"/>
            <w:gridSpan w:val="2"/>
            <w:vMerge/>
            <w:vAlign w:val="center"/>
          </w:tcPr>
          <w:p w14:paraId="38850D16" w14:textId="77777777" w:rsidR="008F7BEC" w:rsidRPr="000927B6" w:rsidRDefault="008F7BEC" w:rsidP="008F7BEC">
            <w:pPr>
              <w:pStyle w:val="naisf"/>
              <w:spacing w:before="0" w:beforeAutospacing="0" w:after="0" w:afterAutospacing="0"/>
              <w:jc w:val="center"/>
              <w:rPr>
                <w:i/>
              </w:rPr>
            </w:pPr>
          </w:p>
        </w:tc>
        <w:tc>
          <w:tcPr>
            <w:tcW w:w="1843" w:type="dxa"/>
            <w:vAlign w:val="center"/>
          </w:tcPr>
          <w:p w14:paraId="38850D17" w14:textId="62BDAF0C" w:rsidR="008F7BEC" w:rsidRPr="000927B6" w:rsidRDefault="008F7BEC" w:rsidP="008F7BEC">
            <w:pPr>
              <w:pStyle w:val="naisf"/>
              <w:spacing w:before="0" w:beforeAutospacing="0" w:after="0" w:afterAutospacing="0"/>
              <w:jc w:val="center"/>
              <w:rPr>
                <w:i/>
              </w:rPr>
            </w:pPr>
            <w:r w:rsidRPr="000927B6">
              <w:t>201</w:t>
            </w:r>
            <w:r w:rsidR="00510B9D">
              <w:t>8</w:t>
            </w:r>
            <w:r w:rsidRPr="000927B6">
              <w:t>.</w:t>
            </w:r>
            <w:r w:rsidRPr="000927B6">
              <w:rPr>
                <w:bCs/>
              </w:rPr>
              <w:t> gad</w:t>
            </w:r>
            <w:r w:rsidRPr="000927B6">
              <w:t>s</w:t>
            </w:r>
          </w:p>
        </w:tc>
        <w:tc>
          <w:tcPr>
            <w:tcW w:w="1701" w:type="dxa"/>
            <w:vAlign w:val="center"/>
          </w:tcPr>
          <w:p w14:paraId="38850D18" w14:textId="21F144E4" w:rsidR="008F7BEC" w:rsidRPr="000927B6" w:rsidRDefault="008F7BEC" w:rsidP="008F7BEC">
            <w:pPr>
              <w:pStyle w:val="naisf"/>
              <w:spacing w:before="0" w:beforeAutospacing="0" w:after="0" w:afterAutospacing="0"/>
              <w:jc w:val="center"/>
              <w:rPr>
                <w:i/>
              </w:rPr>
            </w:pPr>
            <w:r w:rsidRPr="000927B6">
              <w:t>201</w:t>
            </w:r>
            <w:r w:rsidR="00510B9D">
              <w:t>9</w:t>
            </w:r>
            <w:r w:rsidRPr="000927B6">
              <w:t>.</w:t>
            </w:r>
            <w:r w:rsidRPr="000927B6">
              <w:rPr>
                <w:bCs/>
              </w:rPr>
              <w:t> gad</w:t>
            </w:r>
            <w:r w:rsidRPr="000927B6">
              <w:t>s</w:t>
            </w:r>
          </w:p>
        </w:tc>
        <w:tc>
          <w:tcPr>
            <w:tcW w:w="1598" w:type="dxa"/>
            <w:vAlign w:val="center"/>
          </w:tcPr>
          <w:p w14:paraId="38850D19" w14:textId="726AA3DC" w:rsidR="008F7BEC" w:rsidRPr="000927B6" w:rsidRDefault="008F7BEC" w:rsidP="008F7BEC">
            <w:pPr>
              <w:pStyle w:val="naisf"/>
              <w:spacing w:before="0" w:beforeAutospacing="0" w:after="0" w:afterAutospacing="0"/>
              <w:jc w:val="center"/>
              <w:rPr>
                <w:i/>
              </w:rPr>
            </w:pPr>
            <w:r w:rsidRPr="000927B6">
              <w:t>20</w:t>
            </w:r>
            <w:r w:rsidR="00510B9D">
              <w:t>20</w:t>
            </w:r>
            <w:r w:rsidRPr="000927B6">
              <w:t>.</w:t>
            </w:r>
            <w:r w:rsidRPr="000927B6">
              <w:rPr>
                <w:bCs/>
              </w:rPr>
              <w:t> gad</w:t>
            </w:r>
            <w:r w:rsidRPr="000927B6">
              <w:t>s</w:t>
            </w:r>
          </w:p>
        </w:tc>
      </w:tr>
      <w:tr w:rsidR="00803D65" w:rsidRPr="000927B6" w14:paraId="38850D21" w14:textId="77777777" w:rsidTr="00A44E75">
        <w:trPr>
          <w:trHeight w:val="20"/>
        </w:trPr>
        <w:tc>
          <w:tcPr>
            <w:tcW w:w="1951" w:type="dxa"/>
            <w:vMerge/>
            <w:vAlign w:val="center"/>
          </w:tcPr>
          <w:p w14:paraId="38850D1B" w14:textId="77777777" w:rsidR="008F7BEC" w:rsidRPr="000927B6" w:rsidRDefault="008F7BEC" w:rsidP="008F7BEC">
            <w:pPr>
              <w:pStyle w:val="naisf"/>
              <w:spacing w:before="0" w:beforeAutospacing="0" w:after="0" w:afterAutospacing="0"/>
              <w:jc w:val="center"/>
              <w:rPr>
                <w:b/>
                <w:i/>
              </w:rPr>
            </w:pPr>
          </w:p>
        </w:tc>
        <w:tc>
          <w:tcPr>
            <w:tcW w:w="1134" w:type="dxa"/>
            <w:vAlign w:val="center"/>
          </w:tcPr>
          <w:p w14:paraId="38850D1C" w14:textId="77777777" w:rsidR="008F7BEC" w:rsidRPr="000927B6" w:rsidRDefault="008F7BEC" w:rsidP="008F7BEC">
            <w:pPr>
              <w:pStyle w:val="naisf"/>
              <w:spacing w:before="0" w:beforeAutospacing="0" w:after="0" w:afterAutospacing="0"/>
              <w:jc w:val="center"/>
              <w:rPr>
                <w:b/>
                <w:i/>
              </w:rPr>
            </w:pPr>
            <w:r w:rsidRPr="000927B6">
              <w:t>saskaņā ar valsts budžetu kārtējam gadam</w:t>
            </w:r>
          </w:p>
        </w:tc>
        <w:tc>
          <w:tcPr>
            <w:tcW w:w="1559" w:type="dxa"/>
            <w:vAlign w:val="center"/>
          </w:tcPr>
          <w:p w14:paraId="38850D1D" w14:textId="77777777" w:rsidR="008F7BEC" w:rsidRPr="000927B6" w:rsidRDefault="008F7BEC" w:rsidP="008F7BEC">
            <w:pPr>
              <w:pStyle w:val="naisf"/>
              <w:spacing w:before="0" w:beforeAutospacing="0" w:after="0" w:afterAutospacing="0"/>
              <w:jc w:val="center"/>
              <w:rPr>
                <w:b/>
                <w:i/>
                <w:spacing w:val="-6"/>
              </w:rPr>
            </w:pPr>
            <w:r w:rsidRPr="000927B6">
              <w:rPr>
                <w:spacing w:val="-6"/>
              </w:rPr>
              <w:t>izmaiņas kārtējā gadā, salīdzinot ar valsts budžetu kārtējam gadam</w:t>
            </w:r>
          </w:p>
        </w:tc>
        <w:tc>
          <w:tcPr>
            <w:tcW w:w="1843" w:type="dxa"/>
            <w:vAlign w:val="center"/>
          </w:tcPr>
          <w:p w14:paraId="38850D1E" w14:textId="77777777" w:rsidR="008F7BEC" w:rsidRPr="000927B6" w:rsidRDefault="008F7BEC" w:rsidP="008F7BEC">
            <w:pPr>
              <w:pStyle w:val="naisf"/>
              <w:spacing w:before="0" w:beforeAutospacing="0" w:after="0" w:afterAutospacing="0"/>
              <w:jc w:val="center"/>
              <w:rPr>
                <w:b/>
                <w:i/>
              </w:rPr>
            </w:pPr>
            <w:r w:rsidRPr="000927B6">
              <w:t>izmaiņas, salīdzinot ar kārtējo (n) gadu</w:t>
            </w:r>
          </w:p>
        </w:tc>
        <w:tc>
          <w:tcPr>
            <w:tcW w:w="1701" w:type="dxa"/>
            <w:vAlign w:val="center"/>
          </w:tcPr>
          <w:p w14:paraId="38850D1F" w14:textId="77777777" w:rsidR="008F7BEC" w:rsidRPr="000927B6" w:rsidRDefault="008F7BEC" w:rsidP="008F7BEC">
            <w:pPr>
              <w:pStyle w:val="naisf"/>
              <w:spacing w:before="0" w:beforeAutospacing="0" w:after="0" w:afterAutospacing="0"/>
              <w:jc w:val="center"/>
              <w:rPr>
                <w:b/>
                <w:i/>
              </w:rPr>
            </w:pPr>
            <w:r w:rsidRPr="000927B6">
              <w:t>izmaiņas, salīdzinot ar kārtējo (n) gadu</w:t>
            </w:r>
          </w:p>
        </w:tc>
        <w:tc>
          <w:tcPr>
            <w:tcW w:w="1598" w:type="dxa"/>
            <w:vAlign w:val="center"/>
          </w:tcPr>
          <w:p w14:paraId="38850D20" w14:textId="77777777" w:rsidR="008F7BEC" w:rsidRPr="000927B6" w:rsidRDefault="008F7BEC" w:rsidP="008F7BEC">
            <w:pPr>
              <w:pStyle w:val="naisf"/>
              <w:spacing w:before="0" w:beforeAutospacing="0" w:after="0" w:afterAutospacing="0"/>
              <w:jc w:val="center"/>
              <w:rPr>
                <w:b/>
                <w:i/>
              </w:rPr>
            </w:pPr>
            <w:r w:rsidRPr="000927B6">
              <w:t>izmaiņas, salīdzinot ar kārtējo (n) gadu</w:t>
            </w:r>
          </w:p>
        </w:tc>
      </w:tr>
      <w:tr w:rsidR="00803D65" w:rsidRPr="000927B6" w14:paraId="38850D28" w14:textId="77777777" w:rsidTr="00A44E75">
        <w:trPr>
          <w:trHeight w:val="20"/>
        </w:trPr>
        <w:tc>
          <w:tcPr>
            <w:tcW w:w="1951" w:type="dxa"/>
            <w:vAlign w:val="center"/>
          </w:tcPr>
          <w:p w14:paraId="38850D22" w14:textId="77777777" w:rsidR="008F7BEC" w:rsidRPr="000927B6" w:rsidRDefault="008F7BEC" w:rsidP="008F7BEC">
            <w:pPr>
              <w:pStyle w:val="naisf"/>
              <w:spacing w:before="0" w:beforeAutospacing="0" w:after="0" w:afterAutospacing="0"/>
              <w:jc w:val="center"/>
              <w:rPr>
                <w:sz w:val="22"/>
              </w:rPr>
            </w:pPr>
            <w:r w:rsidRPr="000927B6">
              <w:rPr>
                <w:sz w:val="22"/>
              </w:rPr>
              <w:t>1</w:t>
            </w:r>
          </w:p>
        </w:tc>
        <w:tc>
          <w:tcPr>
            <w:tcW w:w="1134" w:type="dxa"/>
            <w:vAlign w:val="center"/>
          </w:tcPr>
          <w:p w14:paraId="38850D23" w14:textId="77777777" w:rsidR="008F7BEC" w:rsidRPr="000927B6" w:rsidRDefault="008F7BEC" w:rsidP="008F7BEC">
            <w:pPr>
              <w:pStyle w:val="naisf"/>
              <w:spacing w:before="0" w:beforeAutospacing="0" w:after="0" w:afterAutospacing="0"/>
              <w:jc w:val="center"/>
              <w:rPr>
                <w:sz w:val="22"/>
              </w:rPr>
            </w:pPr>
            <w:r w:rsidRPr="000927B6">
              <w:rPr>
                <w:sz w:val="22"/>
              </w:rPr>
              <w:t>2</w:t>
            </w:r>
          </w:p>
        </w:tc>
        <w:tc>
          <w:tcPr>
            <w:tcW w:w="1559" w:type="dxa"/>
            <w:vAlign w:val="center"/>
          </w:tcPr>
          <w:p w14:paraId="38850D24" w14:textId="77777777" w:rsidR="008F7BEC" w:rsidRPr="000927B6" w:rsidRDefault="008F7BEC" w:rsidP="008F7BEC">
            <w:pPr>
              <w:pStyle w:val="naisf"/>
              <w:spacing w:before="0" w:beforeAutospacing="0" w:after="0" w:afterAutospacing="0"/>
              <w:jc w:val="center"/>
              <w:rPr>
                <w:sz w:val="22"/>
              </w:rPr>
            </w:pPr>
            <w:r w:rsidRPr="000927B6">
              <w:rPr>
                <w:sz w:val="22"/>
              </w:rPr>
              <w:t>3</w:t>
            </w:r>
          </w:p>
        </w:tc>
        <w:tc>
          <w:tcPr>
            <w:tcW w:w="1843" w:type="dxa"/>
            <w:vAlign w:val="center"/>
          </w:tcPr>
          <w:p w14:paraId="38850D25" w14:textId="77777777" w:rsidR="008F7BEC" w:rsidRPr="000927B6" w:rsidRDefault="008F7BEC" w:rsidP="008F7BEC">
            <w:pPr>
              <w:pStyle w:val="naisf"/>
              <w:spacing w:before="0" w:beforeAutospacing="0" w:after="0" w:afterAutospacing="0"/>
              <w:jc w:val="center"/>
              <w:rPr>
                <w:sz w:val="22"/>
              </w:rPr>
            </w:pPr>
            <w:r w:rsidRPr="000927B6">
              <w:rPr>
                <w:sz w:val="22"/>
              </w:rPr>
              <w:t>4</w:t>
            </w:r>
          </w:p>
        </w:tc>
        <w:tc>
          <w:tcPr>
            <w:tcW w:w="1701" w:type="dxa"/>
            <w:vAlign w:val="center"/>
          </w:tcPr>
          <w:p w14:paraId="38850D26" w14:textId="77777777" w:rsidR="008F7BEC" w:rsidRPr="000927B6" w:rsidRDefault="008F7BEC" w:rsidP="008F7BEC">
            <w:pPr>
              <w:pStyle w:val="naisf"/>
              <w:spacing w:before="0" w:beforeAutospacing="0" w:after="0" w:afterAutospacing="0"/>
              <w:jc w:val="center"/>
              <w:rPr>
                <w:sz w:val="22"/>
              </w:rPr>
            </w:pPr>
            <w:r w:rsidRPr="000927B6">
              <w:rPr>
                <w:sz w:val="22"/>
              </w:rPr>
              <w:t>5</w:t>
            </w:r>
          </w:p>
        </w:tc>
        <w:tc>
          <w:tcPr>
            <w:tcW w:w="1598" w:type="dxa"/>
            <w:vAlign w:val="center"/>
          </w:tcPr>
          <w:p w14:paraId="38850D27" w14:textId="77777777" w:rsidR="008F7BEC" w:rsidRPr="000927B6" w:rsidRDefault="008F7BEC" w:rsidP="008F7BEC">
            <w:pPr>
              <w:pStyle w:val="naisf"/>
              <w:spacing w:before="0" w:beforeAutospacing="0" w:after="0" w:afterAutospacing="0"/>
              <w:jc w:val="center"/>
              <w:rPr>
                <w:sz w:val="22"/>
              </w:rPr>
            </w:pPr>
            <w:r w:rsidRPr="000927B6">
              <w:rPr>
                <w:sz w:val="22"/>
              </w:rPr>
              <w:t>6</w:t>
            </w:r>
          </w:p>
        </w:tc>
      </w:tr>
      <w:tr w:rsidR="00803D65" w:rsidRPr="000927B6" w14:paraId="38850D30" w14:textId="77777777" w:rsidTr="00462DC8">
        <w:trPr>
          <w:trHeight w:val="20"/>
        </w:trPr>
        <w:tc>
          <w:tcPr>
            <w:tcW w:w="1951" w:type="dxa"/>
          </w:tcPr>
          <w:p w14:paraId="38850D29" w14:textId="77777777" w:rsidR="008F7BEC" w:rsidRPr="000927B6" w:rsidRDefault="008F7BEC" w:rsidP="008F7BEC">
            <w:pPr>
              <w:pStyle w:val="naisf"/>
              <w:spacing w:before="0" w:beforeAutospacing="0" w:after="0" w:afterAutospacing="0"/>
              <w:rPr>
                <w:i/>
                <w:spacing w:val="-4"/>
              </w:rPr>
            </w:pPr>
            <w:r w:rsidRPr="000927B6">
              <w:rPr>
                <w:spacing w:val="-4"/>
              </w:rPr>
              <w:t>1. Budžeta ieņēmumi</w:t>
            </w:r>
          </w:p>
        </w:tc>
        <w:tc>
          <w:tcPr>
            <w:tcW w:w="1134" w:type="dxa"/>
            <w:vAlign w:val="center"/>
          </w:tcPr>
          <w:p w14:paraId="38850D2A" w14:textId="77777777" w:rsidR="008F7BEC" w:rsidRPr="000927B6" w:rsidRDefault="008F7BEC" w:rsidP="00A44E75">
            <w:pPr>
              <w:pStyle w:val="naisf"/>
              <w:spacing w:before="0" w:beforeAutospacing="0" w:after="0" w:afterAutospacing="0"/>
              <w:jc w:val="center"/>
              <w:rPr>
                <w:spacing w:val="-4"/>
              </w:rPr>
            </w:pPr>
            <w:r w:rsidRPr="000927B6">
              <w:rPr>
                <w:spacing w:val="-4"/>
              </w:rPr>
              <w:t>0</w:t>
            </w:r>
          </w:p>
        </w:tc>
        <w:tc>
          <w:tcPr>
            <w:tcW w:w="1559" w:type="dxa"/>
            <w:vAlign w:val="center"/>
          </w:tcPr>
          <w:p w14:paraId="38850D2B" w14:textId="48DAC613" w:rsidR="00510B9D" w:rsidRPr="00A956FE" w:rsidRDefault="00510B9D" w:rsidP="00462DC8">
            <w:pPr>
              <w:pStyle w:val="naisf"/>
              <w:spacing w:before="0" w:beforeAutospacing="0" w:after="0" w:afterAutospacing="0"/>
              <w:ind w:left="34" w:right="284"/>
              <w:jc w:val="center"/>
              <w:rPr>
                <w:spacing w:val="-4"/>
                <w:highlight w:val="yellow"/>
              </w:rPr>
            </w:pPr>
            <w:r w:rsidRPr="00510B9D">
              <w:rPr>
                <w:spacing w:val="-4"/>
              </w:rPr>
              <w:t>1 274 852</w:t>
            </w:r>
          </w:p>
        </w:tc>
        <w:tc>
          <w:tcPr>
            <w:tcW w:w="1843" w:type="dxa"/>
            <w:vAlign w:val="center"/>
          </w:tcPr>
          <w:p w14:paraId="38850D2C" w14:textId="0BEDA1CB" w:rsidR="00510B9D" w:rsidRPr="00FE6358" w:rsidRDefault="00510B9D" w:rsidP="00462DC8">
            <w:pPr>
              <w:pStyle w:val="naisf"/>
              <w:spacing w:before="0" w:beforeAutospacing="0" w:after="0" w:afterAutospacing="0"/>
              <w:ind w:left="34" w:right="57"/>
              <w:jc w:val="center"/>
              <w:rPr>
                <w:spacing w:val="-4"/>
              </w:rPr>
            </w:pPr>
            <w:r w:rsidRPr="00510B9D">
              <w:rPr>
                <w:spacing w:val="-4"/>
              </w:rPr>
              <w:t>1 794 348</w:t>
            </w:r>
          </w:p>
        </w:tc>
        <w:tc>
          <w:tcPr>
            <w:tcW w:w="1701" w:type="dxa"/>
            <w:vAlign w:val="center"/>
          </w:tcPr>
          <w:p w14:paraId="38850D2E" w14:textId="6541CFF4" w:rsidR="00803D65" w:rsidRPr="00FE6358" w:rsidRDefault="00510B9D" w:rsidP="00462DC8">
            <w:pPr>
              <w:pStyle w:val="naisf"/>
              <w:spacing w:before="0" w:beforeAutospacing="0" w:after="0" w:afterAutospacing="0"/>
              <w:ind w:left="34" w:right="57"/>
              <w:jc w:val="center"/>
              <w:rPr>
                <w:spacing w:val="-4"/>
              </w:rPr>
            </w:pPr>
            <w:r w:rsidRPr="00510B9D">
              <w:rPr>
                <w:spacing w:val="-4"/>
              </w:rPr>
              <w:t>1 067 019</w:t>
            </w:r>
          </w:p>
        </w:tc>
        <w:tc>
          <w:tcPr>
            <w:tcW w:w="1598" w:type="dxa"/>
            <w:vAlign w:val="center"/>
          </w:tcPr>
          <w:p w14:paraId="38850D2F" w14:textId="3664A8E3" w:rsidR="009223C4" w:rsidRPr="00FE6358" w:rsidRDefault="009223C4" w:rsidP="00462DC8">
            <w:pPr>
              <w:pStyle w:val="naisf"/>
              <w:spacing w:before="0" w:beforeAutospacing="0" w:after="0" w:afterAutospacing="0"/>
              <w:ind w:right="57"/>
              <w:jc w:val="center"/>
              <w:rPr>
                <w:spacing w:val="-4"/>
              </w:rPr>
            </w:pPr>
            <w:r>
              <w:rPr>
                <w:spacing w:val="-4"/>
              </w:rPr>
              <w:t>869 065</w:t>
            </w:r>
          </w:p>
        </w:tc>
      </w:tr>
      <w:tr w:rsidR="00803D65" w:rsidRPr="000927B6" w14:paraId="38850D37" w14:textId="77777777" w:rsidTr="00462DC8">
        <w:trPr>
          <w:trHeight w:val="20"/>
        </w:trPr>
        <w:tc>
          <w:tcPr>
            <w:tcW w:w="1951" w:type="dxa"/>
          </w:tcPr>
          <w:p w14:paraId="38850D31" w14:textId="77777777" w:rsidR="008F7BEC" w:rsidRPr="000927B6" w:rsidRDefault="008F7BEC" w:rsidP="008F7BEC">
            <w:pPr>
              <w:rPr>
                <w:spacing w:val="-4"/>
                <w:sz w:val="24"/>
                <w:szCs w:val="24"/>
              </w:rPr>
            </w:pPr>
            <w:r w:rsidRPr="000927B6">
              <w:rPr>
                <w:spacing w:val="-4"/>
                <w:sz w:val="24"/>
                <w:szCs w:val="24"/>
              </w:rPr>
              <w:t>2. Budžeta izdevumi</w:t>
            </w:r>
          </w:p>
        </w:tc>
        <w:tc>
          <w:tcPr>
            <w:tcW w:w="1134" w:type="dxa"/>
            <w:vAlign w:val="center"/>
          </w:tcPr>
          <w:p w14:paraId="38850D32" w14:textId="77777777" w:rsidR="008F7BEC" w:rsidRPr="000927B6" w:rsidRDefault="008F7BEC" w:rsidP="00A44E75">
            <w:pPr>
              <w:pStyle w:val="naisf"/>
              <w:spacing w:before="0" w:beforeAutospacing="0" w:after="0" w:afterAutospacing="0"/>
              <w:jc w:val="center"/>
              <w:rPr>
                <w:spacing w:val="-4"/>
              </w:rPr>
            </w:pPr>
            <w:r w:rsidRPr="000927B6">
              <w:rPr>
                <w:spacing w:val="-4"/>
              </w:rPr>
              <w:t>0</w:t>
            </w:r>
          </w:p>
        </w:tc>
        <w:tc>
          <w:tcPr>
            <w:tcW w:w="1559" w:type="dxa"/>
            <w:vAlign w:val="center"/>
          </w:tcPr>
          <w:p w14:paraId="38850D33" w14:textId="0B32181F" w:rsidR="00510B9D" w:rsidRPr="00FE6358" w:rsidRDefault="00510B9D" w:rsidP="00462DC8">
            <w:pPr>
              <w:pStyle w:val="naisf"/>
              <w:spacing w:before="0" w:beforeAutospacing="0" w:after="0" w:afterAutospacing="0"/>
              <w:ind w:left="34" w:right="284"/>
              <w:jc w:val="center"/>
              <w:rPr>
                <w:spacing w:val="-4"/>
              </w:rPr>
            </w:pPr>
            <w:r w:rsidRPr="00510B9D">
              <w:rPr>
                <w:spacing w:val="-4"/>
              </w:rPr>
              <w:t>1 499 826</w:t>
            </w:r>
          </w:p>
        </w:tc>
        <w:tc>
          <w:tcPr>
            <w:tcW w:w="1843" w:type="dxa"/>
            <w:vAlign w:val="center"/>
          </w:tcPr>
          <w:p w14:paraId="38850D34" w14:textId="3CE74661" w:rsidR="00510B9D" w:rsidRPr="00FE6358" w:rsidRDefault="00510B9D" w:rsidP="00462DC8">
            <w:pPr>
              <w:pStyle w:val="naisf"/>
              <w:spacing w:before="0" w:beforeAutospacing="0" w:after="0" w:afterAutospacing="0"/>
              <w:ind w:left="34" w:right="57"/>
              <w:jc w:val="center"/>
              <w:rPr>
                <w:spacing w:val="-4"/>
              </w:rPr>
            </w:pPr>
            <w:r w:rsidRPr="00510B9D">
              <w:rPr>
                <w:spacing w:val="-4"/>
              </w:rPr>
              <w:t>2 110 998</w:t>
            </w:r>
          </w:p>
        </w:tc>
        <w:tc>
          <w:tcPr>
            <w:tcW w:w="1701" w:type="dxa"/>
            <w:vAlign w:val="center"/>
          </w:tcPr>
          <w:p w14:paraId="38850D35" w14:textId="5C8623C4" w:rsidR="00510B9D" w:rsidRPr="00FE6358" w:rsidRDefault="00510B9D" w:rsidP="00462DC8">
            <w:pPr>
              <w:pStyle w:val="naisf"/>
              <w:spacing w:before="0" w:beforeAutospacing="0" w:after="0" w:afterAutospacing="0"/>
              <w:ind w:left="34" w:right="57"/>
              <w:jc w:val="center"/>
              <w:rPr>
                <w:spacing w:val="-4"/>
              </w:rPr>
            </w:pPr>
            <w:r w:rsidRPr="00510B9D">
              <w:rPr>
                <w:spacing w:val="-4"/>
              </w:rPr>
              <w:t>1 255 317</w:t>
            </w:r>
          </w:p>
        </w:tc>
        <w:tc>
          <w:tcPr>
            <w:tcW w:w="1598" w:type="dxa"/>
            <w:vAlign w:val="center"/>
          </w:tcPr>
          <w:p w14:paraId="38850D36" w14:textId="1FDE2758" w:rsidR="009223C4" w:rsidRPr="00FE6358" w:rsidRDefault="009223C4" w:rsidP="00462DC8">
            <w:pPr>
              <w:pStyle w:val="naisf"/>
              <w:spacing w:before="0" w:beforeAutospacing="0" w:after="0" w:afterAutospacing="0"/>
              <w:ind w:right="57"/>
              <w:jc w:val="center"/>
              <w:rPr>
                <w:spacing w:val="-4"/>
              </w:rPr>
            </w:pPr>
            <w:r w:rsidRPr="009223C4">
              <w:rPr>
                <w:spacing w:val="-4"/>
              </w:rPr>
              <w:t>1 022 430</w:t>
            </w:r>
          </w:p>
        </w:tc>
      </w:tr>
      <w:tr w:rsidR="00803D65" w:rsidRPr="000927B6" w14:paraId="38850D3E" w14:textId="77777777" w:rsidTr="00462DC8">
        <w:trPr>
          <w:trHeight w:val="20"/>
        </w:trPr>
        <w:tc>
          <w:tcPr>
            <w:tcW w:w="1951" w:type="dxa"/>
          </w:tcPr>
          <w:p w14:paraId="38850D38" w14:textId="77777777" w:rsidR="008F7BEC" w:rsidRPr="000927B6" w:rsidRDefault="008F7BEC" w:rsidP="008F7BEC">
            <w:pPr>
              <w:rPr>
                <w:spacing w:val="-4"/>
                <w:sz w:val="24"/>
                <w:szCs w:val="24"/>
              </w:rPr>
            </w:pPr>
            <w:r w:rsidRPr="000927B6">
              <w:rPr>
                <w:spacing w:val="-4"/>
                <w:sz w:val="24"/>
                <w:szCs w:val="24"/>
              </w:rPr>
              <w:t>3. Finansiālā ietekme</w:t>
            </w:r>
          </w:p>
        </w:tc>
        <w:tc>
          <w:tcPr>
            <w:tcW w:w="1134" w:type="dxa"/>
            <w:shd w:val="clear" w:color="auto" w:fill="auto"/>
            <w:vAlign w:val="center"/>
          </w:tcPr>
          <w:p w14:paraId="38850D39" w14:textId="77777777" w:rsidR="008F7BEC" w:rsidRPr="000927B6" w:rsidRDefault="008F7BEC" w:rsidP="00A44E75">
            <w:pPr>
              <w:pStyle w:val="naisf"/>
              <w:spacing w:before="0" w:beforeAutospacing="0" w:after="0" w:afterAutospacing="0"/>
              <w:jc w:val="center"/>
              <w:rPr>
                <w:spacing w:val="-4"/>
              </w:rPr>
            </w:pPr>
            <w:r w:rsidRPr="000927B6">
              <w:rPr>
                <w:spacing w:val="-4"/>
              </w:rPr>
              <w:t>0</w:t>
            </w:r>
          </w:p>
        </w:tc>
        <w:tc>
          <w:tcPr>
            <w:tcW w:w="1559" w:type="dxa"/>
            <w:shd w:val="clear" w:color="auto" w:fill="auto"/>
            <w:vAlign w:val="center"/>
          </w:tcPr>
          <w:p w14:paraId="38850D3A" w14:textId="05E7E161" w:rsidR="00510B9D" w:rsidRPr="00FE6358" w:rsidRDefault="00462DC8" w:rsidP="00462DC8">
            <w:pPr>
              <w:pStyle w:val="naisf"/>
              <w:spacing w:before="0" w:beforeAutospacing="0" w:after="0" w:afterAutospacing="0"/>
              <w:ind w:left="34" w:right="284"/>
              <w:jc w:val="center"/>
              <w:rPr>
                <w:spacing w:val="-4"/>
              </w:rPr>
            </w:pPr>
            <w:r>
              <w:rPr>
                <w:spacing w:val="-4"/>
              </w:rPr>
              <w:t>– </w:t>
            </w:r>
            <w:r w:rsidR="00510B9D" w:rsidRPr="00510B9D">
              <w:rPr>
                <w:spacing w:val="-4"/>
              </w:rPr>
              <w:t>224</w:t>
            </w:r>
            <w:r w:rsidR="0081012E">
              <w:rPr>
                <w:spacing w:val="-4"/>
              </w:rPr>
              <w:t> </w:t>
            </w:r>
            <w:r w:rsidR="00510B9D" w:rsidRPr="00510B9D">
              <w:rPr>
                <w:spacing w:val="-4"/>
              </w:rPr>
              <w:t>974</w:t>
            </w:r>
          </w:p>
        </w:tc>
        <w:tc>
          <w:tcPr>
            <w:tcW w:w="1843" w:type="dxa"/>
            <w:vAlign w:val="center"/>
          </w:tcPr>
          <w:p w14:paraId="38850D3B" w14:textId="350471EB" w:rsidR="00510B9D" w:rsidRPr="00FE6358" w:rsidRDefault="00462DC8" w:rsidP="00462DC8">
            <w:pPr>
              <w:pStyle w:val="naisf"/>
              <w:spacing w:before="0" w:beforeAutospacing="0" w:after="0" w:afterAutospacing="0"/>
              <w:ind w:left="34" w:right="57"/>
              <w:jc w:val="center"/>
              <w:rPr>
                <w:spacing w:val="-4"/>
              </w:rPr>
            </w:pPr>
            <w:r>
              <w:rPr>
                <w:spacing w:val="-4"/>
              </w:rPr>
              <w:t>– </w:t>
            </w:r>
            <w:r w:rsidR="00510B9D" w:rsidRPr="00510B9D">
              <w:rPr>
                <w:spacing w:val="-4"/>
              </w:rPr>
              <w:t>316</w:t>
            </w:r>
            <w:r w:rsidR="0081012E">
              <w:rPr>
                <w:spacing w:val="-4"/>
              </w:rPr>
              <w:t> </w:t>
            </w:r>
            <w:r w:rsidR="00510B9D" w:rsidRPr="00510B9D">
              <w:rPr>
                <w:spacing w:val="-4"/>
              </w:rPr>
              <w:t>650</w:t>
            </w:r>
          </w:p>
        </w:tc>
        <w:tc>
          <w:tcPr>
            <w:tcW w:w="1701" w:type="dxa"/>
            <w:vAlign w:val="center"/>
          </w:tcPr>
          <w:p w14:paraId="38850D3C" w14:textId="516B9849" w:rsidR="00510B9D" w:rsidRPr="00FE6358" w:rsidRDefault="00462DC8" w:rsidP="00462DC8">
            <w:pPr>
              <w:pStyle w:val="naisf"/>
              <w:spacing w:before="0" w:beforeAutospacing="0" w:after="0" w:afterAutospacing="0"/>
              <w:ind w:left="34" w:right="57"/>
              <w:jc w:val="center"/>
              <w:rPr>
                <w:spacing w:val="-4"/>
              </w:rPr>
            </w:pPr>
            <w:r>
              <w:rPr>
                <w:spacing w:val="-4"/>
              </w:rPr>
              <w:t>– </w:t>
            </w:r>
            <w:r w:rsidR="00510B9D" w:rsidRPr="00510B9D">
              <w:rPr>
                <w:spacing w:val="-4"/>
              </w:rPr>
              <w:t>188</w:t>
            </w:r>
            <w:r w:rsidR="0081012E">
              <w:rPr>
                <w:spacing w:val="-4"/>
              </w:rPr>
              <w:t> </w:t>
            </w:r>
            <w:r w:rsidR="00510B9D" w:rsidRPr="00510B9D">
              <w:rPr>
                <w:spacing w:val="-4"/>
              </w:rPr>
              <w:t>298</w:t>
            </w:r>
          </w:p>
        </w:tc>
        <w:tc>
          <w:tcPr>
            <w:tcW w:w="1598" w:type="dxa"/>
            <w:vAlign w:val="center"/>
          </w:tcPr>
          <w:p w14:paraId="38850D3D" w14:textId="3FA9B261" w:rsidR="001E6561" w:rsidRPr="00FE6358" w:rsidRDefault="00462DC8" w:rsidP="00462DC8">
            <w:pPr>
              <w:pStyle w:val="naisf"/>
              <w:spacing w:before="0" w:beforeAutospacing="0" w:after="0" w:afterAutospacing="0"/>
              <w:ind w:right="57"/>
              <w:jc w:val="center"/>
              <w:rPr>
                <w:spacing w:val="-4"/>
              </w:rPr>
            </w:pPr>
            <w:r>
              <w:rPr>
                <w:spacing w:val="-4"/>
              </w:rPr>
              <w:t>– </w:t>
            </w:r>
            <w:r w:rsidR="009223C4">
              <w:rPr>
                <w:spacing w:val="-4"/>
              </w:rPr>
              <w:t>153</w:t>
            </w:r>
            <w:r w:rsidR="0081012E">
              <w:rPr>
                <w:spacing w:val="-4"/>
              </w:rPr>
              <w:t> </w:t>
            </w:r>
            <w:r w:rsidR="009223C4">
              <w:rPr>
                <w:spacing w:val="-4"/>
              </w:rPr>
              <w:t>365</w:t>
            </w:r>
          </w:p>
        </w:tc>
      </w:tr>
      <w:tr w:rsidR="00803D65" w:rsidRPr="000927B6" w14:paraId="38850D45" w14:textId="77777777" w:rsidTr="00A44E75">
        <w:trPr>
          <w:trHeight w:val="20"/>
        </w:trPr>
        <w:tc>
          <w:tcPr>
            <w:tcW w:w="1951" w:type="dxa"/>
          </w:tcPr>
          <w:p w14:paraId="38850D3F" w14:textId="21FF8385" w:rsidR="008F7BEC" w:rsidRPr="000927B6" w:rsidRDefault="008F7BEC" w:rsidP="008F7BEC">
            <w:pPr>
              <w:rPr>
                <w:spacing w:val="-4"/>
                <w:sz w:val="24"/>
                <w:szCs w:val="24"/>
              </w:rPr>
            </w:pPr>
            <w:r w:rsidRPr="000927B6">
              <w:rPr>
                <w:spacing w:val="-4"/>
                <w:sz w:val="24"/>
                <w:szCs w:val="24"/>
              </w:rPr>
              <w:t xml:space="preserve">4. Finanšu līdzekļi papildu izdevumu finansēšanai (kompensējošu izdevumu samazinājumu norāda ar </w:t>
            </w:r>
            <w:r w:rsidR="00EF4D59">
              <w:rPr>
                <w:spacing w:val="-4"/>
                <w:sz w:val="24"/>
                <w:szCs w:val="24"/>
              </w:rPr>
              <w:t>"</w:t>
            </w:r>
            <w:r w:rsidRPr="000927B6">
              <w:rPr>
                <w:spacing w:val="-4"/>
                <w:sz w:val="24"/>
                <w:szCs w:val="24"/>
              </w:rPr>
              <w:t>+</w:t>
            </w:r>
            <w:r w:rsidR="00EF4D59">
              <w:rPr>
                <w:spacing w:val="-4"/>
                <w:sz w:val="24"/>
                <w:szCs w:val="24"/>
              </w:rPr>
              <w:t>"</w:t>
            </w:r>
            <w:r w:rsidRPr="000927B6">
              <w:rPr>
                <w:spacing w:val="-4"/>
                <w:sz w:val="24"/>
                <w:szCs w:val="24"/>
              </w:rPr>
              <w:t xml:space="preserve"> zīmi)</w:t>
            </w:r>
          </w:p>
        </w:tc>
        <w:tc>
          <w:tcPr>
            <w:tcW w:w="1134" w:type="dxa"/>
            <w:vAlign w:val="center"/>
          </w:tcPr>
          <w:p w14:paraId="38850D40" w14:textId="77777777" w:rsidR="008F7BEC" w:rsidRPr="000927B6" w:rsidRDefault="008F7BEC" w:rsidP="00A44E75">
            <w:pPr>
              <w:pStyle w:val="naisf"/>
              <w:spacing w:before="0" w:beforeAutospacing="0" w:after="0" w:afterAutospacing="0"/>
              <w:jc w:val="center"/>
              <w:rPr>
                <w:spacing w:val="-4"/>
              </w:rPr>
            </w:pPr>
            <w:r w:rsidRPr="000927B6">
              <w:rPr>
                <w:spacing w:val="-4"/>
              </w:rPr>
              <w:t>N/A</w:t>
            </w:r>
          </w:p>
        </w:tc>
        <w:tc>
          <w:tcPr>
            <w:tcW w:w="1559" w:type="dxa"/>
            <w:vAlign w:val="center"/>
          </w:tcPr>
          <w:p w14:paraId="38850D41" w14:textId="77777777" w:rsidR="008F7BEC" w:rsidRPr="000927B6" w:rsidRDefault="008F7BEC" w:rsidP="00A44E75">
            <w:pPr>
              <w:pStyle w:val="naisf"/>
              <w:spacing w:before="0" w:beforeAutospacing="0" w:after="0" w:afterAutospacing="0"/>
              <w:jc w:val="center"/>
              <w:rPr>
                <w:spacing w:val="-4"/>
              </w:rPr>
            </w:pPr>
            <w:r w:rsidRPr="000927B6">
              <w:rPr>
                <w:spacing w:val="-4"/>
              </w:rPr>
              <w:t>N/A</w:t>
            </w:r>
          </w:p>
        </w:tc>
        <w:tc>
          <w:tcPr>
            <w:tcW w:w="1843" w:type="dxa"/>
            <w:vAlign w:val="center"/>
          </w:tcPr>
          <w:p w14:paraId="38850D42" w14:textId="77777777" w:rsidR="008F7BEC" w:rsidRPr="000927B6" w:rsidRDefault="008F7BEC" w:rsidP="00A44E75">
            <w:pPr>
              <w:pStyle w:val="naisf"/>
              <w:spacing w:before="0" w:beforeAutospacing="0" w:after="0" w:afterAutospacing="0"/>
              <w:jc w:val="center"/>
              <w:rPr>
                <w:spacing w:val="-4"/>
              </w:rPr>
            </w:pPr>
            <w:r w:rsidRPr="000927B6">
              <w:rPr>
                <w:spacing w:val="-4"/>
              </w:rPr>
              <w:t>N/A</w:t>
            </w:r>
          </w:p>
        </w:tc>
        <w:tc>
          <w:tcPr>
            <w:tcW w:w="1701" w:type="dxa"/>
            <w:vAlign w:val="center"/>
          </w:tcPr>
          <w:p w14:paraId="38850D43" w14:textId="77777777" w:rsidR="008F7BEC" w:rsidRPr="000927B6" w:rsidRDefault="008F7BEC" w:rsidP="00A44E75">
            <w:pPr>
              <w:pStyle w:val="naisf"/>
              <w:spacing w:before="0" w:beforeAutospacing="0" w:after="0" w:afterAutospacing="0"/>
              <w:jc w:val="center"/>
              <w:rPr>
                <w:spacing w:val="-4"/>
              </w:rPr>
            </w:pPr>
            <w:r w:rsidRPr="000927B6">
              <w:rPr>
                <w:spacing w:val="-4"/>
              </w:rPr>
              <w:t>N/A</w:t>
            </w:r>
          </w:p>
        </w:tc>
        <w:tc>
          <w:tcPr>
            <w:tcW w:w="1598" w:type="dxa"/>
            <w:vAlign w:val="center"/>
          </w:tcPr>
          <w:p w14:paraId="38850D44" w14:textId="77777777" w:rsidR="008F7BEC" w:rsidRPr="000927B6" w:rsidRDefault="008F7BEC" w:rsidP="00A44E75">
            <w:pPr>
              <w:pStyle w:val="naisf"/>
              <w:spacing w:before="0" w:beforeAutospacing="0" w:after="0" w:afterAutospacing="0"/>
              <w:jc w:val="center"/>
              <w:rPr>
                <w:spacing w:val="-4"/>
              </w:rPr>
            </w:pPr>
            <w:r w:rsidRPr="000927B6">
              <w:rPr>
                <w:spacing w:val="-4"/>
              </w:rPr>
              <w:t>N/A</w:t>
            </w:r>
          </w:p>
        </w:tc>
      </w:tr>
      <w:tr w:rsidR="00803D65" w:rsidRPr="000927B6" w14:paraId="38850D4C" w14:textId="77777777" w:rsidTr="00A44E75">
        <w:trPr>
          <w:trHeight w:val="20"/>
        </w:trPr>
        <w:tc>
          <w:tcPr>
            <w:tcW w:w="1951" w:type="dxa"/>
          </w:tcPr>
          <w:p w14:paraId="38850D46" w14:textId="77777777" w:rsidR="008F7BEC" w:rsidRPr="000927B6" w:rsidRDefault="008F7BEC" w:rsidP="008F7BEC">
            <w:pPr>
              <w:rPr>
                <w:spacing w:val="-4"/>
                <w:sz w:val="24"/>
                <w:szCs w:val="24"/>
              </w:rPr>
            </w:pPr>
            <w:r w:rsidRPr="000927B6">
              <w:rPr>
                <w:spacing w:val="-4"/>
                <w:sz w:val="24"/>
                <w:szCs w:val="24"/>
              </w:rPr>
              <w:t>5. Precizēta finansiālā ietekme</w:t>
            </w:r>
          </w:p>
        </w:tc>
        <w:tc>
          <w:tcPr>
            <w:tcW w:w="1134" w:type="dxa"/>
            <w:vAlign w:val="center"/>
          </w:tcPr>
          <w:p w14:paraId="38850D47" w14:textId="77777777" w:rsidR="008F7BEC" w:rsidRPr="000927B6" w:rsidRDefault="008F7BEC" w:rsidP="00A44E75">
            <w:pPr>
              <w:pStyle w:val="naisf"/>
              <w:spacing w:before="0" w:beforeAutospacing="0" w:after="0" w:afterAutospacing="0"/>
              <w:jc w:val="center"/>
              <w:rPr>
                <w:spacing w:val="-4"/>
              </w:rPr>
            </w:pPr>
            <w:r w:rsidRPr="000927B6">
              <w:rPr>
                <w:spacing w:val="-4"/>
              </w:rPr>
              <w:t>N/A</w:t>
            </w:r>
          </w:p>
        </w:tc>
        <w:tc>
          <w:tcPr>
            <w:tcW w:w="1559" w:type="dxa"/>
            <w:vAlign w:val="center"/>
          </w:tcPr>
          <w:p w14:paraId="38850D48" w14:textId="77777777" w:rsidR="008F7BEC" w:rsidRPr="000927B6" w:rsidRDefault="008F7BEC" w:rsidP="00A44E75">
            <w:pPr>
              <w:pStyle w:val="naisf"/>
              <w:spacing w:before="0" w:beforeAutospacing="0" w:after="0" w:afterAutospacing="0"/>
              <w:jc w:val="center"/>
              <w:rPr>
                <w:spacing w:val="-4"/>
              </w:rPr>
            </w:pPr>
            <w:r w:rsidRPr="000927B6">
              <w:rPr>
                <w:spacing w:val="-4"/>
              </w:rPr>
              <w:t>N/A</w:t>
            </w:r>
          </w:p>
        </w:tc>
        <w:tc>
          <w:tcPr>
            <w:tcW w:w="1843" w:type="dxa"/>
            <w:vAlign w:val="center"/>
          </w:tcPr>
          <w:p w14:paraId="38850D49" w14:textId="77777777" w:rsidR="008F7BEC" w:rsidRPr="000927B6" w:rsidRDefault="008F7BEC" w:rsidP="00A44E75">
            <w:pPr>
              <w:jc w:val="center"/>
              <w:rPr>
                <w:spacing w:val="-4"/>
                <w:sz w:val="24"/>
                <w:szCs w:val="24"/>
              </w:rPr>
            </w:pPr>
            <w:r w:rsidRPr="000927B6">
              <w:rPr>
                <w:spacing w:val="-4"/>
                <w:sz w:val="24"/>
                <w:szCs w:val="24"/>
              </w:rPr>
              <w:t>N/A</w:t>
            </w:r>
          </w:p>
        </w:tc>
        <w:tc>
          <w:tcPr>
            <w:tcW w:w="1701" w:type="dxa"/>
            <w:vAlign w:val="center"/>
          </w:tcPr>
          <w:p w14:paraId="38850D4A" w14:textId="77777777" w:rsidR="008F7BEC" w:rsidRPr="000927B6" w:rsidRDefault="008F7BEC" w:rsidP="00A44E75">
            <w:pPr>
              <w:jc w:val="center"/>
              <w:rPr>
                <w:spacing w:val="-4"/>
                <w:sz w:val="24"/>
                <w:szCs w:val="24"/>
              </w:rPr>
            </w:pPr>
            <w:r w:rsidRPr="000927B6">
              <w:rPr>
                <w:spacing w:val="-4"/>
                <w:sz w:val="24"/>
                <w:szCs w:val="24"/>
              </w:rPr>
              <w:t>N/A</w:t>
            </w:r>
          </w:p>
        </w:tc>
        <w:tc>
          <w:tcPr>
            <w:tcW w:w="1598" w:type="dxa"/>
            <w:vAlign w:val="center"/>
          </w:tcPr>
          <w:p w14:paraId="38850D4B" w14:textId="77777777" w:rsidR="008F7BEC" w:rsidRPr="000927B6" w:rsidRDefault="008F7BEC" w:rsidP="00A44E75">
            <w:pPr>
              <w:jc w:val="center"/>
              <w:rPr>
                <w:spacing w:val="-4"/>
                <w:sz w:val="24"/>
                <w:szCs w:val="24"/>
              </w:rPr>
            </w:pPr>
            <w:r w:rsidRPr="000927B6">
              <w:rPr>
                <w:spacing w:val="-4"/>
                <w:sz w:val="24"/>
                <w:szCs w:val="24"/>
              </w:rPr>
              <w:t>N/A</w:t>
            </w:r>
          </w:p>
        </w:tc>
      </w:tr>
      <w:tr w:rsidR="00803D65" w:rsidRPr="000927B6" w14:paraId="38850D55" w14:textId="77777777" w:rsidTr="00924012">
        <w:trPr>
          <w:trHeight w:val="20"/>
        </w:trPr>
        <w:tc>
          <w:tcPr>
            <w:tcW w:w="1951" w:type="dxa"/>
            <w:shd w:val="clear" w:color="auto" w:fill="auto"/>
          </w:tcPr>
          <w:p w14:paraId="38850D4D" w14:textId="77777777" w:rsidR="008F7BEC" w:rsidRPr="000927B6" w:rsidRDefault="008F7BEC" w:rsidP="008F7BEC">
            <w:pPr>
              <w:rPr>
                <w:spacing w:val="-4"/>
                <w:sz w:val="24"/>
                <w:szCs w:val="24"/>
              </w:rPr>
            </w:pPr>
            <w:r w:rsidRPr="000927B6">
              <w:rPr>
                <w:spacing w:val="-4"/>
                <w:sz w:val="24"/>
                <w:szCs w:val="24"/>
              </w:rPr>
              <w:t>6. Detalizēts ieņēmumu un izdevumu aprēķins (ja nepieciešams, detalizētu ieņēmumu un izdevumu aprēķinu var pievienot anotācijas pielikumā)</w:t>
            </w:r>
          </w:p>
        </w:tc>
        <w:tc>
          <w:tcPr>
            <w:tcW w:w="7835" w:type="dxa"/>
            <w:gridSpan w:val="5"/>
            <w:vMerge w:val="restart"/>
            <w:shd w:val="clear" w:color="auto" w:fill="auto"/>
            <w:vAlign w:val="center"/>
          </w:tcPr>
          <w:p w14:paraId="38850D4E" w14:textId="718DBACB" w:rsidR="008F7BEC" w:rsidRPr="000927B6" w:rsidRDefault="008F7BEC" w:rsidP="008F7BEC">
            <w:pPr>
              <w:shd w:val="clear" w:color="auto" w:fill="FFFFFF"/>
              <w:ind w:right="113"/>
              <w:rPr>
                <w:spacing w:val="-4"/>
                <w:sz w:val="24"/>
                <w:szCs w:val="24"/>
              </w:rPr>
            </w:pPr>
            <w:r w:rsidRPr="000927B6">
              <w:rPr>
                <w:spacing w:val="-4"/>
                <w:sz w:val="24"/>
                <w:szCs w:val="24"/>
              </w:rPr>
              <w:t>3.4.2.</w:t>
            </w:r>
            <w:r w:rsidR="00ED436F">
              <w:rPr>
                <w:spacing w:val="-4"/>
                <w:sz w:val="24"/>
                <w:szCs w:val="24"/>
              </w:rPr>
              <w:t>1</w:t>
            </w:r>
            <w:r w:rsidR="00EF4D59">
              <w:rPr>
                <w:spacing w:val="-4"/>
                <w:sz w:val="24"/>
                <w:szCs w:val="24"/>
              </w:rPr>
              <w:t>. p</w:t>
            </w:r>
            <w:r w:rsidR="00ED436F">
              <w:rPr>
                <w:spacing w:val="-4"/>
                <w:sz w:val="24"/>
                <w:szCs w:val="24"/>
              </w:rPr>
              <w:t>asākumam</w:t>
            </w:r>
            <w:r w:rsidRPr="000927B6">
              <w:rPr>
                <w:spacing w:val="-4"/>
                <w:sz w:val="24"/>
                <w:szCs w:val="24"/>
              </w:rPr>
              <w:t xml:space="preserve"> kopējais plānotais finansējums (kopējās attiecināmās izmaksas) ir </w:t>
            </w:r>
            <w:r w:rsidR="00ED436F">
              <w:rPr>
                <w:spacing w:val="-4"/>
                <w:sz w:val="24"/>
                <w:szCs w:val="24"/>
              </w:rPr>
              <w:t xml:space="preserve">8 581 616 </w:t>
            </w:r>
            <w:r w:rsidRPr="000927B6">
              <w:rPr>
                <w:i/>
                <w:spacing w:val="-4"/>
                <w:sz w:val="24"/>
                <w:szCs w:val="24"/>
              </w:rPr>
              <w:t>euro</w:t>
            </w:r>
            <w:r w:rsidRPr="000927B6">
              <w:rPr>
                <w:spacing w:val="-4"/>
                <w:sz w:val="24"/>
                <w:szCs w:val="24"/>
              </w:rPr>
              <w:t>, tai skaitā ESF finansējums –</w:t>
            </w:r>
            <w:r w:rsidR="00ED436F">
              <w:rPr>
                <w:spacing w:val="-4"/>
                <w:sz w:val="24"/>
                <w:szCs w:val="24"/>
              </w:rPr>
              <w:t xml:space="preserve"> 7 294 374 </w:t>
            </w:r>
            <w:r w:rsidRPr="000927B6">
              <w:rPr>
                <w:i/>
                <w:spacing w:val="-4"/>
                <w:sz w:val="24"/>
                <w:szCs w:val="24"/>
              </w:rPr>
              <w:t>euro</w:t>
            </w:r>
            <w:r w:rsidRPr="000927B6">
              <w:rPr>
                <w:spacing w:val="-4"/>
                <w:sz w:val="24"/>
                <w:szCs w:val="24"/>
              </w:rPr>
              <w:t xml:space="preserve"> un valsts budžeta finansējums – 1</w:t>
            </w:r>
            <w:r w:rsidR="00ED436F">
              <w:rPr>
                <w:spacing w:val="-4"/>
                <w:sz w:val="24"/>
                <w:szCs w:val="24"/>
              </w:rPr>
              <w:t xml:space="preserve"> 287 242 </w:t>
            </w:r>
            <w:r w:rsidRPr="000927B6">
              <w:rPr>
                <w:i/>
                <w:spacing w:val="-4"/>
                <w:sz w:val="24"/>
                <w:szCs w:val="24"/>
              </w:rPr>
              <w:t>euro</w:t>
            </w:r>
            <w:r w:rsidRPr="000927B6">
              <w:rPr>
                <w:spacing w:val="-4"/>
                <w:sz w:val="24"/>
                <w:szCs w:val="24"/>
              </w:rPr>
              <w:t>. Uz 3.4.2.</w:t>
            </w:r>
            <w:r w:rsidR="00ED436F">
              <w:rPr>
                <w:spacing w:val="-4"/>
                <w:sz w:val="24"/>
                <w:szCs w:val="24"/>
              </w:rPr>
              <w:t>1. pasākuma</w:t>
            </w:r>
            <w:r w:rsidRPr="000927B6">
              <w:rPr>
                <w:spacing w:val="-4"/>
                <w:sz w:val="24"/>
                <w:szCs w:val="24"/>
              </w:rPr>
              <w:t xml:space="preserve"> pieejamo finansējumu tiek attiecināta arī snieguma ie</w:t>
            </w:r>
            <w:r w:rsidR="00BA7F33">
              <w:rPr>
                <w:spacing w:val="-4"/>
                <w:sz w:val="24"/>
                <w:szCs w:val="24"/>
              </w:rPr>
              <w:t>tvara rezerve 6,22 % apmērā (533 651</w:t>
            </w:r>
            <w:r w:rsidRPr="000927B6">
              <w:rPr>
                <w:i/>
                <w:spacing w:val="-4"/>
                <w:sz w:val="24"/>
                <w:szCs w:val="24"/>
              </w:rPr>
              <w:t> euro</w:t>
            </w:r>
            <w:r w:rsidRPr="000927B6">
              <w:rPr>
                <w:spacing w:val="-4"/>
                <w:sz w:val="24"/>
                <w:szCs w:val="24"/>
              </w:rPr>
              <w:t xml:space="preserve">), kas līdz 2018. gada 31. decembrim ierobežo kopējā attiecināmā finansējuma pieejamību </w:t>
            </w:r>
            <w:r w:rsidRPr="008007E1">
              <w:rPr>
                <w:spacing w:val="-4"/>
                <w:sz w:val="24"/>
                <w:szCs w:val="24"/>
              </w:rPr>
              <w:t>8</w:t>
            </w:r>
            <w:r w:rsidR="00BA7F33" w:rsidRPr="008007E1">
              <w:rPr>
                <w:spacing w:val="-4"/>
                <w:sz w:val="24"/>
                <w:szCs w:val="24"/>
              </w:rPr>
              <w:t> 047 965</w:t>
            </w:r>
            <w:r w:rsidR="00BA7F33">
              <w:rPr>
                <w:b/>
                <w:spacing w:val="-4"/>
                <w:sz w:val="24"/>
                <w:szCs w:val="24"/>
              </w:rPr>
              <w:t xml:space="preserve"> </w:t>
            </w:r>
            <w:r w:rsidRPr="000927B6">
              <w:rPr>
                <w:i/>
                <w:spacing w:val="-4"/>
                <w:sz w:val="24"/>
                <w:szCs w:val="24"/>
              </w:rPr>
              <w:t>euro</w:t>
            </w:r>
            <w:r w:rsidRPr="000927B6">
              <w:rPr>
                <w:spacing w:val="-4"/>
                <w:sz w:val="24"/>
                <w:szCs w:val="24"/>
              </w:rPr>
              <w:t xml:space="preserve"> apmērā, tai skaitā ESF finansējumu </w:t>
            </w:r>
            <w:r w:rsidR="00A84623" w:rsidRPr="008007E1">
              <w:rPr>
                <w:spacing w:val="-4"/>
                <w:sz w:val="24"/>
                <w:szCs w:val="24"/>
              </w:rPr>
              <w:t>6 840 770</w:t>
            </w:r>
            <w:r w:rsidR="00A84623">
              <w:rPr>
                <w:spacing w:val="-4"/>
                <w:sz w:val="24"/>
                <w:szCs w:val="24"/>
              </w:rPr>
              <w:t xml:space="preserve"> </w:t>
            </w:r>
            <w:r w:rsidRPr="000927B6">
              <w:rPr>
                <w:i/>
                <w:spacing w:val="-4"/>
                <w:sz w:val="24"/>
                <w:szCs w:val="24"/>
              </w:rPr>
              <w:t>euro</w:t>
            </w:r>
            <w:r w:rsidRPr="000927B6">
              <w:rPr>
                <w:spacing w:val="-4"/>
                <w:sz w:val="24"/>
                <w:szCs w:val="24"/>
              </w:rPr>
              <w:t xml:space="preserve"> apmērā un valsts budžeta </w:t>
            </w:r>
            <w:r w:rsidRPr="008007E1">
              <w:rPr>
                <w:spacing w:val="-4"/>
                <w:sz w:val="24"/>
                <w:szCs w:val="24"/>
              </w:rPr>
              <w:t>finansējumu 1</w:t>
            </w:r>
            <w:r w:rsidR="00A84623" w:rsidRPr="008007E1">
              <w:rPr>
                <w:spacing w:val="-4"/>
                <w:sz w:val="24"/>
                <w:szCs w:val="24"/>
              </w:rPr>
              <w:t> 207 195</w:t>
            </w:r>
            <w:r w:rsidR="00A84623">
              <w:rPr>
                <w:b/>
                <w:spacing w:val="-4"/>
                <w:sz w:val="24"/>
                <w:szCs w:val="24"/>
              </w:rPr>
              <w:t xml:space="preserve"> </w:t>
            </w:r>
            <w:r w:rsidRPr="000927B6">
              <w:rPr>
                <w:i/>
                <w:spacing w:val="-4"/>
                <w:sz w:val="24"/>
                <w:szCs w:val="24"/>
              </w:rPr>
              <w:t>euro</w:t>
            </w:r>
            <w:r w:rsidRPr="000927B6">
              <w:rPr>
                <w:spacing w:val="-4"/>
                <w:sz w:val="24"/>
                <w:szCs w:val="24"/>
              </w:rPr>
              <w:t xml:space="preserve"> apmērā.</w:t>
            </w:r>
          </w:p>
          <w:p w14:paraId="38850D4F" w14:textId="6BF8715E" w:rsidR="008F7BEC" w:rsidRPr="00CA4586" w:rsidRDefault="008F7BEC" w:rsidP="008F7BEC">
            <w:pPr>
              <w:ind w:right="113"/>
              <w:rPr>
                <w:spacing w:val="-4"/>
                <w:sz w:val="24"/>
                <w:szCs w:val="24"/>
              </w:rPr>
            </w:pPr>
            <w:r w:rsidRPr="000927B6">
              <w:rPr>
                <w:spacing w:val="-4"/>
                <w:sz w:val="24"/>
                <w:szCs w:val="24"/>
              </w:rPr>
              <w:t>3.4.2.</w:t>
            </w:r>
            <w:r w:rsidR="00A84623">
              <w:rPr>
                <w:spacing w:val="-4"/>
                <w:sz w:val="24"/>
                <w:szCs w:val="24"/>
              </w:rPr>
              <w:t>1. pasākuma</w:t>
            </w:r>
            <w:r w:rsidRPr="000927B6">
              <w:rPr>
                <w:spacing w:val="-4"/>
                <w:sz w:val="24"/>
                <w:szCs w:val="24"/>
              </w:rPr>
              <w:t xml:space="preserve"> </w:t>
            </w:r>
            <w:r w:rsidRPr="00CA4586">
              <w:rPr>
                <w:spacing w:val="-4"/>
                <w:sz w:val="24"/>
                <w:szCs w:val="24"/>
              </w:rPr>
              <w:t xml:space="preserve">finanšu rādītājs – apgūti 100 % no </w:t>
            </w:r>
            <w:r w:rsidR="00A84623" w:rsidRPr="00CA4586">
              <w:rPr>
                <w:spacing w:val="-4"/>
                <w:sz w:val="24"/>
                <w:szCs w:val="24"/>
              </w:rPr>
              <w:t>pasākuma</w:t>
            </w:r>
            <w:r w:rsidRPr="00CA4586">
              <w:rPr>
                <w:spacing w:val="-4"/>
                <w:sz w:val="24"/>
                <w:szCs w:val="24"/>
              </w:rPr>
              <w:t>m</w:t>
            </w:r>
            <w:r w:rsidR="00A84623" w:rsidRPr="00CA4586">
              <w:rPr>
                <w:spacing w:val="-4"/>
                <w:sz w:val="24"/>
                <w:szCs w:val="24"/>
              </w:rPr>
              <w:t xml:space="preserve"> </w:t>
            </w:r>
            <w:r w:rsidRPr="00CA4586">
              <w:rPr>
                <w:spacing w:val="-4"/>
                <w:sz w:val="24"/>
                <w:szCs w:val="24"/>
              </w:rPr>
              <w:t>paredzētā kopējā attiecināmā finansējuma, tai skaitā līdz 2018. gada 31. decembrim –</w:t>
            </w:r>
            <w:r w:rsidR="00462DC8">
              <w:rPr>
                <w:spacing w:val="-4"/>
                <w:sz w:val="24"/>
                <w:szCs w:val="24"/>
              </w:rPr>
              <w:t xml:space="preserve"> </w:t>
            </w:r>
            <w:r w:rsidRPr="00CA4586">
              <w:rPr>
                <w:spacing w:val="-4"/>
                <w:sz w:val="24"/>
                <w:szCs w:val="24"/>
              </w:rPr>
              <w:t>3 132 164</w:t>
            </w:r>
            <w:r w:rsidRPr="00CA4586">
              <w:rPr>
                <w:i/>
                <w:spacing w:val="-4"/>
                <w:sz w:val="24"/>
                <w:szCs w:val="24"/>
              </w:rPr>
              <w:t> euro</w:t>
            </w:r>
            <w:r w:rsidRPr="00CA4586">
              <w:rPr>
                <w:spacing w:val="-4"/>
                <w:sz w:val="24"/>
                <w:szCs w:val="24"/>
              </w:rPr>
              <w:t xml:space="preserve">. Budžeta ieņēmumi ir finansējuma </w:t>
            </w:r>
            <w:r w:rsidR="00602CCC" w:rsidRPr="00CA4586">
              <w:rPr>
                <w:spacing w:val="-4"/>
                <w:sz w:val="24"/>
                <w:szCs w:val="24"/>
              </w:rPr>
              <w:t>ESF daļa 85 % apmērā no projektu</w:t>
            </w:r>
            <w:r w:rsidRPr="00CA4586">
              <w:rPr>
                <w:spacing w:val="-4"/>
                <w:sz w:val="24"/>
                <w:szCs w:val="24"/>
              </w:rPr>
              <w:t xml:space="preserve"> attiecināmajām izmaksām.</w:t>
            </w:r>
          </w:p>
          <w:p w14:paraId="38850D50" w14:textId="31B1311B" w:rsidR="008F7BEC" w:rsidRPr="00CA4586" w:rsidRDefault="008F7BEC" w:rsidP="008F7BEC">
            <w:pPr>
              <w:ind w:right="113"/>
              <w:rPr>
                <w:spacing w:val="-4"/>
                <w:sz w:val="24"/>
                <w:szCs w:val="24"/>
              </w:rPr>
            </w:pPr>
            <w:r w:rsidRPr="00CA4586">
              <w:rPr>
                <w:spacing w:val="-4"/>
                <w:sz w:val="24"/>
                <w:szCs w:val="24"/>
              </w:rPr>
              <w:t>Budžeta izd</w:t>
            </w:r>
            <w:r w:rsidR="00602CCC" w:rsidRPr="00CA4586">
              <w:rPr>
                <w:spacing w:val="-4"/>
                <w:sz w:val="24"/>
                <w:szCs w:val="24"/>
              </w:rPr>
              <w:t>evumi ir kopējie projektu</w:t>
            </w:r>
            <w:r w:rsidRPr="00CA4586">
              <w:rPr>
                <w:spacing w:val="-4"/>
                <w:sz w:val="24"/>
                <w:szCs w:val="24"/>
              </w:rPr>
              <w:t xml:space="preserve"> ie</w:t>
            </w:r>
            <w:r w:rsidR="008007E1" w:rsidRPr="00CA4586">
              <w:rPr>
                <w:spacing w:val="-4"/>
                <w:sz w:val="24"/>
                <w:szCs w:val="24"/>
              </w:rPr>
              <w:t xml:space="preserve">viešanai nepieciešamie līdzekļi attiecīgajā </w:t>
            </w:r>
            <w:r w:rsidRPr="00CA4586">
              <w:rPr>
                <w:spacing w:val="-4"/>
                <w:sz w:val="24"/>
                <w:szCs w:val="24"/>
              </w:rPr>
              <w:t>gadā.</w:t>
            </w:r>
            <w:r w:rsidR="003443BF" w:rsidRPr="00CA4586">
              <w:rPr>
                <w:spacing w:val="-4"/>
                <w:sz w:val="24"/>
                <w:szCs w:val="24"/>
              </w:rPr>
              <w:t xml:space="preserve"> Visas izmaksas, kas ietvertas šajā sadaļā un raksturo paredzamo finanšu plūsmu pa attie</w:t>
            </w:r>
            <w:r w:rsidR="0081012E">
              <w:rPr>
                <w:spacing w:val="-4"/>
                <w:sz w:val="24"/>
                <w:szCs w:val="24"/>
              </w:rPr>
              <w:t>cīgajiem gadiem, ir indikatīvas</w:t>
            </w:r>
          </w:p>
          <w:p w14:paraId="3C4885AE" w14:textId="1EF2EB05" w:rsidR="0020506E" w:rsidRPr="00CA4586" w:rsidRDefault="00497C85" w:rsidP="00BA3D07">
            <w:pPr>
              <w:pBdr>
                <w:top w:val="single" w:sz="4" w:space="1" w:color="auto"/>
              </w:pBdr>
              <w:ind w:right="113"/>
              <w:jc w:val="both"/>
              <w:rPr>
                <w:spacing w:val="-4"/>
                <w:sz w:val="24"/>
                <w:szCs w:val="24"/>
              </w:rPr>
            </w:pPr>
            <w:r>
              <w:rPr>
                <w:b/>
                <w:spacing w:val="-4"/>
                <w:sz w:val="24"/>
                <w:szCs w:val="24"/>
              </w:rPr>
              <w:t>2016</w:t>
            </w:r>
            <w:r w:rsidR="008F7BEC" w:rsidRPr="000927B6">
              <w:rPr>
                <w:b/>
                <w:spacing w:val="-4"/>
                <w:sz w:val="24"/>
                <w:szCs w:val="24"/>
              </w:rPr>
              <w:t>. gadā</w:t>
            </w:r>
            <w:r w:rsidR="00AB3B79" w:rsidRPr="000927B6">
              <w:rPr>
                <w:spacing w:val="-4"/>
                <w:sz w:val="24"/>
                <w:szCs w:val="24"/>
              </w:rPr>
              <w:t xml:space="preserve"> no 74. resora </w:t>
            </w:r>
            <w:r w:rsidR="00EF4D59">
              <w:rPr>
                <w:spacing w:val="-4"/>
                <w:sz w:val="24"/>
                <w:szCs w:val="24"/>
              </w:rPr>
              <w:t>"</w:t>
            </w:r>
            <w:r w:rsidR="00AB3B79" w:rsidRPr="000927B6">
              <w:rPr>
                <w:spacing w:val="-4"/>
                <w:sz w:val="24"/>
                <w:szCs w:val="24"/>
              </w:rPr>
              <w:t>Gadskārtējā valsts budžeta izpildes procesā pārdalāmais finansējums</w:t>
            </w:r>
            <w:r w:rsidR="00EF4D59">
              <w:rPr>
                <w:spacing w:val="-4"/>
                <w:sz w:val="24"/>
                <w:szCs w:val="24"/>
              </w:rPr>
              <w:t>"</w:t>
            </w:r>
            <w:r w:rsidR="00AB3B79" w:rsidRPr="000927B6">
              <w:rPr>
                <w:spacing w:val="-4"/>
                <w:sz w:val="24"/>
                <w:szCs w:val="24"/>
              </w:rPr>
              <w:t xml:space="preserve"> 80.00.00</w:t>
            </w:r>
            <w:r w:rsidR="00AB3B79">
              <w:rPr>
                <w:spacing w:val="-4"/>
                <w:sz w:val="24"/>
                <w:szCs w:val="24"/>
              </w:rPr>
              <w:t> </w:t>
            </w:r>
            <w:r w:rsidR="00AB3B79" w:rsidRPr="000927B6">
              <w:rPr>
                <w:spacing w:val="-4"/>
                <w:sz w:val="24"/>
                <w:szCs w:val="24"/>
              </w:rPr>
              <w:t xml:space="preserve">programmas </w:t>
            </w:r>
            <w:r w:rsidR="00EF4D59">
              <w:rPr>
                <w:spacing w:val="-4"/>
                <w:sz w:val="24"/>
                <w:szCs w:val="24"/>
              </w:rPr>
              <w:t>"</w:t>
            </w:r>
            <w:r w:rsidR="00AB3B79" w:rsidRPr="000927B6">
              <w:rPr>
                <w:spacing w:val="-4"/>
                <w:sz w:val="24"/>
                <w:szCs w:val="24"/>
              </w:rPr>
              <w:t>Nesadalītais finansējums Eiropas Savienības politiku instrumentu un pārējās ārvalstu finanšu palīdzības līdzfinansēto projektu un pasākumu īstenošanai</w:t>
            </w:r>
            <w:r w:rsidR="00EF4D59">
              <w:rPr>
                <w:spacing w:val="-4"/>
                <w:sz w:val="24"/>
                <w:szCs w:val="24"/>
              </w:rPr>
              <w:t>"</w:t>
            </w:r>
            <w:r w:rsidR="00AB3B79">
              <w:rPr>
                <w:spacing w:val="-4"/>
                <w:sz w:val="24"/>
                <w:szCs w:val="24"/>
              </w:rPr>
              <w:t xml:space="preserve"> </w:t>
            </w:r>
            <w:r w:rsidR="005918A7">
              <w:rPr>
                <w:spacing w:val="-4"/>
                <w:sz w:val="24"/>
                <w:szCs w:val="24"/>
              </w:rPr>
              <w:t xml:space="preserve">VAS </w:t>
            </w:r>
            <w:r w:rsidR="00AB3B79" w:rsidRPr="000927B6">
              <w:rPr>
                <w:spacing w:val="-4"/>
                <w:sz w:val="24"/>
                <w:szCs w:val="24"/>
              </w:rPr>
              <w:t xml:space="preserve">projektiem un Valsts kancelejas projektam </w:t>
            </w:r>
            <w:r w:rsidR="00AB3B79">
              <w:rPr>
                <w:spacing w:val="-4"/>
                <w:sz w:val="24"/>
                <w:szCs w:val="24"/>
              </w:rPr>
              <w:t xml:space="preserve">ir pārdalīti </w:t>
            </w:r>
            <w:r w:rsidR="00AB3B79" w:rsidRPr="00AB3B79">
              <w:rPr>
                <w:spacing w:val="-4"/>
                <w:sz w:val="24"/>
                <w:szCs w:val="24"/>
              </w:rPr>
              <w:t>929</w:t>
            </w:r>
            <w:r w:rsidR="00AB3B79">
              <w:rPr>
                <w:spacing w:val="-4"/>
                <w:sz w:val="24"/>
                <w:szCs w:val="24"/>
              </w:rPr>
              <w:t> </w:t>
            </w:r>
            <w:r w:rsidR="00AB3B79" w:rsidRPr="00AB3B79">
              <w:rPr>
                <w:spacing w:val="-4"/>
                <w:sz w:val="24"/>
                <w:szCs w:val="24"/>
              </w:rPr>
              <w:t>424</w:t>
            </w:r>
            <w:r w:rsidR="00BA3D07">
              <w:rPr>
                <w:spacing w:val="-4"/>
                <w:sz w:val="24"/>
                <w:szCs w:val="24"/>
              </w:rPr>
              <w:t> </w:t>
            </w:r>
            <w:r w:rsidR="00AB3B79" w:rsidRPr="000927B6">
              <w:rPr>
                <w:i/>
                <w:spacing w:val="-4"/>
                <w:sz w:val="24"/>
                <w:szCs w:val="24"/>
              </w:rPr>
              <w:t>euro</w:t>
            </w:r>
            <w:r w:rsidR="00AB3B79" w:rsidRPr="000927B6">
              <w:rPr>
                <w:spacing w:val="-4"/>
                <w:sz w:val="24"/>
                <w:szCs w:val="24"/>
              </w:rPr>
              <w:t xml:space="preserve"> apmērā</w:t>
            </w:r>
            <w:r w:rsidR="008F7BEC" w:rsidRPr="000927B6">
              <w:rPr>
                <w:spacing w:val="-4"/>
                <w:sz w:val="24"/>
                <w:szCs w:val="24"/>
              </w:rPr>
              <w:t>, tai skaitā ESF finansējums –</w:t>
            </w:r>
            <w:r w:rsidR="006D75C7">
              <w:rPr>
                <w:spacing w:val="-4"/>
                <w:sz w:val="24"/>
                <w:szCs w:val="24"/>
              </w:rPr>
              <w:t xml:space="preserve"> </w:t>
            </w:r>
            <w:r w:rsidR="00AB3B79" w:rsidRPr="00AB3B79">
              <w:rPr>
                <w:spacing w:val="-4"/>
                <w:sz w:val="24"/>
                <w:szCs w:val="24"/>
              </w:rPr>
              <w:t>790 01</w:t>
            </w:r>
            <w:r w:rsidR="00246113">
              <w:rPr>
                <w:spacing w:val="-4"/>
                <w:sz w:val="24"/>
                <w:szCs w:val="24"/>
              </w:rPr>
              <w:t xml:space="preserve">0 </w:t>
            </w:r>
            <w:r w:rsidR="008F7BEC" w:rsidRPr="000927B6">
              <w:rPr>
                <w:i/>
                <w:spacing w:val="-4"/>
                <w:sz w:val="24"/>
                <w:szCs w:val="24"/>
              </w:rPr>
              <w:t>euro</w:t>
            </w:r>
            <w:r w:rsidR="008F7BEC" w:rsidRPr="000927B6">
              <w:rPr>
                <w:spacing w:val="-4"/>
                <w:sz w:val="24"/>
                <w:szCs w:val="24"/>
              </w:rPr>
              <w:t xml:space="preserve"> un valsts budžeta līdzfinansējums –</w:t>
            </w:r>
            <w:r w:rsidR="00D036D4">
              <w:rPr>
                <w:spacing w:val="-4"/>
                <w:sz w:val="24"/>
                <w:szCs w:val="24"/>
              </w:rPr>
              <w:t xml:space="preserve"> </w:t>
            </w:r>
            <w:r w:rsidR="00AB3B79" w:rsidRPr="00AB3B79">
              <w:rPr>
                <w:spacing w:val="-4"/>
                <w:sz w:val="24"/>
                <w:szCs w:val="24"/>
              </w:rPr>
              <w:t>139</w:t>
            </w:r>
            <w:r w:rsidR="00AB3B79">
              <w:rPr>
                <w:spacing w:val="-4"/>
                <w:sz w:val="24"/>
                <w:szCs w:val="24"/>
              </w:rPr>
              <w:t> </w:t>
            </w:r>
            <w:r w:rsidR="00246113" w:rsidRPr="00AB3B79">
              <w:rPr>
                <w:spacing w:val="-4"/>
                <w:sz w:val="24"/>
                <w:szCs w:val="24"/>
              </w:rPr>
              <w:t>41</w:t>
            </w:r>
            <w:r w:rsidR="00246113">
              <w:rPr>
                <w:spacing w:val="-4"/>
                <w:sz w:val="24"/>
                <w:szCs w:val="24"/>
              </w:rPr>
              <w:t xml:space="preserve">4 </w:t>
            </w:r>
            <w:r w:rsidR="008F7BEC" w:rsidRPr="000927B6">
              <w:rPr>
                <w:i/>
                <w:spacing w:val="-4"/>
                <w:sz w:val="24"/>
                <w:szCs w:val="24"/>
              </w:rPr>
              <w:t>euro</w:t>
            </w:r>
            <w:r w:rsidR="008F7BEC" w:rsidRPr="000927B6">
              <w:rPr>
                <w:spacing w:val="-4"/>
                <w:sz w:val="24"/>
                <w:szCs w:val="24"/>
              </w:rPr>
              <w:t xml:space="preserve">. </w:t>
            </w:r>
            <w:r w:rsidR="008D6D26" w:rsidRPr="00CA4586">
              <w:rPr>
                <w:spacing w:val="-4"/>
                <w:sz w:val="24"/>
                <w:szCs w:val="24"/>
              </w:rPr>
              <w:t>Savukārt ar Finanšu ministrijas 2016</w:t>
            </w:r>
            <w:r w:rsidR="00EF4D59">
              <w:rPr>
                <w:spacing w:val="-4"/>
                <w:sz w:val="24"/>
                <w:szCs w:val="24"/>
              </w:rPr>
              <w:t>. g</w:t>
            </w:r>
            <w:r w:rsidR="008D6D26" w:rsidRPr="00CA4586">
              <w:rPr>
                <w:spacing w:val="-4"/>
                <w:sz w:val="24"/>
                <w:szCs w:val="24"/>
              </w:rPr>
              <w:t>ada 11</w:t>
            </w:r>
            <w:r w:rsidR="00EF4D59">
              <w:rPr>
                <w:spacing w:val="-4"/>
                <w:sz w:val="24"/>
                <w:szCs w:val="24"/>
              </w:rPr>
              <w:t>.</w:t>
            </w:r>
            <w:r w:rsidR="00BA3D07">
              <w:rPr>
                <w:spacing w:val="-4"/>
                <w:sz w:val="24"/>
                <w:szCs w:val="24"/>
              </w:rPr>
              <w:t> </w:t>
            </w:r>
            <w:r w:rsidR="00EF4D59">
              <w:rPr>
                <w:spacing w:val="-4"/>
                <w:sz w:val="24"/>
                <w:szCs w:val="24"/>
              </w:rPr>
              <w:t>o</w:t>
            </w:r>
            <w:r w:rsidR="008D6D26" w:rsidRPr="00CA4586">
              <w:rPr>
                <w:spacing w:val="-4"/>
                <w:sz w:val="24"/>
                <w:szCs w:val="24"/>
              </w:rPr>
              <w:t>ktobra rīkojumu Nr.</w:t>
            </w:r>
            <w:r w:rsidR="00BA3D07">
              <w:rPr>
                <w:spacing w:val="-4"/>
                <w:sz w:val="24"/>
                <w:szCs w:val="24"/>
              </w:rPr>
              <w:t> </w:t>
            </w:r>
            <w:r w:rsidR="008D6D26" w:rsidRPr="00CA4586">
              <w:rPr>
                <w:spacing w:val="-4"/>
                <w:sz w:val="24"/>
                <w:szCs w:val="24"/>
              </w:rPr>
              <w:t>500  2016</w:t>
            </w:r>
            <w:r w:rsidR="00EF4D59">
              <w:rPr>
                <w:spacing w:val="-4"/>
                <w:sz w:val="24"/>
                <w:szCs w:val="24"/>
              </w:rPr>
              <w:t>.</w:t>
            </w:r>
            <w:r w:rsidR="00BA3D07">
              <w:rPr>
                <w:spacing w:val="-4"/>
                <w:sz w:val="24"/>
                <w:szCs w:val="24"/>
              </w:rPr>
              <w:t> </w:t>
            </w:r>
            <w:r w:rsidR="00EF4D59">
              <w:rPr>
                <w:spacing w:val="-4"/>
                <w:sz w:val="24"/>
                <w:szCs w:val="24"/>
              </w:rPr>
              <w:t>g</w:t>
            </w:r>
            <w:r w:rsidR="008D6D26" w:rsidRPr="00CA4586">
              <w:rPr>
                <w:spacing w:val="-4"/>
                <w:sz w:val="24"/>
                <w:szCs w:val="24"/>
              </w:rPr>
              <w:t xml:space="preserve">adā </w:t>
            </w:r>
            <w:r w:rsidR="00BA3D07" w:rsidRPr="00CA4586">
              <w:rPr>
                <w:spacing w:val="-4"/>
                <w:sz w:val="24"/>
                <w:szCs w:val="24"/>
              </w:rPr>
              <w:t>līdzekļi</w:t>
            </w:r>
            <w:r w:rsidR="00BA3D07">
              <w:rPr>
                <w:spacing w:val="-4"/>
                <w:sz w:val="24"/>
                <w:szCs w:val="24"/>
              </w:rPr>
              <w:t xml:space="preserve"> </w:t>
            </w:r>
            <w:r w:rsidR="00381099">
              <w:rPr>
                <w:spacing w:val="-4"/>
                <w:sz w:val="24"/>
                <w:szCs w:val="24"/>
              </w:rPr>
              <w:t xml:space="preserve">VAS </w:t>
            </w:r>
            <w:r w:rsidR="008D6D26" w:rsidRPr="00CA4586">
              <w:rPr>
                <w:spacing w:val="-4"/>
                <w:sz w:val="24"/>
                <w:szCs w:val="24"/>
              </w:rPr>
              <w:t xml:space="preserve">īstenotajiem projektiem </w:t>
            </w:r>
            <w:r w:rsidR="00BA3D07" w:rsidRPr="00CA4586">
              <w:rPr>
                <w:spacing w:val="-4"/>
                <w:sz w:val="24"/>
                <w:szCs w:val="24"/>
              </w:rPr>
              <w:t xml:space="preserve">ir samazināti </w:t>
            </w:r>
            <w:r w:rsidR="00BA3D07">
              <w:rPr>
                <w:spacing w:val="-4"/>
                <w:sz w:val="24"/>
                <w:szCs w:val="24"/>
              </w:rPr>
              <w:t xml:space="preserve">par </w:t>
            </w:r>
            <w:r w:rsidR="008D6D26" w:rsidRPr="00CA4586">
              <w:rPr>
                <w:spacing w:val="-4"/>
                <w:sz w:val="24"/>
                <w:szCs w:val="24"/>
              </w:rPr>
              <w:t>303 677</w:t>
            </w:r>
            <w:r w:rsidR="00BA3D07">
              <w:rPr>
                <w:spacing w:val="-4"/>
                <w:sz w:val="24"/>
                <w:szCs w:val="24"/>
              </w:rPr>
              <w:t> </w:t>
            </w:r>
            <w:r w:rsidR="008D6D26" w:rsidRPr="00BA3D07">
              <w:rPr>
                <w:i/>
                <w:spacing w:val="-4"/>
                <w:sz w:val="24"/>
                <w:szCs w:val="24"/>
              </w:rPr>
              <w:t>euro</w:t>
            </w:r>
            <w:r w:rsidR="008D6D26" w:rsidRPr="00CA4586">
              <w:rPr>
                <w:spacing w:val="-4"/>
                <w:sz w:val="24"/>
                <w:szCs w:val="24"/>
              </w:rPr>
              <w:t xml:space="preserve">, </w:t>
            </w:r>
            <w:r w:rsidR="008D6D26" w:rsidRPr="00CA4586">
              <w:rPr>
                <w:spacing w:val="-4"/>
                <w:sz w:val="24"/>
                <w:szCs w:val="24"/>
              </w:rPr>
              <w:lastRenderedPageBreak/>
              <w:t xml:space="preserve">ko </w:t>
            </w:r>
            <w:r w:rsidR="00381099">
              <w:rPr>
                <w:spacing w:val="-4"/>
                <w:sz w:val="24"/>
                <w:szCs w:val="24"/>
              </w:rPr>
              <w:t xml:space="preserve">VAS </w:t>
            </w:r>
            <w:r w:rsidR="008D6D26" w:rsidRPr="00CA4586">
              <w:rPr>
                <w:spacing w:val="-4"/>
                <w:sz w:val="24"/>
                <w:szCs w:val="24"/>
              </w:rPr>
              <w:t>plāno pieprasīt un apgūt 2017</w:t>
            </w:r>
            <w:r w:rsidR="00EF4D59">
              <w:rPr>
                <w:spacing w:val="-4"/>
                <w:sz w:val="24"/>
                <w:szCs w:val="24"/>
              </w:rPr>
              <w:t>.</w:t>
            </w:r>
            <w:r w:rsidR="00BA3D07">
              <w:rPr>
                <w:spacing w:val="-4"/>
                <w:sz w:val="24"/>
                <w:szCs w:val="24"/>
              </w:rPr>
              <w:t> </w:t>
            </w:r>
            <w:r w:rsidR="00EF4D59">
              <w:rPr>
                <w:spacing w:val="-4"/>
                <w:sz w:val="24"/>
                <w:szCs w:val="24"/>
              </w:rPr>
              <w:t>g</w:t>
            </w:r>
            <w:r w:rsidR="008D6D26" w:rsidRPr="00CA4586">
              <w:rPr>
                <w:spacing w:val="-4"/>
                <w:sz w:val="24"/>
                <w:szCs w:val="24"/>
              </w:rPr>
              <w:t>adā papildus apstiprinātajam 2017</w:t>
            </w:r>
            <w:r w:rsidR="00EF4D59">
              <w:rPr>
                <w:spacing w:val="-4"/>
                <w:sz w:val="24"/>
                <w:szCs w:val="24"/>
              </w:rPr>
              <w:t>. g</w:t>
            </w:r>
            <w:r w:rsidR="008D6D26" w:rsidRPr="00CA4586">
              <w:rPr>
                <w:spacing w:val="-4"/>
                <w:sz w:val="24"/>
                <w:szCs w:val="24"/>
              </w:rPr>
              <w:t xml:space="preserve">ada </w:t>
            </w:r>
            <w:r w:rsidR="0020506E" w:rsidRPr="00CA4586">
              <w:rPr>
                <w:spacing w:val="-4"/>
                <w:sz w:val="24"/>
                <w:szCs w:val="24"/>
              </w:rPr>
              <w:t xml:space="preserve"> projektu </w:t>
            </w:r>
            <w:r w:rsidR="008D6D26" w:rsidRPr="00CA4586">
              <w:rPr>
                <w:spacing w:val="-4"/>
                <w:sz w:val="24"/>
                <w:szCs w:val="24"/>
              </w:rPr>
              <w:t>budžetam.</w:t>
            </w:r>
          </w:p>
          <w:p w14:paraId="38850D51" w14:textId="2BA4D30E" w:rsidR="00AB3B79" w:rsidRDefault="005918A7" w:rsidP="00BA3D07">
            <w:pPr>
              <w:pBdr>
                <w:top w:val="single" w:sz="4" w:space="1" w:color="auto"/>
              </w:pBdr>
              <w:ind w:right="113"/>
              <w:jc w:val="both"/>
              <w:rPr>
                <w:spacing w:val="-4"/>
                <w:sz w:val="24"/>
                <w:szCs w:val="24"/>
              </w:rPr>
            </w:pPr>
            <w:r>
              <w:rPr>
                <w:spacing w:val="-4"/>
                <w:sz w:val="24"/>
                <w:szCs w:val="24"/>
              </w:rPr>
              <w:t xml:space="preserve">VAS </w:t>
            </w:r>
            <w:r w:rsidR="007F3AEE">
              <w:rPr>
                <w:spacing w:val="-4"/>
                <w:sz w:val="24"/>
                <w:szCs w:val="24"/>
              </w:rPr>
              <w:t>pē</w:t>
            </w:r>
            <w:r w:rsidR="006C1138">
              <w:rPr>
                <w:spacing w:val="-4"/>
                <w:sz w:val="24"/>
                <w:szCs w:val="24"/>
              </w:rPr>
              <w:t>c noteikumu projekta apstiprināšanas</w:t>
            </w:r>
            <w:r w:rsidR="00D036D4">
              <w:rPr>
                <w:spacing w:val="-4"/>
                <w:sz w:val="24"/>
                <w:szCs w:val="24"/>
              </w:rPr>
              <w:t xml:space="preserve"> veiks</w:t>
            </w:r>
            <w:r w:rsidR="006C1138">
              <w:rPr>
                <w:spacing w:val="-4"/>
                <w:sz w:val="24"/>
                <w:szCs w:val="24"/>
              </w:rPr>
              <w:t xml:space="preserve"> grozījumus</w:t>
            </w:r>
            <w:r w:rsidR="00602CCC">
              <w:rPr>
                <w:spacing w:val="-4"/>
                <w:sz w:val="24"/>
                <w:szCs w:val="24"/>
              </w:rPr>
              <w:t xml:space="preserve"> projektā</w:t>
            </w:r>
            <w:r w:rsidR="00CF3867">
              <w:rPr>
                <w:spacing w:val="-4"/>
                <w:sz w:val="24"/>
                <w:szCs w:val="24"/>
              </w:rPr>
              <w:t xml:space="preserve"> </w:t>
            </w:r>
            <w:r w:rsidR="00EF4D59">
              <w:rPr>
                <w:spacing w:val="-4"/>
                <w:sz w:val="24"/>
                <w:szCs w:val="24"/>
              </w:rPr>
              <w:t>"</w:t>
            </w:r>
            <w:r w:rsidR="00602CCC" w:rsidRPr="00602CCC">
              <w:rPr>
                <w:spacing w:val="-4"/>
                <w:sz w:val="24"/>
                <w:szCs w:val="24"/>
              </w:rPr>
              <w:t>Valsts pārvaldes cilvēkresursu profesionālā pilnveide labāka regulējuma izstrādē mazo un vidējo komersantu atbalsta jomā</w:t>
            </w:r>
            <w:r w:rsidR="00EF4D59">
              <w:rPr>
                <w:spacing w:val="-4"/>
                <w:sz w:val="24"/>
                <w:szCs w:val="24"/>
              </w:rPr>
              <w:t>"</w:t>
            </w:r>
            <w:r w:rsidR="007F3AEE">
              <w:rPr>
                <w:spacing w:val="-4"/>
                <w:sz w:val="24"/>
                <w:szCs w:val="24"/>
              </w:rPr>
              <w:t xml:space="preserve">, kā arī veiks </w:t>
            </w:r>
            <w:r w:rsidR="00381099">
              <w:rPr>
                <w:spacing w:val="-4"/>
                <w:sz w:val="24"/>
                <w:szCs w:val="24"/>
              </w:rPr>
              <w:t xml:space="preserve">valsts </w:t>
            </w:r>
            <w:r w:rsidR="007F3AEE">
              <w:rPr>
                <w:spacing w:val="-4"/>
                <w:sz w:val="24"/>
                <w:szCs w:val="24"/>
              </w:rPr>
              <w:t xml:space="preserve">budžeta </w:t>
            </w:r>
            <w:r w:rsidR="00381099">
              <w:rPr>
                <w:spacing w:val="-4"/>
                <w:sz w:val="24"/>
                <w:szCs w:val="24"/>
              </w:rPr>
              <w:t xml:space="preserve">līdzekļu </w:t>
            </w:r>
            <w:r w:rsidR="007F3AEE">
              <w:rPr>
                <w:spacing w:val="-4"/>
                <w:sz w:val="24"/>
                <w:szCs w:val="24"/>
              </w:rPr>
              <w:t>pārdali</w:t>
            </w:r>
            <w:r w:rsidR="00381099">
              <w:rPr>
                <w:spacing w:val="-4"/>
                <w:sz w:val="24"/>
                <w:szCs w:val="24"/>
              </w:rPr>
              <w:t xml:space="preserve"> no VAS īstenotajiem projektiem uz 80.00.00 budžeta programmu </w:t>
            </w:r>
            <w:r w:rsidR="00EF4D59">
              <w:rPr>
                <w:spacing w:val="-4"/>
                <w:sz w:val="24"/>
                <w:szCs w:val="24"/>
              </w:rPr>
              <w:t>"</w:t>
            </w:r>
            <w:r w:rsidR="00381099" w:rsidRPr="00381099">
              <w:rPr>
                <w:spacing w:val="-4"/>
                <w:sz w:val="24"/>
                <w:szCs w:val="24"/>
              </w:rPr>
              <w:t>Nesadalītais finansējums Eiropas Savienības politiku instrumentu un pārējās ārvalstu finanšu palīdzības līdzfinansēto projektu un pasākumu īstenošanai</w:t>
            </w:r>
            <w:r w:rsidR="00EF4D59">
              <w:rPr>
                <w:spacing w:val="-4"/>
                <w:sz w:val="24"/>
                <w:szCs w:val="24"/>
              </w:rPr>
              <w:t>"</w:t>
            </w:r>
            <w:r w:rsidR="007F3AEE">
              <w:rPr>
                <w:spacing w:val="-4"/>
                <w:sz w:val="24"/>
                <w:szCs w:val="24"/>
              </w:rPr>
              <w:t xml:space="preserve">, atsakoties no </w:t>
            </w:r>
            <w:r w:rsidR="00602CCC">
              <w:rPr>
                <w:spacing w:val="-4"/>
                <w:sz w:val="24"/>
                <w:szCs w:val="24"/>
              </w:rPr>
              <w:t>projekta finansējuma 853 454</w:t>
            </w:r>
            <w:r w:rsidR="00BA3D07">
              <w:rPr>
                <w:spacing w:val="-4"/>
                <w:sz w:val="24"/>
                <w:szCs w:val="24"/>
              </w:rPr>
              <w:t> </w:t>
            </w:r>
            <w:r w:rsidR="00602CCC" w:rsidRPr="00602CCC">
              <w:rPr>
                <w:i/>
                <w:spacing w:val="-4"/>
                <w:sz w:val="24"/>
                <w:szCs w:val="24"/>
              </w:rPr>
              <w:t>euro</w:t>
            </w:r>
            <w:r w:rsidR="00602CCC">
              <w:rPr>
                <w:spacing w:val="-4"/>
                <w:sz w:val="24"/>
                <w:szCs w:val="24"/>
              </w:rPr>
              <w:t xml:space="preserve"> apmēr</w:t>
            </w:r>
            <w:r w:rsidR="00CF3867">
              <w:rPr>
                <w:spacing w:val="-4"/>
                <w:sz w:val="24"/>
                <w:szCs w:val="24"/>
              </w:rPr>
              <w:t>ā. Papildus uz šo projektu ir attiecināma</w:t>
            </w:r>
            <w:r w:rsidR="00602CCC">
              <w:rPr>
                <w:spacing w:val="-4"/>
                <w:sz w:val="24"/>
                <w:szCs w:val="24"/>
              </w:rPr>
              <w:t xml:space="preserve"> arī 6,22</w:t>
            </w:r>
            <w:r w:rsidR="00BA3D07">
              <w:rPr>
                <w:spacing w:val="-4"/>
                <w:sz w:val="24"/>
                <w:szCs w:val="24"/>
              </w:rPr>
              <w:t> </w:t>
            </w:r>
            <w:r w:rsidR="00602CCC">
              <w:rPr>
                <w:spacing w:val="-4"/>
                <w:sz w:val="24"/>
                <w:szCs w:val="24"/>
              </w:rPr>
              <w:t>%</w:t>
            </w:r>
            <w:r w:rsidR="00CF3867">
              <w:rPr>
                <w:spacing w:val="-4"/>
                <w:sz w:val="24"/>
                <w:szCs w:val="24"/>
              </w:rPr>
              <w:t xml:space="preserve"> rezerve</w:t>
            </w:r>
            <w:r w:rsidR="00602CCC">
              <w:rPr>
                <w:spacing w:val="-4"/>
                <w:sz w:val="24"/>
                <w:szCs w:val="24"/>
              </w:rPr>
              <w:t xml:space="preserve"> 56 322</w:t>
            </w:r>
            <w:r w:rsidR="00BA3D07">
              <w:rPr>
                <w:spacing w:val="-4"/>
                <w:sz w:val="24"/>
                <w:szCs w:val="24"/>
              </w:rPr>
              <w:t> </w:t>
            </w:r>
            <w:r w:rsidR="00602CCC" w:rsidRPr="00602CCC">
              <w:rPr>
                <w:i/>
                <w:spacing w:val="-4"/>
                <w:sz w:val="24"/>
                <w:szCs w:val="24"/>
              </w:rPr>
              <w:t xml:space="preserve">euro </w:t>
            </w:r>
            <w:r w:rsidR="00602CCC">
              <w:rPr>
                <w:spacing w:val="-4"/>
                <w:sz w:val="24"/>
                <w:szCs w:val="24"/>
              </w:rPr>
              <w:t>apmērā</w:t>
            </w:r>
            <w:r w:rsidR="00CF3867">
              <w:rPr>
                <w:spacing w:val="-4"/>
                <w:sz w:val="24"/>
                <w:szCs w:val="24"/>
              </w:rPr>
              <w:t>, kas projektam varētu būt pieejama</w:t>
            </w:r>
            <w:r w:rsidR="00BA3D07">
              <w:rPr>
                <w:spacing w:val="-4"/>
                <w:sz w:val="24"/>
                <w:szCs w:val="24"/>
              </w:rPr>
              <w:t>,</w:t>
            </w:r>
            <w:r w:rsidR="00CF3867">
              <w:rPr>
                <w:spacing w:val="-4"/>
                <w:sz w:val="24"/>
                <w:szCs w:val="24"/>
              </w:rPr>
              <w:t xml:space="preserve"> sākot ar</w:t>
            </w:r>
            <w:r w:rsidR="00CF3867">
              <w:t xml:space="preserve"> </w:t>
            </w:r>
            <w:r w:rsidR="00CF3867">
              <w:rPr>
                <w:spacing w:val="-4"/>
                <w:sz w:val="24"/>
                <w:szCs w:val="24"/>
              </w:rPr>
              <w:t>2019.</w:t>
            </w:r>
            <w:r w:rsidR="00BA3D07">
              <w:rPr>
                <w:spacing w:val="-4"/>
                <w:sz w:val="24"/>
                <w:szCs w:val="24"/>
              </w:rPr>
              <w:t> </w:t>
            </w:r>
            <w:r w:rsidR="00CF3867">
              <w:rPr>
                <w:spacing w:val="-4"/>
                <w:sz w:val="24"/>
                <w:szCs w:val="24"/>
              </w:rPr>
              <w:t>gada 1.</w:t>
            </w:r>
            <w:r w:rsidR="00BA3D07">
              <w:rPr>
                <w:spacing w:val="-4"/>
                <w:sz w:val="24"/>
                <w:szCs w:val="24"/>
              </w:rPr>
              <w:t> </w:t>
            </w:r>
            <w:r w:rsidR="00CF3867">
              <w:rPr>
                <w:spacing w:val="-4"/>
                <w:sz w:val="24"/>
                <w:szCs w:val="24"/>
              </w:rPr>
              <w:t>janvāri</w:t>
            </w:r>
            <w:r w:rsidR="006C1138">
              <w:rPr>
                <w:spacing w:val="-4"/>
                <w:sz w:val="24"/>
                <w:szCs w:val="24"/>
              </w:rPr>
              <w:t xml:space="preserve">. </w:t>
            </w:r>
          </w:p>
          <w:p w14:paraId="38850D52" w14:textId="34382599" w:rsidR="00053D7F" w:rsidRPr="000927B6" w:rsidRDefault="00053D7F" w:rsidP="00053D7F">
            <w:pPr>
              <w:ind w:right="113"/>
              <w:jc w:val="both"/>
              <w:rPr>
                <w:spacing w:val="-4"/>
                <w:sz w:val="24"/>
                <w:szCs w:val="24"/>
              </w:rPr>
            </w:pPr>
            <w:r>
              <w:rPr>
                <w:spacing w:val="-4"/>
                <w:sz w:val="24"/>
                <w:szCs w:val="24"/>
              </w:rPr>
              <w:t>Līdzekļu samazinājuma ietekme 3.4.2.1</w:t>
            </w:r>
            <w:r w:rsidR="00EF4D59">
              <w:rPr>
                <w:spacing w:val="-4"/>
                <w:sz w:val="24"/>
                <w:szCs w:val="24"/>
              </w:rPr>
              <w:t>. p</w:t>
            </w:r>
            <w:r>
              <w:rPr>
                <w:spacing w:val="-4"/>
                <w:sz w:val="24"/>
                <w:szCs w:val="24"/>
              </w:rPr>
              <w:t>asākumā būs</w:t>
            </w:r>
            <w:r w:rsidR="00BA3D07">
              <w:rPr>
                <w:spacing w:val="-4"/>
                <w:sz w:val="24"/>
                <w:szCs w:val="24"/>
              </w:rPr>
              <w:t>,</w:t>
            </w:r>
            <w:r>
              <w:rPr>
                <w:spacing w:val="-4"/>
                <w:sz w:val="24"/>
                <w:szCs w:val="24"/>
              </w:rPr>
              <w:t xml:space="preserve"> sākot ar 2019</w:t>
            </w:r>
            <w:r w:rsidR="00EF4D59">
              <w:rPr>
                <w:spacing w:val="-4"/>
                <w:sz w:val="24"/>
                <w:szCs w:val="24"/>
              </w:rPr>
              <w:t>. g</w:t>
            </w:r>
            <w:r>
              <w:rPr>
                <w:spacing w:val="-4"/>
                <w:sz w:val="24"/>
                <w:szCs w:val="24"/>
              </w:rPr>
              <w:t>adu</w:t>
            </w:r>
            <w:r w:rsidR="00BA3D07">
              <w:rPr>
                <w:spacing w:val="-4"/>
                <w:sz w:val="24"/>
                <w:szCs w:val="24"/>
              </w:rPr>
              <w:t>,</w:t>
            </w:r>
            <w:r>
              <w:rPr>
                <w:spacing w:val="-4"/>
                <w:sz w:val="24"/>
                <w:szCs w:val="24"/>
              </w:rPr>
              <w:t xml:space="preserve"> un vienmērīgi turpināsies līdz</w:t>
            </w:r>
            <w:r w:rsidR="00381099">
              <w:rPr>
                <w:spacing w:val="-4"/>
                <w:sz w:val="24"/>
                <w:szCs w:val="24"/>
              </w:rPr>
              <w:t xml:space="preserve"> projektu noslēgumam</w:t>
            </w:r>
            <w:r>
              <w:rPr>
                <w:spacing w:val="-4"/>
                <w:sz w:val="24"/>
                <w:szCs w:val="24"/>
              </w:rPr>
              <w:t xml:space="preserve"> 2022</w:t>
            </w:r>
            <w:r w:rsidR="00EF4D59">
              <w:rPr>
                <w:spacing w:val="-4"/>
                <w:sz w:val="24"/>
                <w:szCs w:val="24"/>
              </w:rPr>
              <w:t>. g</w:t>
            </w:r>
            <w:r>
              <w:rPr>
                <w:spacing w:val="-4"/>
                <w:sz w:val="24"/>
                <w:szCs w:val="24"/>
              </w:rPr>
              <w:t>a</w:t>
            </w:r>
            <w:r w:rsidR="009223C4">
              <w:rPr>
                <w:spacing w:val="-4"/>
                <w:sz w:val="24"/>
                <w:szCs w:val="24"/>
              </w:rPr>
              <w:t>dā</w:t>
            </w:r>
            <w:r w:rsidR="00381099">
              <w:rPr>
                <w:spacing w:val="-4"/>
                <w:sz w:val="24"/>
                <w:szCs w:val="24"/>
              </w:rPr>
              <w:t xml:space="preserve">. Tā kā projektiem līdz 2018. gada 31. decembrim ir jāsasniedz SAM noteiktais finanšu rādītājs, kas </w:t>
            </w:r>
            <w:r w:rsidR="00BA3D07">
              <w:rPr>
                <w:spacing w:val="-4"/>
                <w:sz w:val="24"/>
                <w:szCs w:val="24"/>
              </w:rPr>
              <w:t>ir</w:t>
            </w:r>
            <w:r w:rsidR="00381099">
              <w:rPr>
                <w:spacing w:val="-4"/>
                <w:sz w:val="24"/>
                <w:szCs w:val="24"/>
              </w:rPr>
              <w:t xml:space="preserve"> </w:t>
            </w:r>
            <w:r w:rsidR="00381099" w:rsidRPr="00053D7F">
              <w:rPr>
                <w:spacing w:val="-4"/>
                <w:sz w:val="24"/>
                <w:szCs w:val="24"/>
              </w:rPr>
              <w:t>3</w:t>
            </w:r>
            <w:r w:rsidR="00BA3D07">
              <w:rPr>
                <w:spacing w:val="-4"/>
                <w:sz w:val="24"/>
                <w:szCs w:val="24"/>
              </w:rPr>
              <w:t> </w:t>
            </w:r>
            <w:r w:rsidR="00381099" w:rsidRPr="00053D7F">
              <w:rPr>
                <w:spacing w:val="-4"/>
                <w:sz w:val="24"/>
                <w:szCs w:val="24"/>
              </w:rPr>
              <w:t>132</w:t>
            </w:r>
            <w:r w:rsidR="00BA3D07">
              <w:rPr>
                <w:spacing w:val="-4"/>
                <w:sz w:val="24"/>
                <w:szCs w:val="24"/>
              </w:rPr>
              <w:t> </w:t>
            </w:r>
            <w:r w:rsidR="00381099" w:rsidRPr="00053D7F">
              <w:rPr>
                <w:spacing w:val="-4"/>
                <w:sz w:val="24"/>
                <w:szCs w:val="24"/>
              </w:rPr>
              <w:t>164</w:t>
            </w:r>
            <w:r w:rsidR="00BA3D07">
              <w:rPr>
                <w:spacing w:val="-4"/>
                <w:sz w:val="24"/>
                <w:szCs w:val="24"/>
              </w:rPr>
              <w:t> </w:t>
            </w:r>
            <w:r w:rsidR="00381099" w:rsidRPr="00BA3D07">
              <w:rPr>
                <w:i/>
                <w:spacing w:val="-4"/>
                <w:sz w:val="24"/>
                <w:szCs w:val="24"/>
              </w:rPr>
              <w:t>euro</w:t>
            </w:r>
            <w:r w:rsidR="00381099">
              <w:rPr>
                <w:spacing w:val="-4"/>
                <w:sz w:val="24"/>
                <w:szCs w:val="24"/>
              </w:rPr>
              <w:t xml:space="preserve">, </w:t>
            </w:r>
            <w:r w:rsidR="009223C4">
              <w:rPr>
                <w:spacing w:val="-4"/>
                <w:sz w:val="24"/>
                <w:szCs w:val="24"/>
              </w:rPr>
              <w:t>tad finansējum</w:t>
            </w:r>
            <w:r w:rsidR="00BA3D07">
              <w:rPr>
                <w:spacing w:val="-4"/>
                <w:sz w:val="24"/>
                <w:szCs w:val="24"/>
              </w:rPr>
              <w:t>s</w:t>
            </w:r>
            <w:r w:rsidR="009223C4">
              <w:rPr>
                <w:spacing w:val="-4"/>
                <w:sz w:val="24"/>
                <w:szCs w:val="24"/>
              </w:rPr>
              <w:t>, kas projektos ir ieplānots līdz 2018</w:t>
            </w:r>
            <w:r w:rsidR="00EF4D59">
              <w:rPr>
                <w:spacing w:val="-4"/>
                <w:sz w:val="24"/>
                <w:szCs w:val="24"/>
              </w:rPr>
              <w:t>. g</w:t>
            </w:r>
            <w:r w:rsidR="009223C4">
              <w:rPr>
                <w:spacing w:val="-4"/>
                <w:sz w:val="24"/>
                <w:szCs w:val="24"/>
              </w:rPr>
              <w:t>adam,</w:t>
            </w:r>
            <w:r w:rsidR="00AA160E">
              <w:rPr>
                <w:spacing w:val="-4"/>
                <w:sz w:val="24"/>
                <w:szCs w:val="24"/>
              </w:rPr>
              <w:t xml:space="preserve"> jāapgūst sākotnēji plānotajā apmērā un to</w:t>
            </w:r>
            <w:r w:rsidR="005918A7">
              <w:rPr>
                <w:spacing w:val="-4"/>
                <w:sz w:val="24"/>
                <w:szCs w:val="24"/>
              </w:rPr>
              <w:t xml:space="preserve"> nedrīkst samazināt</w:t>
            </w:r>
            <w:r w:rsidR="009223C4">
              <w:rPr>
                <w:spacing w:val="-4"/>
                <w:sz w:val="24"/>
                <w:szCs w:val="24"/>
              </w:rPr>
              <w:t xml:space="preserve">. </w:t>
            </w:r>
          </w:p>
          <w:p w14:paraId="38850D53" w14:textId="1FDBA309" w:rsidR="008F7BEC" w:rsidRDefault="008F7BEC" w:rsidP="006F6E31">
            <w:pPr>
              <w:ind w:right="113"/>
              <w:jc w:val="both"/>
              <w:rPr>
                <w:spacing w:val="-4"/>
                <w:sz w:val="24"/>
                <w:szCs w:val="24"/>
              </w:rPr>
            </w:pPr>
            <w:r w:rsidRPr="000927B6">
              <w:rPr>
                <w:b/>
                <w:spacing w:val="-4"/>
                <w:sz w:val="24"/>
                <w:szCs w:val="24"/>
              </w:rPr>
              <w:t xml:space="preserve">No </w:t>
            </w:r>
            <w:r w:rsidR="00AB3B79">
              <w:rPr>
                <w:b/>
                <w:spacing w:val="-4"/>
                <w:sz w:val="24"/>
                <w:szCs w:val="24"/>
              </w:rPr>
              <w:t>2017</w:t>
            </w:r>
            <w:r w:rsidRPr="000927B6">
              <w:rPr>
                <w:b/>
                <w:spacing w:val="-4"/>
                <w:sz w:val="24"/>
                <w:szCs w:val="24"/>
              </w:rPr>
              <w:t>. gada līdz 20</w:t>
            </w:r>
            <w:r w:rsidR="00AB3B79">
              <w:rPr>
                <w:b/>
                <w:spacing w:val="-4"/>
                <w:sz w:val="24"/>
                <w:szCs w:val="24"/>
              </w:rPr>
              <w:t>19</w:t>
            </w:r>
            <w:r w:rsidRPr="000927B6">
              <w:rPr>
                <w:b/>
                <w:spacing w:val="-4"/>
                <w:sz w:val="24"/>
                <w:szCs w:val="24"/>
              </w:rPr>
              <w:t>. gadam</w:t>
            </w:r>
            <w:r w:rsidRPr="000927B6">
              <w:rPr>
                <w:spacing w:val="-4"/>
                <w:sz w:val="24"/>
                <w:szCs w:val="24"/>
              </w:rPr>
              <w:t xml:space="preserve"> </w:t>
            </w:r>
            <w:r w:rsidR="00566B9C">
              <w:rPr>
                <w:spacing w:val="-4"/>
                <w:sz w:val="24"/>
                <w:szCs w:val="24"/>
              </w:rPr>
              <w:t xml:space="preserve">projektos plānots </w:t>
            </w:r>
            <w:r w:rsidR="00D036D4">
              <w:rPr>
                <w:spacing w:val="-4"/>
                <w:sz w:val="24"/>
                <w:szCs w:val="24"/>
              </w:rPr>
              <w:t xml:space="preserve">finansējums </w:t>
            </w:r>
            <w:r w:rsidR="0020506E">
              <w:rPr>
                <w:spacing w:val="-4"/>
                <w:sz w:val="24"/>
                <w:szCs w:val="24"/>
              </w:rPr>
              <w:t>4 866</w:t>
            </w:r>
            <w:r w:rsidR="00462DC8">
              <w:rPr>
                <w:spacing w:val="-4"/>
                <w:sz w:val="24"/>
                <w:szCs w:val="24"/>
              </w:rPr>
              <w:t> </w:t>
            </w:r>
            <w:r w:rsidR="0020506E">
              <w:rPr>
                <w:spacing w:val="-4"/>
                <w:sz w:val="24"/>
                <w:szCs w:val="24"/>
              </w:rPr>
              <w:t>141</w:t>
            </w:r>
            <w:r w:rsidR="00462DC8">
              <w:rPr>
                <w:spacing w:val="-4"/>
                <w:sz w:val="24"/>
                <w:szCs w:val="24"/>
              </w:rPr>
              <w:t> </w:t>
            </w:r>
            <w:r w:rsidRPr="000927B6">
              <w:rPr>
                <w:i/>
                <w:spacing w:val="-4"/>
                <w:sz w:val="24"/>
                <w:szCs w:val="24"/>
              </w:rPr>
              <w:t>euro</w:t>
            </w:r>
            <w:r w:rsidR="00D036D4">
              <w:rPr>
                <w:i/>
                <w:spacing w:val="-4"/>
                <w:sz w:val="24"/>
                <w:szCs w:val="24"/>
              </w:rPr>
              <w:t xml:space="preserve"> </w:t>
            </w:r>
            <w:r w:rsidR="00D036D4">
              <w:rPr>
                <w:spacing w:val="-4"/>
                <w:sz w:val="24"/>
                <w:szCs w:val="24"/>
              </w:rPr>
              <w:t>apmērā</w:t>
            </w:r>
            <w:r w:rsidRPr="000927B6">
              <w:rPr>
                <w:spacing w:val="-4"/>
                <w:sz w:val="24"/>
                <w:szCs w:val="24"/>
              </w:rPr>
              <w:t xml:space="preserve">. </w:t>
            </w:r>
            <w:r w:rsidR="00AB3B79">
              <w:rPr>
                <w:spacing w:val="-4"/>
                <w:sz w:val="24"/>
                <w:szCs w:val="24"/>
              </w:rPr>
              <w:t>2017</w:t>
            </w:r>
            <w:r w:rsidR="00EF4D59">
              <w:rPr>
                <w:spacing w:val="-4"/>
                <w:sz w:val="24"/>
                <w:szCs w:val="24"/>
              </w:rPr>
              <w:t>. g</w:t>
            </w:r>
            <w:r w:rsidR="00AB3B79">
              <w:rPr>
                <w:spacing w:val="-4"/>
                <w:sz w:val="24"/>
                <w:szCs w:val="24"/>
              </w:rPr>
              <w:t>adā tiek pl</w:t>
            </w:r>
            <w:r w:rsidR="00566B9C">
              <w:rPr>
                <w:spacing w:val="-4"/>
                <w:sz w:val="24"/>
                <w:szCs w:val="24"/>
              </w:rPr>
              <w:t xml:space="preserve">ānoti </w:t>
            </w:r>
            <w:r w:rsidR="00F553B3">
              <w:rPr>
                <w:spacing w:val="-4"/>
                <w:sz w:val="24"/>
                <w:szCs w:val="24"/>
              </w:rPr>
              <w:t>1,</w:t>
            </w:r>
            <w:r w:rsidR="0020506E">
              <w:rPr>
                <w:spacing w:val="-4"/>
                <w:sz w:val="24"/>
                <w:szCs w:val="24"/>
              </w:rPr>
              <w:t>5</w:t>
            </w:r>
            <w:r w:rsidR="00D036D4">
              <w:rPr>
                <w:spacing w:val="-4"/>
                <w:sz w:val="24"/>
                <w:szCs w:val="24"/>
              </w:rPr>
              <w:t xml:space="preserve"> miljoni</w:t>
            </w:r>
            <w:r w:rsidR="00AB3B79">
              <w:rPr>
                <w:spacing w:val="-4"/>
                <w:sz w:val="24"/>
                <w:szCs w:val="24"/>
              </w:rPr>
              <w:t xml:space="preserve"> </w:t>
            </w:r>
            <w:r w:rsidR="00AB3B79" w:rsidRPr="00AB3B79">
              <w:rPr>
                <w:i/>
                <w:spacing w:val="-4"/>
                <w:sz w:val="24"/>
                <w:szCs w:val="24"/>
              </w:rPr>
              <w:t>euro</w:t>
            </w:r>
            <w:r w:rsidR="00AB3B79">
              <w:rPr>
                <w:spacing w:val="-4"/>
                <w:sz w:val="24"/>
                <w:szCs w:val="24"/>
              </w:rPr>
              <w:t>,</w:t>
            </w:r>
            <w:r w:rsidR="00566B9C">
              <w:rPr>
                <w:spacing w:val="-4"/>
                <w:sz w:val="24"/>
                <w:szCs w:val="24"/>
              </w:rPr>
              <w:t xml:space="preserve"> savukārt</w:t>
            </w:r>
            <w:r w:rsidR="00AB3B79">
              <w:rPr>
                <w:spacing w:val="-4"/>
                <w:sz w:val="24"/>
                <w:szCs w:val="24"/>
              </w:rPr>
              <w:t xml:space="preserve"> kā viens no finansiāli ietilpīgākajiem gadiem tiek plānots 2018</w:t>
            </w:r>
            <w:r w:rsidR="00EF4D59">
              <w:rPr>
                <w:spacing w:val="-4"/>
                <w:sz w:val="24"/>
                <w:szCs w:val="24"/>
              </w:rPr>
              <w:t>. g</w:t>
            </w:r>
            <w:r w:rsidR="00566B9C">
              <w:rPr>
                <w:spacing w:val="-4"/>
                <w:sz w:val="24"/>
                <w:szCs w:val="24"/>
              </w:rPr>
              <w:t>ad</w:t>
            </w:r>
            <w:r w:rsidR="00AB3B79">
              <w:rPr>
                <w:spacing w:val="-4"/>
                <w:sz w:val="24"/>
                <w:szCs w:val="24"/>
              </w:rPr>
              <w:t>s,</w:t>
            </w:r>
            <w:r w:rsidR="00566B9C">
              <w:rPr>
                <w:spacing w:val="-4"/>
                <w:sz w:val="24"/>
                <w:szCs w:val="24"/>
              </w:rPr>
              <w:t xml:space="preserve"> kurā plānot</w:t>
            </w:r>
            <w:r w:rsidR="00BA3D07">
              <w:rPr>
                <w:spacing w:val="-4"/>
                <w:sz w:val="24"/>
                <w:szCs w:val="24"/>
              </w:rPr>
              <w:t>s</w:t>
            </w:r>
            <w:r w:rsidR="00566B9C">
              <w:rPr>
                <w:spacing w:val="-4"/>
                <w:sz w:val="24"/>
                <w:szCs w:val="24"/>
              </w:rPr>
              <w:t xml:space="preserve"> 2</w:t>
            </w:r>
            <w:r w:rsidR="00F553B3">
              <w:rPr>
                <w:spacing w:val="-4"/>
                <w:sz w:val="24"/>
                <w:szCs w:val="24"/>
              </w:rPr>
              <w:t>,1</w:t>
            </w:r>
            <w:r w:rsidR="00D036D4">
              <w:rPr>
                <w:spacing w:val="-4"/>
                <w:sz w:val="24"/>
                <w:szCs w:val="24"/>
              </w:rPr>
              <w:t xml:space="preserve"> miljon</w:t>
            </w:r>
            <w:r w:rsidR="00566B9C">
              <w:rPr>
                <w:spacing w:val="-4"/>
                <w:sz w:val="24"/>
                <w:szCs w:val="24"/>
              </w:rPr>
              <w:t xml:space="preserve">s </w:t>
            </w:r>
            <w:r w:rsidR="00566B9C" w:rsidRPr="00566B9C">
              <w:rPr>
                <w:i/>
                <w:spacing w:val="-4"/>
                <w:sz w:val="24"/>
                <w:szCs w:val="24"/>
              </w:rPr>
              <w:t>euro</w:t>
            </w:r>
            <w:r w:rsidR="00566B9C">
              <w:rPr>
                <w:i/>
                <w:spacing w:val="-4"/>
                <w:sz w:val="24"/>
                <w:szCs w:val="24"/>
              </w:rPr>
              <w:t>.</w:t>
            </w:r>
            <w:r w:rsidR="00566B9C">
              <w:rPr>
                <w:spacing w:val="-4"/>
                <w:sz w:val="24"/>
                <w:szCs w:val="24"/>
              </w:rPr>
              <w:t xml:space="preserve"> </w:t>
            </w:r>
          </w:p>
          <w:p w14:paraId="38850D54" w14:textId="60409AC9" w:rsidR="008F7BEC" w:rsidRPr="000927B6" w:rsidRDefault="008F7BEC" w:rsidP="00462DC8">
            <w:pPr>
              <w:ind w:right="113"/>
              <w:jc w:val="both"/>
              <w:rPr>
                <w:b/>
                <w:spacing w:val="-4"/>
                <w:sz w:val="24"/>
                <w:szCs w:val="24"/>
              </w:rPr>
            </w:pPr>
            <w:r w:rsidRPr="000927B6">
              <w:rPr>
                <w:b/>
                <w:spacing w:val="-4"/>
                <w:sz w:val="24"/>
                <w:szCs w:val="24"/>
              </w:rPr>
              <w:t xml:space="preserve">No </w:t>
            </w:r>
            <w:r w:rsidR="00566B9C">
              <w:rPr>
                <w:b/>
                <w:spacing w:val="-4"/>
                <w:sz w:val="24"/>
                <w:szCs w:val="24"/>
              </w:rPr>
              <w:t>2020</w:t>
            </w:r>
            <w:r w:rsidRPr="000927B6">
              <w:rPr>
                <w:b/>
                <w:spacing w:val="-4"/>
                <w:sz w:val="24"/>
                <w:szCs w:val="24"/>
              </w:rPr>
              <w:t xml:space="preserve">. gada līdz 2022. gadam </w:t>
            </w:r>
            <w:r w:rsidR="00726380" w:rsidRPr="00726380">
              <w:rPr>
                <w:spacing w:val="-4"/>
                <w:sz w:val="24"/>
                <w:szCs w:val="24"/>
              </w:rPr>
              <w:t>projektos ieplānoti</w:t>
            </w:r>
            <w:r w:rsidR="00726380">
              <w:rPr>
                <w:b/>
                <w:spacing w:val="-4"/>
                <w:sz w:val="24"/>
                <w:szCs w:val="24"/>
              </w:rPr>
              <w:t xml:space="preserve"> </w:t>
            </w:r>
            <w:r w:rsidR="008007E1" w:rsidRPr="008007E1">
              <w:rPr>
                <w:spacing w:val="-4"/>
                <w:sz w:val="24"/>
                <w:szCs w:val="24"/>
              </w:rPr>
              <w:t>2 556</w:t>
            </w:r>
            <w:r w:rsidR="00462DC8">
              <w:rPr>
                <w:spacing w:val="-4"/>
                <w:sz w:val="24"/>
                <w:szCs w:val="24"/>
              </w:rPr>
              <w:t> </w:t>
            </w:r>
            <w:r w:rsidR="008007E1" w:rsidRPr="008007E1">
              <w:rPr>
                <w:spacing w:val="-4"/>
                <w:sz w:val="24"/>
                <w:szCs w:val="24"/>
              </w:rPr>
              <w:t>077</w:t>
            </w:r>
            <w:r w:rsidR="00462DC8">
              <w:rPr>
                <w:spacing w:val="-4"/>
                <w:sz w:val="24"/>
                <w:szCs w:val="24"/>
              </w:rPr>
              <w:t> </w:t>
            </w:r>
            <w:r w:rsidRPr="008007E1">
              <w:rPr>
                <w:i/>
                <w:spacing w:val="-4"/>
                <w:sz w:val="24"/>
                <w:szCs w:val="24"/>
              </w:rPr>
              <w:t>euro</w:t>
            </w:r>
            <w:r w:rsidRPr="000927B6">
              <w:rPr>
                <w:spacing w:val="-4"/>
                <w:sz w:val="24"/>
                <w:szCs w:val="24"/>
              </w:rPr>
              <w:t xml:space="preserve">. Vidēji ik gadu kopējās izmaksas indikatīvi </w:t>
            </w:r>
            <w:r w:rsidR="00726380">
              <w:rPr>
                <w:spacing w:val="-4"/>
                <w:sz w:val="24"/>
                <w:szCs w:val="24"/>
              </w:rPr>
              <w:t xml:space="preserve">varētu būt </w:t>
            </w:r>
            <w:r w:rsidRPr="000927B6">
              <w:rPr>
                <w:spacing w:val="-4"/>
                <w:sz w:val="24"/>
                <w:szCs w:val="24"/>
              </w:rPr>
              <w:t>1</w:t>
            </w:r>
            <w:r w:rsidR="00566B9C">
              <w:rPr>
                <w:spacing w:val="-4"/>
                <w:sz w:val="24"/>
                <w:szCs w:val="24"/>
              </w:rPr>
              <w:t> 022 </w:t>
            </w:r>
            <w:r w:rsidR="008007E1">
              <w:rPr>
                <w:spacing w:val="-4"/>
                <w:sz w:val="24"/>
                <w:szCs w:val="24"/>
              </w:rPr>
              <w:t>430</w:t>
            </w:r>
            <w:r w:rsidR="00566B9C">
              <w:rPr>
                <w:spacing w:val="-4"/>
                <w:sz w:val="24"/>
                <w:szCs w:val="24"/>
              </w:rPr>
              <w:t xml:space="preserve"> </w:t>
            </w:r>
            <w:r w:rsidRPr="000927B6">
              <w:rPr>
                <w:i/>
                <w:spacing w:val="-4"/>
                <w:sz w:val="24"/>
                <w:szCs w:val="24"/>
              </w:rPr>
              <w:t>euro</w:t>
            </w:r>
            <w:r w:rsidRPr="000927B6">
              <w:rPr>
                <w:spacing w:val="-4"/>
                <w:sz w:val="24"/>
                <w:szCs w:val="24"/>
              </w:rPr>
              <w:t>, tai skaitā ESF finansējums –</w:t>
            </w:r>
            <w:r w:rsidR="00AA160E">
              <w:rPr>
                <w:spacing w:val="-4"/>
                <w:sz w:val="24"/>
                <w:szCs w:val="24"/>
              </w:rPr>
              <w:t xml:space="preserve"> </w:t>
            </w:r>
            <w:r w:rsidR="008007E1">
              <w:rPr>
                <w:spacing w:val="-4"/>
                <w:sz w:val="24"/>
                <w:szCs w:val="24"/>
              </w:rPr>
              <w:t>869 066</w:t>
            </w:r>
            <w:r w:rsidR="00566B9C">
              <w:rPr>
                <w:spacing w:val="-4"/>
                <w:sz w:val="24"/>
                <w:szCs w:val="24"/>
              </w:rPr>
              <w:t xml:space="preserve"> </w:t>
            </w:r>
            <w:r w:rsidRPr="000927B6">
              <w:rPr>
                <w:i/>
                <w:spacing w:val="-4"/>
                <w:sz w:val="24"/>
                <w:szCs w:val="24"/>
              </w:rPr>
              <w:t>euro</w:t>
            </w:r>
            <w:r w:rsidRPr="000927B6">
              <w:rPr>
                <w:spacing w:val="-4"/>
                <w:sz w:val="24"/>
                <w:szCs w:val="24"/>
              </w:rPr>
              <w:t xml:space="preserve"> un valsts budžeta līdzfinansējums – </w:t>
            </w:r>
            <w:r w:rsidR="008007E1">
              <w:rPr>
                <w:spacing w:val="-4"/>
                <w:sz w:val="24"/>
                <w:szCs w:val="24"/>
              </w:rPr>
              <w:t>153</w:t>
            </w:r>
            <w:r w:rsidR="00462DC8">
              <w:rPr>
                <w:spacing w:val="-4"/>
                <w:sz w:val="24"/>
                <w:szCs w:val="24"/>
              </w:rPr>
              <w:t> </w:t>
            </w:r>
            <w:r w:rsidR="008007E1">
              <w:rPr>
                <w:spacing w:val="-4"/>
                <w:sz w:val="24"/>
                <w:szCs w:val="24"/>
              </w:rPr>
              <w:t>364</w:t>
            </w:r>
            <w:r w:rsidR="00462DC8">
              <w:rPr>
                <w:i/>
                <w:spacing w:val="-4"/>
                <w:sz w:val="24"/>
                <w:szCs w:val="24"/>
              </w:rPr>
              <w:t> </w:t>
            </w:r>
            <w:r w:rsidRPr="000927B6">
              <w:rPr>
                <w:i/>
                <w:spacing w:val="-4"/>
                <w:sz w:val="24"/>
                <w:szCs w:val="24"/>
              </w:rPr>
              <w:t>euro</w:t>
            </w:r>
          </w:p>
        </w:tc>
      </w:tr>
      <w:tr w:rsidR="00803D65" w:rsidRPr="000927B6" w14:paraId="38850D58" w14:textId="77777777" w:rsidTr="00924012">
        <w:tc>
          <w:tcPr>
            <w:tcW w:w="1951" w:type="dxa"/>
          </w:tcPr>
          <w:p w14:paraId="38850D56" w14:textId="77777777" w:rsidR="008F7BEC" w:rsidRPr="000927B6" w:rsidRDefault="008F7BEC" w:rsidP="008F7BEC">
            <w:pPr>
              <w:rPr>
                <w:spacing w:val="-4"/>
                <w:sz w:val="24"/>
                <w:szCs w:val="24"/>
              </w:rPr>
            </w:pPr>
            <w:r w:rsidRPr="000927B6">
              <w:rPr>
                <w:spacing w:val="-4"/>
                <w:sz w:val="24"/>
                <w:szCs w:val="24"/>
              </w:rPr>
              <w:t>6.1. detalizēts ieņēmumu aprēķins</w:t>
            </w:r>
          </w:p>
        </w:tc>
        <w:tc>
          <w:tcPr>
            <w:tcW w:w="7835" w:type="dxa"/>
            <w:gridSpan w:val="5"/>
            <w:vMerge/>
          </w:tcPr>
          <w:p w14:paraId="38850D57" w14:textId="77777777" w:rsidR="008F7BEC" w:rsidRPr="000927B6" w:rsidRDefault="008F7BEC" w:rsidP="008F7BEC">
            <w:pPr>
              <w:pStyle w:val="naisf"/>
              <w:spacing w:before="0" w:beforeAutospacing="0" w:after="0" w:afterAutospacing="0"/>
              <w:ind w:left="57" w:right="113"/>
              <w:rPr>
                <w:b/>
                <w:i/>
              </w:rPr>
            </w:pPr>
          </w:p>
        </w:tc>
      </w:tr>
      <w:tr w:rsidR="00803D65" w:rsidRPr="000927B6" w14:paraId="38850D5B" w14:textId="77777777" w:rsidTr="00924012">
        <w:tc>
          <w:tcPr>
            <w:tcW w:w="1951" w:type="dxa"/>
          </w:tcPr>
          <w:p w14:paraId="38850D59" w14:textId="77777777" w:rsidR="008F7BEC" w:rsidRPr="000927B6" w:rsidRDefault="008F7BEC" w:rsidP="008F7BEC">
            <w:pPr>
              <w:rPr>
                <w:spacing w:val="-4"/>
                <w:sz w:val="24"/>
                <w:szCs w:val="24"/>
              </w:rPr>
            </w:pPr>
            <w:r w:rsidRPr="000927B6">
              <w:rPr>
                <w:spacing w:val="-4"/>
                <w:sz w:val="24"/>
                <w:szCs w:val="24"/>
              </w:rPr>
              <w:t>6.2. detalizēts izdevumu aprēķins</w:t>
            </w:r>
          </w:p>
        </w:tc>
        <w:tc>
          <w:tcPr>
            <w:tcW w:w="7835" w:type="dxa"/>
            <w:gridSpan w:val="5"/>
            <w:vMerge/>
          </w:tcPr>
          <w:p w14:paraId="38850D5A" w14:textId="77777777" w:rsidR="008F7BEC" w:rsidRPr="000927B6" w:rsidRDefault="008F7BEC" w:rsidP="008F7BEC">
            <w:pPr>
              <w:pStyle w:val="naisf"/>
              <w:spacing w:before="0" w:beforeAutospacing="0" w:after="0" w:afterAutospacing="0"/>
              <w:ind w:left="57" w:right="113"/>
              <w:rPr>
                <w:b/>
                <w:i/>
              </w:rPr>
            </w:pPr>
          </w:p>
        </w:tc>
      </w:tr>
      <w:tr w:rsidR="00803D65" w:rsidRPr="000927B6" w14:paraId="38850D5E" w14:textId="77777777" w:rsidTr="00924012">
        <w:trPr>
          <w:trHeight w:val="556"/>
        </w:trPr>
        <w:tc>
          <w:tcPr>
            <w:tcW w:w="1951" w:type="dxa"/>
          </w:tcPr>
          <w:p w14:paraId="38850D5C" w14:textId="77777777" w:rsidR="008F7BEC" w:rsidRPr="000927B6" w:rsidRDefault="008F7BEC" w:rsidP="008F7BEC">
            <w:pPr>
              <w:rPr>
                <w:sz w:val="24"/>
                <w:szCs w:val="24"/>
              </w:rPr>
            </w:pPr>
            <w:r w:rsidRPr="000927B6">
              <w:rPr>
                <w:sz w:val="24"/>
                <w:szCs w:val="24"/>
              </w:rPr>
              <w:lastRenderedPageBreak/>
              <w:t>7. Cita informācija</w:t>
            </w:r>
          </w:p>
        </w:tc>
        <w:tc>
          <w:tcPr>
            <w:tcW w:w="7835" w:type="dxa"/>
            <w:gridSpan w:val="5"/>
          </w:tcPr>
          <w:p w14:paraId="38850D5D" w14:textId="338E79A1" w:rsidR="008F7BEC" w:rsidRPr="000927B6" w:rsidRDefault="008F7BEC" w:rsidP="00B51FE4">
            <w:pPr>
              <w:pStyle w:val="naisf"/>
              <w:tabs>
                <w:tab w:val="left" w:pos="4644"/>
              </w:tabs>
              <w:spacing w:before="0" w:beforeAutospacing="0" w:after="0" w:afterAutospacing="0"/>
              <w:ind w:right="57"/>
            </w:pPr>
            <w:bookmarkStart w:id="3" w:name="OLE_LINK3"/>
            <w:bookmarkStart w:id="4" w:name="OLE_LINK4"/>
            <w:r w:rsidRPr="000927B6">
              <w:rPr>
                <w:spacing w:val="-4"/>
              </w:rPr>
              <w:t>3.4.2.</w:t>
            </w:r>
            <w:r w:rsidR="004B3295">
              <w:rPr>
                <w:spacing w:val="-4"/>
              </w:rPr>
              <w:t>1.</w:t>
            </w:r>
            <w:r w:rsidRPr="000927B6">
              <w:rPr>
                <w:spacing w:val="-4"/>
              </w:rPr>
              <w:t> </w:t>
            </w:r>
            <w:r w:rsidR="004B3295">
              <w:rPr>
                <w:spacing w:val="-4"/>
              </w:rPr>
              <w:t>pasākuma</w:t>
            </w:r>
            <w:r w:rsidRPr="000927B6">
              <w:rPr>
                <w:spacing w:val="-4"/>
              </w:rPr>
              <w:t xml:space="preserve"> projektu ietvaros ir plānoti neparedzēti izdevumi, kas nepārsniedz 2</w:t>
            </w:r>
            <w:r>
              <w:rPr>
                <w:spacing w:val="-4"/>
              </w:rPr>
              <w:t> </w:t>
            </w:r>
            <w:r w:rsidRPr="000927B6">
              <w:rPr>
                <w:spacing w:val="-4"/>
              </w:rPr>
              <w:t>% no tiešajām izmaksām. Neparedzēti izdevumi ir izdevumi par papildu darbu vai pakalpojumu veikšanu, kas neparedzamu apstākļu dēļ ir kļuvuši nepieciešami, lai varētu nodrošināt par projekta īstenošanu noslēgtā</w:t>
            </w:r>
            <w:r w:rsidR="00B51FE4">
              <w:rPr>
                <w:spacing w:val="-4"/>
              </w:rPr>
              <w:t>s</w:t>
            </w:r>
            <w:r w:rsidRPr="000927B6">
              <w:rPr>
                <w:spacing w:val="-4"/>
              </w:rPr>
              <w:t xml:space="preserve"> </w:t>
            </w:r>
            <w:r w:rsidR="00B51FE4">
              <w:rPr>
                <w:spacing w:val="-4"/>
              </w:rPr>
              <w:t>vienošanās</w:t>
            </w:r>
            <w:r w:rsidR="00B51FE4" w:rsidRPr="000927B6">
              <w:rPr>
                <w:spacing w:val="-4"/>
              </w:rPr>
              <w:t xml:space="preserve"> </w:t>
            </w:r>
            <w:r w:rsidRPr="000927B6">
              <w:rPr>
                <w:spacing w:val="-4"/>
              </w:rPr>
              <w:t>izpildi, ja finansējuma saņēmējs veicis visus plānošanas pasākumus, lai šādus izdevumus novērstu</w:t>
            </w:r>
            <w:bookmarkEnd w:id="3"/>
            <w:bookmarkEnd w:id="4"/>
          </w:p>
        </w:tc>
      </w:tr>
    </w:tbl>
    <w:p w14:paraId="38850D5F" w14:textId="77777777" w:rsidR="008F7BEC" w:rsidRDefault="008F7BEC" w:rsidP="00115E82">
      <w:pPr>
        <w:rPr>
          <w:rFonts w:eastAsia="Times New Roman" w:cs="Times New Roman"/>
          <w:sz w:val="16"/>
          <w:szCs w:val="16"/>
          <w:lang w:eastAsia="lv-LV"/>
        </w:rPr>
      </w:pPr>
    </w:p>
    <w:tbl>
      <w:tblPr>
        <w:tblW w:w="53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8"/>
        <w:gridCol w:w="6368"/>
      </w:tblGrid>
      <w:tr w:rsidR="00DB5926" w:rsidRPr="00DB5926" w14:paraId="38850D63" w14:textId="77777777" w:rsidTr="005219E9">
        <w:tc>
          <w:tcPr>
            <w:tcW w:w="5000" w:type="pct"/>
            <w:gridSpan w:val="3"/>
            <w:shd w:val="clear" w:color="auto" w:fill="auto"/>
          </w:tcPr>
          <w:p w14:paraId="38850D62" w14:textId="77777777" w:rsidR="00DB5926" w:rsidRPr="00DB5926" w:rsidRDefault="00DB5926" w:rsidP="00DA0D41">
            <w:pPr>
              <w:jc w:val="center"/>
              <w:rPr>
                <w:b/>
                <w:sz w:val="24"/>
                <w:szCs w:val="24"/>
              </w:rPr>
            </w:pPr>
            <w:r w:rsidRPr="00DB5926">
              <w:rPr>
                <w:b/>
                <w:sz w:val="24"/>
                <w:szCs w:val="24"/>
              </w:rPr>
              <w:t>VI</w:t>
            </w:r>
            <w:r>
              <w:rPr>
                <w:b/>
                <w:sz w:val="24"/>
                <w:szCs w:val="24"/>
              </w:rPr>
              <w:t>.</w:t>
            </w:r>
            <w:r w:rsidRPr="00DB5926">
              <w:rPr>
                <w:b/>
                <w:sz w:val="24"/>
                <w:szCs w:val="24"/>
              </w:rPr>
              <w:t xml:space="preserve"> Sabiedrības līdzdalība un komunikācijas aktivitātes</w:t>
            </w:r>
          </w:p>
        </w:tc>
      </w:tr>
      <w:tr w:rsidR="00DB5926" w:rsidRPr="00DB5926" w14:paraId="38850D67" w14:textId="77777777" w:rsidTr="00FD7FC2">
        <w:trPr>
          <w:trHeight w:val="425"/>
        </w:trPr>
        <w:tc>
          <w:tcPr>
            <w:tcW w:w="286" w:type="pct"/>
            <w:shd w:val="clear" w:color="auto" w:fill="auto"/>
          </w:tcPr>
          <w:p w14:paraId="38850D64" w14:textId="77777777" w:rsidR="00DB5926" w:rsidRPr="00DB5926" w:rsidRDefault="00DB5926" w:rsidP="00DA0D41">
            <w:pPr>
              <w:jc w:val="both"/>
              <w:rPr>
                <w:sz w:val="24"/>
                <w:szCs w:val="24"/>
              </w:rPr>
            </w:pPr>
            <w:r w:rsidRPr="00DB5926">
              <w:rPr>
                <w:sz w:val="24"/>
                <w:szCs w:val="24"/>
              </w:rPr>
              <w:t>1.</w:t>
            </w:r>
          </w:p>
        </w:tc>
        <w:tc>
          <w:tcPr>
            <w:tcW w:w="1502" w:type="pct"/>
            <w:shd w:val="clear" w:color="auto" w:fill="auto"/>
          </w:tcPr>
          <w:p w14:paraId="38850D65" w14:textId="77777777" w:rsidR="00DB5926" w:rsidRPr="00DB5926" w:rsidRDefault="00DB5926" w:rsidP="00DC6C75">
            <w:pPr>
              <w:rPr>
                <w:sz w:val="24"/>
                <w:szCs w:val="24"/>
              </w:rPr>
            </w:pPr>
            <w:r w:rsidRPr="00DB5926">
              <w:rPr>
                <w:sz w:val="24"/>
                <w:szCs w:val="24"/>
              </w:rPr>
              <w:t>Plānotās sabiedrības līdzdalības un komunikācijas aktivitātes saistībā ar projektu</w:t>
            </w:r>
          </w:p>
        </w:tc>
        <w:tc>
          <w:tcPr>
            <w:tcW w:w="3212" w:type="pct"/>
            <w:shd w:val="clear" w:color="auto" w:fill="auto"/>
          </w:tcPr>
          <w:p w14:paraId="38850D66" w14:textId="77777777" w:rsidR="00C61D1E" w:rsidRPr="00DB5926" w:rsidRDefault="00C61D1E" w:rsidP="00DC6C75">
            <w:pPr>
              <w:autoSpaceDE w:val="0"/>
              <w:autoSpaceDN w:val="0"/>
              <w:adjustRightInd w:val="0"/>
              <w:rPr>
                <w:sz w:val="24"/>
                <w:szCs w:val="24"/>
              </w:rPr>
            </w:pPr>
            <w:r w:rsidRPr="00C61D1E">
              <w:rPr>
                <w:sz w:val="24"/>
                <w:szCs w:val="24"/>
              </w:rPr>
              <w:t>Sabiedrības pārstāvji varēs līdzdarboties noteikumu projekta izstrādē, sniedzot atzinumu un viedokli par Valsts sekretāru sanāksmē</w:t>
            </w:r>
            <w:r w:rsidR="00DC6C75">
              <w:rPr>
                <w:sz w:val="24"/>
                <w:szCs w:val="24"/>
              </w:rPr>
              <w:t xml:space="preserve"> izsludināto noteikumu projektu</w:t>
            </w:r>
          </w:p>
        </w:tc>
      </w:tr>
      <w:tr w:rsidR="00DB5926" w:rsidRPr="00DB5926" w14:paraId="38850D6B" w14:textId="77777777" w:rsidTr="00FD7FC2">
        <w:trPr>
          <w:trHeight w:val="425"/>
        </w:trPr>
        <w:tc>
          <w:tcPr>
            <w:tcW w:w="286" w:type="pct"/>
            <w:shd w:val="clear" w:color="auto" w:fill="auto"/>
          </w:tcPr>
          <w:p w14:paraId="38850D68" w14:textId="77777777" w:rsidR="00DB5926" w:rsidRPr="00DB5926" w:rsidRDefault="00DB5926" w:rsidP="00DA0D41">
            <w:pPr>
              <w:jc w:val="both"/>
              <w:rPr>
                <w:sz w:val="24"/>
                <w:szCs w:val="24"/>
              </w:rPr>
            </w:pPr>
            <w:r w:rsidRPr="00DB5926">
              <w:rPr>
                <w:sz w:val="24"/>
                <w:szCs w:val="24"/>
              </w:rPr>
              <w:t>2.</w:t>
            </w:r>
          </w:p>
        </w:tc>
        <w:tc>
          <w:tcPr>
            <w:tcW w:w="1502" w:type="pct"/>
            <w:shd w:val="clear" w:color="auto" w:fill="auto"/>
          </w:tcPr>
          <w:p w14:paraId="38850D69" w14:textId="77777777" w:rsidR="00DB5926" w:rsidRPr="00DB5926" w:rsidRDefault="00DB5926" w:rsidP="00DC6C75">
            <w:pPr>
              <w:rPr>
                <w:sz w:val="24"/>
                <w:szCs w:val="24"/>
              </w:rPr>
            </w:pPr>
            <w:r w:rsidRPr="00DB5926">
              <w:rPr>
                <w:sz w:val="24"/>
                <w:szCs w:val="24"/>
              </w:rPr>
              <w:t>Sabiedrības līdzdalība projekta izstrādē</w:t>
            </w:r>
          </w:p>
        </w:tc>
        <w:tc>
          <w:tcPr>
            <w:tcW w:w="3212" w:type="pct"/>
            <w:shd w:val="clear" w:color="auto" w:fill="auto"/>
          </w:tcPr>
          <w:p w14:paraId="38850D6A" w14:textId="77777777" w:rsidR="00DB5926" w:rsidRPr="00DB5926" w:rsidRDefault="00BE4650" w:rsidP="00DC6C75">
            <w:pPr>
              <w:contextualSpacing/>
              <w:rPr>
                <w:sz w:val="24"/>
                <w:szCs w:val="24"/>
                <w:highlight w:val="yellow"/>
              </w:rPr>
            </w:pPr>
            <w:r w:rsidRPr="00AC447A">
              <w:rPr>
                <w:sz w:val="24"/>
                <w:szCs w:val="24"/>
              </w:rPr>
              <w:t>Sabiedrības grupām projekta tiesiskais regulējums pēc būtības ne</w:t>
            </w:r>
            <w:r w:rsidR="00DC6C75">
              <w:rPr>
                <w:sz w:val="24"/>
                <w:szCs w:val="24"/>
              </w:rPr>
              <w:t>maina to tiesības un pienākumus</w:t>
            </w:r>
          </w:p>
        </w:tc>
      </w:tr>
      <w:tr w:rsidR="00DB5926" w:rsidRPr="00DB5926" w14:paraId="38850D6F" w14:textId="77777777" w:rsidTr="00FD7FC2">
        <w:trPr>
          <w:trHeight w:val="425"/>
        </w:trPr>
        <w:tc>
          <w:tcPr>
            <w:tcW w:w="286" w:type="pct"/>
            <w:shd w:val="clear" w:color="auto" w:fill="auto"/>
          </w:tcPr>
          <w:p w14:paraId="38850D6C" w14:textId="77777777" w:rsidR="00DB5926" w:rsidRPr="00DB5926" w:rsidRDefault="00DB5926" w:rsidP="00DA0D41">
            <w:pPr>
              <w:jc w:val="both"/>
              <w:rPr>
                <w:sz w:val="24"/>
                <w:szCs w:val="24"/>
              </w:rPr>
            </w:pPr>
            <w:r w:rsidRPr="00DB5926">
              <w:rPr>
                <w:sz w:val="24"/>
                <w:szCs w:val="24"/>
              </w:rPr>
              <w:t>3.</w:t>
            </w:r>
          </w:p>
        </w:tc>
        <w:tc>
          <w:tcPr>
            <w:tcW w:w="1502" w:type="pct"/>
            <w:shd w:val="clear" w:color="auto" w:fill="auto"/>
          </w:tcPr>
          <w:p w14:paraId="38850D6D" w14:textId="77777777" w:rsidR="00DB5926" w:rsidRPr="00DB5926" w:rsidRDefault="00DB5926" w:rsidP="00DC6C75">
            <w:pPr>
              <w:rPr>
                <w:sz w:val="24"/>
                <w:szCs w:val="24"/>
              </w:rPr>
            </w:pPr>
            <w:r w:rsidRPr="00DB5926">
              <w:rPr>
                <w:sz w:val="24"/>
                <w:szCs w:val="24"/>
              </w:rPr>
              <w:t>Sabiedrības līdzdalības rezultāti</w:t>
            </w:r>
          </w:p>
        </w:tc>
        <w:tc>
          <w:tcPr>
            <w:tcW w:w="3212" w:type="pct"/>
            <w:shd w:val="clear" w:color="auto" w:fill="auto"/>
          </w:tcPr>
          <w:p w14:paraId="38850D6E" w14:textId="77777777" w:rsidR="00DB5926" w:rsidRPr="00DB5926" w:rsidRDefault="00B85A0F" w:rsidP="00DC6C75">
            <w:pPr>
              <w:contextualSpacing/>
              <w:rPr>
                <w:sz w:val="24"/>
                <w:szCs w:val="24"/>
                <w:highlight w:val="yellow"/>
              </w:rPr>
            </w:pPr>
            <w:r w:rsidRPr="00FD7FC2">
              <w:rPr>
                <w:sz w:val="24"/>
                <w:szCs w:val="24"/>
              </w:rPr>
              <w:t>Noteikumu projekts šo jomu neskar</w:t>
            </w:r>
          </w:p>
        </w:tc>
      </w:tr>
      <w:tr w:rsidR="00DB5926" w:rsidRPr="00DB5926" w14:paraId="38850D73" w14:textId="77777777" w:rsidTr="005219E9">
        <w:trPr>
          <w:trHeight w:val="425"/>
        </w:trPr>
        <w:tc>
          <w:tcPr>
            <w:tcW w:w="286" w:type="pct"/>
            <w:shd w:val="clear" w:color="auto" w:fill="auto"/>
          </w:tcPr>
          <w:p w14:paraId="38850D70" w14:textId="77777777" w:rsidR="00DB5926" w:rsidRPr="00DB5926" w:rsidRDefault="00DB5926" w:rsidP="00DA0D41">
            <w:pPr>
              <w:jc w:val="both"/>
              <w:rPr>
                <w:sz w:val="24"/>
                <w:szCs w:val="24"/>
              </w:rPr>
            </w:pPr>
            <w:r w:rsidRPr="00DB5926">
              <w:rPr>
                <w:sz w:val="24"/>
                <w:szCs w:val="24"/>
              </w:rPr>
              <w:t>4.</w:t>
            </w:r>
          </w:p>
        </w:tc>
        <w:tc>
          <w:tcPr>
            <w:tcW w:w="1502" w:type="pct"/>
            <w:shd w:val="clear" w:color="auto" w:fill="auto"/>
          </w:tcPr>
          <w:p w14:paraId="38850D71" w14:textId="77777777" w:rsidR="00DB5926" w:rsidRPr="00DB5926" w:rsidRDefault="00DB5926" w:rsidP="00DC6C75">
            <w:pPr>
              <w:rPr>
                <w:sz w:val="24"/>
                <w:szCs w:val="24"/>
              </w:rPr>
            </w:pPr>
            <w:r w:rsidRPr="00DB5926">
              <w:rPr>
                <w:sz w:val="24"/>
                <w:szCs w:val="24"/>
                <w:shd w:val="clear" w:color="auto" w:fill="FFFFFF"/>
              </w:rPr>
              <w:t>Cita informācija</w:t>
            </w:r>
          </w:p>
        </w:tc>
        <w:tc>
          <w:tcPr>
            <w:tcW w:w="3212" w:type="pct"/>
            <w:shd w:val="clear" w:color="auto" w:fill="auto"/>
          </w:tcPr>
          <w:p w14:paraId="38850D72" w14:textId="77777777" w:rsidR="00DB5926" w:rsidRPr="00DB5926" w:rsidRDefault="00DB5926" w:rsidP="00DC6C75">
            <w:pPr>
              <w:contextualSpacing/>
              <w:rPr>
                <w:sz w:val="24"/>
                <w:szCs w:val="24"/>
                <w:highlight w:val="yellow"/>
              </w:rPr>
            </w:pPr>
            <w:r w:rsidRPr="00DB5926">
              <w:rPr>
                <w:sz w:val="24"/>
                <w:szCs w:val="24"/>
              </w:rPr>
              <w:t>Nav</w:t>
            </w:r>
          </w:p>
        </w:tc>
      </w:tr>
    </w:tbl>
    <w:p w14:paraId="38850D74" w14:textId="77777777" w:rsidR="00DB5926" w:rsidRDefault="00DB5926" w:rsidP="00115E82">
      <w:pPr>
        <w:rPr>
          <w:rFonts w:eastAsia="Times New Roman" w:cs="Times New Roman"/>
          <w:sz w:val="16"/>
          <w:szCs w:val="16"/>
          <w:lang w:eastAsia="lv-LV"/>
        </w:rPr>
      </w:pPr>
    </w:p>
    <w:p w14:paraId="38850D75" w14:textId="77777777" w:rsidR="00DB5926" w:rsidRPr="00D13B02" w:rsidRDefault="00DB5926" w:rsidP="00115E82">
      <w:pPr>
        <w:rPr>
          <w:rFonts w:eastAsia="Times New Roman" w:cs="Times New Roman"/>
          <w:sz w:val="16"/>
          <w:szCs w:val="16"/>
          <w:lang w:eastAsia="lv-LV"/>
        </w:rPr>
      </w:pPr>
    </w:p>
    <w:tbl>
      <w:tblPr>
        <w:tblW w:w="9908"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3070"/>
        <w:gridCol w:w="6309"/>
      </w:tblGrid>
      <w:tr w:rsidR="00D13B02" w:rsidRPr="00D13B02" w14:paraId="38850D77" w14:textId="77777777" w:rsidTr="00983E53">
        <w:trPr>
          <w:trHeight w:val="525"/>
          <w:tblCellSpacing w:w="0" w:type="dxa"/>
        </w:trPr>
        <w:tc>
          <w:tcPr>
            <w:tcW w:w="9908" w:type="dxa"/>
            <w:gridSpan w:val="3"/>
            <w:tcBorders>
              <w:top w:val="outset" w:sz="6" w:space="0" w:color="auto"/>
              <w:left w:val="outset" w:sz="6" w:space="0" w:color="auto"/>
              <w:bottom w:val="outset" w:sz="6" w:space="0" w:color="auto"/>
              <w:right w:val="outset" w:sz="6" w:space="0" w:color="auto"/>
            </w:tcBorders>
          </w:tcPr>
          <w:p w14:paraId="38850D76" w14:textId="77777777" w:rsidR="00E66814" w:rsidRPr="00D13B02" w:rsidRDefault="00E66814" w:rsidP="007553A8">
            <w:pPr>
              <w:spacing w:before="100" w:beforeAutospacing="1" w:after="100" w:afterAutospacing="1"/>
              <w:jc w:val="center"/>
              <w:rPr>
                <w:rFonts w:eastAsia="Times New Roman" w:cs="Times New Roman"/>
                <w:b/>
                <w:sz w:val="26"/>
                <w:szCs w:val="26"/>
                <w:lang w:eastAsia="lv-LV"/>
              </w:rPr>
            </w:pPr>
            <w:r w:rsidRPr="00D13B02">
              <w:rPr>
                <w:rFonts w:eastAsia="Times New Roman" w:cs="Times New Roman"/>
                <w:b/>
                <w:sz w:val="26"/>
                <w:szCs w:val="26"/>
                <w:lang w:eastAsia="lv-LV"/>
              </w:rPr>
              <w:t>VII. Tiesību akta projekta izpildes nodrošināšana un tās ietekme uz institūcijām</w:t>
            </w:r>
          </w:p>
        </w:tc>
      </w:tr>
      <w:tr w:rsidR="00D13B02" w:rsidRPr="00D13B02" w14:paraId="38850D7B" w14:textId="77777777" w:rsidTr="00924012">
        <w:trPr>
          <w:trHeight w:val="525"/>
          <w:tblCellSpacing w:w="0" w:type="dxa"/>
        </w:trPr>
        <w:tc>
          <w:tcPr>
            <w:tcW w:w="529" w:type="dxa"/>
            <w:tcBorders>
              <w:top w:val="outset" w:sz="6" w:space="0" w:color="auto"/>
              <w:left w:val="outset" w:sz="6" w:space="0" w:color="auto"/>
              <w:bottom w:val="outset" w:sz="6" w:space="0" w:color="auto"/>
              <w:right w:val="outset" w:sz="6" w:space="0" w:color="auto"/>
            </w:tcBorders>
          </w:tcPr>
          <w:p w14:paraId="38850D78" w14:textId="77777777" w:rsidR="00E66814" w:rsidRPr="00D13B02" w:rsidRDefault="00E66814"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1.</w:t>
            </w:r>
          </w:p>
        </w:tc>
        <w:tc>
          <w:tcPr>
            <w:tcW w:w="3070" w:type="dxa"/>
            <w:tcBorders>
              <w:top w:val="outset" w:sz="6" w:space="0" w:color="auto"/>
              <w:left w:val="outset" w:sz="6" w:space="0" w:color="auto"/>
              <w:bottom w:val="outset" w:sz="6" w:space="0" w:color="auto"/>
              <w:right w:val="outset" w:sz="6" w:space="0" w:color="auto"/>
            </w:tcBorders>
          </w:tcPr>
          <w:p w14:paraId="38850D79" w14:textId="7BDCF53E" w:rsidR="00E66814" w:rsidRPr="00D13B02" w:rsidRDefault="00E66814" w:rsidP="00BA3D07">
            <w:pPr>
              <w:spacing w:before="100" w:beforeAutospacing="1" w:after="100" w:afterAutospacing="1"/>
              <w:ind w:left="166"/>
              <w:rPr>
                <w:rFonts w:eastAsia="Times New Roman" w:cs="Times New Roman"/>
                <w:sz w:val="24"/>
                <w:szCs w:val="24"/>
                <w:lang w:eastAsia="lv-LV"/>
              </w:rPr>
            </w:pPr>
            <w:r w:rsidRPr="00D13B02">
              <w:rPr>
                <w:rFonts w:eastAsia="Times New Roman" w:cs="Times New Roman"/>
                <w:sz w:val="24"/>
                <w:szCs w:val="24"/>
                <w:lang w:eastAsia="lv-LV"/>
              </w:rPr>
              <w:t>Projekta izpildē iesaistītās institūcijas</w:t>
            </w:r>
          </w:p>
        </w:tc>
        <w:tc>
          <w:tcPr>
            <w:tcW w:w="6309" w:type="dxa"/>
            <w:tcBorders>
              <w:top w:val="outset" w:sz="6" w:space="0" w:color="auto"/>
              <w:left w:val="outset" w:sz="6" w:space="0" w:color="auto"/>
              <w:bottom w:val="outset" w:sz="6" w:space="0" w:color="auto"/>
              <w:right w:val="outset" w:sz="6" w:space="0" w:color="auto"/>
            </w:tcBorders>
          </w:tcPr>
          <w:p w14:paraId="38850D7A" w14:textId="54D6428A" w:rsidR="000145DE" w:rsidRPr="00D247D5" w:rsidRDefault="007F3F45" w:rsidP="001818ED">
            <w:pPr>
              <w:ind w:left="73" w:right="111"/>
              <w:jc w:val="both"/>
              <w:rPr>
                <w:rFonts w:eastAsia="Times New Roman" w:cs="Times New Roman"/>
                <w:sz w:val="24"/>
                <w:szCs w:val="24"/>
                <w:lang w:eastAsia="lv-LV"/>
              </w:rPr>
            </w:pPr>
            <w:r w:rsidRPr="007F3F45">
              <w:rPr>
                <w:rFonts w:eastAsia="Times New Roman" w:cs="Times New Roman"/>
                <w:sz w:val="24"/>
                <w:szCs w:val="24"/>
                <w:lang w:eastAsia="lv-LV"/>
              </w:rPr>
              <w:t xml:space="preserve">Atbildīgās iestādes funkcijas pilda Valsts kanceleja, sadarbības iestādes funkcijas – Centrālā finanšu un līgumu aģentūra. </w:t>
            </w:r>
            <w:r w:rsidR="00BA3D07">
              <w:rPr>
                <w:rFonts w:eastAsia="Times New Roman" w:cs="Times New Roman"/>
                <w:sz w:val="24"/>
                <w:szCs w:val="24"/>
                <w:lang w:eastAsia="lv-LV"/>
              </w:rPr>
              <w:t>VAS</w:t>
            </w:r>
            <w:r w:rsidRPr="007F3F45">
              <w:rPr>
                <w:rFonts w:eastAsia="Times New Roman" w:cs="Times New Roman"/>
                <w:sz w:val="24"/>
                <w:szCs w:val="24"/>
                <w:lang w:eastAsia="lv-LV"/>
              </w:rPr>
              <w:t xml:space="preserve"> ir Eiropas Savie</w:t>
            </w:r>
            <w:r w:rsidR="00C042FC">
              <w:rPr>
                <w:rFonts w:eastAsia="Times New Roman" w:cs="Times New Roman"/>
                <w:sz w:val="24"/>
                <w:szCs w:val="24"/>
                <w:lang w:eastAsia="lv-LV"/>
              </w:rPr>
              <w:t>nības fondu finansējuma saņēmēja</w:t>
            </w:r>
            <w:r w:rsidR="00995B35">
              <w:rPr>
                <w:rFonts w:eastAsia="Times New Roman" w:cs="Times New Roman"/>
                <w:sz w:val="24"/>
                <w:szCs w:val="24"/>
                <w:lang w:eastAsia="lv-LV"/>
              </w:rPr>
              <w:t xml:space="preserve">. </w:t>
            </w:r>
            <w:r w:rsidR="00193E01">
              <w:rPr>
                <w:rFonts w:eastAsia="Times New Roman" w:cs="Times New Roman"/>
                <w:sz w:val="24"/>
                <w:szCs w:val="24"/>
                <w:lang w:eastAsia="lv-LV"/>
              </w:rPr>
              <w:t>F</w:t>
            </w:r>
            <w:r w:rsidR="000145DE">
              <w:rPr>
                <w:rFonts w:eastAsia="Times New Roman" w:cs="Times New Roman"/>
                <w:sz w:val="24"/>
                <w:szCs w:val="24"/>
                <w:lang w:eastAsia="lv-LV"/>
              </w:rPr>
              <w:t>inans</w:t>
            </w:r>
            <w:r w:rsidR="00AB7747">
              <w:rPr>
                <w:rFonts w:eastAsia="Times New Roman" w:cs="Times New Roman"/>
                <w:sz w:val="24"/>
                <w:szCs w:val="24"/>
                <w:lang w:eastAsia="lv-LV"/>
              </w:rPr>
              <w:t>ējuma samazinājums</w:t>
            </w:r>
            <w:r w:rsidR="000145DE">
              <w:rPr>
                <w:rFonts w:eastAsia="Times New Roman" w:cs="Times New Roman"/>
                <w:sz w:val="24"/>
                <w:szCs w:val="24"/>
                <w:lang w:eastAsia="lv-LV"/>
              </w:rPr>
              <w:t xml:space="preserve"> </w:t>
            </w:r>
            <w:r w:rsidR="00750D07">
              <w:rPr>
                <w:rFonts w:eastAsia="Times New Roman" w:cs="Times New Roman"/>
                <w:sz w:val="24"/>
                <w:szCs w:val="24"/>
                <w:lang w:eastAsia="lv-LV"/>
              </w:rPr>
              <w:t xml:space="preserve">VAS </w:t>
            </w:r>
            <w:r w:rsidR="00AB7747">
              <w:rPr>
                <w:rFonts w:eastAsia="Times New Roman" w:cs="Times New Roman"/>
                <w:sz w:val="24"/>
                <w:szCs w:val="24"/>
                <w:lang w:eastAsia="lv-LV"/>
              </w:rPr>
              <w:t>tiek plānots ar 2019</w:t>
            </w:r>
            <w:r w:rsidR="00EF4D59">
              <w:rPr>
                <w:rFonts w:eastAsia="Times New Roman" w:cs="Times New Roman"/>
                <w:sz w:val="24"/>
                <w:szCs w:val="24"/>
                <w:lang w:eastAsia="lv-LV"/>
              </w:rPr>
              <w:t>. g</w:t>
            </w:r>
            <w:r w:rsidR="00AB7747">
              <w:rPr>
                <w:rFonts w:eastAsia="Times New Roman" w:cs="Times New Roman"/>
                <w:sz w:val="24"/>
                <w:szCs w:val="24"/>
                <w:lang w:eastAsia="lv-LV"/>
              </w:rPr>
              <w:t>adu, jo</w:t>
            </w:r>
            <w:r w:rsidR="00BA3D07">
              <w:rPr>
                <w:rFonts w:eastAsia="Times New Roman" w:cs="Times New Roman"/>
                <w:sz w:val="24"/>
                <w:szCs w:val="24"/>
                <w:lang w:eastAsia="lv-LV"/>
              </w:rPr>
              <w:t>,</w:t>
            </w:r>
            <w:r w:rsidR="00AB7747">
              <w:rPr>
                <w:rFonts w:eastAsia="Times New Roman" w:cs="Times New Roman"/>
                <w:sz w:val="24"/>
                <w:szCs w:val="24"/>
                <w:lang w:eastAsia="lv-LV"/>
              </w:rPr>
              <w:t xml:space="preserve"> </w:t>
            </w:r>
            <w:r w:rsidR="00C042FC">
              <w:rPr>
                <w:rFonts w:eastAsia="Times New Roman" w:cs="Times New Roman"/>
                <w:sz w:val="24"/>
                <w:szCs w:val="24"/>
                <w:lang w:eastAsia="lv-LV"/>
              </w:rPr>
              <w:t>iz</w:t>
            </w:r>
            <w:r w:rsidR="00AB7747">
              <w:rPr>
                <w:rFonts w:eastAsia="Times New Roman" w:cs="Times New Roman"/>
                <w:sz w:val="24"/>
                <w:szCs w:val="24"/>
                <w:lang w:eastAsia="lv-LV"/>
              </w:rPr>
              <w:t xml:space="preserve">vērtējot </w:t>
            </w:r>
            <w:r w:rsidR="00750D07">
              <w:rPr>
                <w:rFonts w:eastAsia="Times New Roman" w:cs="Times New Roman"/>
                <w:sz w:val="24"/>
                <w:szCs w:val="24"/>
                <w:lang w:eastAsia="lv-LV"/>
              </w:rPr>
              <w:t xml:space="preserve">VAS </w:t>
            </w:r>
            <w:r w:rsidR="00AB7747">
              <w:rPr>
                <w:rFonts w:eastAsia="Times New Roman" w:cs="Times New Roman"/>
                <w:sz w:val="24"/>
                <w:szCs w:val="24"/>
                <w:lang w:eastAsia="lv-LV"/>
              </w:rPr>
              <w:t>projektus</w:t>
            </w:r>
            <w:r w:rsidR="00BA3D07">
              <w:rPr>
                <w:rFonts w:eastAsia="Times New Roman" w:cs="Times New Roman"/>
                <w:sz w:val="24"/>
                <w:szCs w:val="24"/>
                <w:lang w:eastAsia="lv-LV"/>
              </w:rPr>
              <w:t>,</w:t>
            </w:r>
            <w:r w:rsidR="00AB7747">
              <w:rPr>
                <w:rFonts w:eastAsia="Times New Roman" w:cs="Times New Roman"/>
                <w:sz w:val="24"/>
                <w:szCs w:val="24"/>
                <w:lang w:eastAsia="lv-LV"/>
              </w:rPr>
              <w:t xml:space="preserve"> tika vērtēts arī finanšu snieguma rādītājs uz 2018</w:t>
            </w:r>
            <w:r w:rsidR="00EF4D59">
              <w:rPr>
                <w:rFonts w:eastAsia="Times New Roman" w:cs="Times New Roman"/>
                <w:sz w:val="24"/>
                <w:szCs w:val="24"/>
                <w:lang w:eastAsia="lv-LV"/>
              </w:rPr>
              <w:t>. g</w:t>
            </w:r>
            <w:r w:rsidR="00AB7747">
              <w:rPr>
                <w:rFonts w:eastAsia="Times New Roman" w:cs="Times New Roman"/>
                <w:sz w:val="24"/>
                <w:szCs w:val="24"/>
                <w:lang w:eastAsia="lv-LV"/>
              </w:rPr>
              <w:t>ada</w:t>
            </w:r>
            <w:r w:rsidR="00053D7F">
              <w:rPr>
                <w:rFonts w:eastAsia="Times New Roman" w:cs="Times New Roman"/>
                <w:sz w:val="24"/>
                <w:szCs w:val="24"/>
                <w:lang w:eastAsia="lv-LV"/>
              </w:rPr>
              <w:t xml:space="preserve"> beigām</w:t>
            </w:r>
            <w:r w:rsidR="00AB7747">
              <w:rPr>
                <w:rFonts w:eastAsia="Times New Roman" w:cs="Times New Roman"/>
                <w:sz w:val="24"/>
                <w:szCs w:val="24"/>
                <w:lang w:eastAsia="lv-LV"/>
              </w:rPr>
              <w:t>, kas</w:t>
            </w:r>
            <w:r w:rsidR="00BA3D07">
              <w:rPr>
                <w:rFonts w:eastAsia="Times New Roman" w:cs="Times New Roman"/>
                <w:sz w:val="24"/>
                <w:szCs w:val="24"/>
                <w:lang w:eastAsia="lv-LV"/>
              </w:rPr>
              <w:t>,</w:t>
            </w:r>
            <w:r w:rsidR="00AB7747">
              <w:rPr>
                <w:rFonts w:eastAsia="Times New Roman" w:cs="Times New Roman"/>
                <w:sz w:val="24"/>
                <w:szCs w:val="24"/>
                <w:lang w:eastAsia="lv-LV"/>
              </w:rPr>
              <w:t xml:space="preserve"> neskatoties uz veik</w:t>
            </w:r>
            <w:r w:rsidR="00C042FC">
              <w:rPr>
                <w:rFonts w:eastAsia="Times New Roman" w:cs="Times New Roman"/>
                <w:sz w:val="24"/>
                <w:szCs w:val="24"/>
                <w:lang w:eastAsia="lv-LV"/>
              </w:rPr>
              <w:t>t</w:t>
            </w:r>
            <w:r w:rsidR="00AB7747">
              <w:rPr>
                <w:rFonts w:eastAsia="Times New Roman" w:cs="Times New Roman"/>
                <w:sz w:val="24"/>
                <w:szCs w:val="24"/>
                <w:lang w:eastAsia="lv-LV"/>
              </w:rPr>
              <w:t>ajām izmaiņām un pārdalēm</w:t>
            </w:r>
            <w:r w:rsidR="00BA3D07">
              <w:rPr>
                <w:rFonts w:eastAsia="Times New Roman" w:cs="Times New Roman"/>
                <w:sz w:val="24"/>
                <w:szCs w:val="24"/>
                <w:lang w:eastAsia="lv-LV"/>
              </w:rPr>
              <w:t>,</w:t>
            </w:r>
            <w:r w:rsidR="00AB7747">
              <w:rPr>
                <w:rFonts w:eastAsia="Times New Roman" w:cs="Times New Roman"/>
                <w:sz w:val="24"/>
                <w:szCs w:val="24"/>
                <w:lang w:eastAsia="lv-LV"/>
              </w:rPr>
              <w:t xml:space="preserve"> </w:t>
            </w:r>
            <w:r w:rsidR="00750D07">
              <w:rPr>
                <w:rFonts w:eastAsia="Times New Roman" w:cs="Times New Roman"/>
                <w:sz w:val="24"/>
                <w:szCs w:val="24"/>
                <w:lang w:eastAsia="lv-LV"/>
              </w:rPr>
              <w:t xml:space="preserve">VAS </w:t>
            </w:r>
            <w:r w:rsidR="00AB7747">
              <w:rPr>
                <w:rFonts w:eastAsia="Times New Roman" w:cs="Times New Roman"/>
                <w:sz w:val="24"/>
                <w:szCs w:val="24"/>
                <w:lang w:eastAsia="lv-LV"/>
              </w:rPr>
              <w:t xml:space="preserve">ir jāsasniedz. </w:t>
            </w:r>
            <w:r w:rsidR="00C042FC">
              <w:rPr>
                <w:rFonts w:eastAsia="Times New Roman" w:cs="Times New Roman"/>
                <w:sz w:val="24"/>
                <w:szCs w:val="24"/>
                <w:lang w:eastAsia="lv-LV"/>
              </w:rPr>
              <w:t xml:space="preserve">Finansējumu </w:t>
            </w:r>
            <w:r w:rsidR="00C042FC">
              <w:rPr>
                <w:rFonts w:eastAsia="Times New Roman" w:cs="Times New Roman"/>
                <w:sz w:val="24"/>
                <w:szCs w:val="24"/>
                <w:lang w:eastAsia="lv-LV"/>
              </w:rPr>
              <w:lastRenderedPageBreak/>
              <w:t>p</w:t>
            </w:r>
            <w:r w:rsidR="00AB7747">
              <w:rPr>
                <w:rFonts w:eastAsia="Times New Roman" w:cs="Times New Roman"/>
                <w:sz w:val="24"/>
                <w:szCs w:val="24"/>
                <w:lang w:eastAsia="lv-LV"/>
              </w:rPr>
              <w:t xml:space="preserve">asākumam 3.4.2.2. </w:t>
            </w:r>
            <w:r w:rsidR="003637EA">
              <w:rPr>
                <w:rFonts w:eastAsia="Times New Roman" w:cs="Times New Roman"/>
                <w:sz w:val="24"/>
                <w:szCs w:val="24"/>
                <w:lang w:eastAsia="lv-LV"/>
              </w:rPr>
              <w:t>plāno</w:t>
            </w:r>
            <w:r w:rsidR="00CC1899">
              <w:rPr>
                <w:rFonts w:eastAsia="Times New Roman" w:cs="Times New Roman"/>
                <w:sz w:val="24"/>
                <w:szCs w:val="24"/>
                <w:lang w:eastAsia="lv-LV"/>
              </w:rPr>
              <w:t>ts</w:t>
            </w:r>
            <w:r w:rsidR="000145DE">
              <w:rPr>
                <w:rFonts w:eastAsia="Times New Roman" w:cs="Times New Roman"/>
                <w:sz w:val="24"/>
                <w:szCs w:val="24"/>
                <w:lang w:eastAsia="lv-LV"/>
              </w:rPr>
              <w:t xml:space="preserve"> novirz</w:t>
            </w:r>
            <w:r w:rsidR="003637EA">
              <w:rPr>
                <w:rFonts w:eastAsia="Times New Roman" w:cs="Times New Roman"/>
                <w:sz w:val="24"/>
                <w:szCs w:val="24"/>
                <w:lang w:eastAsia="lv-LV"/>
              </w:rPr>
              <w:t>īt</w:t>
            </w:r>
            <w:r w:rsidR="000145DE">
              <w:rPr>
                <w:rFonts w:eastAsia="Times New Roman" w:cs="Times New Roman"/>
                <w:sz w:val="24"/>
                <w:szCs w:val="24"/>
                <w:lang w:eastAsia="lv-LV"/>
              </w:rPr>
              <w:t xml:space="preserve"> no </w:t>
            </w:r>
            <w:r w:rsidR="00451EFD">
              <w:rPr>
                <w:rFonts w:eastAsia="Times New Roman" w:cs="Times New Roman"/>
                <w:sz w:val="24"/>
                <w:szCs w:val="24"/>
                <w:lang w:eastAsia="lv-LV"/>
              </w:rPr>
              <w:t xml:space="preserve">VAS </w:t>
            </w:r>
            <w:r w:rsidR="000145DE">
              <w:rPr>
                <w:rFonts w:eastAsia="Times New Roman" w:cs="Times New Roman"/>
                <w:sz w:val="24"/>
                <w:szCs w:val="24"/>
                <w:lang w:eastAsia="lv-LV"/>
              </w:rPr>
              <w:t>īstenošanā esošā projekta</w:t>
            </w:r>
            <w:r w:rsidR="000145DE" w:rsidRPr="000145DE">
              <w:rPr>
                <w:rFonts w:eastAsia="Times New Roman" w:cs="Times New Roman"/>
                <w:sz w:val="24"/>
                <w:szCs w:val="24"/>
                <w:lang w:eastAsia="lv-LV"/>
              </w:rPr>
              <w:t xml:space="preserve"> </w:t>
            </w:r>
            <w:r w:rsidR="00EF4D59">
              <w:rPr>
                <w:rFonts w:eastAsia="Times New Roman" w:cs="Times New Roman"/>
                <w:sz w:val="24"/>
                <w:szCs w:val="24"/>
                <w:lang w:eastAsia="lv-LV"/>
              </w:rPr>
              <w:t>"</w:t>
            </w:r>
            <w:r w:rsidR="00C042FC" w:rsidRPr="00C042FC">
              <w:rPr>
                <w:rFonts w:eastAsia="Times New Roman" w:cs="Times New Roman"/>
                <w:sz w:val="24"/>
                <w:szCs w:val="24"/>
                <w:lang w:eastAsia="lv-LV"/>
              </w:rPr>
              <w:t>Valsts pārvaldes cilvēkresursu profesionālā pilnveide labāka regulējuma izstrādē mazo un vidējo komersantu atbalsta jomā</w:t>
            </w:r>
            <w:r w:rsidR="00EF4D59">
              <w:rPr>
                <w:rFonts w:eastAsia="Times New Roman" w:cs="Times New Roman"/>
                <w:sz w:val="24"/>
                <w:szCs w:val="24"/>
                <w:lang w:eastAsia="lv-LV"/>
              </w:rPr>
              <w:t>"</w:t>
            </w:r>
            <w:r w:rsidR="00995B35">
              <w:rPr>
                <w:rFonts w:eastAsia="Times New Roman" w:cs="Times New Roman"/>
                <w:sz w:val="24"/>
                <w:szCs w:val="24"/>
                <w:lang w:eastAsia="lv-LV"/>
              </w:rPr>
              <w:t>. P</w:t>
            </w:r>
            <w:r w:rsidR="003637EA">
              <w:rPr>
                <w:rFonts w:eastAsia="Times New Roman" w:cs="Times New Roman"/>
                <w:sz w:val="24"/>
                <w:szCs w:val="24"/>
                <w:lang w:eastAsia="lv-LV"/>
              </w:rPr>
              <w:t>ēc noteikumu</w:t>
            </w:r>
            <w:r w:rsidR="003C3F4F">
              <w:rPr>
                <w:rFonts w:eastAsia="Times New Roman" w:cs="Times New Roman"/>
                <w:sz w:val="24"/>
                <w:szCs w:val="24"/>
                <w:lang w:eastAsia="lv-LV"/>
              </w:rPr>
              <w:t xml:space="preserve"> projekta</w:t>
            </w:r>
            <w:r w:rsidR="003637EA">
              <w:rPr>
                <w:rFonts w:eastAsia="Times New Roman" w:cs="Times New Roman"/>
                <w:sz w:val="24"/>
                <w:szCs w:val="24"/>
                <w:lang w:eastAsia="lv-LV"/>
              </w:rPr>
              <w:t xml:space="preserve"> apstiprinā</w:t>
            </w:r>
            <w:r w:rsidR="003C3F4F">
              <w:rPr>
                <w:rFonts w:eastAsia="Times New Roman" w:cs="Times New Roman"/>
                <w:sz w:val="24"/>
                <w:szCs w:val="24"/>
                <w:lang w:eastAsia="lv-LV"/>
              </w:rPr>
              <w:t>šanas</w:t>
            </w:r>
            <w:r w:rsidR="003637EA">
              <w:rPr>
                <w:rFonts w:eastAsia="Times New Roman" w:cs="Times New Roman"/>
                <w:sz w:val="24"/>
                <w:szCs w:val="24"/>
                <w:lang w:eastAsia="lv-LV"/>
              </w:rPr>
              <w:t xml:space="preserve"> </w:t>
            </w:r>
            <w:r w:rsidR="00750D07">
              <w:rPr>
                <w:rFonts w:eastAsia="Times New Roman" w:cs="Times New Roman"/>
                <w:sz w:val="24"/>
                <w:szCs w:val="24"/>
                <w:lang w:eastAsia="lv-LV"/>
              </w:rPr>
              <w:t xml:space="preserve">VAS </w:t>
            </w:r>
            <w:r w:rsidR="003637EA">
              <w:rPr>
                <w:rFonts w:eastAsia="Times New Roman" w:cs="Times New Roman"/>
                <w:sz w:val="24"/>
                <w:szCs w:val="24"/>
                <w:lang w:eastAsia="lv-LV"/>
              </w:rPr>
              <w:t xml:space="preserve">iesniegs sadarbības iestādē </w:t>
            </w:r>
            <w:r w:rsidR="00BA3D07">
              <w:rPr>
                <w:rFonts w:eastAsia="Times New Roman" w:cs="Times New Roman"/>
                <w:sz w:val="24"/>
                <w:szCs w:val="24"/>
                <w:lang w:eastAsia="lv-LV"/>
              </w:rPr>
              <w:t>–</w:t>
            </w:r>
            <w:r w:rsidR="003637EA">
              <w:rPr>
                <w:rFonts w:eastAsia="Times New Roman" w:cs="Times New Roman"/>
                <w:sz w:val="24"/>
                <w:szCs w:val="24"/>
                <w:lang w:eastAsia="lv-LV"/>
              </w:rPr>
              <w:t xml:space="preserve"> Centrālajā finanšu un līgumu aģentūrā</w:t>
            </w:r>
            <w:r w:rsidR="001818ED">
              <w:rPr>
                <w:rFonts w:eastAsia="Times New Roman" w:cs="Times New Roman"/>
                <w:sz w:val="24"/>
                <w:szCs w:val="24"/>
                <w:lang w:eastAsia="lv-LV"/>
              </w:rPr>
              <w:t> –</w:t>
            </w:r>
            <w:r w:rsidR="003637EA">
              <w:rPr>
                <w:rFonts w:eastAsia="Times New Roman" w:cs="Times New Roman"/>
                <w:sz w:val="24"/>
                <w:szCs w:val="24"/>
                <w:lang w:eastAsia="lv-LV"/>
              </w:rPr>
              <w:t>projekta grozījumus par finans</w:t>
            </w:r>
            <w:r w:rsidR="003C3F4F">
              <w:rPr>
                <w:rFonts w:eastAsia="Times New Roman" w:cs="Times New Roman"/>
                <w:sz w:val="24"/>
                <w:szCs w:val="24"/>
                <w:lang w:eastAsia="lv-LV"/>
              </w:rPr>
              <w:t xml:space="preserve">ējuma </w:t>
            </w:r>
            <w:r w:rsidR="003637EA" w:rsidRPr="00924012">
              <w:rPr>
                <w:rFonts w:eastAsia="Times New Roman" w:cs="Times New Roman"/>
                <w:sz w:val="24"/>
                <w:szCs w:val="24"/>
                <w:lang w:eastAsia="lv-LV"/>
              </w:rPr>
              <w:t>samazinā</w:t>
            </w:r>
            <w:r w:rsidR="00BA3D07">
              <w:rPr>
                <w:rFonts w:eastAsia="Times New Roman" w:cs="Times New Roman"/>
                <w:sz w:val="24"/>
                <w:szCs w:val="24"/>
                <w:lang w:eastAsia="lv-LV"/>
              </w:rPr>
              <w:t>šanu</w:t>
            </w:r>
          </w:p>
        </w:tc>
      </w:tr>
      <w:tr w:rsidR="00D13B02" w:rsidRPr="00D13B02" w14:paraId="38850D7F" w14:textId="77777777" w:rsidTr="00924012">
        <w:trPr>
          <w:trHeight w:val="1139"/>
          <w:tblCellSpacing w:w="0" w:type="dxa"/>
        </w:trPr>
        <w:tc>
          <w:tcPr>
            <w:tcW w:w="529" w:type="dxa"/>
            <w:tcBorders>
              <w:top w:val="outset" w:sz="6" w:space="0" w:color="auto"/>
              <w:left w:val="outset" w:sz="6" w:space="0" w:color="auto"/>
              <w:bottom w:val="outset" w:sz="6" w:space="0" w:color="auto"/>
              <w:right w:val="outset" w:sz="6" w:space="0" w:color="auto"/>
            </w:tcBorders>
          </w:tcPr>
          <w:p w14:paraId="38850D7C" w14:textId="77777777"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lastRenderedPageBreak/>
              <w:t>2.</w:t>
            </w:r>
          </w:p>
        </w:tc>
        <w:tc>
          <w:tcPr>
            <w:tcW w:w="3070" w:type="dxa"/>
            <w:tcBorders>
              <w:top w:val="outset" w:sz="6" w:space="0" w:color="auto"/>
              <w:left w:val="outset" w:sz="6" w:space="0" w:color="auto"/>
              <w:bottom w:val="outset" w:sz="6" w:space="0" w:color="auto"/>
              <w:right w:val="outset" w:sz="6" w:space="0" w:color="auto"/>
            </w:tcBorders>
          </w:tcPr>
          <w:p w14:paraId="38850D7D" w14:textId="77777777" w:rsidR="00E66814" w:rsidRPr="00D13B02" w:rsidRDefault="007C4D8F" w:rsidP="00074A1E">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309" w:type="dxa"/>
            <w:tcBorders>
              <w:top w:val="outset" w:sz="6" w:space="0" w:color="auto"/>
              <w:left w:val="outset" w:sz="6" w:space="0" w:color="auto"/>
              <w:bottom w:val="outset" w:sz="6" w:space="0" w:color="auto"/>
              <w:right w:val="outset" w:sz="6" w:space="0" w:color="auto"/>
            </w:tcBorders>
          </w:tcPr>
          <w:p w14:paraId="38850D7E" w14:textId="66B950F8" w:rsidR="00E66814" w:rsidRPr="00D13B02" w:rsidRDefault="007F3F45" w:rsidP="00BA3D07">
            <w:pPr>
              <w:spacing w:before="100" w:beforeAutospacing="1" w:after="100" w:afterAutospacing="1"/>
              <w:ind w:left="73"/>
              <w:rPr>
                <w:rFonts w:eastAsia="Times New Roman" w:cs="Times New Roman"/>
                <w:sz w:val="24"/>
                <w:szCs w:val="24"/>
                <w:lang w:eastAsia="lv-LV"/>
              </w:rPr>
            </w:pPr>
            <w:r>
              <w:rPr>
                <w:rFonts w:eastAsia="Times New Roman" w:cs="Times New Roman"/>
                <w:sz w:val="24"/>
                <w:szCs w:val="24"/>
                <w:lang w:eastAsia="lv-LV"/>
              </w:rPr>
              <w:t>Noteikumu p</w:t>
            </w:r>
            <w:r w:rsidR="00AD6191" w:rsidRPr="00D13B02">
              <w:rPr>
                <w:rFonts w:eastAsia="Times New Roman" w:cs="Times New Roman"/>
                <w:sz w:val="24"/>
                <w:szCs w:val="24"/>
                <w:lang w:eastAsia="lv-LV"/>
              </w:rPr>
              <w:t>rojekts šo jomu neskar</w:t>
            </w:r>
          </w:p>
        </w:tc>
      </w:tr>
      <w:tr w:rsidR="00D13B02" w:rsidRPr="00D13B02" w14:paraId="38850D83" w14:textId="77777777" w:rsidTr="00BA3D07">
        <w:trPr>
          <w:trHeight w:val="285"/>
          <w:tblCellSpacing w:w="0" w:type="dxa"/>
        </w:trPr>
        <w:tc>
          <w:tcPr>
            <w:tcW w:w="529" w:type="dxa"/>
            <w:tcBorders>
              <w:top w:val="outset" w:sz="6" w:space="0" w:color="auto"/>
              <w:left w:val="outset" w:sz="6" w:space="0" w:color="auto"/>
              <w:bottom w:val="outset" w:sz="6" w:space="0" w:color="auto"/>
              <w:right w:val="outset" w:sz="6" w:space="0" w:color="auto"/>
            </w:tcBorders>
          </w:tcPr>
          <w:p w14:paraId="38850D80" w14:textId="77777777"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3.</w:t>
            </w:r>
          </w:p>
        </w:tc>
        <w:tc>
          <w:tcPr>
            <w:tcW w:w="3070" w:type="dxa"/>
            <w:tcBorders>
              <w:top w:val="outset" w:sz="6" w:space="0" w:color="auto"/>
              <w:left w:val="outset" w:sz="6" w:space="0" w:color="auto"/>
              <w:bottom w:val="outset" w:sz="6" w:space="0" w:color="auto"/>
              <w:right w:val="outset" w:sz="6" w:space="0" w:color="auto"/>
            </w:tcBorders>
          </w:tcPr>
          <w:p w14:paraId="38850D81" w14:textId="77777777"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Cita informācija</w:t>
            </w:r>
          </w:p>
        </w:tc>
        <w:tc>
          <w:tcPr>
            <w:tcW w:w="6309" w:type="dxa"/>
            <w:tcBorders>
              <w:top w:val="outset" w:sz="6" w:space="0" w:color="auto"/>
              <w:left w:val="outset" w:sz="6" w:space="0" w:color="auto"/>
              <w:bottom w:val="outset" w:sz="6" w:space="0" w:color="auto"/>
              <w:right w:val="outset" w:sz="6" w:space="0" w:color="auto"/>
            </w:tcBorders>
          </w:tcPr>
          <w:p w14:paraId="38850D82" w14:textId="77777777"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Nav</w:t>
            </w:r>
          </w:p>
        </w:tc>
      </w:tr>
    </w:tbl>
    <w:p w14:paraId="5CD24E24" w14:textId="77777777" w:rsidR="00EF4D59" w:rsidRDefault="00EF4D59" w:rsidP="00115E82">
      <w:pPr>
        <w:rPr>
          <w:rFonts w:eastAsia="Times New Roman" w:cs="Times New Roman"/>
          <w:iCs/>
          <w:sz w:val="24"/>
          <w:szCs w:val="24"/>
          <w:lang w:eastAsia="lv-LV"/>
        </w:rPr>
      </w:pPr>
    </w:p>
    <w:p w14:paraId="38850D84" w14:textId="3F8B95A6" w:rsidR="0070526D" w:rsidRPr="00EF4D59" w:rsidRDefault="00995B35" w:rsidP="00115E82">
      <w:pPr>
        <w:rPr>
          <w:rFonts w:eastAsia="Times New Roman" w:cs="Times New Roman"/>
          <w:sz w:val="26"/>
          <w:szCs w:val="26"/>
          <w:lang w:eastAsia="lv-LV"/>
        </w:rPr>
      </w:pPr>
      <w:r w:rsidRPr="00EF4D59">
        <w:rPr>
          <w:rFonts w:eastAsia="Times New Roman" w:cs="Times New Roman"/>
          <w:iCs/>
          <w:sz w:val="24"/>
          <w:szCs w:val="24"/>
          <w:lang w:eastAsia="lv-LV"/>
        </w:rPr>
        <w:t>Anotācijas IV</w:t>
      </w:r>
      <w:r w:rsidR="00451EFD" w:rsidRPr="00EF4D59">
        <w:rPr>
          <w:rFonts w:eastAsia="Times New Roman" w:cs="Times New Roman"/>
          <w:iCs/>
          <w:sz w:val="24"/>
          <w:szCs w:val="24"/>
          <w:lang w:eastAsia="lv-LV"/>
        </w:rPr>
        <w:t xml:space="preserve"> un</w:t>
      </w:r>
      <w:r w:rsidRPr="00EF4D59">
        <w:rPr>
          <w:rFonts w:eastAsia="Times New Roman" w:cs="Times New Roman"/>
          <w:iCs/>
          <w:sz w:val="24"/>
          <w:szCs w:val="24"/>
          <w:lang w:eastAsia="lv-LV"/>
        </w:rPr>
        <w:t xml:space="preserve"> V</w:t>
      </w:r>
      <w:r w:rsidR="00BA3D07">
        <w:rPr>
          <w:rFonts w:eastAsia="Times New Roman" w:cs="Times New Roman"/>
          <w:iCs/>
          <w:sz w:val="24"/>
          <w:szCs w:val="24"/>
          <w:lang w:eastAsia="lv-LV"/>
        </w:rPr>
        <w:t> </w:t>
      </w:r>
      <w:r w:rsidR="00E77C7F" w:rsidRPr="00EF4D59">
        <w:rPr>
          <w:rFonts w:eastAsia="Times New Roman" w:cs="Times New Roman"/>
          <w:iCs/>
          <w:sz w:val="24"/>
          <w:szCs w:val="24"/>
          <w:lang w:eastAsia="lv-LV"/>
        </w:rPr>
        <w:t>sadaļa</w:t>
      </w:r>
      <w:r w:rsidR="00F50272" w:rsidRPr="00EF4D59">
        <w:rPr>
          <w:rFonts w:eastAsia="Times New Roman" w:cs="Times New Roman"/>
          <w:iCs/>
          <w:sz w:val="24"/>
          <w:szCs w:val="24"/>
          <w:lang w:eastAsia="lv-LV"/>
        </w:rPr>
        <w:t xml:space="preserve"> – </w:t>
      </w:r>
      <w:r w:rsidR="00E77C7F" w:rsidRPr="00EF4D59">
        <w:rPr>
          <w:rFonts w:eastAsia="Times New Roman" w:cs="Times New Roman"/>
          <w:sz w:val="24"/>
          <w:szCs w:val="24"/>
          <w:lang w:eastAsia="lv-LV"/>
        </w:rPr>
        <w:t>projekt</w:t>
      </w:r>
      <w:r w:rsidR="00F50272" w:rsidRPr="00EF4D59">
        <w:rPr>
          <w:rFonts w:eastAsia="Times New Roman" w:cs="Times New Roman"/>
          <w:sz w:val="24"/>
          <w:szCs w:val="24"/>
          <w:lang w:eastAsia="lv-LV"/>
        </w:rPr>
        <w:t xml:space="preserve">s </w:t>
      </w:r>
      <w:r w:rsidR="00E77C7F" w:rsidRPr="00EF4D59">
        <w:rPr>
          <w:rFonts w:eastAsia="Times New Roman" w:cs="Times New Roman"/>
          <w:sz w:val="24"/>
          <w:szCs w:val="24"/>
          <w:lang w:eastAsia="lv-LV"/>
        </w:rPr>
        <w:t>š</w:t>
      </w:r>
      <w:r w:rsidR="009F2BAE" w:rsidRPr="00EF4D59">
        <w:rPr>
          <w:rFonts w:eastAsia="Times New Roman" w:cs="Times New Roman"/>
          <w:sz w:val="24"/>
          <w:szCs w:val="24"/>
          <w:lang w:eastAsia="lv-LV"/>
        </w:rPr>
        <w:t>īs jomas</w:t>
      </w:r>
      <w:r w:rsidR="00E77C7F" w:rsidRPr="00EF4D59">
        <w:rPr>
          <w:rFonts w:eastAsia="Times New Roman" w:cs="Times New Roman"/>
          <w:sz w:val="24"/>
          <w:szCs w:val="24"/>
          <w:lang w:eastAsia="lv-LV"/>
        </w:rPr>
        <w:t xml:space="preserve"> neskar</w:t>
      </w:r>
      <w:r w:rsidR="009C7CB7" w:rsidRPr="00EF4D59">
        <w:rPr>
          <w:rFonts w:eastAsia="Times New Roman" w:cs="Times New Roman"/>
          <w:sz w:val="24"/>
          <w:szCs w:val="24"/>
          <w:lang w:eastAsia="lv-LV"/>
        </w:rPr>
        <w:t>.</w:t>
      </w:r>
    </w:p>
    <w:p w14:paraId="38850D85" w14:textId="7454B476" w:rsidR="00100469" w:rsidRPr="00EF4D59" w:rsidRDefault="00100469" w:rsidP="00935378">
      <w:pPr>
        <w:rPr>
          <w:rFonts w:eastAsia="Times New Roman" w:cs="Times New Roman"/>
          <w:szCs w:val="28"/>
          <w:lang w:eastAsia="lv-LV"/>
        </w:rPr>
      </w:pPr>
    </w:p>
    <w:p w14:paraId="38850D86" w14:textId="77777777" w:rsidR="00983E53" w:rsidRPr="00EF4D59" w:rsidRDefault="00983E53" w:rsidP="00983E53">
      <w:pPr>
        <w:tabs>
          <w:tab w:val="left" w:pos="6804"/>
        </w:tabs>
        <w:rPr>
          <w:rFonts w:eastAsia="Times New Roman" w:cs="Times New Roman"/>
          <w:bCs/>
          <w:szCs w:val="28"/>
          <w:lang w:eastAsia="lv-LV"/>
        </w:rPr>
      </w:pPr>
    </w:p>
    <w:p w14:paraId="38850D87" w14:textId="77777777" w:rsidR="00983E53" w:rsidRPr="00EF4D59" w:rsidRDefault="00983E53" w:rsidP="00983E53">
      <w:pPr>
        <w:tabs>
          <w:tab w:val="left" w:pos="6804"/>
        </w:tabs>
        <w:rPr>
          <w:rFonts w:eastAsia="Times New Roman" w:cs="Times New Roman"/>
          <w:bCs/>
          <w:szCs w:val="28"/>
          <w:lang w:eastAsia="lv-LV"/>
        </w:rPr>
      </w:pPr>
    </w:p>
    <w:p w14:paraId="38850D88" w14:textId="77777777" w:rsidR="00983E53" w:rsidRPr="00983E53" w:rsidRDefault="00983E53" w:rsidP="00983E53">
      <w:pPr>
        <w:tabs>
          <w:tab w:val="left" w:pos="6804"/>
        </w:tabs>
        <w:rPr>
          <w:rFonts w:eastAsia="Times New Roman" w:cs="Times New Roman"/>
          <w:bCs/>
          <w:szCs w:val="28"/>
          <w:lang w:eastAsia="lv-LV"/>
        </w:rPr>
      </w:pPr>
      <w:r w:rsidRPr="00983E53">
        <w:rPr>
          <w:rFonts w:eastAsia="Times New Roman" w:cs="Times New Roman"/>
          <w:bCs/>
          <w:szCs w:val="28"/>
          <w:lang w:eastAsia="lv-LV"/>
        </w:rPr>
        <w:t>Ministru prezidents</w:t>
      </w:r>
      <w:r w:rsidRPr="00983E53">
        <w:rPr>
          <w:rFonts w:eastAsia="Times New Roman" w:cs="Times New Roman"/>
          <w:bCs/>
          <w:szCs w:val="28"/>
          <w:lang w:eastAsia="lv-LV"/>
        </w:rPr>
        <w:tab/>
        <w:t>M</w:t>
      </w:r>
      <w:r w:rsidR="007553A8">
        <w:rPr>
          <w:rFonts w:eastAsia="Times New Roman" w:cs="Times New Roman"/>
          <w:bCs/>
          <w:szCs w:val="28"/>
          <w:lang w:eastAsia="lv-LV"/>
        </w:rPr>
        <w:t xml:space="preserve">āris </w:t>
      </w:r>
      <w:r w:rsidRPr="00983E53">
        <w:rPr>
          <w:rFonts w:eastAsia="Times New Roman" w:cs="Times New Roman"/>
          <w:bCs/>
          <w:szCs w:val="28"/>
          <w:lang w:eastAsia="lv-LV"/>
        </w:rPr>
        <w:t>Kučinskis</w:t>
      </w:r>
    </w:p>
    <w:p w14:paraId="38850D89" w14:textId="77777777" w:rsidR="00983E53" w:rsidRDefault="00983E53" w:rsidP="00983E53">
      <w:pPr>
        <w:tabs>
          <w:tab w:val="left" w:pos="6804"/>
        </w:tabs>
        <w:rPr>
          <w:rFonts w:eastAsia="Times New Roman" w:cs="Times New Roman"/>
          <w:bCs/>
          <w:szCs w:val="28"/>
          <w:lang w:eastAsia="lv-LV"/>
        </w:rPr>
      </w:pPr>
    </w:p>
    <w:p w14:paraId="13C6C56A" w14:textId="77777777" w:rsidR="00EF4D59" w:rsidRPr="00983E53" w:rsidRDefault="00EF4D59" w:rsidP="00983E53">
      <w:pPr>
        <w:tabs>
          <w:tab w:val="left" w:pos="6804"/>
        </w:tabs>
        <w:rPr>
          <w:rFonts w:eastAsia="Times New Roman" w:cs="Times New Roman"/>
          <w:bCs/>
          <w:szCs w:val="28"/>
          <w:lang w:eastAsia="lv-LV"/>
        </w:rPr>
      </w:pPr>
    </w:p>
    <w:p w14:paraId="38850D8A" w14:textId="77777777" w:rsidR="00983E53" w:rsidRPr="00983E53" w:rsidRDefault="00983E53" w:rsidP="00983E53">
      <w:pPr>
        <w:tabs>
          <w:tab w:val="left" w:pos="6804"/>
        </w:tabs>
        <w:rPr>
          <w:rFonts w:eastAsia="Times New Roman" w:cs="Times New Roman"/>
          <w:bCs/>
          <w:szCs w:val="28"/>
          <w:lang w:eastAsia="lv-LV"/>
        </w:rPr>
      </w:pPr>
    </w:p>
    <w:p w14:paraId="38850D8B" w14:textId="77777777" w:rsidR="007553A8" w:rsidRDefault="00983E53" w:rsidP="00983E53">
      <w:pPr>
        <w:tabs>
          <w:tab w:val="left" w:pos="6804"/>
        </w:tabs>
        <w:rPr>
          <w:rFonts w:eastAsia="Times New Roman" w:cs="Times New Roman"/>
          <w:bCs/>
          <w:szCs w:val="28"/>
          <w:lang w:eastAsia="lv-LV"/>
        </w:rPr>
      </w:pPr>
      <w:r w:rsidRPr="00983E53">
        <w:rPr>
          <w:rFonts w:eastAsia="Times New Roman" w:cs="Times New Roman"/>
          <w:bCs/>
          <w:szCs w:val="28"/>
          <w:lang w:eastAsia="lv-LV"/>
        </w:rPr>
        <w:t xml:space="preserve">Vizē: </w:t>
      </w:r>
    </w:p>
    <w:p w14:paraId="38850D8C" w14:textId="0B0C9392" w:rsidR="00983E53" w:rsidRPr="00983E53" w:rsidRDefault="00EF4D59" w:rsidP="00983E53">
      <w:pPr>
        <w:tabs>
          <w:tab w:val="left" w:pos="6804"/>
        </w:tabs>
        <w:rPr>
          <w:rFonts w:eastAsia="Times New Roman" w:cs="Times New Roman"/>
          <w:bCs/>
          <w:szCs w:val="28"/>
          <w:lang w:eastAsia="lv-LV"/>
        </w:rPr>
      </w:pPr>
      <w:r>
        <w:rPr>
          <w:rFonts w:eastAsia="Times New Roman" w:cs="Times New Roman"/>
          <w:bCs/>
          <w:szCs w:val="28"/>
          <w:lang w:eastAsia="lv-LV"/>
        </w:rPr>
        <w:t xml:space="preserve">Valsts kancelejas direktors __________________________ </w:t>
      </w:r>
      <w:r w:rsidR="00983E53" w:rsidRPr="00983E53">
        <w:rPr>
          <w:rFonts w:eastAsia="Times New Roman" w:cs="Times New Roman"/>
          <w:bCs/>
          <w:szCs w:val="28"/>
          <w:lang w:eastAsia="lv-LV"/>
        </w:rPr>
        <w:t>M</w:t>
      </w:r>
      <w:r w:rsidR="007553A8">
        <w:rPr>
          <w:rFonts w:eastAsia="Times New Roman" w:cs="Times New Roman"/>
          <w:bCs/>
          <w:szCs w:val="28"/>
          <w:lang w:eastAsia="lv-LV"/>
        </w:rPr>
        <w:t xml:space="preserve">ārtiņš </w:t>
      </w:r>
      <w:r w:rsidR="00983E53" w:rsidRPr="00983E53">
        <w:rPr>
          <w:rFonts w:eastAsia="Times New Roman" w:cs="Times New Roman"/>
          <w:bCs/>
          <w:szCs w:val="28"/>
          <w:lang w:eastAsia="lv-LV"/>
        </w:rPr>
        <w:t>Krieviņš</w:t>
      </w:r>
    </w:p>
    <w:p w14:paraId="38850D8D" w14:textId="77777777" w:rsidR="00983E53" w:rsidRDefault="00983E53" w:rsidP="00983E53">
      <w:pPr>
        <w:tabs>
          <w:tab w:val="left" w:pos="6804"/>
        </w:tabs>
        <w:rPr>
          <w:rFonts w:eastAsia="Times New Roman" w:cs="Times New Roman"/>
          <w:bCs/>
          <w:szCs w:val="28"/>
          <w:lang w:eastAsia="lv-LV"/>
        </w:rPr>
      </w:pPr>
    </w:p>
    <w:p w14:paraId="6079B3D2" w14:textId="77777777" w:rsidR="00EF4D59" w:rsidRDefault="00EF4D59" w:rsidP="00983E53">
      <w:pPr>
        <w:tabs>
          <w:tab w:val="left" w:pos="6804"/>
        </w:tabs>
        <w:rPr>
          <w:rFonts w:eastAsia="Times New Roman" w:cs="Times New Roman"/>
          <w:bCs/>
          <w:szCs w:val="28"/>
          <w:lang w:eastAsia="lv-LV"/>
        </w:rPr>
      </w:pPr>
    </w:p>
    <w:p w14:paraId="37F46EB5" w14:textId="77777777" w:rsidR="00EF4D59" w:rsidRDefault="00EF4D59" w:rsidP="00983E53">
      <w:pPr>
        <w:tabs>
          <w:tab w:val="left" w:pos="6804"/>
        </w:tabs>
        <w:rPr>
          <w:rFonts w:eastAsia="Times New Roman" w:cs="Times New Roman"/>
          <w:bCs/>
          <w:szCs w:val="28"/>
          <w:lang w:eastAsia="lv-LV"/>
        </w:rPr>
      </w:pPr>
    </w:p>
    <w:p w14:paraId="3747F36A" w14:textId="77777777" w:rsidR="00EF4D59" w:rsidRPr="00983E53" w:rsidRDefault="00EF4D59" w:rsidP="00983E53">
      <w:pPr>
        <w:tabs>
          <w:tab w:val="left" w:pos="6804"/>
        </w:tabs>
        <w:rPr>
          <w:rFonts w:eastAsia="Times New Roman" w:cs="Times New Roman"/>
          <w:bCs/>
          <w:szCs w:val="28"/>
          <w:lang w:eastAsia="lv-LV"/>
        </w:rPr>
      </w:pPr>
    </w:p>
    <w:p w14:paraId="38850D8E" w14:textId="0F0C6563" w:rsidR="00983E53" w:rsidRPr="00EF4D59" w:rsidRDefault="00983E53" w:rsidP="00983E53">
      <w:pPr>
        <w:jc w:val="both"/>
        <w:rPr>
          <w:rFonts w:eastAsia="Times New Roman" w:cs="Times New Roman"/>
          <w:color w:val="000000"/>
          <w:sz w:val="24"/>
          <w:szCs w:val="24"/>
          <w:lang w:eastAsia="lv-LV"/>
        </w:rPr>
      </w:pPr>
      <w:r w:rsidRPr="00EF4D59">
        <w:rPr>
          <w:rFonts w:eastAsia="Times New Roman" w:cs="Times New Roman"/>
          <w:color w:val="000000"/>
          <w:sz w:val="24"/>
          <w:szCs w:val="24"/>
          <w:lang w:eastAsia="lv-LV"/>
        </w:rPr>
        <w:fldChar w:fldCharType="begin"/>
      </w:r>
      <w:r w:rsidRPr="00EF4D59">
        <w:rPr>
          <w:rFonts w:eastAsia="Times New Roman" w:cs="Times New Roman"/>
          <w:color w:val="000000"/>
          <w:sz w:val="24"/>
          <w:szCs w:val="24"/>
          <w:lang w:eastAsia="lv-LV"/>
        </w:rPr>
        <w:instrText xml:space="preserve"> TIME  \@ "yyyy.MM.dd. H:mm"  \* MERGEFORMAT </w:instrText>
      </w:r>
      <w:r w:rsidRPr="00EF4D59">
        <w:rPr>
          <w:rFonts w:eastAsia="Times New Roman" w:cs="Times New Roman"/>
          <w:color w:val="000000"/>
          <w:sz w:val="24"/>
          <w:szCs w:val="24"/>
          <w:lang w:eastAsia="lv-LV"/>
        </w:rPr>
        <w:fldChar w:fldCharType="separate"/>
      </w:r>
      <w:r w:rsidR="00034A64">
        <w:rPr>
          <w:rFonts w:eastAsia="Times New Roman" w:cs="Times New Roman"/>
          <w:noProof/>
          <w:color w:val="000000"/>
          <w:sz w:val="24"/>
          <w:szCs w:val="24"/>
          <w:lang w:eastAsia="lv-LV"/>
        </w:rPr>
        <w:t>2017.02.08. 16:20</w:t>
      </w:r>
      <w:r w:rsidRPr="00EF4D59">
        <w:rPr>
          <w:rFonts w:eastAsia="Times New Roman" w:cs="Times New Roman"/>
          <w:color w:val="000000"/>
          <w:sz w:val="24"/>
          <w:szCs w:val="24"/>
          <w:lang w:eastAsia="lv-LV"/>
        </w:rPr>
        <w:fldChar w:fldCharType="end"/>
      </w:r>
    </w:p>
    <w:p w14:paraId="38850D8F" w14:textId="133C1F69" w:rsidR="00983E53" w:rsidRPr="00EF4D59" w:rsidRDefault="001818ED" w:rsidP="00983E53">
      <w:pPr>
        <w:jc w:val="both"/>
        <w:rPr>
          <w:rFonts w:eastAsia="Times New Roman" w:cs="Times New Roman"/>
          <w:color w:val="000000"/>
          <w:sz w:val="24"/>
          <w:szCs w:val="24"/>
          <w:lang w:eastAsia="lv-LV"/>
        </w:rPr>
      </w:pPr>
      <w:r>
        <w:rPr>
          <w:rFonts w:eastAsia="Times New Roman" w:cs="Times New Roman"/>
          <w:color w:val="000000"/>
          <w:sz w:val="24"/>
          <w:szCs w:val="24"/>
          <w:lang w:eastAsia="lv-LV"/>
        </w:rPr>
        <w:t>2730</w:t>
      </w:r>
    </w:p>
    <w:p w14:paraId="38850D90" w14:textId="77777777" w:rsidR="00983E53" w:rsidRPr="00EF4D59" w:rsidRDefault="00983E53" w:rsidP="00983E53">
      <w:pPr>
        <w:rPr>
          <w:rFonts w:eastAsia="Times New Roman" w:cs="Times New Roman"/>
          <w:noProof/>
          <w:sz w:val="24"/>
          <w:szCs w:val="24"/>
          <w:lang w:eastAsia="lv-LV"/>
        </w:rPr>
      </w:pPr>
      <w:r w:rsidRPr="00EF4D59">
        <w:rPr>
          <w:rFonts w:eastAsia="Times New Roman" w:cs="Times New Roman"/>
          <w:noProof/>
          <w:sz w:val="24"/>
          <w:szCs w:val="24"/>
          <w:lang w:eastAsia="lv-LV"/>
        </w:rPr>
        <w:t>Balode 67082917</w:t>
      </w:r>
    </w:p>
    <w:p w14:paraId="38850D91" w14:textId="09E88383" w:rsidR="00983E53" w:rsidRPr="00EF4D59" w:rsidRDefault="00034A64" w:rsidP="00983E53">
      <w:pPr>
        <w:rPr>
          <w:rFonts w:eastAsia="Times New Roman" w:cs="Times New Roman"/>
          <w:sz w:val="24"/>
          <w:szCs w:val="24"/>
          <w:lang w:eastAsia="lv-LV"/>
        </w:rPr>
      </w:pPr>
      <w:hyperlink r:id="rId12" w:history="1">
        <w:r w:rsidR="00983E53" w:rsidRPr="00EF4D59">
          <w:rPr>
            <w:rFonts w:eastAsia="Times New Roman" w:cs="Times New Roman"/>
            <w:color w:val="0000FF"/>
            <w:sz w:val="24"/>
            <w:szCs w:val="24"/>
            <w:u w:val="single"/>
            <w:lang w:eastAsia="lv-LV"/>
          </w:rPr>
          <w:t>Dace.Balode@mk</w:t>
        </w:r>
        <w:r w:rsidR="00EF4D59">
          <w:rPr>
            <w:rFonts w:eastAsia="Times New Roman" w:cs="Times New Roman"/>
            <w:color w:val="0000FF"/>
            <w:sz w:val="24"/>
            <w:szCs w:val="24"/>
            <w:u w:val="single"/>
            <w:lang w:eastAsia="lv-LV"/>
          </w:rPr>
          <w:t xml:space="preserve">. </w:t>
        </w:r>
        <w:proofErr w:type="spellStart"/>
        <w:r w:rsidR="00EF4D59">
          <w:rPr>
            <w:rFonts w:eastAsia="Times New Roman" w:cs="Times New Roman"/>
            <w:color w:val="0000FF"/>
            <w:sz w:val="24"/>
            <w:szCs w:val="24"/>
            <w:u w:val="single"/>
            <w:lang w:eastAsia="lv-LV"/>
          </w:rPr>
          <w:t>g</w:t>
        </w:r>
        <w:r w:rsidR="00983E53" w:rsidRPr="00EF4D59">
          <w:rPr>
            <w:rFonts w:eastAsia="Times New Roman" w:cs="Times New Roman"/>
            <w:color w:val="0000FF"/>
            <w:sz w:val="24"/>
            <w:szCs w:val="24"/>
            <w:u w:val="single"/>
            <w:lang w:eastAsia="lv-LV"/>
          </w:rPr>
          <w:t>ov.lv</w:t>
        </w:r>
        <w:proofErr w:type="spellEnd"/>
      </w:hyperlink>
      <w:r w:rsidR="00983E53" w:rsidRPr="00EF4D59">
        <w:rPr>
          <w:rFonts w:eastAsia="Times New Roman" w:cs="Times New Roman"/>
          <w:sz w:val="24"/>
          <w:szCs w:val="24"/>
          <w:lang w:eastAsia="lv-LV"/>
        </w:rPr>
        <w:t xml:space="preserve"> </w:t>
      </w:r>
    </w:p>
    <w:sectPr w:rsidR="00983E53" w:rsidRPr="00EF4D59" w:rsidSect="00EF4D59">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ADFB" w14:textId="77777777" w:rsidR="00501DD9" w:rsidRDefault="00501DD9" w:rsidP="007740F2">
      <w:r>
        <w:separator/>
      </w:r>
    </w:p>
  </w:endnote>
  <w:endnote w:type="continuationSeparator" w:id="0">
    <w:p w14:paraId="4117F36B" w14:textId="77777777" w:rsidR="00501DD9" w:rsidRDefault="00501DD9"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6C2F" w14:textId="77777777" w:rsidR="00632337" w:rsidRDefault="00632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6A490" w14:textId="77777777" w:rsidR="00632337" w:rsidRPr="00523728" w:rsidRDefault="00632337" w:rsidP="00632337">
    <w:pPr>
      <w:pStyle w:val="Footer"/>
      <w:jc w:val="both"/>
      <w:rPr>
        <w:rFonts w:cs="Times New Roman"/>
        <w:sz w:val="18"/>
        <w:szCs w:val="18"/>
      </w:rPr>
    </w:pPr>
    <w:r>
      <w:rPr>
        <w:sz w:val="18"/>
        <w:szCs w:val="18"/>
      </w:rPr>
      <w:t>VK</w:t>
    </w:r>
    <w:r w:rsidRPr="00523728">
      <w:rPr>
        <w:sz w:val="18"/>
        <w:szCs w:val="18"/>
      </w:rPr>
      <w:t>Anot_</w:t>
    </w:r>
    <w:r>
      <w:rPr>
        <w:sz w:val="18"/>
        <w:szCs w:val="18"/>
      </w:rPr>
      <w:t>051016_</w:t>
    </w:r>
    <w:r>
      <w:rPr>
        <w:rFonts w:cs="Times New Roman"/>
        <w:sz w:val="18"/>
        <w:szCs w:val="18"/>
      </w:rPr>
      <w:t>3421 preci; MK noteikumu</w:t>
    </w:r>
    <w:r w:rsidRPr="00B85A0F">
      <w:rPr>
        <w:rFonts w:cs="Times New Roman"/>
        <w:sz w:val="18"/>
        <w:szCs w:val="18"/>
      </w:rPr>
      <w:t xml:space="preserve"> </w:t>
    </w:r>
    <w:r>
      <w:rPr>
        <w:rFonts w:cs="Times New Roman"/>
        <w:sz w:val="18"/>
        <w:szCs w:val="18"/>
      </w:rPr>
      <w:t>projekta "Grozījumi</w:t>
    </w:r>
    <w:r w:rsidRPr="00B85A0F">
      <w:rPr>
        <w:rFonts w:cs="Times New Roman"/>
        <w:sz w:val="18"/>
        <w:szCs w:val="18"/>
      </w:rPr>
      <w:t xml:space="preserve"> Ministru kabineta </w:t>
    </w:r>
    <w:proofErr w:type="gramStart"/>
    <w:r w:rsidRPr="00B85A0F">
      <w:rPr>
        <w:rFonts w:cs="Times New Roman"/>
        <w:sz w:val="18"/>
        <w:szCs w:val="18"/>
      </w:rPr>
      <w:t>2015.gada</w:t>
    </w:r>
    <w:proofErr w:type="gramEnd"/>
    <w:r w:rsidRPr="00B85A0F">
      <w:rPr>
        <w:rFonts w:cs="Times New Roman"/>
        <w:sz w:val="18"/>
        <w:szCs w:val="18"/>
      </w:rPr>
      <w:t xml:space="preserve"> 14.jūlija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w:t>
    </w:r>
    <w:r>
      <w:rPr>
        <w:rFonts w:cs="Times New Roman"/>
        <w:sz w:val="18"/>
        <w:szCs w:val="18"/>
      </w:rPr>
      <w:t>nas jomās" īstenošanas noteikumu</w:t>
    </w:r>
    <w:r w:rsidRPr="00B85A0F">
      <w:rPr>
        <w:rFonts w:cs="Times New Roman"/>
        <w:sz w:val="18"/>
        <w:szCs w:val="18"/>
      </w:rPr>
      <w:t xml:space="preserve">” </w:t>
    </w:r>
    <w:r>
      <w:rPr>
        <w:rFonts w:cs="Times New Roman"/>
        <w:sz w:val="18"/>
        <w:szCs w:val="18"/>
      </w:rPr>
      <w:t>sākotnējās ietekmes novērtējuma ziņojums (anotācija)  (4636)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0D9B" w14:textId="51638019" w:rsidR="003671E2" w:rsidRPr="00523728" w:rsidRDefault="00B85A0F" w:rsidP="003671E2">
    <w:pPr>
      <w:pStyle w:val="Footer"/>
      <w:jc w:val="both"/>
      <w:rPr>
        <w:rFonts w:cs="Times New Roman"/>
        <w:sz w:val="18"/>
        <w:szCs w:val="18"/>
      </w:rPr>
    </w:pPr>
    <w:r>
      <w:rPr>
        <w:sz w:val="18"/>
        <w:szCs w:val="18"/>
      </w:rPr>
      <w:t>VK</w:t>
    </w:r>
    <w:r w:rsidR="003671E2" w:rsidRPr="00523728">
      <w:rPr>
        <w:sz w:val="18"/>
        <w:szCs w:val="18"/>
      </w:rPr>
      <w:t>Anot_</w:t>
    </w:r>
    <w:r w:rsidR="008361FB">
      <w:rPr>
        <w:sz w:val="18"/>
        <w:szCs w:val="18"/>
      </w:rPr>
      <w:t>05</w:t>
    </w:r>
    <w:r w:rsidR="00E14122">
      <w:rPr>
        <w:sz w:val="18"/>
        <w:szCs w:val="18"/>
      </w:rPr>
      <w:t>10</w:t>
    </w:r>
    <w:r w:rsidR="00ED0B57">
      <w:rPr>
        <w:sz w:val="18"/>
        <w:szCs w:val="18"/>
      </w:rPr>
      <w:t>16</w:t>
    </w:r>
    <w:r>
      <w:rPr>
        <w:sz w:val="18"/>
        <w:szCs w:val="18"/>
      </w:rPr>
      <w:t>_</w:t>
    </w:r>
    <w:r w:rsidR="008361FB">
      <w:rPr>
        <w:rFonts w:cs="Times New Roman"/>
        <w:sz w:val="18"/>
        <w:szCs w:val="18"/>
      </w:rPr>
      <w:t>3421</w:t>
    </w:r>
    <w:r w:rsidR="00632337">
      <w:rPr>
        <w:rFonts w:cs="Times New Roman"/>
        <w:sz w:val="18"/>
        <w:szCs w:val="18"/>
      </w:rPr>
      <w:t xml:space="preserve"> preci</w:t>
    </w:r>
    <w:r>
      <w:rPr>
        <w:rFonts w:cs="Times New Roman"/>
        <w:sz w:val="18"/>
        <w:szCs w:val="18"/>
      </w:rPr>
      <w:t>; MK noteikumu</w:t>
    </w:r>
    <w:r w:rsidRPr="00B85A0F">
      <w:rPr>
        <w:rFonts w:cs="Times New Roman"/>
        <w:sz w:val="18"/>
        <w:szCs w:val="18"/>
      </w:rPr>
      <w:t xml:space="preserve"> </w:t>
    </w:r>
    <w:r>
      <w:rPr>
        <w:rFonts w:cs="Times New Roman"/>
        <w:sz w:val="18"/>
        <w:szCs w:val="18"/>
      </w:rPr>
      <w:t>projekta "Grozījumi</w:t>
    </w:r>
    <w:r w:rsidRPr="00B85A0F">
      <w:rPr>
        <w:rFonts w:cs="Times New Roman"/>
        <w:sz w:val="18"/>
        <w:szCs w:val="18"/>
      </w:rPr>
      <w:t xml:space="preserve"> Ministru kabineta </w:t>
    </w:r>
    <w:proofErr w:type="gramStart"/>
    <w:r w:rsidRPr="00B85A0F">
      <w:rPr>
        <w:rFonts w:cs="Times New Roman"/>
        <w:sz w:val="18"/>
        <w:szCs w:val="18"/>
      </w:rPr>
      <w:t>2015.gada</w:t>
    </w:r>
    <w:proofErr w:type="gramEnd"/>
    <w:r w:rsidRPr="00B85A0F">
      <w:rPr>
        <w:rFonts w:cs="Times New Roman"/>
        <w:sz w:val="18"/>
        <w:szCs w:val="18"/>
      </w:rPr>
      <w:t xml:space="preserve"> 14.jūlija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w:t>
    </w:r>
    <w:r>
      <w:rPr>
        <w:rFonts w:cs="Times New Roman"/>
        <w:sz w:val="18"/>
        <w:szCs w:val="18"/>
      </w:rPr>
      <w:t>nas jomās" īstenošanas noteikumu</w:t>
    </w:r>
    <w:r w:rsidRPr="00B85A0F">
      <w:rPr>
        <w:rFonts w:cs="Times New Roman"/>
        <w:sz w:val="18"/>
        <w:szCs w:val="18"/>
      </w:rPr>
      <w:t xml:space="preserve">” </w:t>
    </w:r>
    <w:r>
      <w:rPr>
        <w:rFonts w:cs="Times New Roman"/>
        <w:sz w:val="18"/>
        <w:szCs w:val="18"/>
      </w:rPr>
      <w:t>sākotnējās ietekmes novērtējuma ziņojums (anotācija)</w:t>
    </w:r>
    <w:r w:rsidR="00EF4D59">
      <w:rPr>
        <w:rFonts w:cs="Times New Roman"/>
        <w:sz w:val="18"/>
        <w:szCs w:val="18"/>
      </w:rPr>
      <w:t xml:space="preserve">  (4636)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DBDAC" w14:textId="77777777" w:rsidR="00501DD9" w:rsidRDefault="00501DD9" w:rsidP="007740F2">
      <w:r>
        <w:separator/>
      </w:r>
    </w:p>
  </w:footnote>
  <w:footnote w:type="continuationSeparator" w:id="0">
    <w:p w14:paraId="1F9A7F53" w14:textId="77777777" w:rsidR="00501DD9" w:rsidRDefault="00501DD9"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EDE7" w14:textId="77777777" w:rsidR="00632337" w:rsidRDefault="00632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58421"/>
      <w:docPartObj>
        <w:docPartGallery w:val="Page Numbers (Top of Page)"/>
        <w:docPartUnique/>
      </w:docPartObj>
    </w:sdtPr>
    <w:sdtEndPr/>
    <w:sdtContent>
      <w:p w14:paraId="38850D97" w14:textId="575C6CBF"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034A64">
          <w:rPr>
            <w:noProof/>
            <w:sz w:val="24"/>
            <w:szCs w:val="24"/>
          </w:rPr>
          <w:t>8</w:t>
        </w:r>
        <w:r w:rsidRPr="00F8589C">
          <w:rPr>
            <w:noProof/>
            <w:sz w:val="24"/>
            <w:szCs w:val="24"/>
          </w:rPr>
          <w:fldChar w:fldCharType="end"/>
        </w:r>
      </w:p>
    </w:sdtContent>
  </w:sdt>
  <w:p w14:paraId="38850D98" w14:textId="77777777" w:rsidR="009821C9" w:rsidRDefault="009821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6E0C" w14:textId="77777777" w:rsidR="00632337" w:rsidRDefault="00632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7F43"/>
    <w:multiLevelType w:val="hybridMultilevel"/>
    <w:tmpl w:val="39B6699C"/>
    <w:lvl w:ilvl="0" w:tplc="C37C0138">
      <w:start w:val="1"/>
      <w:numFmt w:val="decimal"/>
      <w:lvlText w:val="%1."/>
      <w:lvlJc w:val="left"/>
      <w:pPr>
        <w:ind w:left="913" w:hanging="645"/>
      </w:pPr>
      <w:rPr>
        <w:rFonts w:hint="default"/>
      </w:rPr>
    </w:lvl>
    <w:lvl w:ilvl="1" w:tplc="04260019" w:tentative="1">
      <w:start w:val="1"/>
      <w:numFmt w:val="lowerLetter"/>
      <w:lvlText w:val="%2."/>
      <w:lvlJc w:val="left"/>
      <w:pPr>
        <w:ind w:left="1348" w:hanging="360"/>
      </w:p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A870483E"/>
    <w:lvl w:ilvl="0" w:tplc="02223560">
      <w:start w:val="1"/>
      <w:numFmt w:val="upperRoman"/>
      <w:lvlText w:val="%1."/>
      <w:lvlJc w:val="left"/>
      <w:pPr>
        <w:ind w:left="840" w:hanging="720"/>
      </w:pPr>
      <w:rPr>
        <w:rFonts w:hint="default"/>
        <w:b/>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5">
    <w:nsid w:val="4DA27C02"/>
    <w:multiLevelType w:val="hybridMultilevel"/>
    <w:tmpl w:val="712647B8"/>
    <w:lvl w:ilvl="0" w:tplc="9C0610B6">
      <w:start w:val="2016"/>
      <w:numFmt w:val="bullet"/>
      <w:lvlText w:val="-"/>
      <w:lvlJc w:val="left"/>
      <w:pPr>
        <w:ind w:left="480" w:hanging="360"/>
      </w:pPr>
      <w:rPr>
        <w:rFonts w:ascii="Times New Roman" w:eastAsiaTheme="minorHAns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6">
    <w:nsid w:val="4F2D2DC1"/>
    <w:multiLevelType w:val="hybridMultilevel"/>
    <w:tmpl w:val="A14C7770"/>
    <w:lvl w:ilvl="0" w:tplc="DD520CFC">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302C21"/>
    <w:multiLevelType w:val="hybridMultilevel"/>
    <w:tmpl w:val="F678F6DC"/>
    <w:lvl w:ilvl="0" w:tplc="E2FEB7B6">
      <w:start w:val="1"/>
      <w:numFmt w:val="decimal"/>
      <w:lvlText w:val="%1)"/>
      <w:lvlJc w:val="left"/>
      <w:pPr>
        <w:ind w:left="889" w:hanging="360"/>
      </w:pPr>
      <w:rPr>
        <w:rFonts w:ascii="Times New Roman" w:eastAsiaTheme="minorHAnsi" w:hAnsi="Times New Roman" w:cstheme="minorBidi"/>
      </w:r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num w:numId="1">
    <w:abstractNumId w:val="1"/>
  </w:num>
  <w:num w:numId="2">
    <w:abstractNumId w:val="3"/>
  </w:num>
  <w:num w:numId="3">
    <w:abstractNumId w:val="2"/>
  </w:num>
  <w:num w:numId="4">
    <w:abstractNumId w:val="7"/>
  </w:num>
  <w:num w:numId="5">
    <w:abstractNumId w:val="4"/>
  </w:num>
  <w:num w:numId="6">
    <w:abstractNumId w:val="8"/>
  </w:num>
  <w:num w:numId="7">
    <w:abstractNumId w:val="0"/>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Rocena">
    <w15:presenceInfo w15:providerId="AD" w15:userId="S-1-5-21-1762135226-342840741-925700815-2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031D"/>
    <w:rsid w:val="0000317F"/>
    <w:rsid w:val="000035CB"/>
    <w:rsid w:val="000038C3"/>
    <w:rsid w:val="00003AA7"/>
    <w:rsid w:val="000042C8"/>
    <w:rsid w:val="000044FB"/>
    <w:rsid w:val="00004F5C"/>
    <w:rsid w:val="00006418"/>
    <w:rsid w:val="0001298E"/>
    <w:rsid w:val="00013474"/>
    <w:rsid w:val="000145DE"/>
    <w:rsid w:val="00017AAA"/>
    <w:rsid w:val="00017E1C"/>
    <w:rsid w:val="00020DEF"/>
    <w:rsid w:val="000219C9"/>
    <w:rsid w:val="00022660"/>
    <w:rsid w:val="00026F6C"/>
    <w:rsid w:val="00034A64"/>
    <w:rsid w:val="00041BC5"/>
    <w:rsid w:val="00046ADB"/>
    <w:rsid w:val="00051A8F"/>
    <w:rsid w:val="00053D7F"/>
    <w:rsid w:val="00054559"/>
    <w:rsid w:val="00054C53"/>
    <w:rsid w:val="000558C0"/>
    <w:rsid w:val="00060255"/>
    <w:rsid w:val="000608D1"/>
    <w:rsid w:val="00062334"/>
    <w:rsid w:val="0007283C"/>
    <w:rsid w:val="00072DC7"/>
    <w:rsid w:val="00074A1E"/>
    <w:rsid w:val="00076B41"/>
    <w:rsid w:val="00087F0C"/>
    <w:rsid w:val="00090F7C"/>
    <w:rsid w:val="00093820"/>
    <w:rsid w:val="00095D9F"/>
    <w:rsid w:val="000A16FE"/>
    <w:rsid w:val="000A1EBA"/>
    <w:rsid w:val="000A3048"/>
    <w:rsid w:val="000A3D41"/>
    <w:rsid w:val="000B39E7"/>
    <w:rsid w:val="000B3C16"/>
    <w:rsid w:val="000B52E8"/>
    <w:rsid w:val="000B653D"/>
    <w:rsid w:val="000C1004"/>
    <w:rsid w:val="000C39BE"/>
    <w:rsid w:val="000C4DF9"/>
    <w:rsid w:val="000D08B5"/>
    <w:rsid w:val="000D3D6E"/>
    <w:rsid w:val="000E0E9C"/>
    <w:rsid w:val="000E0EAB"/>
    <w:rsid w:val="000E4D67"/>
    <w:rsid w:val="000E6302"/>
    <w:rsid w:val="000F0666"/>
    <w:rsid w:val="000F2D60"/>
    <w:rsid w:val="000F5E0E"/>
    <w:rsid w:val="00100469"/>
    <w:rsid w:val="00101BF2"/>
    <w:rsid w:val="00115E82"/>
    <w:rsid w:val="0012014A"/>
    <w:rsid w:val="00122717"/>
    <w:rsid w:val="00124BE5"/>
    <w:rsid w:val="0012536F"/>
    <w:rsid w:val="00130A65"/>
    <w:rsid w:val="00131852"/>
    <w:rsid w:val="00131E15"/>
    <w:rsid w:val="00132ECA"/>
    <w:rsid w:val="00133FC3"/>
    <w:rsid w:val="001373D3"/>
    <w:rsid w:val="0014131D"/>
    <w:rsid w:val="00142743"/>
    <w:rsid w:val="00143A5E"/>
    <w:rsid w:val="0014438B"/>
    <w:rsid w:val="00150939"/>
    <w:rsid w:val="00152376"/>
    <w:rsid w:val="001544B1"/>
    <w:rsid w:val="00154D97"/>
    <w:rsid w:val="001551D4"/>
    <w:rsid w:val="0015634F"/>
    <w:rsid w:val="00161D6A"/>
    <w:rsid w:val="0016244A"/>
    <w:rsid w:val="00163FE2"/>
    <w:rsid w:val="00167994"/>
    <w:rsid w:val="00170A5E"/>
    <w:rsid w:val="00171EE7"/>
    <w:rsid w:val="00174D79"/>
    <w:rsid w:val="001818ED"/>
    <w:rsid w:val="00182716"/>
    <w:rsid w:val="0018303A"/>
    <w:rsid w:val="00184225"/>
    <w:rsid w:val="0018668D"/>
    <w:rsid w:val="0018679A"/>
    <w:rsid w:val="00192B03"/>
    <w:rsid w:val="00193E01"/>
    <w:rsid w:val="001946F1"/>
    <w:rsid w:val="001952CE"/>
    <w:rsid w:val="00195D19"/>
    <w:rsid w:val="00197B40"/>
    <w:rsid w:val="001A1C0A"/>
    <w:rsid w:val="001A5D75"/>
    <w:rsid w:val="001A7971"/>
    <w:rsid w:val="001B0B9B"/>
    <w:rsid w:val="001B1E3E"/>
    <w:rsid w:val="001C2CD5"/>
    <w:rsid w:val="001C3291"/>
    <w:rsid w:val="001C4146"/>
    <w:rsid w:val="001C519F"/>
    <w:rsid w:val="001D0571"/>
    <w:rsid w:val="001D17C6"/>
    <w:rsid w:val="001D2B26"/>
    <w:rsid w:val="001D5678"/>
    <w:rsid w:val="001D7728"/>
    <w:rsid w:val="001D7B24"/>
    <w:rsid w:val="001E1202"/>
    <w:rsid w:val="001E5F21"/>
    <w:rsid w:val="001E6561"/>
    <w:rsid w:val="001F56FF"/>
    <w:rsid w:val="00200731"/>
    <w:rsid w:val="00200C8A"/>
    <w:rsid w:val="00201FE1"/>
    <w:rsid w:val="00202324"/>
    <w:rsid w:val="00203F69"/>
    <w:rsid w:val="0020506E"/>
    <w:rsid w:val="00216F53"/>
    <w:rsid w:val="002176AD"/>
    <w:rsid w:val="00222330"/>
    <w:rsid w:val="0022662C"/>
    <w:rsid w:val="00227194"/>
    <w:rsid w:val="002302E5"/>
    <w:rsid w:val="00230D49"/>
    <w:rsid w:val="00232BA7"/>
    <w:rsid w:val="002364B3"/>
    <w:rsid w:val="0023657A"/>
    <w:rsid w:val="00237CE7"/>
    <w:rsid w:val="002424D8"/>
    <w:rsid w:val="002460DD"/>
    <w:rsid w:val="00246113"/>
    <w:rsid w:val="0024678C"/>
    <w:rsid w:val="002502B6"/>
    <w:rsid w:val="00250856"/>
    <w:rsid w:val="00256191"/>
    <w:rsid w:val="002570D6"/>
    <w:rsid w:val="002577A1"/>
    <w:rsid w:val="0026659A"/>
    <w:rsid w:val="00266D26"/>
    <w:rsid w:val="0026757D"/>
    <w:rsid w:val="00267D9E"/>
    <w:rsid w:val="002705B5"/>
    <w:rsid w:val="0027097A"/>
    <w:rsid w:val="0027277F"/>
    <w:rsid w:val="002727AD"/>
    <w:rsid w:val="00275DF0"/>
    <w:rsid w:val="00275FD8"/>
    <w:rsid w:val="002805B1"/>
    <w:rsid w:val="002816F8"/>
    <w:rsid w:val="002842DF"/>
    <w:rsid w:val="00286673"/>
    <w:rsid w:val="00290A28"/>
    <w:rsid w:val="00292912"/>
    <w:rsid w:val="002A09D6"/>
    <w:rsid w:val="002A18B1"/>
    <w:rsid w:val="002A2506"/>
    <w:rsid w:val="002A2997"/>
    <w:rsid w:val="002A3DAE"/>
    <w:rsid w:val="002A429F"/>
    <w:rsid w:val="002A46CC"/>
    <w:rsid w:val="002B1D44"/>
    <w:rsid w:val="002B33E3"/>
    <w:rsid w:val="002B368B"/>
    <w:rsid w:val="002B5BA9"/>
    <w:rsid w:val="002C0414"/>
    <w:rsid w:val="002C37E6"/>
    <w:rsid w:val="002C49F7"/>
    <w:rsid w:val="002D23CC"/>
    <w:rsid w:val="002D37D1"/>
    <w:rsid w:val="002D7459"/>
    <w:rsid w:val="002E69E7"/>
    <w:rsid w:val="002F0327"/>
    <w:rsid w:val="002F14AD"/>
    <w:rsid w:val="002F3527"/>
    <w:rsid w:val="002F3A46"/>
    <w:rsid w:val="002F7FE7"/>
    <w:rsid w:val="0030223A"/>
    <w:rsid w:val="00303583"/>
    <w:rsid w:val="00303E69"/>
    <w:rsid w:val="003050B9"/>
    <w:rsid w:val="00307B0B"/>
    <w:rsid w:val="003104AB"/>
    <w:rsid w:val="00312AA6"/>
    <w:rsid w:val="003243DA"/>
    <w:rsid w:val="003244A1"/>
    <w:rsid w:val="00324680"/>
    <w:rsid w:val="00325024"/>
    <w:rsid w:val="00325216"/>
    <w:rsid w:val="003339A6"/>
    <w:rsid w:val="00342319"/>
    <w:rsid w:val="0034293C"/>
    <w:rsid w:val="00342CDC"/>
    <w:rsid w:val="003443BF"/>
    <w:rsid w:val="0035017E"/>
    <w:rsid w:val="003539EF"/>
    <w:rsid w:val="0035647F"/>
    <w:rsid w:val="00356748"/>
    <w:rsid w:val="00360180"/>
    <w:rsid w:val="003608AD"/>
    <w:rsid w:val="0036096D"/>
    <w:rsid w:val="00360CEA"/>
    <w:rsid w:val="00361901"/>
    <w:rsid w:val="00362E77"/>
    <w:rsid w:val="003637EA"/>
    <w:rsid w:val="00366C1A"/>
    <w:rsid w:val="003671E2"/>
    <w:rsid w:val="003729C7"/>
    <w:rsid w:val="003760E3"/>
    <w:rsid w:val="00377F94"/>
    <w:rsid w:val="00381099"/>
    <w:rsid w:val="0038351B"/>
    <w:rsid w:val="0038376D"/>
    <w:rsid w:val="00385736"/>
    <w:rsid w:val="003941B7"/>
    <w:rsid w:val="0039636F"/>
    <w:rsid w:val="003A188D"/>
    <w:rsid w:val="003A59AD"/>
    <w:rsid w:val="003B32D5"/>
    <w:rsid w:val="003B544A"/>
    <w:rsid w:val="003B71D3"/>
    <w:rsid w:val="003B7D1C"/>
    <w:rsid w:val="003C1C1C"/>
    <w:rsid w:val="003C3F4F"/>
    <w:rsid w:val="003C5CEA"/>
    <w:rsid w:val="003C7172"/>
    <w:rsid w:val="003D2575"/>
    <w:rsid w:val="003D47B9"/>
    <w:rsid w:val="003D6E2F"/>
    <w:rsid w:val="003D7A7B"/>
    <w:rsid w:val="003E333B"/>
    <w:rsid w:val="003E5B86"/>
    <w:rsid w:val="003E67CA"/>
    <w:rsid w:val="003F0215"/>
    <w:rsid w:val="003F2463"/>
    <w:rsid w:val="003F29C4"/>
    <w:rsid w:val="003F521B"/>
    <w:rsid w:val="004027CE"/>
    <w:rsid w:val="00403566"/>
    <w:rsid w:val="00404A9F"/>
    <w:rsid w:val="0040531B"/>
    <w:rsid w:val="00406416"/>
    <w:rsid w:val="00406D73"/>
    <w:rsid w:val="00410BEB"/>
    <w:rsid w:val="00411A2F"/>
    <w:rsid w:val="00411BC0"/>
    <w:rsid w:val="004124FD"/>
    <w:rsid w:val="004125EE"/>
    <w:rsid w:val="00416DEE"/>
    <w:rsid w:val="00417CCF"/>
    <w:rsid w:val="0042009D"/>
    <w:rsid w:val="00422671"/>
    <w:rsid w:val="00423F30"/>
    <w:rsid w:val="004250B6"/>
    <w:rsid w:val="00425672"/>
    <w:rsid w:val="004269B0"/>
    <w:rsid w:val="00431480"/>
    <w:rsid w:val="00434867"/>
    <w:rsid w:val="004368AE"/>
    <w:rsid w:val="00437848"/>
    <w:rsid w:val="004408BD"/>
    <w:rsid w:val="00441AC3"/>
    <w:rsid w:val="004427A4"/>
    <w:rsid w:val="00443571"/>
    <w:rsid w:val="00444C23"/>
    <w:rsid w:val="004454AD"/>
    <w:rsid w:val="00445CF1"/>
    <w:rsid w:val="0044601F"/>
    <w:rsid w:val="00450B86"/>
    <w:rsid w:val="00451EFD"/>
    <w:rsid w:val="00457159"/>
    <w:rsid w:val="00462DC8"/>
    <w:rsid w:val="0046430C"/>
    <w:rsid w:val="00464608"/>
    <w:rsid w:val="00465DA1"/>
    <w:rsid w:val="00466B74"/>
    <w:rsid w:val="004704D8"/>
    <w:rsid w:val="00472A11"/>
    <w:rsid w:val="00473FED"/>
    <w:rsid w:val="0047498B"/>
    <w:rsid w:val="00475E26"/>
    <w:rsid w:val="004776F2"/>
    <w:rsid w:val="004807EA"/>
    <w:rsid w:val="00481D6E"/>
    <w:rsid w:val="00484512"/>
    <w:rsid w:val="0049457B"/>
    <w:rsid w:val="00496A52"/>
    <w:rsid w:val="00496F77"/>
    <w:rsid w:val="00497C85"/>
    <w:rsid w:val="004A783D"/>
    <w:rsid w:val="004A7AFE"/>
    <w:rsid w:val="004B3295"/>
    <w:rsid w:val="004B4BE7"/>
    <w:rsid w:val="004B51FC"/>
    <w:rsid w:val="004C0984"/>
    <w:rsid w:val="004C6FE9"/>
    <w:rsid w:val="004D012C"/>
    <w:rsid w:val="004D1443"/>
    <w:rsid w:val="004D1FD8"/>
    <w:rsid w:val="004D2624"/>
    <w:rsid w:val="004E0339"/>
    <w:rsid w:val="004E3EA8"/>
    <w:rsid w:val="004E49D7"/>
    <w:rsid w:val="004E63DA"/>
    <w:rsid w:val="004F1C81"/>
    <w:rsid w:val="004F400E"/>
    <w:rsid w:val="004F4590"/>
    <w:rsid w:val="004F6E25"/>
    <w:rsid w:val="004F7055"/>
    <w:rsid w:val="004F7DC8"/>
    <w:rsid w:val="00501105"/>
    <w:rsid w:val="00501DD9"/>
    <w:rsid w:val="00510B9D"/>
    <w:rsid w:val="005219E9"/>
    <w:rsid w:val="00523728"/>
    <w:rsid w:val="00524111"/>
    <w:rsid w:val="00524E95"/>
    <w:rsid w:val="00534965"/>
    <w:rsid w:val="00542B50"/>
    <w:rsid w:val="005500B1"/>
    <w:rsid w:val="0055124D"/>
    <w:rsid w:val="00551AFE"/>
    <w:rsid w:val="005527C7"/>
    <w:rsid w:val="00554EFE"/>
    <w:rsid w:val="0055511C"/>
    <w:rsid w:val="0056019C"/>
    <w:rsid w:val="005631DF"/>
    <w:rsid w:val="00563B54"/>
    <w:rsid w:val="00563CED"/>
    <w:rsid w:val="005657D6"/>
    <w:rsid w:val="00565E76"/>
    <w:rsid w:val="00566793"/>
    <w:rsid w:val="005668B0"/>
    <w:rsid w:val="00566B9C"/>
    <w:rsid w:val="00566FC5"/>
    <w:rsid w:val="00570E1F"/>
    <w:rsid w:val="00573D7A"/>
    <w:rsid w:val="00574AB3"/>
    <w:rsid w:val="0057577F"/>
    <w:rsid w:val="00576D75"/>
    <w:rsid w:val="00580FFB"/>
    <w:rsid w:val="00585F3A"/>
    <w:rsid w:val="005912E0"/>
    <w:rsid w:val="005918A7"/>
    <w:rsid w:val="005951DA"/>
    <w:rsid w:val="00595AFA"/>
    <w:rsid w:val="00596CDE"/>
    <w:rsid w:val="00597875"/>
    <w:rsid w:val="005A3AC5"/>
    <w:rsid w:val="005A4DBB"/>
    <w:rsid w:val="005A74FF"/>
    <w:rsid w:val="005A7E8D"/>
    <w:rsid w:val="005B01E8"/>
    <w:rsid w:val="005B5AA6"/>
    <w:rsid w:val="005B61EB"/>
    <w:rsid w:val="005B7B1F"/>
    <w:rsid w:val="005C37C2"/>
    <w:rsid w:val="005C4B5A"/>
    <w:rsid w:val="005C6A54"/>
    <w:rsid w:val="005D40D7"/>
    <w:rsid w:val="005D428D"/>
    <w:rsid w:val="005D466E"/>
    <w:rsid w:val="005D47F4"/>
    <w:rsid w:val="005D695A"/>
    <w:rsid w:val="005E039A"/>
    <w:rsid w:val="005E3D57"/>
    <w:rsid w:val="005F2843"/>
    <w:rsid w:val="005F389A"/>
    <w:rsid w:val="005F515C"/>
    <w:rsid w:val="00602CCC"/>
    <w:rsid w:val="00603159"/>
    <w:rsid w:val="00603C61"/>
    <w:rsid w:val="006044A8"/>
    <w:rsid w:val="00605A33"/>
    <w:rsid w:val="00606A4B"/>
    <w:rsid w:val="00611243"/>
    <w:rsid w:val="0061334F"/>
    <w:rsid w:val="00613BF4"/>
    <w:rsid w:val="006214CF"/>
    <w:rsid w:val="00627B2A"/>
    <w:rsid w:val="00632337"/>
    <w:rsid w:val="00634950"/>
    <w:rsid w:val="00643A1F"/>
    <w:rsid w:val="006455CB"/>
    <w:rsid w:val="00645E21"/>
    <w:rsid w:val="0064669A"/>
    <w:rsid w:val="00647E83"/>
    <w:rsid w:val="006502C4"/>
    <w:rsid w:val="00653D0C"/>
    <w:rsid w:val="00654CF6"/>
    <w:rsid w:val="006551CD"/>
    <w:rsid w:val="0066496D"/>
    <w:rsid w:val="00665CE0"/>
    <w:rsid w:val="00672F44"/>
    <w:rsid w:val="00672F87"/>
    <w:rsid w:val="006735D0"/>
    <w:rsid w:val="00674A47"/>
    <w:rsid w:val="00675607"/>
    <w:rsid w:val="0068087C"/>
    <w:rsid w:val="00684105"/>
    <w:rsid w:val="00686536"/>
    <w:rsid w:val="00690158"/>
    <w:rsid w:val="006906B4"/>
    <w:rsid w:val="0069205F"/>
    <w:rsid w:val="006935D1"/>
    <w:rsid w:val="00693B48"/>
    <w:rsid w:val="00695DDB"/>
    <w:rsid w:val="006978CF"/>
    <w:rsid w:val="006A0D1B"/>
    <w:rsid w:val="006A3B3E"/>
    <w:rsid w:val="006B201C"/>
    <w:rsid w:val="006B3E2A"/>
    <w:rsid w:val="006B7A79"/>
    <w:rsid w:val="006C0E9A"/>
    <w:rsid w:val="006C1138"/>
    <w:rsid w:val="006C1B3A"/>
    <w:rsid w:val="006C5BC2"/>
    <w:rsid w:val="006C60FA"/>
    <w:rsid w:val="006D0D20"/>
    <w:rsid w:val="006D3764"/>
    <w:rsid w:val="006D75C7"/>
    <w:rsid w:val="006E0584"/>
    <w:rsid w:val="006E0C4B"/>
    <w:rsid w:val="006E101C"/>
    <w:rsid w:val="006E1A22"/>
    <w:rsid w:val="006E1FEE"/>
    <w:rsid w:val="006E3186"/>
    <w:rsid w:val="006E6796"/>
    <w:rsid w:val="006F07B8"/>
    <w:rsid w:val="006F2907"/>
    <w:rsid w:val="006F3E87"/>
    <w:rsid w:val="006F4A10"/>
    <w:rsid w:val="006F6A48"/>
    <w:rsid w:val="006F6E31"/>
    <w:rsid w:val="006F716F"/>
    <w:rsid w:val="00701DC5"/>
    <w:rsid w:val="007022B9"/>
    <w:rsid w:val="00702576"/>
    <w:rsid w:val="00702BF0"/>
    <w:rsid w:val="00703BA7"/>
    <w:rsid w:val="0070526D"/>
    <w:rsid w:val="00711492"/>
    <w:rsid w:val="007131A5"/>
    <w:rsid w:val="0071489C"/>
    <w:rsid w:val="00716D7C"/>
    <w:rsid w:val="007200A6"/>
    <w:rsid w:val="00724190"/>
    <w:rsid w:val="00725501"/>
    <w:rsid w:val="00726380"/>
    <w:rsid w:val="00730771"/>
    <w:rsid w:val="00733739"/>
    <w:rsid w:val="00735651"/>
    <w:rsid w:val="0073757A"/>
    <w:rsid w:val="00750D07"/>
    <w:rsid w:val="00751650"/>
    <w:rsid w:val="00753410"/>
    <w:rsid w:val="007553A8"/>
    <w:rsid w:val="00755E5F"/>
    <w:rsid w:val="00757367"/>
    <w:rsid w:val="00760C6B"/>
    <w:rsid w:val="00763466"/>
    <w:rsid w:val="00765723"/>
    <w:rsid w:val="007740F2"/>
    <w:rsid w:val="007745A6"/>
    <w:rsid w:val="007756E5"/>
    <w:rsid w:val="00776CCD"/>
    <w:rsid w:val="0078057E"/>
    <w:rsid w:val="007831DC"/>
    <w:rsid w:val="007841C0"/>
    <w:rsid w:val="007844C5"/>
    <w:rsid w:val="0078510C"/>
    <w:rsid w:val="00785CF6"/>
    <w:rsid w:val="007862F1"/>
    <w:rsid w:val="00786509"/>
    <w:rsid w:val="00793890"/>
    <w:rsid w:val="00796CCD"/>
    <w:rsid w:val="007A4CA0"/>
    <w:rsid w:val="007A5B2F"/>
    <w:rsid w:val="007B2EEC"/>
    <w:rsid w:val="007B5773"/>
    <w:rsid w:val="007B5ACE"/>
    <w:rsid w:val="007B649C"/>
    <w:rsid w:val="007C4D8F"/>
    <w:rsid w:val="007C58B2"/>
    <w:rsid w:val="007C655C"/>
    <w:rsid w:val="007D4F27"/>
    <w:rsid w:val="007D791F"/>
    <w:rsid w:val="007E1438"/>
    <w:rsid w:val="007E241A"/>
    <w:rsid w:val="007E26D2"/>
    <w:rsid w:val="007E6B54"/>
    <w:rsid w:val="007E747F"/>
    <w:rsid w:val="007F1998"/>
    <w:rsid w:val="007F1CFD"/>
    <w:rsid w:val="007F3204"/>
    <w:rsid w:val="007F3AEE"/>
    <w:rsid w:val="007F3F45"/>
    <w:rsid w:val="007F7DFB"/>
    <w:rsid w:val="008007E1"/>
    <w:rsid w:val="00803914"/>
    <w:rsid w:val="00803D65"/>
    <w:rsid w:val="00804892"/>
    <w:rsid w:val="00804EB8"/>
    <w:rsid w:val="00805DBC"/>
    <w:rsid w:val="00806404"/>
    <w:rsid w:val="00807539"/>
    <w:rsid w:val="0081012E"/>
    <w:rsid w:val="00810F9F"/>
    <w:rsid w:val="0081258E"/>
    <w:rsid w:val="008138A9"/>
    <w:rsid w:val="00814AE1"/>
    <w:rsid w:val="0082071F"/>
    <w:rsid w:val="00826821"/>
    <w:rsid w:val="008304F2"/>
    <w:rsid w:val="00832579"/>
    <w:rsid w:val="00835068"/>
    <w:rsid w:val="00835802"/>
    <w:rsid w:val="008361FB"/>
    <w:rsid w:val="008442FB"/>
    <w:rsid w:val="00851D90"/>
    <w:rsid w:val="00852CD2"/>
    <w:rsid w:val="00855C98"/>
    <w:rsid w:val="008563B6"/>
    <w:rsid w:val="00861512"/>
    <w:rsid w:val="00862EB1"/>
    <w:rsid w:val="00864570"/>
    <w:rsid w:val="00864869"/>
    <w:rsid w:val="0086518F"/>
    <w:rsid w:val="00867E1D"/>
    <w:rsid w:val="008738FA"/>
    <w:rsid w:val="00877908"/>
    <w:rsid w:val="00877A89"/>
    <w:rsid w:val="0088044F"/>
    <w:rsid w:val="0088217B"/>
    <w:rsid w:val="0089165D"/>
    <w:rsid w:val="00896087"/>
    <w:rsid w:val="0089697E"/>
    <w:rsid w:val="008A06DF"/>
    <w:rsid w:val="008A1796"/>
    <w:rsid w:val="008A59AE"/>
    <w:rsid w:val="008A7A42"/>
    <w:rsid w:val="008B1D2E"/>
    <w:rsid w:val="008B3CD1"/>
    <w:rsid w:val="008B7114"/>
    <w:rsid w:val="008B730E"/>
    <w:rsid w:val="008C1196"/>
    <w:rsid w:val="008C14A5"/>
    <w:rsid w:val="008C160B"/>
    <w:rsid w:val="008C1EF1"/>
    <w:rsid w:val="008C2E53"/>
    <w:rsid w:val="008C2F4F"/>
    <w:rsid w:val="008C4091"/>
    <w:rsid w:val="008C6C7D"/>
    <w:rsid w:val="008D01F8"/>
    <w:rsid w:val="008D11BA"/>
    <w:rsid w:val="008D28C7"/>
    <w:rsid w:val="008D33D9"/>
    <w:rsid w:val="008D5368"/>
    <w:rsid w:val="008D545A"/>
    <w:rsid w:val="008D6D26"/>
    <w:rsid w:val="008D76BC"/>
    <w:rsid w:val="008E127B"/>
    <w:rsid w:val="008E5289"/>
    <w:rsid w:val="008E6AFB"/>
    <w:rsid w:val="008E74E0"/>
    <w:rsid w:val="008F0B2E"/>
    <w:rsid w:val="008F7BEC"/>
    <w:rsid w:val="00901616"/>
    <w:rsid w:val="00901ACE"/>
    <w:rsid w:val="00901E0A"/>
    <w:rsid w:val="009039D8"/>
    <w:rsid w:val="00903F74"/>
    <w:rsid w:val="009052B2"/>
    <w:rsid w:val="0091388D"/>
    <w:rsid w:val="00914A3B"/>
    <w:rsid w:val="00915A93"/>
    <w:rsid w:val="00915FA9"/>
    <w:rsid w:val="00921B9C"/>
    <w:rsid w:val="009223C4"/>
    <w:rsid w:val="00923883"/>
    <w:rsid w:val="00923FDF"/>
    <w:rsid w:val="00924012"/>
    <w:rsid w:val="009267DF"/>
    <w:rsid w:val="00927926"/>
    <w:rsid w:val="00931F57"/>
    <w:rsid w:val="0093409E"/>
    <w:rsid w:val="00935378"/>
    <w:rsid w:val="00945255"/>
    <w:rsid w:val="00953466"/>
    <w:rsid w:val="00954E14"/>
    <w:rsid w:val="00955248"/>
    <w:rsid w:val="00956731"/>
    <w:rsid w:val="00957AFB"/>
    <w:rsid w:val="00963B7D"/>
    <w:rsid w:val="009672C0"/>
    <w:rsid w:val="00970036"/>
    <w:rsid w:val="009732EF"/>
    <w:rsid w:val="00975747"/>
    <w:rsid w:val="0097630A"/>
    <w:rsid w:val="00976F27"/>
    <w:rsid w:val="009804AB"/>
    <w:rsid w:val="009821C9"/>
    <w:rsid w:val="00983E53"/>
    <w:rsid w:val="009927C3"/>
    <w:rsid w:val="009933EB"/>
    <w:rsid w:val="0099586B"/>
    <w:rsid w:val="00995B35"/>
    <w:rsid w:val="009A5BF0"/>
    <w:rsid w:val="009B236A"/>
    <w:rsid w:val="009B42FC"/>
    <w:rsid w:val="009B4C0B"/>
    <w:rsid w:val="009B4DC9"/>
    <w:rsid w:val="009B73F8"/>
    <w:rsid w:val="009C430B"/>
    <w:rsid w:val="009C6BC3"/>
    <w:rsid w:val="009C7CB7"/>
    <w:rsid w:val="009D0419"/>
    <w:rsid w:val="009D6228"/>
    <w:rsid w:val="009E0BF5"/>
    <w:rsid w:val="009E20C8"/>
    <w:rsid w:val="009E3154"/>
    <w:rsid w:val="009E423D"/>
    <w:rsid w:val="009E5B7F"/>
    <w:rsid w:val="009E615A"/>
    <w:rsid w:val="009F111C"/>
    <w:rsid w:val="009F1C8A"/>
    <w:rsid w:val="009F2004"/>
    <w:rsid w:val="009F2BAE"/>
    <w:rsid w:val="009F49A6"/>
    <w:rsid w:val="009F71E7"/>
    <w:rsid w:val="00A00EF9"/>
    <w:rsid w:val="00A02AEE"/>
    <w:rsid w:val="00A046DC"/>
    <w:rsid w:val="00A0505B"/>
    <w:rsid w:val="00A14139"/>
    <w:rsid w:val="00A14D99"/>
    <w:rsid w:val="00A16888"/>
    <w:rsid w:val="00A16B49"/>
    <w:rsid w:val="00A2149E"/>
    <w:rsid w:val="00A27D1D"/>
    <w:rsid w:val="00A31194"/>
    <w:rsid w:val="00A36939"/>
    <w:rsid w:val="00A4048B"/>
    <w:rsid w:val="00A44E75"/>
    <w:rsid w:val="00A452AA"/>
    <w:rsid w:val="00A53B29"/>
    <w:rsid w:val="00A546D2"/>
    <w:rsid w:val="00A5592E"/>
    <w:rsid w:val="00A560F3"/>
    <w:rsid w:val="00A57675"/>
    <w:rsid w:val="00A57A47"/>
    <w:rsid w:val="00A63E47"/>
    <w:rsid w:val="00A6731B"/>
    <w:rsid w:val="00A70C5A"/>
    <w:rsid w:val="00A75A00"/>
    <w:rsid w:val="00A84623"/>
    <w:rsid w:val="00A87936"/>
    <w:rsid w:val="00A90CCA"/>
    <w:rsid w:val="00A923DC"/>
    <w:rsid w:val="00A94684"/>
    <w:rsid w:val="00A94EB9"/>
    <w:rsid w:val="00A956FE"/>
    <w:rsid w:val="00A976A4"/>
    <w:rsid w:val="00AA094C"/>
    <w:rsid w:val="00AA160E"/>
    <w:rsid w:val="00AA2299"/>
    <w:rsid w:val="00AB20BE"/>
    <w:rsid w:val="00AB3B79"/>
    <w:rsid w:val="00AB3CBF"/>
    <w:rsid w:val="00AB4FB9"/>
    <w:rsid w:val="00AB7747"/>
    <w:rsid w:val="00AB7A60"/>
    <w:rsid w:val="00AC26DD"/>
    <w:rsid w:val="00AC3508"/>
    <w:rsid w:val="00AC3BEB"/>
    <w:rsid w:val="00AC447A"/>
    <w:rsid w:val="00AC702C"/>
    <w:rsid w:val="00AD6191"/>
    <w:rsid w:val="00AE5A6F"/>
    <w:rsid w:val="00AF079B"/>
    <w:rsid w:val="00AF30EA"/>
    <w:rsid w:val="00AF3193"/>
    <w:rsid w:val="00AF4B4C"/>
    <w:rsid w:val="00B07A5E"/>
    <w:rsid w:val="00B103E7"/>
    <w:rsid w:val="00B10CE6"/>
    <w:rsid w:val="00B1463A"/>
    <w:rsid w:val="00B202B0"/>
    <w:rsid w:val="00B253BC"/>
    <w:rsid w:val="00B254E1"/>
    <w:rsid w:val="00B26E00"/>
    <w:rsid w:val="00B2717F"/>
    <w:rsid w:val="00B30A99"/>
    <w:rsid w:val="00B30D51"/>
    <w:rsid w:val="00B31F9C"/>
    <w:rsid w:val="00B35C6D"/>
    <w:rsid w:val="00B37224"/>
    <w:rsid w:val="00B37234"/>
    <w:rsid w:val="00B425AC"/>
    <w:rsid w:val="00B433A0"/>
    <w:rsid w:val="00B4486A"/>
    <w:rsid w:val="00B47F2B"/>
    <w:rsid w:val="00B51FE4"/>
    <w:rsid w:val="00B5249F"/>
    <w:rsid w:val="00B52B42"/>
    <w:rsid w:val="00B5358B"/>
    <w:rsid w:val="00B565FF"/>
    <w:rsid w:val="00B56D81"/>
    <w:rsid w:val="00B66FC6"/>
    <w:rsid w:val="00B71B92"/>
    <w:rsid w:val="00B73B49"/>
    <w:rsid w:val="00B7762B"/>
    <w:rsid w:val="00B77A16"/>
    <w:rsid w:val="00B83911"/>
    <w:rsid w:val="00B8427E"/>
    <w:rsid w:val="00B85A0F"/>
    <w:rsid w:val="00B87A55"/>
    <w:rsid w:val="00B93AD7"/>
    <w:rsid w:val="00B9529B"/>
    <w:rsid w:val="00BA0537"/>
    <w:rsid w:val="00BA068E"/>
    <w:rsid w:val="00BA1E74"/>
    <w:rsid w:val="00BA20D0"/>
    <w:rsid w:val="00BA3D07"/>
    <w:rsid w:val="00BA5C0C"/>
    <w:rsid w:val="00BA6E0A"/>
    <w:rsid w:val="00BA73BF"/>
    <w:rsid w:val="00BA75AE"/>
    <w:rsid w:val="00BA7F33"/>
    <w:rsid w:val="00BB28F9"/>
    <w:rsid w:val="00BB5474"/>
    <w:rsid w:val="00BB7856"/>
    <w:rsid w:val="00BC243A"/>
    <w:rsid w:val="00BD05EE"/>
    <w:rsid w:val="00BD1E6E"/>
    <w:rsid w:val="00BD34BC"/>
    <w:rsid w:val="00BE1C92"/>
    <w:rsid w:val="00BE3FFA"/>
    <w:rsid w:val="00BE40F3"/>
    <w:rsid w:val="00BE447C"/>
    <w:rsid w:val="00BE4650"/>
    <w:rsid w:val="00BE4663"/>
    <w:rsid w:val="00BE6EE6"/>
    <w:rsid w:val="00BE7DC6"/>
    <w:rsid w:val="00BF4552"/>
    <w:rsid w:val="00BF6A46"/>
    <w:rsid w:val="00BF7A14"/>
    <w:rsid w:val="00C009FD"/>
    <w:rsid w:val="00C02179"/>
    <w:rsid w:val="00C030E6"/>
    <w:rsid w:val="00C0345C"/>
    <w:rsid w:val="00C042FC"/>
    <w:rsid w:val="00C060CE"/>
    <w:rsid w:val="00C07A1A"/>
    <w:rsid w:val="00C07BD4"/>
    <w:rsid w:val="00C11128"/>
    <w:rsid w:val="00C15C18"/>
    <w:rsid w:val="00C2074D"/>
    <w:rsid w:val="00C2109E"/>
    <w:rsid w:val="00C24025"/>
    <w:rsid w:val="00C254C3"/>
    <w:rsid w:val="00C25CD8"/>
    <w:rsid w:val="00C27314"/>
    <w:rsid w:val="00C3705C"/>
    <w:rsid w:val="00C41080"/>
    <w:rsid w:val="00C41A24"/>
    <w:rsid w:val="00C41EFB"/>
    <w:rsid w:val="00C4534E"/>
    <w:rsid w:val="00C53542"/>
    <w:rsid w:val="00C54418"/>
    <w:rsid w:val="00C55F00"/>
    <w:rsid w:val="00C60184"/>
    <w:rsid w:val="00C60F8C"/>
    <w:rsid w:val="00C61D1E"/>
    <w:rsid w:val="00C62121"/>
    <w:rsid w:val="00C64858"/>
    <w:rsid w:val="00C65492"/>
    <w:rsid w:val="00C65E5C"/>
    <w:rsid w:val="00C674C2"/>
    <w:rsid w:val="00C67AB6"/>
    <w:rsid w:val="00C7062D"/>
    <w:rsid w:val="00C736D0"/>
    <w:rsid w:val="00C751F2"/>
    <w:rsid w:val="00C77FE9"/>
    <w:rsid w:val="00C8056A"/>
    <w:rsid w:val="00C80A73"/>
    <w:rsid w:val="00C80B41"/>
    <w:rsid w:val="00C84F1F"/>
    <w:rsid w:val="00C87F2A"/>
    <w:rsid w:val="00C93300"/>
    <w:rsid w:val="00C94B60"/>
    <w:rsid w:val="00CA1A14"/>
    <w:rsid w:val="00CA3778"/>
    <w:rsid w:val="00CA4586"/>
    <w:rsid w:val="00CA526E"/>
    <w:rsid w:val="00CA529E"/>
    <w:rsid w:val="00CA65BD"/>
    <w:rsid w:val="00CB48DC"/>
    <w:rsid w:val="00CB589D"/>
    <w:rsid w:val="00CB67AC"/>
    <w:rsid w:val="00CB7236"/>
    <w:rsid w:val="00CC052C"/>
    <w:rsid w:val="00CC1899"/>
    <w:rsid w:val="00CC2F68"/>
    <w:rsid w:val="00CC35D2"/>
    <w:rsid w:val="00CC6EFB"/>
    <w:rsid w:val="00CD0DDE"/>
    <w:rsid w:val="00CD1309"/>
    <w:rsid w:val="00CD17EB"/>
    <w:rsid w:val="00CD29CB"/>
    <w:rsid w:val="00CD4010"/>
    <w:rsid w:val="00CD656C"/>
    <w:rsid w:val="00CD7799"/>
    <w:rsid w:val="00CE1730"/>
    <w:rsid w:val="00CE2D10"/>
    <w:rsid w:val="00CE30D1"/>
    <w:rsid w:val="00CE3DB5"/>
    <w:rsid w:val="00CE7A8D"/>
    <w:rsid w:val="00CF1757"/>
    <w:rsid w:val="00CF3867"/>
    <w:rsid w:val="00CF51F0"/>
    <w:rsid w:val="00CF52D9"/>
    <w:rsid w:val="00CF742B"/>
    <w:rsid w:val="00CF7BE1"/>
    <w:rsid w:val="00D02869"/>
    <w:rsid w:val="00D03436"/>
    <w:rsid w:val="00D03451"/>
    <w:rsid w:val="00D036D4"/>
    <w:rsid w:val="00D058E7"/>
    <w:rsid w:val="00D06959"/>
    <w:rsid w:val="00D07C37"/>
    <w:rsid w:val="00D107DE"/>
    <w:rsid w:val="00D13B02"/>
    <w:rsid w:val="00D237F7"/>
    <w:rsid w:val="00D23A73"/>
    <w:rsid w:val="00D247D5"/>
    <w:rsid w:val="00D261F6"/>
    <w:rsid w:val="00D34375"/>
    <w:rsid w:val="00D47C94"/>
    <w:rsid w:val="00D5055B"/>
    <w:rsid w:val="00D51669"/>
    <w:rsid w:val="00D520F1"/>
    <w:rsid w:val="00D552AA"/>
    <w:rsid w:val="00D56190"/>
    <w:rsid w:val="00D57E12"/>
    <w:rsid w:val="00D61335"/>
    <w:rsid w:val="00D623CD"/>
    <w:rsid w:val="00D62D21"/>
    <w:rsid w:val="00D63500"/>
    <w:rsid w:val="00D641B2"/>
    <w:rsid w:val="00D64500"/>
    <w:rsid w:val="00D721B8"/>
    <w:rsid w:val="00D73EFC"/>
    <w:rsid w:val="00D73F56"/>
    <w:rsid w:val="00D754A5"/>
    <w:rsid w:val="00D76AD0"/>
    <w:rsid w:val="00D80A41"/>
    <w:rsid w:val="00D81AB8"/>
    <w:rsid w:val="00D81CB1"/>
    <w:rsid w:val="00D85B1D"/>
    <w:rsid w:val="00D879B4"/>
    <w:rsid w:val="00D87F5B"/>
    <w:rsid w:val="00D90AC4"/>
    <w:rsid w:val="00D9437D"/>
    <w:rsid w:val="00D94D1D"/>
    <w:rsid w:val="00D96E3F"/>
    <w:rsid w:val="00DA1516"/>
    <w:rsid w:val="00DA2445"/>
    <w:rsid w:val="00DA3A26"/>
    <w:rsid w:val="00DA5F8F"/>
    <w:rsid w:val="00DA6233"/>
    <w:rsid w:val="00DA7E66"/>
    <w:rsid w:val="00DB3796"/>
    <w:rsid w:val="00DB4851"/>
    <w:rsid w:val="00DB5926"/>
    <w:rsid w:val="00DC050F"/>
    <w:rsid w:val="00DC1A18"/>
    <w:rsid w:val="00DC4195"/>
    <w:rsid w:val="00DC4A5E"/>
    <w:rsid w:val="00DC5246"/>
    <w:rsid w:val="00DC6C75"/>
    <w:rsid w:val="00DC7B44"/>
    <w:rsid w:val="00DD02FF"/>
    <w:rsid w:val="00DD16D1"/>
    <w:rsid w:val="00DD28B4"/>
    <w:rsid w:val="00DD388B"/>
    <w:rsid w:val="00DD413F"/>
    <w:rsid w:val="00DD6261"/>
    <w:rsid w:val="00DE05DE"/>
    <w:rsid w:val="00DE1A07"/>
    <w:rsid w:val="00DE3D44"/>
    <w:rsid w:val="00DF0D03"/>
    <w:rsid w:val="00DF219A"/>
    <w:rsid w:val="00DF4B58"/>
    <w:rsid w:val="00DF511F"/>
    <w:rsid w:val="00DF56E7"/>
    <w:rsid w:val="00E040B8"/>
    <w:rsid w:val="00E061B5"/>
    <w:rsid w:val="00E12F7F"/>
    <w:rsid w:val="00E13418"/>
    <w:rsid w:val="00E14122"/>
    <w:rsid w:val="00E1587D"/>
    <w:rsid w:val="00E16B00"/>
    <w:rsid w:val="00E20D5A"/>
    <w:rsid w:val="00E222EA"/>
    <w:rsid w:val="00E24549"/>
    <w:rsid w:val="00E24D1C"/>
    <w:rsid w:val="00E26EA7"/>
    <w:rsid w:val="00E33FF6"/>
    <w:rsid w:val="00E34609"/>
    <w:rsid w:val="00E36613"/>
    <w:rsid w:val="00E414CA"/>
    <w:rsid w:val="00E46928"/>
    <w:rsid w:val="00E471C3"/>
    <w:rsid w:val="00E473DD"/>
    <w:rsid w:val="00E503EA"/>
    <w:rsid w:val="00E51789"/>
    <w:rsid w:val="00E52CB0"/>
    <w:rsid w:val="00E539CE"/>
    <w:rsid w:val="00E5514D"/>
    <w:rsid w:val="00E5641D"/>
    <w:rsid w:val="00E61587"/>
    <w:rsid w:val="00E64ACE"/>
    <w:rsid w:val="00E66814"/>
    <w:rsid w:val="00E70758"/>
    <w:rsid w:val="00E73F6A"/>
    <w:rsid w:val="00E77C7F"/>
    <w:rsid w:val="00E77D29"/>
    <w:rsid w:val="00E805D4"/>
    <w:rsid w:val="00E82DB4"/>
    <w:rsid w:val="00E833C2"/>
    <w:rsid w:val="00E8681C"/>
    <w:rsid w:val="00E87B78"/>
    <w:rsid w:val="00EA02E2"/>
    <w:rsid w:val="00EA55C3"/>
    <w:rsid w:val="00EA5615"/>
    <w:rsid w:val="00EA7AB6"/>
    <w:rsid w:val="00EB0AD9"/>
    <w:rsid w:val="00EB39A0"/>
    <w:rsid w:val="00EB66C1"/>
    <w:rsid w:val="00EB6795"/>
    <w:rsid w:val="00EC3E65"/>
    <w:rsid w:val="00EC3F8A"/>
    <w:rsid w:val="00EC4FF3"/>
    <w:rsid w:val="00EC604B"/>
    <w:rsid w:val="00EC6DFA"/>
    <w:rsid w:val="00ED0B57"/>
    <w:rsid w:val="00ED34A0"/>
    <w:rsid w:val="00ED3D32"/>
    <w:rsid w:val="00ED436F"/>
    <w:rsid w:val="00ED4D51"/>
    <w:rsid w:val="00EE0E01"/>
    <w:rsid w:val="00EE5CC9"/>
    <w:rsid w:val="00EF0010"/>
    <w:rsid w:val="00EF1C47"/>
    <w:rsid w:val="00EF2004"/>
    <w:rsid w:val="00EF266B"/>
    <w:rsid w:val="00EF3296"/>
    <w:rsid w:val="00EF3549"/>
    <w:rsid w:val="00EF406C"/>
    <w:rsid w:val="00EF4D59"/>
    <w:rsid w:val="00F01922"/>
    <w:rsid w:val="00F020D9"/>
    <w:rsid w:val="00F025CE"/>
    <w:rsid w:val="00F03548"/>
    <w:rsid w:val="00F04291"/>
    <w:rsid w:val="00F0661D"/>
    <w:rsid w:val="00F068CD"/>
    <w:rsid w:val="00F1075D"/>
    <w:rsid w:val="00F1200C"/>
    <w:rsid w:val="00F16AFA"/>
    <w:rsid w:val="00F179D6"/>
    <w:rsid w:val="00F17A59"/>
    <w:rsid w:val="00F21DE0"/>
    <w:rsid w:val="00F22956"/>
    <w:rsid w:val="00F2467D"/>
    <w:rsid w:val="00F25869"/>
    <w:rsid w:val="00F2780E"/>
    <w:rsid w:val="00F365F4"/>
    <w:rsid w:val="00F4097F"/>
    <w:rsid w:val="00F4712B"/>
    <w:rsid w:val="00F47BDF"/>
    <w:rsid w:val="00F50272"/>
    <w:rsid w:val="00F50D8F"/>
    <w:rsid w:val="00F553B3"/>
    <w:rsid w:val="00F574AE"/>
    <w:rsid w:val="00F57AAC"/>
    <w:rsid w:val="00F66005"/>
    <w:rsid w:val="00F6632C"/>
    <w:rsid w:val="00F67175"/>
    <w:rsid w:val="00F675D3"/>
    <w:rsid w:val="00F70677"/>
    <w:rsid w:val="00F708BC"/>
    <w:rsid w:val="00F70DF9"/>
    <w:rsid w:val="00F723AD"/>
    <w:rsid w:val="00F80E7F"/>
    <w:rsid w:val="00F8589C"/>
    <w:rsid w:val="00F8684A"/>
    <w:rsid w:val="00F94342"/>
    <w:rsid w:val="00F96BD4"/>
    <w:rsid w:val="00FA241A"/>
    <w:rsid w:val="00FA2FDC"/>
    <w:rsid w:val="00FA5D97"/>
    <w:rsid w:val="00FA6B6E"/>
    <w:rsid w:val="00FA6D95"/>
    <w:rsid w:val="00FA71A2"/>
    <w:rsid w:val="00FB093A"/>
    <w:rsid w:val="00FB1F36"/>
    <w:rsid w:val="00FB528D"/>
    <w:rsid w:val="00FB5B96"/>
    <w:rsid w:val="00FB6276"/>
    <w:rsid w:val="00FC1B30"/>
    <w:rsid w:val="00FC29B4"/>
    <w:rsid w:val="00FC6A45"/>
    <w:rsid w:val="00FC6E03"/>
    <w:rsid w:val="00FD0185"/>
    <w:rsid w:val="00FD1DAA"/>
    <w:rsid w:val="00FD241D"/>
    <w:rsid w:val="00FD257A"/>
    <w:rsid w:val="00FD7FC2"/>
    <w:rsid w:val="00FE056B"/>
    <w:rsid w:val="00FE11DF"/>
    <w:rsid w:val="00FE2864"/>
    <w:rsid w:val="00FE5D02"/>
    <w:rsid w:val="00FE6358"/>
    <w:rsid w:val="00FF15DA"/>
    <w:rsid w:val="00FF3662"/>
    <w:rsid w:val="00FF3BF4"/>
    <w:rsid w:val="00FF6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8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uiPriority w:val="99"/>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 w:type="paragraph" w:customStyle="1" w:styleId="naisvisr">
    <w:name w:val="naisvisr"/>
    <w:basedOn w:val="Normal"/>
    <w:rsid w:val="00FB093A"/>
    <w:pPr>
      <w:spacing w:before="100" w:beforeAutospacing="1" w:after="100" w:afterAutospacing="1"/>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uiPriority w:val="99"/>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 w:type="paragraph" w:customStyle="1" w:styleId="naisvisr">
    <w:name w:val="naisvisr"/>
    <w:basedOn w:val="Normal"/>
    <w:rsid w:val="00FB093A"/>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4263">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Dace.Balode@mk.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L.Ruškule</Vad_x012b_t_x0101_js>
    <Kategorija xmlns="2e5bb04e-596e-45bd-9003-43ca78b1ba16">Anotācija</Kategorija>
    <DKP xmlns="2e5bb04e-596e-45bd-9003-43ca78b1ba16">12</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6E74-1375-4EAF-8B01-A30BC1459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5DBF74-7919-4B71-A43B-DB2817F10B5D}">
  <ds:schemaRefs>
    <ds:schemaRef ds:uri="http://schemas.microsoft.com/sharepoint/v3/contenttype/forms"/>
  </ds:schemaRefs>
</ds:datastoreItem>
</file>

<file path=customXml/itemProps3.xml><?xml version="1.0" encoding="utf-8"?>
<ds:datastoreItem xmlns:ds="http://schemas.openxmlformats.org/officeDocument/2006/customXml" ds:itemID="{996C66FB-5F34-4422-B311-54C1CF655C7F}">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2e5bb04e-596e-45bd-9003-43ca78b1ba16"/>
    <ds:schemaRef ds:uri="http://schemas.openxmlformats.org/package/2006/metadata/core-properties"/>
  </ds:schemaRefs>
</ds:datastoreItem>
</file>

<file path=customXml/itemProps4.xml><?xml version="1.0" encoding="utf-8"?>
<ds:datastoreItem xmlns:ds="http://schemas.openxmlformats.org/officeDocument/2006/customXml" ds:itemID="{7ECDB2E4-6DDD-4827-8BD7-2790C9A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13663</Words>
  <Characters>7789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14. jūlija noteikumos Nr. 389 Darbības programmas "Izaugsme un nodarbinātība" 3.4.2. specifiskā atbalsta mērķa "Valsts pārvaldes profesionālā pilnveide labāka tiesiskā regulējuma</vt:lpstr>
    </vt:vector>
  </TitlesOfParts>
  <Company>Valsts kanceleja</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14. 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noteikumos"sākotnējās ietekmes novērtējuma ziņojums (anotācija)</dc:title>
  <dc:subject>Anotācija</dc:subject>
  <dc:creator>I.Artemjeva</dc:creator>
  <dc:description>67082917
Dace.Balode@mk. gov.lv</dc:description>
  <cp:lastModifiedBy>Laimdota Adlere</cp:lastModifiedBy>
  <cp:revision>2</cp:revision>
  <cp:lastPrinted>2017-01-27T11:32:00Z</cp:lastPrinted>
  <dcterms:created xsi:type="dcterms:W3CDTF">2017-02-08T14:21:00Z</dcterms:created>
  <dcterms:modified xsi:type="dcterms:W3CDTF">2017-02-08T14:21:00Z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