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FD3B" w14:textId="5C4A7C04" w:rsidR="003C2151" w:rsidRDefault="00035846" w:rsidP="003C2151">
      <w:pPr>
        <w:spacing w:after="0"/>
        <w:jc w:val="center"/>
        <w:rPr>
          <w:rFonts w:ascii="Times New Roman" w:hAnsi="Times New Roman" w:cs="Times New Roman"/>
          <w:b/>
          <w:bCs/>
          <w:sz w:val="26"/>
          <w:szCs w:val="26"/>
        </w:rPr>
      </w:pPr>
      <w:r w:rsidRPr="00B45666">
        <w:rPr>
          <w:rFonts w:ascii="Times New Roman" w:hAnsi="Times New Roman" w:cs="Times New Roman"/>
          <w:b/>
          <w:bCs/>
          <w:sz w:val="26"/>
          <w:szCs w:val="26"/>
        </w:rPr>
        <w:t xml:space="preserve">Informatīvais ziņojums </w:t>
      </w:r>
      <w:r w:rsidR="004B51FA" w:rsidRPr="00B45666">
        <w:rPr>
          <w:rFonts w:ascii="Times New Roman" w:hAnsi="Times New Roman" w:cs="Times New Roman"/>
          <w:b/>
          <w:bCs/>
          <w:sz w:val="26"/>
          <w:szCs w:val="26"/>
        </w:rPr>
        <w:t xml:space="preserve">“Par </w:t>
      </w:r>
      <w:r w:rsidR="00ED2403" w:rsidRPr="00B45666">
        <w:rPr>
          <w:rFonts w:ascii="Times New Roman" w:hAnsi="Times New Roman" w:cs="Times New Roman"/>
          <w:b/>
          <w:bCs/>
          <w:sz w:val="26"/>
          <w:szCs w:val="26"/>
        </w:rPr>
        <w:t>veselī</w:t>
      </w:r>
      <w:r w:rsidR="001542DA">
        <w:rPr>
          <w:rFonts w:ascii="Times New Roman" w:hAnsi="Times New Roman" w:cs="Times New Roman"/>
          <w:b/>
          <w:bCs/>
          <w:sz w:val="26"/>
          <w:szCs w:val="26"/>
        </w:rPr>
        <w:t xml:space="preserve">bas reformas pasākumu īstenošanas </w:t>
      </w:r>
    </w:p>
    <w:p w14:paraId="032E009A" w14:textId="33F5201E" w:rsidR="00EC6306" w:rsidRPr="00B45666" w:rsidRDefault="001542DA" w:rsidP="003C2151">
      <w:pPr>
        <w:spacing w:after="0"/>
        <w:jc w:val="center"/>
        <w:rPr>
          <w:rFonts w:ascii="Times New Roman" w:hAnsi="Times New Roman" w:cs="Times New Roman"/>
          <w:b/>
          <w:bCs/>
          <w:sz w:val="26"/>
          <w:szCs w:val="26"/>
        </w:rPr>
      </w:pPr>
      <w:r>
        <w:rPr>
          <w:rFonts w:ascii="Times New Roman" w:hAnsi="Times New Roman" w:cs="Times New Roman"/>
          <w:b/>
          <w:bCs/>
          <w:sz w:val="26"/>
          <w:szCs w:val="26"/>
        </w:rPr>
        <w:t>turpināšanu</w:t>
      </w:r>
      <w:r w:rsidR="00ED2403" w:rsidRPr="00B45666">
        <w:rPr>
          <w:rFonts w:ascii="Times New Roman" w:hAnsi="Times New Roman" w:cs="Times New Roman"/>
          <w:b/>
          <w:bCs/>
          <w:sz w:val="26"/>
          <w:szCs w:val="26"/>
        </w:rPr>
        <w:t xml:space="preserve"> 2017.gadā</w:t>
      </w:r>
      <w:r w:rsidR="004B51FA" w:rsidRPr="00B45666">
        <w:rPr>
          <w:rFonts w:ascii="Times New Roman" w:hAnsi="Times New Roman" w:cs="Times New Roman"/>
          <w:b/>
          <w:bCs/>
          <w:sz w:val="26"/>
          <w:szCs w:val="26"/>
        </w:rPr>
        <w:t>”</w:t>
      </w:r>
    </w:p>
    <w:p w14:paraId="0A9DB6D0" w14:textId="77777777" w:rsidR="003C2151" w:rsidRDefault="003C2151" w:rsidP="00B45666">
      <w:pPr>
        <w:spacing w:after="80"/>
        <w:ind w:firstLine="720"/>
        <w:jc w:val="both"/>
        <w:rPr>
          <w:rFonts w:ascii="Times New Roman" w:hAnsi="Times New Roman" w:cs="Times New Roman"/>
          <w:sz w:val="24"/>
          <w:szCs w:val="24"/>
        </w:rPr>
      </w:pPr>
    </w:p>
    <w:p w14:paraId="6159AAE7" w14:textId="5D07ADA7" w:rsidR="00545AA6" w:rsidRPr="003B6DC4" w:rsidRDefault="00ED2403" w:rsidP="00B45666">
      <w:pPr>
        <w:spacing w:after="80"/>
        <w:ind w:firstLine="720"/>
        <w:jc w:val="both"/>
        <w:rPr>
          <w:rFonts w:ascii="Times New Roman" w:hAnsi="Times New Roman" w:cs="Times New Roman"/>
          <w:sz w:val="24"/>
          <w:szCs w:val="24"/>
        </w:rPr>
      </w:pPr>
      <w:r w:rsidRPr="003B6DC4">
        <w:rPr>
          <w:rFonts w:ascii="Times New Roman" w:hAnsi="Times New Roman" w:cs="Times New Roman"/>
          <w:sz w:val="24"/>
          <w:szCs w:val="24"/>
        </w:rPr>
        <w:t>Informatīvais ziņojums</w:t>
      </w:r>
      <w:r w:rsidR="00245344" w:rsidRPr="003B6DC4">
        <w:rPr>
          <w:rFonts w:ascii="Times New Roman" w:hAnsi="Times New Roman" w:cs="Times New Roman"/>
          <w:sz w:val="24"/>
          <w:szCs w:val="24"/>
        </w:rPr>
        <w:t xml:space="preserve"> (turpmāk </w:t>
      </w:r>
      <w:r w:rsidRPr="003B6DC4">
        <w:rPr>
          <w:rFonts w:ascii="Times New Roman" w:hAnsi="Times New Roman" w:cs="Times New Roman"/>
          <w:sz w:val="24"/>
          <w:szCs w:val="24"/>
        </w:rPr>
        <w:t>–</w:t>
      </w:r>
      <w:r w:rsidR="00245344" w:rsidRPr="003B6DC4">
        <w:rPr>
          <w:rFonts w:ascii="Times New Roman" w:hAnsi="Times New Roman" w:cs="Times New Roman"/>
          <w:sz w:val="24"/>
          <w:szCs w:val="24"/>
        </w:rPr>
        <w:t xml:space="preserve"> ziņojums) ir sagatavots atbilstoši </w:t>
      </w:r>
      <w:r w:rsidR="00F615C8" w:rsidRPr="00F615C8">
        <w:rPr>
          <w:rFonts w:ascii="Times New Roman" w:hAnsi="Times New Roman" w:cs="Times New Roman"/>
          <w:sz w:val="24"/>
          <w:szCs w:val="24"/>
        </w:rPr>
        <w:t xml:space="preserve">likuma “Par valsts budžetu 2017. gadam” 56.pantā noteiktajam, ka veselības aprūpes sistēmas reformas ieviešanai budžeta resora "74. Gadskārtējā valsts budžeta izpildes procesā pārdalāmais finansējums" 08.00.00 programmā "Veselības aprūpes sistēmas reformas ieviešanas finansējums" rezervēto finansējumu 34 324 450 </w:t>
      </w:r>
      <w:r w:rsidR="00F615C8" w:rsidRPr="00F615C8">
        <w:rPr>
          <w:rFonts w:ascii="Times New Roman" w:hAnsi="Times New Roman" w:cs="Times New Roman"/>
          <w:i/>
          <w:sz w:val="24"/>
          <w:szCs w:val="24"/>
        </w:rPr>
        <w:t>euro</w:t>
      </w:r>
      <w:r w:rsidR="00F615C8" w:rsidRPr="00F615C8">
        <w:rPr>
          <w:rFonts w:ascii="Times New Roman" w:hAnsi="Times New Roman" w:cs="Times New Roman"/>
          <w:sz w:val="24"/>
          <w:szCs w:val="24"/>
        </w:rPr>
        <w:t xml:space="preserve"> apmērā finanšu ministrs pārdala Veselības ministrijai pēc tam, kad Ministru kabinets ir apstiprinājis finansējumu veselības aprūpes sistēmas reformas pasākumu īstenošanai 2017. gadā</w:t>
      </w:r>
      <w:r w:rsidR="00F615C8">
        <w:rPr>
          <w:rFonts w:ascii="Times New Roman" w:hAnsi="Times New Roman" w:cs="Times New Roman"/>
          <w:sz w:val="24"/>
          <w:szCs w:val="24"/>
        </w:rPr>
        <w:t xml:space="preserve"> un Ministru kabineta </w:t>
      </w:r>
      <w:r w:rsidR="00C14920">
        <w:rPr>
          <w:rFonts w:ascii="Times New Roman" w:hAnsi="Times New Roman" w:cs="Times New Roman"/>
          <w:sz w:val="24"/>
          <w:szCs w:val="24"/>
        </w:rPr>
        <w:t xml:space="preserve">2016.gada </w:t>
      </w:r>
      <w:r w:rsidR="00F615C8">
        <w:rPr>
          <w:rFonts w:ascii="Times New Roman" w:hAnsi="Times New Roman" w:cs="Times New Roman"/>
          <w:sz w:val="24"/>
          <w:szCs w:val="24"/>
        </w:rPr>
        <w:t>20.decembra sēdes protokola Nr.69 86</w:t>
      </w:r>
      <w:r w:rsidR="00F615C8" w:rsidRPr="003B6DC4">
        <w:rPr>
          <w:rFonts w:ascii="Times New Roman" w:hAnsi="Times New Roman" w:cs="Times New Roman"/>
          <w:sz w:val="24"/>
          <w:szCs w:val="24"/>
        </w:rPr>
        <w:t>§</w:t>
      </w:r>
      <w:r w:rsidR="00F615C8">
        <w:rPr>
          <w:rFonts w:ascii="Times New Roman" w:hAnsi="Times New Roman" w:cs="Times New Roman"/>
          <w:sz w:val="24"/>
          <w:szCs w:val="24"/>
        </w:rPr>
        <w:t xml:space="preserve"> </w:t>
      </w:r>
      <w:r w:rsidR="00D6429B">
        <w:rPr>
          <w:rFonts w:ascii="Times New Roman" w:hAnsi="Times New Roman" w:cs="Times New Roman"/>
          <w:sz w:val="24"/>
          <w:szCs w:val="24"/>
        </w:rPr>
        <w:t>5.punktam, kas nosaka</w:t>
      </w:r>
      <w:r w:rsidR="00F615C8">
        <w:rPr>
          <w:rFonts w:ascii="Times New Roman" w:hAnsi="Times New Roman" w:cs="Times New Roman"/>
          <w:sz w:val="24"/>
          <w:szCs w:val="24"/>
        </w:rPr>
        <w:t xml:space="preserve"> </w:t>
      </w:r>
      <w:r w:rsidR="00D6429B" w:rsidRPr="00D6429B">
        <w:rPr>
          <w:rFonts w:ascii="Times New Roman" w:hAnsi="Times New Roman" w:cs="Times New Roman"/>
          <w:sz w:val="24"/>
          <w:szCs w:val="24"/>
        </w:rPr>
        <w:t>Veselības ministrijai līdz 2017.gada 15.februārim iesniegt izskatīšanai Ministru kabinetā informatīvo ziņojumu par pārējiem reformas pasākumiem un finansējuma (22 062 190 EUR) sadalījumu 2017.gadam, norādot pasākumus, kurus plānots finansēt no budžeta resora "74.Gadskārtējā valsts budžeta izpildes procesā pārdalāmais finansējums" 08.00.00 programmā "Veselības aprūpes sistēmas reformas ieviešanas finansējums" rezervētā finansējuma veselības nozares reformas īstenošanai</w:t>
      </w:r>
      <w:r w:rsidR="00D6429B">
        <w:rPr>
          <w:rFonts w:ascii="Times New Roman" w:hAnsi="Times New Roman" w:cs="Times New Roman"/>
          <w:sz w:val="24"/>
          <w:szCs w:val="24"/>
        </w:rPr>
        <w:t>. Līdz ar to i</w:t>
      </w:r>
      <w:r w:rsidR="00D6429B" w:rsidRPr="00D6429B">
        <w:rPr>
          <w:rFonts w:ascii="Times New Roman" w:hAnsi="Times New Roman" w:cs="Times New Roman"/>
          <w:sz w:val="24"/>
          <w:szCs w:val="24"/>
        </w:rPr>
        <w:t>nformatīva</w:t>
      </w:r>
      <w:r w:rsidR="00D6429B">
        <w:rPr>
          <w:rFonts w:ascii="Times New Roman" w:hAnsi="Times New Roman" w:cs="Times New Roman"/>
          <w:sz w:val="24"/>
          <w:szCs w:val="24"/>
        </w:rPr>
        <w:t>jā</w:t>
      </w:r>
      <w:r w:rsidR="00D6429B" w:rsidRPr="00D6429B">
        <w:rPr>
          <w:rFonts w:ascii="Times New Roman" w:hAnsi="Times New Roman" w:cs="Times New Roman"/>
          <w:sz w:val="24"/>
          <w:szCs w:val="24"/>
        </w:rPr>
        <w:t xml:space="preserve"> ziņojum</w:t>
      </w:r>
      <w:r w:rsidR="00D6429B">
        <w:rPr>
          <w:rFonts w:ascii="Times New Roman" w:hAnsi="Times New Roman" w:cs="Times New Roman"/>
          <w:sz w:val="24"/>
          <w:szCs w:val="24"/>
        </w:rPr>
        <w:t>ā</w:t>
      </w:r>
      <w:r w:rsidR="00D6429B" w:rsidRPr="00D6429B">
        <w:rPr>
          <w:rFonts w:ascii="Times New Roman" w:hAnsi="Times New Roman" w:cs="Times New Roman"/>
          <w:sz w:val="24"/>
          <w:szCs w:val="24"/>
        </w:rPr>
        <w:t xml:space="preserve"> “Par veselības reformas pasākumu īstenošanas turpināšanu 2017.gadā”</w:t>
      </w:r>
      <w:r w:rsidR="00D6429B">
        <w:rPr>
          <w:rFonts w:ascii="Times New Roman" w:hAnsi="Times New Roman" w:cs="Times New Roman"/>
          <w:sz w:val="24"/>
          <w:szCs w:val="24"/>
        </w:rPr>
        <w:t xml:space="preserve"> turpināts aprakstīt 2017.gadā plānotās veselības nozares reformas papildus ar </w:t>
      </w:r>
      <w:r w:rsidR="009815C5">
        <w:rPr>
          <w:rFonts w:ascii="Times New Roman" w:hAnsi="Times New Roman" w:cs="Times New Roman"/>
          <w:sz w:val="24"/>
          <w:szCs w:val="24"/>
        </w:rPr>
        <w:t>Ministru kabineta 20.decembra sēdes protokola</w:t>
      </w:r>
      <w:r w:rsidR="00A937D8">
        <w:rPr>
          <w:rFonts w:ascii="Times New Roman" w:hAnsi="Times New Roman" w:cs="Times New Roman"/>
          <w:sz w:val="24"/>
          <w:szCs w:val="24"/>
        </w:rPr>
        <w:t>m</w:t>
      </w:r>
      <w:r w:rsidR="009815C5">
        <w:rPr>
          <w:rFonts w:ascii="Times New Roman" w:hAnsi="Times New Roman" w:cs="Times New Roman"/>
          <w:sz w:val="24"/>
          <w:szCs w:val="24"/>
        </w:rPr>
        <w:t xml:space="preserve"> Nr.69 86</w:t>
      </w:r>
      <w:r w:rsidR="009815C5" w:rsidRPr="003B6DC4">
        <w:rPr>
          <w:rFonts w:ascii="Times New Roman" w:hAnsi="Times New Roman" w:cs="Times New Roman"/>
          <w:sz w:val="24"/>
          <w:szCs w:val="24"/>
        </w:rPr>
        <w:t>§</w:t>
      </w:r>
      <w:r w:rsidR="009815C5">
        <w:rPr>
          <w:rFonts w:ascii="Times New Roman" w:hAnsi="Times New Roman" w:cs="Times New Roman"/>
          <w:sz w:val="24"/>
          <w:szCs w:val="24"/>
        </w:rPr>
        <w:t xml:space="preserve"> </w:t>
      </w:r>
      <w:r w:rsidR="00A937D8">
        <w:rPr>
          <w:rFonts w:ascii="Times New Roman" w:hAnsi="Times New Roman" w:cs="Times New Roman"/>
          <w:sz w:val="24"/>
          <w:szCs w:val="24"/>
        </w:rPr>
        <w:t xml:space="preserve">apstiprinātajam informatīvajam ziņojumam </w:t>
      </w:r>
      <w:r w:rsidR="00A937D8" w:rsidRPr="00A937D8">
        <w:rPr>
          <w:rFonts w:ascii="Times New Roman" w:hAnsi="Times New Roman" w:cs="Times New Roman"/>
          <w:sz w:val="24"/>
          <w:szCs w:val="24"/>
        </w:rPr>
        <w:t>"Par veselības reformas pasākumu īstenošanu 2017.gadā"</w:t>
      </w:r>
      <w:r w:rsidR="00A937D8">
        <w:rPr>
          <w:rFonts w:ascii="Times New Roman" w:hAnsi="Times New Roman" w:cs="Times New Roman"/>
          <w:sz w:val="24"/>
          <w:szCs w:val="24"/>
        </w:rPr>
        <w:t>.</w:t>
      </w:r>
    </w:p>
    <w:p w14:paraId="78355C25" w14:textId="19ACD11D" w:rsidR="00CD71A2" w:rsidRPr="003B6DC4" w:rsidRDefault="00CD71A2" w:rsidP="00B45666">
      <w:pPr>
        <w:spacing w:after="80"/>
        <w:ind w:firstLine="709"/>
        <w:jc w:val="both"/>
        <w:rPr>
          <w:rFonts w:ascii="Times New Roman" w:hAnsi="Times New Roman" w:cs="Times New Roman"/>
          <w:sz w:val="24"/>
          <w:szCs w:val="24"/>
        </w:rPr>
      </w:pPr>
      <w:r w:rsidRPr="003B6DC4">
        <w:rPr>
          <w:rFonts w:ascii="Times New Roman" w:hAnsi="Times New Roman" w:cs="Times New Roman"/>
          <w:sz w:val="24"/>
          <w:szCs w:val="24"/>
        </w:rPr>
        <w:t>Latvija savā 2016. gada stabilitātes programmā ir pie</w:t>
      </w:r>
      <w:r w:rsidR="00F01784">
        <w:rPr>
          <w:rFonts w:ascii="Times New Roman" w:hAnsi="Times New Roman" w:cs="Times New Roman"/>
          <w:sz w:val="24"/>
          <w:szCs w:val="24"/>
        </w:rPr>
        <w:t>prasījusi īslaicīgu novirzi 0,5</w:t>
      </w:r>
      <w:r w:rsidRPr="003B6DC4">
        <w:rPr>
          <w:rFonts w:ascii="Times New Roman" w:hAnsi="Times New Roman" w:cs="Times New Roman"/>
          <w:sz w:val="24"/>
          <w:szCs w:val="24"/>
        </w:rPr>
        <w:t xml:space="preserve">% apmērā no </w:t>
      </w:r>
      <w:r w:rsidR="00504EF9">
        <w:rPr>
          <w:rFonts w:ascii="Times New Roman" w:hAnsi="Times New Roman" w:cs="Times New Roman"/>
          <w:sz w:val="24"/>
          <w:szCs w:val="24"/>
        </w:rPr>
        <w:t>iekšzemes kopprodukta</w:t>
      </w:r>
      <w:r w:rsidRPr="003B6DC4">
        <w:rPr>
          <w:rFonts w:ascii="Times New Roman" w:hAnsi="Times New Roman" w:cs="Times New Roman"/>
          <w:sz w:val="24"/>
          <w:szCs w:val="24"/>
        </w:rPr>
        <w:t xml:space="preserve"> nepieciešamajām korekcijām vidēja termiņa budžeta mērķa sasniegšanai 2017. gadā, lai </w:t>
      </w:r>
      <w:r w:rsidR="00FC5431" w:rsidRPr="003B6DC4">
        <w:rPr>
          <w:rFonts w:ascii="Times New Roman" w:hAnsi="Times New Roman" w:cs="Times New Roman"/>
          <w:sz w:val="24"/>
          <w:szCs w:val="24"/>
        </w:rPr>
        <w:t xml:space="preserve">īstenotu </w:t>
      </w:r>
      <w:r w:rsidRPr="003B6DC4">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3B6DC4">
        <w:rPr>
          <w:rFonts w:ascii="Times New Roman" w:hAnsi="Times New Roman" w:cs="Times New Roman"/>
          <w:sz w:val="24"/>
          <w:szCs w:val="24"/>
        </w:rPr>
        <w:t>amatnostādnes 2014.–2020. gadam.</w:t>
      </w:r>
      <w:r w:rsidR="004622DA" w:rsidRPr="003B6DC4">
        <w:rPr>
          <w:rStyle w:val="FootnoteReference"/>
          <w:rFonts w:ascii="Times New Roman" w:hAnsi="Times New Roman" w:cs="Times New Roman"/>
          <w:sz w:val="24"/>
          <w:szCs w:val="24"/>
        </w:rPr>
        <w:footnoteReference w:id="2"/>
      </w:r>
      <w:r w:rsidRPr="003B6DC4">
        <w:rPr>
          <w:rFonts w:ascii="Times New Roman" w:hAnsi="Times New Roman" w:cs="Times New Roman"/>
          <w:sz w:val="24"/>
          <w:szCs w:val="24"/>
        </w:rPr>
        <w:t xml:space="preserve"> </w:t>
      </w:r>
      <w:r w:rsidR="009268C2">
        <w:rPr>
          <w:rFonts w:ascii="Times New Roman" w:eastAsia="Times New Roman" w:hAnsi="Times New Roman" w:cs="Times New Roman"/>
          <w:sz w:val="24"/>
          <w:szCs w:val="24"/>
          <w:lang w:eastAsia="lv-LV"/>
        </w:rPr>
        <w:t xml:space="preserve">Šī </w:t>
      </w:r>
      <w:r w:rsidR="00617D72" w:rsidRPr="003B6DC4">
        <w:rPr>
          <w:rFonts w:ascii="Times New Roman" w:eastAsia="Times New Roman" w:hAnsi="Times New Roman" w:cs="Times New Roman"/>
          <w:sz w:val="24"/>
          <w:szCs w:val="24"/>
          <w:lang w:eastAsia="lv-LV"/>
        </w:rPr>
        <w:t>izvērtējuma rezultātā Eiropas Savienības Padome savās rekomendācijās Latvijai atkārtoti iesaka  uzlabot veselības aprūpes sistēmas pieejamību, kvalitāti un izmaksu lietderību</w:t>
      </w:r>
      <w:r w:rsidR="00617D72" w:rsidRPr="003B6DC4">
        <w:rPr>
          <w:rStyle w:val="FootnoteReference"/>
          <w:rFonts w:ascii="Times New Roman" w:eastAsia="Times New Roman" w:hAnsi="Times New Roman" w:cs="Times New Roman"/>
          <w:sz w:val="24"/>
          <w:szCs w:val="24"/>
          <w:lang w:eastAsia="lv-LV"/>
        </w:rPr>
        <w:footnoteReference w:id="3"/>
      </w:r>
      <w:r w:rsidR="00617D72" w:rsidRPr="003B6DC4">
        <w:rPr>
          <w:rFonts w:ascii="Times New Roman" w:eastAsia="Times New Roman" w:hAnsi="Times New Roman" w:cs="Times New Roman"/>
          <w:sz w:val="24"/>
          <w:szCs w:val="24"/>
          <w:lang w:eastAsia="lv-LV"/>
        </w:rPr>
        <w:t>.</w:t>
      </w:r>
    </w:p>
    <w:p w14:paraId="3ACF9AD2" w14:textId="11B6B0CF" w:rsidR="007F392F" w:rsidRPr="003B6DC4" w:rsidRDefault="00AD69DC" w:rsidP="00B45666">
      <w:pPr>
        <w:spacing w:after="80"/>
        <w:ind w:firstLine="709"/>
        <w:jc w:val="both"/>
        <w:rPr>
          <w:rFonts w:ascii="Times New Roman" w:hAnsi="Times New Roman" w:cs="Times New Roman"/>
          <w:color w:val="000000" w:themeColor="text1"/>
          <w:sz w:val="24"/>
          <w:szCs w:val="24"/>
          <w:lang w:eastAsia="lv-LV"/>
        </w:rPr>
      </w:pPr>
      <w:r w:rsidRPr="003B6DC4">
        <w:rPr>
          <w:rFonts w:ascii="Times New Roman" w:eastAsia="Times New Roman" w:hAnsi="Times New Roman"/>
          <w:sz w:val="24"/>
          <w:szCs w:val="24"/>
          <w:lang w:eastAsia="lv-LV"/>
        </w:rPr>
        <w:t xml:space="preserve">Ministru kabineta ar  2014.gada 14.oktobra rīkojuma Nr. 589 apstiprinātajā vidēja termiņa </w:t>
      </w:r>
      <w:r w:rsidR="008146D4">
        <w:rPr>
          <w:rFonts w:ascii="Times New Roman" w:eastAsia="Times New Roman" w:hAnsi="Times New Roman"/>
          <w:sz w:val="24"/>
          <w:szCs w:val="24"/>
          <w:lang w:eastAsia="lv-LV"/>
        </w:rPr>
        <w:t>attīstības</w:t>
      </w:r>
      <w:r w:rsidRPr="003B6DC4">
        <w:rPr>
          <w:rFonts w:ascii="Times New Roman" w:eastAsia="Times New Roman" w:hAnsi="Times New Roman"/>
          <w:sz w:val="24"/>
          <w:szCs w:val="24"/>
          <w:lang w:eastAsia="lv-LV"/>
        </w:rPr>
        <w:t xml:space="preserve"> plānošanas dokumentā „Sabiedrības veselības pamatnostādnes 2014.-2020.gadam”</w:t>
      </w:r>
      <w:r w:rsidRPr="003B6DC4">
        <w:rPr>
          <w:rStyle w:val="FootnoteReference"/>
          <w:rFonts w:ascii="Times New Roman" w:eastAsia="Times New Roman" w:hAnsi="Times New Roman" w:cs="Times New Roman"/>
          <w:color w:val="414142"/>
          <w:sz w:val="24"/>
          <w:szCs w:val="24"/>
          <w:lang w:eastAsia="lv-LV"/>
        </w:rPr>
        <w:footnoteReference w:id="4"/>
      </w:r>
      <w:r w:rsidRPr="003B6DC4">
        <w:rPr>
          <w:rFonts w:ascii="Times New Roman" w:eastAsia="Times New Roman" w:hAnsi="Times New Roman"/>
          <w:sz w:val="24"/>
          <w:szCs w:val="24"/>
          <w:lang w:eastAsia="lv-LV"/>
        </w:rPr>
        <w:t xml:space="preserve"> </w:t>
      </w:r>
      <w:r w:rsidRPr="003B6DC4">
        <w:rPr>
          <w:rFonts w:ascii="Times New Roman" w:hAnsi="Times New Roman" w:cs="Times New Roman"/>
          <w:sz w:val="24"/>
          <w:szCs w:val="24"/>
          <w:lang w:eastAsia="lv-LV"/>
        </w:rPr>
        <w:t>(turpmāk tekstā – SVP)</w:t>
      </w:r>
      <w:r w:rsidR="007F392F" w:rsidRPr="003B6DC4">
        <w:rPr>
          <w:rFonts w:ascii="Times New Roman" w:hAnsi="Times New Roman" w:cs="Times New Roman"/>
          <w:sz w:val="24"/>
          <w:szCs w:val="24"/>
          <w:lang w:eastAsia="lv-LV"/>
        </w:rPr>
        <w:t xml:space="preserve">, kas izstrādātas atbilstoši </w:t>
      </w:r>
      <w:r w:rsidR="00767D76" w:rsidRPr="00767D76">
        <w:rPr>
          <w:rFonts w:ascii="Times New Roman" w:hAnsi="Times New Roman" w:cs="Times New Roman"/>
          <w:sz w:val="24"/>
          <w:szCs w:val="24"/>
          <w:lang w:eastAsia="lv-LV"/>
        </w:rPr>
        <w:t>Latvijas Nacionāl</w:t>
      </w:r>
      <w:r w:rsidR="00767D76">
        <w:rPr>
          <w:rFonts w:ascii="Times New Roman" w:hAnsi="Times New Roman" w:cs="Times New Roman"/>
          <w:sz w:val="24"/>
          <w:szCs w:val="24"/>
          <w:lang w:eastAsia="lv-LV"/>
        </w:rPr>
        <w:t>ā</w:t>
      </w:r>
      <w:r w:rsidR="00767D76" w:rsidRPr="00767D76">
        <w:rPr>
          <w:rFonts w:ascii="Times New Roman" w:hAnsi="Times New Roman" w:cs="Times New Roman"/>
          <w:sz w:val="24"/>
          <w:szCs w:val="24"/>
          <w:lang w:eastAsia="lv-LV"/>
        </w:rPr>
        <w:t xml:space="preserve"> attīstības plān</w:t>
      </w:r>
      <w:r w:rsidR="00767D76">
        <w:rPr>
          <w:rFonts w:ascii="Times New Roman" w:hAnsi="Times New Roman" w:cs="Times New Roman"/>
          <w:sz w:val="24"/>
          <w:szCs w:val="24"/>
          <w:lang w:eastAsia="lv-LV"/>
        </w:rPr>
        <w:t>a</w:t>
      </w:r>
      <w:r w:rsidR="00767D76" w:rsidRPr="00767D76">
        <w:rPr>
          <w:rFonts w:ascii="Times New Roman" w:hAnsi="Times New Roman" w:cs="Times New Roman"/>
          <w:sz w:val="24"/>
          <w:szCs w:val="24"/>
          <w:lang w:eastAsia="lv-LV"/>
        </w:rPr>
        <w:t xml:space="preserve"> 2014.-2020.gadam</w:t>
      </w:r>
      <w:r w:rsidR="007F392F" w:rsidRPr="003B6DC4">
        <w:rPr>
          <w:rFonts w:ascii="Times New Roman" w:hAnsi="Times New Roman" w:cs="Times New Roman"/>
          <w:sz w:val="24"/>
          <w:szCs w:val="24"/>
          <w:lang w:eastAsia="lv-LV"/>
        </w:rPr>
        <w:t xml:space="preserve"> rīcības virzienam </w:t>
      </w:r>
      <w:r w:rsidRPr="003B6DC4">
        <w:rPr>
          <w:rFonts w:ascii="Times New Roman" w:hAnsi="Times New Roman" w:cs="Times New Roman"/>
          <w:sz w:val="24"/>
          <w:szCs w:val="24"/>
          <w:lang w:eastAsia="lv-LV"/>
        </w:rPr>
        <w:t xml:space="preserve">"Vesels un darbspējīgs cilvēks", </w:t>
      </w:r>
      <w:r w:rsidRPr="003B6DC4">
        <w:rPr>
          <w:rFonts w:ascii="Times New Roman" w:eastAsia="Times New Roman" w:hAnsi="Times New Roman"/>
          <w:sz w:val="24"/>
          <w:szCs w:val="24"/>
          <w:lang w:eastAsia="lv-LV"/>
        </w:rPr>
        <w:t xml:space="preserve">ir iekļauti veselības nozarei sasniedzamie rādītāji un to sasniegšanai īstenojamās reformas. Kā </w:t>
      </w:r>
      <w:r w:rsidR="007F392F" w:rsidRPr="003B6DC4">
        <w:rPr>
          <w:rFonts w:ascii="Times New Roman" w:hAnsi="Times New Roman" w:cs="Times New Roman"/>
          <w:sz w:val="24"/>
          <w:szCs w:val="24"/>
          <w:lang w:eastAsia="lv-LV"/>
        </w:rPr>
        <w:t xml:space="preserve">virsmērķis </w:t>
      </w:r>
      <w:r w:rsidRPr="003B6DC4">
        <w:rPr>
          <w:rFonts w:ascii="Times New Roman" w:hAnsi="Times New Roman" w:cs="Times New Roman"/>
          <w:sz w:val="24"/>
          <w:szCs w:val="24"/>
          <w:lang w:eastAsia="lv-LV"/>
        </w:rPr>
        <w:t xml:space="preserve">SVP noteikts </w:t>
      </w:r>
      <w:r w:rsidR="007F392F" w:rsidRPr="003B6DC4">
        <w:rPr>
          <w:rFonts w:ascii="Times New Roman" w:hAnsi="Times New Roman" w:cs="Times New Roman"/>
          <w:sz w:val="24"/>
          <w:szCs w:val="24"/>
          <w:lang w:eastAsia="lv-LV"/>
        </w:rPr>
        <w:t xml:space="preserve">palielināt Latvijas iedzīvotāju veselīgi nodzīvoto mūža gadu skaitu un novērst priekšlaicīgu nāvi, </w:t>
      </w:r>
      <w:r w:rsidR="007F392F" w:rsidRPr="003B6DC4">
        <w:rPr>
          <w:rFonts w:ascii="Times New Roman" w:hAnsi="Times New Roman" w:cs="Times New Roman"/>
          <w:sz w:val="24"/>
          <w:szCs w:val="24"/>
          <w:lang w:eastAsia="lv-LV"/>
        </w:rPr>
        <w:lastRenderedPageBreak/>
        <w:t xml:space="preserve">saglabājot, uzlabojot un atjaunojot iedzīvotāju veselību. Lai sasniegtu šo virsmērķi, līdz </w:t>
      </w:r>
      <w:r w:rsidR="007F392F" w:rsidRPr="003B6DC4">
        <w:rPr>
          <w:rFonts w:ascii="Times New Roman" w:hAnsi="Times New Roman" w:cs="Times New Roman"/>
          <w:color w:val="000000" w:themeColor="text1"/>
          <w:sz w:val="24"/>
          <w:szCs w:val="24"/>
          <w:lang w:eastAsia="lv-LV"/>
        </w:rPr>
        <w:t xml:space="preserve">2020. gadam </w:t>
      </w:r>
      <w:r w:rsidR="004D142A">
        <w:rPr>
          <w:rFonts w:ascii="Times New Roman" w:hAnsi="Times New Roman" w:cs="Times New Roman"/>
          <w:color w:val="000000" w:themeColor="text1"/>
          <w:sz w:val="24"/>
          <w:szCs w:val="24"/>
          <w:lang w:eastAsia="lv-LV"/>
        </w:rPr>
        <w:t>ir plānots</w:t>
      </w:r>
      <w:r w:rsidR="007F392F" w:rsidRPr="003B6DC4">
        <w:rPr>
          <w:rFonts w:ascii="Times New Roman" w:hAnsi="Times New Roman" w:cs="Times New Roman"/>
          <w:color w:val="000000" w:themeColor="text1"/>
          <w:sz w:val="24"/>
          <w:szCs w:val="24"/>
          <w:lang w:eastAsia="lv-LV"/>
        </w:rPr>
        <w:t>:</w:t>
      </w:r>
    </w:p>
    <w:p w14:paraId="4973458D" w14:textId="50369938" w:rsidR="007F392F" w:rsidRPr="003B6DC4" w:rsidRDefault="007F392F" w:rsidP="007F3A08">
      <w:pPr>
        <w:pStyle w:val="ListParagraph"/>
        <w:numPr>
          <w:ilvl w:val="0"/>
          <w:numId w:val="9"/>
        </w:numPr>
        <w:shd w:val="clear" w:color="auto" w:fill="FFFFFF"/>
        <w:tabs>
          <w:tab w:val="left" w:pos="1134"/>
        </w:tabs>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trim gadiem palielināt veselīgi nodzīvoto mūža gadu skaitu (2020. gadā sasniegt 57 gadus vīriešiem un 60 gadus sievietēm)</w:t>
      </w:r>
      <w:r w:rsidR="00617636">
        <w:rPr>
          <w:rStyle w:val="FootnoteReference"/>
          <w:rFonts w:ascii="Times New Roman" w:eastAsia="Times New Roman" w:hAnsi="Times New Roman"/>
          <w:color w:val="000000" w:themeColor="text1"/>
          <w:sz w:val="24"/>
          <w:szCs w:val="24"/>
          <w:lang w:val="lv-LV" w:eastAsia="lv-LV"/>
        </w:rPr>
        <w:footnoteReference w:id="5"/>
      </w:r>
      <w:r w:rsidRPr="003B6DC4">
        <w:rPr>
          <w:rFonts w:ascii="Times New Roman" w:eastAsia="Times New Roman" w:hAnsi="Times New Roman"/>
          <w:color w:val="000000" w:themeColor="text1"/>
          <w:sz w:val="24"/>
          <w:szCs w:val="24"/>
          <w:lang w:val="lv-LV" w:eastAsia="lv-LV"/>
        </w:rPr>
        <w:t>;</w:t>
      </w:r>
    </w:p>
    <w:p w14:paraId="071B0E5E" w14:textId="43DCA571" w:rsidR="007F392F" w:rsidRPr="00B45666" w:rsidRDefault="007F392F" w:rsidP="007F3A08">
      <w:pPr>
        <w:pStyle w:val="ListParagraph"/>
        <w:numPr>
          <w:ilvl w:val="0"/>
          <w:numId w:val="9"/>
        </w:numPr>
        <w:shd w:val="clear" w:color="auto" w:fill="FFFFFF"/>
        <w:tabs>
          <w:tab w:val="left" w:pos="1134"/>
        </w:tabs>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11 % samazināt potenciāli zaudēto mūža gadu (līdz 64 gadu vecumam)</w:t>
      </w:r>
      <w:r w:rsidR="00A557BA">
        <w:rPr>
          <w:rStyle w:val="FootnoteReference"/>
          <w:rFonts w:ascii="Times New Roman" w:eastAsia="Times New Roman" w:hAnsi="Times New Roman"/>
          <w:color w:val="000000" w:themeColor="text1"/>
          <w:sz w:val="24"/>
          <w:szCs w:val="24"/>
          <w:lang w:val="lv-LV" w:eastAsia="lv-LV"/>
        </w:rPr>
        <w:footnoteReference w:id="6"/>
      </w:r>
      <w:r w:rsidRPr="003B6DC4">
        <w:rPr>
          <w:rFonts w:ascii="Times New Roman" w:eastAsia="Times New Roman" w:hAnsi="Times New Roman"/>
          <w:color w:val="000000" w:themeColor="text1"/>
          <w:sz w:val="24"/>
          <w:szCs w:val="24"/>
          <w:lang w:val="lv-LV" w:eastAsia="lv-LV"/>
        </w:rPr>
        <w:t xml:space="preserve"> rādītāju (2020. gadā sasniegt 5 300 uz 100 000 iedzīvotāju).</w:t>
      </w:r>
    </w:p>
    <w:p w14:paraId="3D178CCE" w14:textId="3A978F9D" w:rsidR="003A2CC3" w:rsidRPr="003B6DC4" w:rsidRDefault="00FA302E" w:rsidP="00986CBA">
      <w:pPr>
        <w:pStyle w:val="Heading1"/>
        <w:numPr>
          <w:ilvl w:val="0"/>
          <w:numId w:val="31"/>
        </w:numPr>
        <w:spacing w:before="0" w:after="200"/>
        <w:ind w:left="357" w:hanging="357"/>
        <w:jc w:val="center"/>
        <w:rPr>
          <w:rFonts w:ascii="Times New Roman" w:hAnsi="Times New Roman" w:cs="Times New Roman"/>
          <w:b/>
          <w:color w:val="auto"/>
          <w:sz w:val="28"/>
          <w:szCs w:val="28"/>
        </w:rPr>
      </w:pPr>
      <w:r w:rsidRPr="003B6DC4">
        <w:rPr>
          <w:rFonts w:ascii="Times New Roman" w:hAnsi="Times New Roman" w:cs="Times New Roman"/>
          <w:b/>
          <w:color w:val="auto"/>
          <w:sz w:val="28"/>
          <w:szCs w:val="28"/>
        </w:rPr>
        <w:t xml:space="preserve">Esošās situācijas </w:t>
      </w:r>
      <w:r w:rsidR="00F87A35" w:rsidRPr="003B6DC4">
        <w:rPr>
          <w:rFonts w:ascii="Times New Roman" w:hAnsi="Times New Roman" w:cs="Times New Roman"/>
          <w:b/>
          <w:color w:val="auto"/>
          <w:sz w:val="28"/>
          <w:szCs w:val="28"/>
        </w:rPr>
        <w:t>apraksts</w:t>
      </w:r>
    </w:p>
    <w:p w14:paraId="01285A13" w14:textId="794250E4" w:rsidR="000E3FC0" w:rsidRPr="003B6DC4" w:rsidRDefault="000E3FC0" w:rsidP="00AB1CF9">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Latvijas tautsaimniecība ik gadu zaudē vairāk nekā 1 miljardu </w:t>
      </w:r>
      <w:r w:rsidRPr="003B6DC4">
        <w:rPr>
          <w:rFonts w:ascii="Times New Roman" w:eastAsia="Times New Roman" w:hAnsi="Times New Roman" w:cs="Times New Roman"/>
          <w:i/>
          <w:sz w:val="24"/>
          <w:szCs w:val="24"/>
          <w:lang w:eastAsia="lv-LV"/>
        </w:rPr>
        <w:t>euro</w:t>
      </w:r>
      <w:r w:rsidRPr="003B6DC4">
        <w:rPr>
          <w:rFonts w:ascii="Times New Roman" w:eastAsia="Times New Roman" w:hAnsi="Times New Roman" w:cs="Times New Roman"/>
          <w:sz w:val="24"/>
          <w:szCs w:val="24"/>
          <w:lang w:eastAsia="lv-LV"/>
        </w:rPr>
        <w:t xml:space="preserve"> priekšlaicīgas iedzīvotāju mirstības dēļ</w:t>
      </w:r>
      <w:r w:rsidR="00B95678">
        <w:rPr>
          <w:rStyle w:val="FootnoteReference"/>
          <w:rFonts w:ascii="Times New Roman" w:eastAsia="Times New Roman" w:hAnsi="Times New Roman" w:cs="Times New Roman"/>
          <w:sz w:val="24"/>
          <w:szCs w:val="24"/>
          <w:lang w:eastAsia="lv-LV"/>
        </w:rPr>
        <w:footnoteReference w:id="7"/>
      </w:r>
      <w:r w:rsidRPr="003B6DC4">
        <w:rPr>
          <w:rFonts w:ascii="Times New Roman" w:eastAsia="Times New Roman" w:hAnsi="Times New Roman" w:cs="Times New Roman"/>
          <w:sz w:val="24"/>
          <w:szCs w:val="24"/>
          <w:lang w:eastAsia="lv-LV"/>
        </w:rPr>
        <w:t>.</w:t>
      </w:r>
    </w:p>
    <w:p w14:paraId="04142941" w14:textId="7CEE4F2A" w:rsidR="000E3FC0" w:rsidRPr="003B6DC4" w:rsidRDefault="001168E6" w:rsidP="000E3FC0">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Valstī</w:t>
      </w:r>
      <w:r w:rsidR="000E3FC0" w:rsidRPr="003B6DC4">
        <w:rPr>
          <w:rFonts w:ascii="Times New Roman" w:eastAsia="Times New Roman" w:hAnsi="Times New Roman" w:cs="Times New Roman"/>
          <w:sz w:val="24"/>
          <w:szCs w:val="24"/>
          <w:lang w:eastAsia="lv-LV"/>
        </w:rPr>
        <w:t xml:space="preserve"> ik gadu mirst vairāk nekā 28 tūkstoši cilvēku (2013. – 28 691, 2014. – 28 466, 2015. – 28 478)</w:t>
      </w:r>
      <w:r w:rsidR="000E3FC0" w:rsidRPr="003B6DC4">
        <w:rPr>
          <w:rStyle w:val="FootnoteReference"/>
          <w:rFonts w:ascii="Times New Roman" w:eastAsia="Times New Roman" w:hAnsi="Times New Roman" w:cs="Times New Roman"/>
          <w:sz w:val="24"/>
          <w:szCs w:val="24"/>
          <w:lang w:eastAsia="lv-LV"/>
        </w:rPr>
        <w:footnoteReference w:id="8"/>
      </w:r>
      <w:r w:rsidR="000E3FC0" w:rsidRPr="003B6DC4">
        <w:rPr>
          <w:rFonts w:ascii="Times New Roman" w:eastAsia="Times New Roman" w:hAnsi="Times New Roman" w:cs="Times New Roman"/>
          <w:sz w:val="24"/>
          <w:szCs w:val="24"/>
          <w:lang w:eastAsia="lv-LV"/>
        </w:rPr>
        <w:t>, no kuriem katrs ceturtais miris priekšlaicīgi, t.i., nesasniedzot 65 gadu vecumu. Būtisks indikators priekšlaicīgas mirstības raksturošanai ir potenciāli zaudēto mūža gadu rādītājs. 2015.gadā, nomirstot Latvijas iedzīvotājiem vecumā līdz 64 gadiem, zaudēti 88,2 tūkstoši potenciālo mūža gadu</w:t>
      </w:r>
      <w:r w:rsidR="00765E41" w:rsidRPr="003B6DC4">
        <w:rPr>
          <w:rFonts w:ascii="Times New Roman" w:eastAsia="Times New Roman" w:hAnsi="Times New Roman" w:cs="Times New Roman"/>
          <w:sz w:val="24"/>
          <w:szCs w:val="24"/>
          <w:lang w:eastAsia="lv-LV"/>
        </w:rPr>
        <w:t xml:space="preserve"> (5 541 uz 100 tūkst. iedzīvotājiem)</w:t>
      </w:r>
      <w:r w:rsidR="000E3FC0" w:rsidRPr="003B6DC4">
        <w:rPr>
          <w:rFonts w:ascii="Times New Roman" w:eastAsia="Times New Roman" w:hAnsi="Times New Roman" w:cs="Times New Roman"/>
          <w:sz w:val="24"/>
          <w:szCs w:val="24"/>
          <w:lang w:eastAsia="lv-LV"/>
        </w:rPr>
        <w:t>. Vidēji viens priekšlaicīgi mirušais zaudē 13 sava mūža gadus (līdz 64 gadu vecumam).</w:t>
      </w:r>
      <w:r w:rsidR="000E3FC0" w:rsidRPr="003B6DC4">
        <w:rPr>
          <w:rStyle w:val="FootnoteReference"/>
          <w:rFonts w:ascii="Times New Roman" w:eastAsia="Times New Roman" w:hAnsi="Times New Roman" w:cs="Times New Roman"/>
          <w:sz w:val="24"/>
          <w:szCs w:val="24"/>
          <w:lang w:eastAsia="lv-LV"/>
        </w:rPr>
        <w:footnoteReference w:id="9"/>
      </w:r>
    </w:p>
    <w:p w14:paraId="147F4562" w14:textId="77777777" w:rsidR="000E3FC0" w:rsidRPr="003B6DC4" w:rsidRDefault="000E3FC0" w:rsidP="000E3FC0">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Līdz ar to valsts zaudē ievērojamus cilvēkresursus, kas atstāj būtisku ietekmi uz visu tautsaimniecību. Ņemot vērā datus par potenciāli zaudētajiem mūža gadiem un iekšzemes kopproduktu uz vienu iedzīvotāju, valsts tautsaimniecība saistībā ar priekšlaicīgi mirušajiem zaudējusi vairāk nekā 1 miljardu </w:t>
      </w:r>
      <w:r w:rsidRPr="003B6DC4">
        <w:rPr>
          <w:rFonts w:ascii="Times New Roman" w:eastAsia="Times New Roman" w:hAnsi="Times New Roman" w:cs="Times New Roman"/>
          <w:i/>
          <w:sz w:val="24"/>
          <w:szCs w:val="24"/>
          <w:lang w:eastAsia="lv-LV"/>
        </w:rPr>
        <w:t xml:space="preserve">euro </w:t>
      </w:r>
      <w:r w:rsidRPr="003B6DC4">
        <w:rPr>
          <w:rFonts w:ascii="Times New Roman" w:eastAsia="Times New Roman" w:hAnsi="Times New Roman" w:cs="Times New Roman"/>
          <w:sz w:val="24"/>
          <w:szCs w:val="24"/>
          <w:lang w:eastAsia="lv-LV"/>
        </w:rPr>
        <w:t xml:space="preserve">gadā, savukārt valsts budžets tikai neiekasētajos darbaspēka nodokļos, neskaitot citus nodokļu veidus, zaudējis vairāk nekā 431 miljonu </w:t>
      </w:r>
      <w:r w:rsidRPr="003B6DC4">
        <w:rPr>
          <w:rFonts w:ascii="Times New Roman" w:eastAsia="Times New Roman" w:hAnsi="Times New Roman" w:cs="Times New Roman"/>
          <w:i/>
          <w:sz w:val="24"/>
          <w:szCs w:val="24"/>
          <w:lang w:eastAsia="lv-LV"/>
        </w:rPr>
        <w:t>euro</w:t>
      </w:r>
      <w:r w:rsidRPr="003B6DC4">
        <w:rPr>
          <w:rFonts w:ascii="Times New Roman" w:eastAsia="Times New Roman" w:hAnsi="Times New Roman" w:cs="Times New Roman"/>
          <w:sz w:val="24"/>
          <w:szCs w:val="24"/>
          <w:lang w:eastAsia="lv-LV"/>
        </w:rPr>
        <w:t>.</w:t>
      </w:r>
    </w:p>
    <w:p w14:paraId="3F1B632B" w14:textId="77777777" w:rsidR="000E3FC0" w:rsidRPr="003B6DC4" w:rsidRDefault="000E3FC0" w:rsidP="000E3FC0">
      <w:pPr>
        <w:shd w:val="clear" w:color="auto" w:fill="FFFFFF"/>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Nodrošinot iedzīvotājiem pieejamus un kvalitatīvus veselības profilakses un veselības aprūpes pakalpojumus, tautsaimniecība atgūs daļu no zaudētā finansējuma, tādējādi sekmējot ilgtspējīgu valsts attīstību.</w:t>
      </w:r>
    </w:p>
    <w:p w14:paraId="7CBF68A5" w14:textId="2370F2B2" w:rsidR="007F392F" w:rsidRPr="003B6DC4" w:rsidRDefault="007F392F" w:rsidP="000E3FC0">
      <w:pPr>
        <w:shd w:val="clear" w:color="auto" w:fill="FFFFFF"/>
        <w:ind w:firstLine="720"/>
        <w:jc w:val="both"/>
        <w:rPr>
          <w:rFonts w:ascii="Times New Roman" w:eastAsia="Times New Roman" w:hAnsi="Times New Roman" w:cs="Times New Roman"/>
          <w:b/>
          <w:color w:val="414142"/>
          <w:sz w:val="24"/>
          <w:szCs w:val="24"/>
          <w:lang w:eastAsia="lv-LV"/>
        </w:rPr>
      </w:pPr>
      <w:r w:rsidRPr="003B6DC4">
        <w:rPr>
          <w:rFonts w:ascii="Times New Roman" w:eastAsia="Times New Roman" w:hAnsi="Times New Roman" w:cs="Times New Roman"/>
          <w:sz w:val="24"/>
          <w:szCs w:val="24"/>
          <w:lang w:eastAsia="lv-LV"/>
        </w:rPr>
        <w:t xml:space="preserve">Viens no </w:t>
      </w:r>
      <w:r w:rsidR="001E043E" w:rsidRPr="003B6DC4">
        <w:rPr>
          <w:rFonts w:ascii="Times New Roman" w:eastAsia="Times New Roman" w:hAnsi="Times New Roman" w:cs="Times New Roman"/>
          <w:sz w:val="24"/>
          <w:szCs w:val="24"/>
          <w:lang w:eastAsia="lv-LV"/>
        </w:rPr>
        <w:t>S</w:t>
      </w:r>
      <w:r w:rsidR="00AD69DC" w:rsidRPr="003B6DC4">
        <w:rPr>
          <w:rFonts w:ascii="Times New Roman" w:eastAsia="Times New Roman" w:hAnsi="Times New Roman" w:cs="Times New Roman"/>
          <w:sz w:val="24"/>
          <w:szCs w:val="24"/>
          <w:lang w:eastAsia="lv-LV"/>
        </w:rPr>
        <w:t>VP</w:t>
      </w:r>
      <w:r w:rsidR="001E043E" w:rsidRPr="003B6DC4">
        <w:rPr>
          <w:rFonts w:ascii="Times New Roman" w:eastAsia="Times New Roman" w:hAnsi="Times New Roman" w:cs="Times New Roman"/>
          <w:sz w:val="24"/>
          <w:szCs w:val="24"/>
          <w:lang w:eastAsia="lv-LV"/>
        </w:rPr>
        <w:t xml:space="preserve"> noteiktajiem </w:t>
      </w:r>
      <w:r w:rsidRPr="003B6DC4">
        <w:rPr>
          <w:rFonts w:ascii="Times New Roman" w:eastAsia="Times New Roman" w:hAnsi="Times New Roman" w:cs="Times New Roman"/>
          <w:sz w:val="24"/>
          <w:szCs w:val="24"/>
          <w:lang w:eastAsia="lv-LV"/>
        </w:rPr>
        <w:t xml:space="preserve">politikas virsmērķa sasniegšanai izvirzītajiem apakšmērķiem ir: </w:t>
      </w:r>
      <w:r w:rsidRPr="003B6DC4">
        <w:rPr>
          <w:rFonts w:ascii="Times New Roman" w:eastAsia="Times New Roman" w:hAnsi="Times New Roman" w:cs="Times New Roman"/>
          <w:b/>
          <w:color w:val="414142"/>
          <w:sz w:val="24"/>
          <w:szCs w:val="24"/>
          <w:lang w:eastAsia="lv-LV"/>
        </w:rPr>
        <w:t xml:space="preserve">„nodrošināt efektīvu veselības aprūpes sistēmas pārvaldi un racionālu resursu izmantošanu, lai sekmētu veselības aprūpes sistēmas darbības ilgtspējību un visiem Latvijas iedzīvotājiem vienlīdzīgu pieeju kvalitatīviem veselības aprūpes pakalpojumiem, kas tiek apmaksāti no valsts budžeta līdzekļiem”, kā arī ”novērst nevienlīdzību veselības jomā, veicot </w:t>
      </w:r>
      <w:r w:rsidRPr="003B6DC4">
        <w:rPr>
          <w:rFonts w:ascii="Times New Roman" w:eastAsia="Times New Roman" w:hAnsi="Times New Roman" w:cs="Times New Roman"/>
          <w:b/>
          <w:color w:val="414142"/>
          <w:sz w:val="24"/>
          <w:szCs w:val="24"/>
          <w:lang w:eastAsia="lv-LV"/>
        </w:rPr>
        <w:lastRenderedPageBreak/>
        <w:t>pasākumus, lai nodrošinātu Latvijas iedzīvotājiem vienādas iespējas veselības veicināšanā un veselības aprūpē”</w:t>
      </w:r>
      <w:r w:rsidR="001715C8" w:rsidRPr="003B6DC4">
        <w:rPr>
          <w:rStyle w:val="FootnoteReference"/>
          <w:rFonts w:ascii="Times New Roman" w:eastAsia="Times New Roman" w:hAnsi="Times New Roman" w:cs="Times New Roman"/>
          <w:b/>
          <w:color w:val="414142"/>
          <w:sz w:val="24"/>
          <w:szCs w:val="24"/>
          <w:lang w:eastAsia="lv-LV"/>
        </w:rPr>
        <w:footnoteReference w:id="10"/>
      </w:r>
      <w:r w:rsidRPr="003B6DC4">
        <w:rPr>
          <w:rFonts w:ascii="Times New Roman" w:eastAsia="Times New Roman" w:hAnsi="Times New Roman" w:cs="Times New Roman"/>
          <w:b/>
          <w:color w:val="414142"/>
          <w:sz w:val="24"/>
          <w:szCs w:val="24"/>
          <w:lang w:eastAsia="lv-LV"/>
        </w:rPr>
        <w:t>.</w:t>
      </w:r>
    </w:p>
    <w:p w14:paraId="28D75046" w14:textId="04F44E0C" w:rsidR="001715C8" w:rsidRPr="003B6DC4" w:rsidRDefault="00AB4A24" w:rsidP="001715C8">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Pašreizējā situācijā </w:t>
      </w:r>
      <w:r w:rsidR="00191301" w:rsidRPr="003B6DC4">
        <w:rPr>
          <w:rFonts w:ascii="Times New Roman" w:eastAsia="Times New Roman" w:hAnsi="Times New Roman" w:cs="Times New Roman"/>
          <w:sz w:val="24"/>
          <w:szCs w:val="24"/>
          <w:lang w:eastAsia="lv-LV"/>
        </w:rPr>
        <w:t>“</w:t>
      </w:r>
      <w:r w:rsidR="00191301" w:rsidRPr="003B6DC4">
        <w:rPr>
          <w:rFonts w:ascii="Times New Roman" w:hAnsi="Times New Roman" w:cs="Times New Roman"/>
          <w:sz w:val="24"/>
          <w:szCs w:val="24"/>
        </w:rPr>
        <w:t>liela daļa iedzīvotāju nevar apmierināt savas veselības aprūpes vajadzības, jo veselības aprūpei ir mazs publiskais finansējums, raksturīgi strukturālie trūkumi un lieli tiešie maksājumi, kurus iedzīvotāji maksā paši, kā arī neoptimāla izmaksu lietderība. Kaut arī piekļuve veselības aprūpei kritiskos medicīniskajos gadījumos ir izvirzīta par prioritāti, finansiāli ierobežojumi kavē pakalpojumu sniegšanu kopumā”</w:t>
      </w:r>
      <w:r w:rsidR="00191301" w:rsidRPr="003B6DC4">
        <w:rPr>
          <w:rStyle w:val="FootnoteReference"/>
          <w:rFonts w:ascii="Times New Roman" w:hAnsi="Times New Roman" w:cs="Times New Roman"/>
          <w:sz w:val="24"/>
          <w:szCs w:val="24"/>
        </w:rPr>
        <w:footnoteReference w:id="11"/>
      </w:r>
      <w:r w:rsidR="00191301" w:rsidRPr="003B6DC4">
        <w:rPr>
          <w:rFonts w:ascii="Times New Roman" w:hAnsi="Times New Roman" w:cs="Times New Roman"/>
          <w:sz w:val="24"/>
          <w:szCs w:val="24"/>
        </w:rPr>
        <w:t xml:space="preserve">. </w:t>
      </w:r>
      <w:r w:rsidR="001715C8" w:rsidRPr="003B6DC4">
        <w:rPr>
          <w:rFonts w:ascii="Times New Roman" w:hAnsi="Times New Roman" w:cs="Times New Roman"/>
          <w:sz w:val="24"/>
          <w:szCs w:val="24"/>
        </w:rPr>
        <w:t xml:space="preserve">Šie </w:t>
      </w:r>
      <w:r w:rsidR="001715C8" w:rsidRPr="003B6DC4">
        <w:rPr>
          <w:rFonts w:ascii="Times New Roman" w:eastAsia="Times New Roman" w:hAnsi="Times New Roman" w:cs="Times New Roman"/>
          <w:sz w:val="24"/>
          <w:szCs w:val="24"/>
          <w:lang w:eastAsia="lv-LV"/>
        </w:rPr>
        <w:t xml:space="preserve">Eiropas Savienības Padomes secinājumi tieši norāda uz vienu no būtiskākajiem veselības aprūpes sistēmas nodrošināšanas šķēršļiem - </w:t>
      </w:r>
      <w:r w:rsidR="001715C8" w:rsidRPr="003B6DC4">
        <w:rPr>
          <w:rFonts w:ascii="Times New Roman" w:eastAsia="Times New Roman" w:hAnsi="Times New Roman" w:cs="Times New Roman"/>
          <w:b/>
          <w:sz w:val="24"/>
          <w:szCs w:val="24"/>
          <w:lang w:eastAsia="lv-LV"/>
        </w:rPr>
        <w:t>veselības aprūpes pakalpojumu pieejamību</w:t>
      </w:r>
      <w:r w:rsidR="001715C8" w:rsidRPr="003B6DC4">
        <w:rPr>
          <w:rFonts w:ascii="Times New Roman" w:eastAsia="Times New Roman" w:hAnsi="Times New Roman" w:cs="Times New Roman"/>
          <w:sz w:val="24"/>
          <w:szCs w:val="24"/>
          <w:lang w:eastAsia="lv-LV"/>
        </w:rPr>
        <w:t xml:space="preserve"> (gan finansiālu, gan speciālistu, gan ģeogrāfisku). </w:t>
      </w:r>
    </w:p>
    <w:p w14:paraId="38C5F1B6" w14:textId="0381B471" w:rsidR="003F357D" w:rsidRPr="003B6DC4" w:rsidRDefault="003F357D" w:rsidP="003F357D">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Nepietiekami finansētā veselības aprūpes sistēma palielina gaidīšanas rindas uz veselības aprūpes pakalpojumu saņemšanu, kā rezultātā kopš 2010.gada Latvijā iedzīvotāju īpatsvars, kas neapmeklēja veselības aprūpes speciālistu nepieciešamības gadījumā ir visaugstākais no visām </w:t>
      </w:r>
      <w:r w:rsidR="0060611D">
        <w:rPr>
          <w:rFonts w:ascii="Times New Roman" w:eastAsia="Times New Roman" w:hAnsi="Times New Roman" w:cs="Times New Roman"/>
          <w:sz w:val="24"/>
          <w:szCs w:val="24"/>
          <w:lang w:eastAsia="lv-LV"/>
        </w:rPr>
        <w:t xml:space="preserve">Eiropas savienības (turpmāk – </w:t>
      </w:r>
      <w:r w:rsidRPr="003B6DC4">
        <w:rPr>
          <w:rFonts w:ascii="Times New Roman" w:eastAsia="Times New Roman" w:hAnsi="Times New Roman" w:cs="Times New Roman"/>
          <w:sz w:val="24"/>
          <w:szCs w:val="24"/>
          <w:lang w:eastAsia="lv-LV"/>
        </w:rPr>
        <w:t>ES</w:t>
      </w:r>
      <w:r w:rsidR="0060611D">
        <w:rPr>
          <w:rFonts w:ascii="Times New Roman" w:eastAsia="Times New Roman" w:hAnsi="Times New Roman" w:cs="Times New Roman"/>
          <w:sz w:val="24"/>
          <w:szCs w:val="24"/>
          <w:lang w:eastAsia="lv-LV"/>
        </w:rPr>
        <w:t>)</w:t>
      </w:r>
      <w:r w:rsidRPr="003B6DC4">
        <w:rPr>
          <w:rFonts w:ascii="Times New Roman" w:eastAsia="Times New Roman" w:hAnsi="Times New Roman" w:cs="Times New Roman"/>
          <w:sz w:val="24"/>
          <w:szCs w:val="24"/>
          <w:lang w:eastAsia="lv-LV"/>
        </w:rPr>
        <w:t xml:space="preserve"> dalībvalstī</w:t>
      </w:r>
      <w:r w:rsidR="00E24BA5" w:rsidRPr="003B6DC4">
        <w:rPr>
          <w:rFonts w:ascii="Times New Roman" w:eastAsia="Times New Roman" w:hAnsi="Times New Roman" w:cs="Times New Roman"/>
          <w:sz w:val="24"/>
          <w:szCs w:val="24"/>
          <w:lang w:eastAsia="lv-LV"/>
        </w:rPr>
        <w:t>m</w:t>
      </w:r>
      <w:r w:rsidRPr="003B6DC4">
        <w:rPr>
          <w:rFonts w:ascii="Times New Roman" w:eastAsia="Times New Roman" w:hAnsi="Times New Roman" w:cs="Times New Roman"/>
          <w:sz w:val="24"/>
          <w:szCs w:val="24"/>
          <w:lang w:eastAsia="lv-LV"/>
        </w:rPr>
        <w:t xml:space="preserve"> </w:t>
      </w:r>
      <w:r w:rsidRPr="003B6DC4">
        <w:rPr>
          <w:rStyle w:val="FootnoteReference"/>
          <w:rFonts w:ascii="Times New Roman" w:eastAsia="Times New Roman" w:hAnsi="Times New Roman" w:cs="Times New Roman"/>
          <w:sz w:val="24"/>
          <w:szCs w:val="24"/>
          <w:lang w:eastAsia="lv-LV"/>
        </w:rPr>
        <w:footnoteReference w:id="12"/>
      </w:r>
      <w:r w:rsidRPr="003B6DC4">
        <w:rPr>
          <w:rFonts w:ascii="Times New Roman" w:eastAsia="Times New Roman" w:hAnsi="Times New Roman" w:cs="Times New Roman"/>
          <w:sz w:val="24"/>
          <w:szCs w:val="24"/>
          <w:lang w:eastAsia="lv-LV"/>
        </w:rPr>
        <w:t xml:space="preserve">. </w:t>
      </w:r>
    </w:p>
    <w:p w14:paraId="0803790E" w14:textId="0A49ED14" w:rsidR="003F357D" w:rsidRPr="003B6DC4" w:rsidRDefault="003F357D" w:rsidP="00617D72">
      <w:pPr>
        <w:ind w:firstLine="709"/>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Svarīgi atzīmēt, ka ierobežota pieejamība veselības aprūpes pakalpojumiem ir viens no faktoriem, kas </w:t>
      </w:r>
      <w:r w:rsidR="002F56D9" w:rsidRPr="003B6DC4">
        <w:rPr>
          <w:rFonts w:ascii="Times New Roman" w:eastAsia="Times New Roman" w:hAnsi="Times New Roman" w:cs="Times New Roman"/>
          <w:sz w:val="24"/>
          <w:szCs w:val="24"/>
          <w:lang w:eastAsia="lv-LV"/>
        </w:rPr>
        <w:t>būtiski</w:t>
      </w:r>
      <w:r w:rsidRPr="003B6DC4">
        <w:rPr>
          <w:rFonts w:ascii="Times New Roman" w:eastAsia="Times New Roman" w:hAnsi="Times New Roman" w:cs="Times New Roman"/>
          <w:sz w:val="24"/>
          <w:szCs w:val="24"/>
          <w:lang w:eastAsia="lv-LV"/>
        </w:rPr>
        <w:t xml:space="preserve"> palielina nabadzību un ienākumu nevienlīdzību iedzīvotājiem. Arī šis rādītājs Latvijā ir viens no augstākajiem starp ES dalībvalstīm</w:t>
      </w:r>
      <w:r w:rsidRPr="003B6DC4">
        <w:rPr>
          <w:rStyle w:val="FootnoteReference"/>
          <w:rFonts w:ascii="Times New Roman" w:eastAsia="Times New Roman" w:hAnsi="Times New Roman" w:cs="Times New Roman"/>
          <w:sz w:val="24"/>
          <w:szCs w:val="24"/>
          <w:lang w:eastAsia="lv-LV"/>
        </w:rPr>
        <w:footnoteReference w:id="13"/>
      </w:r>
      <w:r w:rsidRPr="003B6DC4">
        <w:rPr>
          <w:rFonts w:ascii="Times New Roman" w:eastAsia="Times New Roman" w:hAnsi="Times New Roman" w:cs="Times New Roman"/>
          <w:sz w:val="24"/>
          <w:szCs w:val="24"/>
          <w:lang w:eastAsia="lv-LV"/>
        </w:rPr>
        <w:t>. Vienlaicīgi sliktie sabiedrības veselības rādītāji mazina darbaspēka nodrošinājumu nākotnē. Mirstības rādītāji vecumgrupā virs 65 gadiem ir otrie augstākie Eiropā, kas mazina Latvijas darbaspēku par 3,9% (salīdzinājumā, ja mirstības rādītāji atbilstu ES valstu vidējiem rādītājiem)</w:t>
      </w:r>
      <w:r w:rsidRPr="003B6DC4">
        <w:rPr>
          <w:rStyle w:val="FootnoteReference"/>
          <w:rFonts w:ascii="Times New Roman" w:eastAsia="Times New Roman" w:hAnsi="Times New Roman" w:cs="Times New Roman"/>
          <w:sz w:val="24"/>
          <w:szCs w:val="24"/>
          <w:lang w:eastAsia="lv-LV"/>
        </w:rPr>
        <w:footnoteReference w:id="14"/>
      </w:r>
      <w:r w:rsidRPr="003B6DC4">
        <w:rPr>
          <w:rFonts w:ascii="Times New Roman" w:eastAsia="Times New Roman" w:hAnsi="Times New Roman" w:cs="Times New Roman"/>
          <w:sz w:val="24"/>
          <w:szCs w:val="24"/>
          <w:lang w:eastAsia="lv-LV"/>
        </w:rPr>
        <w:t xml:space="preserve">. </w:t>
      </w:r>
    </w:p>
    <w:p w14:paraId="4C1D5505" w14:textId="46BB20B9" w:rsidR="001805A5" w:rsidRPr="003B6DC4" w:rsidRDefault="00617D72" w:rsidP="001805A5">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Arī </w:t>
      </w:r>
      <w:r w:rsidR="001715C8" w:rsidRPr="003B6DC4">
        <w:rPr>
          <w:rFonts w:ascii="Times New Roman" w:eastAsia="Times New Roman" w:hAnsi="Times New Roman" w:cs="Times New Roman"/>
          <w:sz w:val="24"/>
          <w:szCs w:val="24"/>
          <w:lang w:eastAsia="lv-LV"/>
        </w:rPr>
        <w:t>Latvijas iedzīvotāju veselību ietekmējošajos paradum</w:t>
      </w:r>
      <w:r w:rsidRPr="003B6DC4">
        <w:rPr>
          <w:rFonts w:ascii="Times New Roman" w:eastAsia="Times New Roman" w:hAnsi="Times New Roman" w:cs="Times New Roman"/>
          <w:sz w:val="24"/>
          <w:szCs w:val="24"/>
          <w:lang w:eastAsia="lv-LV"/>
        </w:rPr>
        <w:t>u pētījumos</w:t>
      </w:r>
      <w:r w:rsidR="001715C8" w:rsidRPr="003B6DC4">
        <w:rPr>
          <w:rFonts w:ascii="Times New Roman" w:eastAsia="Times New Roman" w:hAnsi="Times New Roman" w:cs="Times New Roman"/>
          <w:sz w:val="24"/>
          <w:szCs w:val="24"/>
          <w:lang w:eastAsia="lv-LV"/>
        </w:rPr>
        <w:t xml:space="preserve"> novērojamas būtiskas atšķirības  ne tikai starp dzimumiem, bet arī sociālekonomiskajās grupās, kas norāda par Latvijā pastāvošo nevienlīdzību veselības jomā. Atšķirības vērojamas gan attiecībā uz sabiedrības veselības paradumiem </w:t>
      </w:r>
      <w:r w:rsidR="001E043E" w:rsidRPr="003B6DC4">
        <w:rPr>
          <w:rFonts w:ascii="Times New Roman" w:eastAsia="Times New Roman" w:hAnsi="Times New Roman" w:cs="Times New Roman"/>
          <w:sz w:val="24"/>
          <w:szCs w:val="24"/>
          <w:lang w:eastAsia="lv-LV"/>
        </w:rPr>
        <w:t>(</w:t>
      </w:r>
      <w:r w:rsidR="001715C8" w:rsidRPr="003B6DC4">
        <w:rPr>
          <w:rFonts w:ascii="Times New Roman" w:eastAsia="Times New Roman" w:hAnsi="Times New Roman" w:cs="Times New Roman"/>
          <w:sz w:val="24"/>
          <w:szCs w:val="24"/>
          <w:lang w:eastAsia="lv-LV"/>
        </w:rPr>
        <w:t>fizisko aktivitāti, lieko svaru un aptaukošanos, smēķēšanu utt.</w:t>
      </w:r>
      <w:r w:rsidR="001E043E" w:rsidRPr="003B6DC4">
        <w:rPr>
          <w:rFonts w:ascii="Times New Roman" w:eastAsia="Times New Roman" w:hAnsi="Times New Roman" w:cs="Times New Roman"/>
          <w:sz w:val="24"/>
          <w:szCs w:val="24"/>
          <w:lang w:eastAsia="lv-LV"/>
        </w:rPr>
        <w:t>), gan</w:t>
      </w:r>
      <w:r w:rsidR="001715C8" w:rsidRPr="003B6DC4">
        <w:rPr>
          <w:rFonts w:ascii="Times New Roman" w:eastAsia="Times New Roman" w:hAnsi="Times New Roman" w:cs="Times New Roman"/>
          <w:sz w:val="24"/>
          <w:szCs w:val="24"/>
          <w:lang w:eastAsia="lv-LV"/>
        </w:rPr>
        <w:t xml:space="preserve"> arī veselības </w:t>
      </w:r>
      <w:r w:rsidR="001E043E" w:rsidRPr="003B6DC4">
        <w:rPr>
          <w:rFonts w:ascii="Times New Roman" w:eastAsia="Times New Roman" w:hAnsi="Times New Roman" w:cs="Times New Roman"/>
          <w:sz w:val="24"/>
          <w:szCs w:val="24"/>
          <w:lang w:eastAsia="lv-LV"/>
        </w:rPr>
        <w:t>aprūpes pakalpojumu pieejamību</w:t>
      </w:r>
      <w:r w:rsidR="001715C8" w:rsidRPr="003B6DC4">
        <w:rPr>
          <w:rStyle w:val="FootnoteReference"/>
          <w:rFonts w:ascii="Times New Roman" w:eastAsia="Times New Roman" w:hAnsi="Times New Roman" w:cs="Times New Roman"/>
          <w:sz w:val="24"/>
          <w:szCs w:val="24"/>
          <w:lang w:eastAsia="lv-LV"/>
        </w:rPr>
        <w:footnoteReference w:id="15"/>
      </w:r>
      <w:r w:rsidR="001715C8" w:rsidRPr="003B6DC4">
        <w:rPr>
          <w:rFonts w:ascii="Times New Roman" w:eastAsia="Times New Roman" w:hAnsi="Times New Roman" w:cs="Times New Roman"/>
          <w:sz w:val="24"/>
          <w:szCs w:val="24"/>
          <w:lang w:eastAsia="lv-LV"/>
        </w:rPr>
        <w:t>.</w:t>
      </w:r>
    </w:p>
    <w:p w14:paraId="0960BCCE" w14:textId="0AD482C8" w:rsidR="001E043E" w:rsidRPr="003B6DC4" w:rsidRDefault="001E043E" w:rsidP="001E043E">
      <w:pPr>
        <w:shd w:val="clear" w:color="auto" w:fill="FFFFFF"/>
        <w:ind w:firstLine="720"/>
        <w:jc w:val="both"/>
        <w:rPr>
          <w:rFonts w:ascii="Times New Roman" w:eastAsia="Times New Roman" w:hAnsi="Times New Roman" w:cs="Times New Roman"/>
          <w:color w:val="414142"/>
          <w:sz w:val="24"/>
          <w:szCs w:val="24"/>
          <w:lang w:eastAsia="lv-LV"/>
        </w:rPr>
      </w:pPr>
      <w:r w:rsidRPr="003B6DC4">
        <w:rPr>
          <w:rFonts w:ascii="Times New Roman" w:eastAsia="Times New Roman" w:hAnsi="Times New Roman" w:cs="Times New Roman"/>
          <w:sz w:val="24"/>
          <w:szCs w:val="24"/>
          <w:lang w:eastAsia="lv-LV"/>
        </w:rPr>
        <w:t>S</w:t>
      </w:r>
      <w:r w:rsidR="00AD69DC" w:rsidRPr="003B6DC4">
        <w:rPr>
          <w:rFonts w:ascii="Times New Roman" w:eastAsia="Times New Roman" w:hAnsi="Times New Roman" w:cs="Times New Roman"/>
          <w:sz w:val="24"/>
          <w:szCs w:val="24"/>
          <w:lang w:eastAsia="lv-LV"/>
        </w:rPr>
        <w:t>VP</w:t>
      </w:r>
      <w:r w:rsidRPr="003B6DC4">
        <w:rPr>
          <w:rFonts w:ascii="Times New Roman" w:eastAsia="Times New Roman" w:hAnsi="Times New Roman" w:cs="Times New Roman"/>
          <w:sz w:val="24"/>
          <w:szCs w:val="24"/>
          <w:lang w:eastAsia="lv-LV"/>
        </w:rPr>
        <w:t xml:space="preserve"> ir uzsvērts, ka veselības aprūpes sistēmai nav pietiekama valsts finansiālā atbalsta, kā arī ir augsts pacientu tiešo maksājumu līmenis, un tas būtiski ietekmē veselības aprūpes pieejamību. Veselības aprūpes sistēma risina ielaistas veselības problēmas, jo pacientiem ne vienmēr ir iespēja laikus vērsties pie ārsta</w:t>
      </w:r>
      <w:r w:rsidRPr="003B6DC4">
        <w:rPr>
          <w:rStyle w:val="FootnoteReference"/>
          <w:rFonts w:ascii="Times New Roman" w:eastAsia="Times New Roman" w:hAnsi="Times New Roman" w:cs="Times New Roman"/>
          <w:sz w:val="24"/>
          <w:szCs w:val="24"/>
          <w:lang w:eastAsia="lv-LV"/>
        </w:rPr>
        <w:footnoteReference w:id="16"/>
      </w:r>
      <w:r w:rsidRPr="003B6DC4">
        <w:rPr>
          <w:rFonts w:ascii="Times New Roman" w:eastAsia="Times New Roman" w:hAnsi="Times New Roman" w:cs="Times New Roman"/>
          <w:sz w:val="24"/>
          <w:szCs w:val="24"/>
          <w:lang w:eastAsia="lv-LV"/>
        </w:rPr>
        <w:t>.</w:t>
      </w:r>
      <w:r w:rsidRPr="003B6DC4">
        <w:rPr>
          <w:rFonts w:ascii="Times New Roman" w:hAnsi="Times New Roman" w:cs="Times New Roman"/>
          <w:sz w:val="24"/>
          <w:szCs w:val="24"/>
        </w:rPr>
        <w:t xml:space="preserve"> Vienlīdz būtiski ir nodrošināt kvalitatīvu, efektīvu, </w:t>
      </w:r>
      <w:r w:rsidRPr="003B6DC4">
        <w:rPr>
          <w:rFonts w:ascii="Times New Roman" w:hAnsi="Times New Roman" w:cs="Times New Roman"/>
          <w:sz w:val="24"/>
          <w:szCs w:val="24"/>
        </w:rPr>
        <w:lastRenderedPageBreak/>
        <w:t>koordinētu un savstarpēji integrētu veselības aprūpes pakalpojumu pieejamību, lai cilvēki saņemtu pēctecīgus pakalpojumus visos veselības sistēmas līmeņos atbilstoši cilvēku vajadzībām.</w:t>
      </w:r>
    </w:p>
    <w:p w14:paraId="5F37D7CB" w14:textId="36EC391C" w:rsidR="001E043E" w:rsidRPr="003B6DC4" w:rsidRDefault="001E043E" w:rsidP="001E043E">
      <w:pPr>
        <w:shd w:val="clear" w:color="auto" w:fill="FFFFFF"/>
        <w:ind w:firstLine="720"/>
        <w:jc w:val="both"/>
        <w:rPr>
          <w:rFonts w:ascii="Times New Roman" w:eastAsia="Times New Roman" w:hAnsi="Times New Roman" w:cs="Times New Roman"/>
          <w:color w:val="414142"/>
          <w:sz w:val="24"/>
          <w:szCs w:val="24"/>
          <w:lang w:eastAsia="lv-LV"/>
        </w:rPr>
      </w:pPr>
      <w:r w:rsidRPr="003B6DC4">
        <w:rPr>
          <w:rFonts w:ascii="Times New Roman" w:hAnsi="Times New Roman" w:cs="Times New Roman"/>
          <w:sz w:val="24"/>
          <w:szCs w:val="24"/>
        </w:rPr>
        <w:t xml:space="preserve">Tāpat kā identificētās problēmas </w:t>
      </w:r>
      <w:r w:rsidR="0066058E">
        <w:rPr>
          <w:rFonts w:ascii="Times New Roman" w:hAnsi="Times New Roman" w:cs="Times New Roman"/>
          <w:sz w:val="24"/>
          <w:szCs w:val="24"/>
        </w:rPr>
        <w:t>šajā sadaļā</w:t>
      </w:r>
      <w:r w:rsidRPr="003B6DC4">
        <w:rPr>
          <w:rFonts w:ascii="Times New Roman" w:hAnsi="Times New Roman" w:cs="Times New Roman"/>
          <w:sz w:val="24"/>
          <w:szCs w:val="24"/>
        </w:rPr>
        <w:t xml:space="preserve">, arī </w:t>
      </w:r>
      <w:r w:rsidR="00E31C1D" w:rsidRPr="003B6DC4">
        <w:rPr>
          <w:rFonts w:ascii="Times New Roman" w:eastAsia="Times New Roman" w:hAnsi="Times New Roman" w:cs="Times New Roman"/>
          <w:color w:val="414142"/>
          <w:sz w:val="24"/>
          <w:szCs w:val="24"/>
          <w:lang w:eastAsia="lv-LV"/>
        </w:rPr>
        <w:t>S</w:t>
      </w:r>
      <w:r w:rsidR="00AD69DC" w:rsidRPr="003B6DC4">
        <w:rPr>
          <w:rFonts w:ascii="Times New Roman" w:eastAsia="Times New Roman" w:hAnsi="Times New Roman" w:cs="Times New Roman"/>
          <w:color w:val="414142"/>
          <w:sz w:val="24"/>
          <w:szCs w:val="24"/>
          <w:lang w:eastAsia="lv-LV"/>
        </w:rPr>
        <w:t>VP</w:t>
      </w:r>
      <w:r w:rsidRPr="003B6DC4">
        <w:rPr>
          <w:rFonts w:ascii="Times New Roman" w:hAnsi="Times New Roman" w:cs="Times New Roman"/>
          <w:sz w:val="24"/>
          <w:szCs w:val="24"/>
        </w:rPr>
        <w:t xml:space="preserve"> ir iezīmētas šādas problēmas veselības aprūpes pieejamības nodrošināšanā:</w:t>
      </w:r>
    </w:p>
    <w:p w14:paraId="7C5E5FFB"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Garas gaidīšanas rindas ambulatoro un plānveida stacionāro pakalpojumu saņemšanai, kas tādējādi negatīvi ietekmē veselības aprūpes pēctecību un savlaicīgu palīdzības sniegšanu.</w:t>
      </w:r>
    </w:p>
    <w:p w14:paraId="4B952D33"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Nepietiekams publiskā finansējuma īpatsvars veselības aprūpes sistēmai, t.sk., kompensējamo zāļu sistēmai.</w:t>
      </w:r>
    </w:p>
    <w:p w14:paraId="34F3D1AC"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 xml:space="preserve">Veselības aprūpes sistēma galvenokārt risina ielaistas veselības problēmas, kas ir par pamatu sliktajam sabiedrības veselības stāvoklim. </w:t>
      </w:r>
    </w:p>
    <w:p w14:paraId="08BF8CA7"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Netiek pilnībā nodrošināta integrēta, nepārtraukta un pēctecīga pacientu veselības aprūpe.</w:t>
      </w:r>
    </w:p>
    <w:p w14:paraId="10F42B4E" w14:textId="6D21AEA8" w:rsidR="001E043E" w:rsidRPr="003B6DC4" w:rsidRDefault="001E043E" w:rsidP="00E31C1D">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 xml:space="preserve">Daļai iedzīvotāju ir ierobežota veselības aprūpes pieejamība. </w:t>
      </w:r>
    </w:p>
    <w:p w14:paraId="27D9F88E" w14:textId="521A8C95" w:rsidR="00BD53DE" w:rsidRPr="003B6DC4" w:rsidRDefault="00E96106" w:rsidP="00986CBA">
      <w:pPr>
        <w:pStyle w:val="Heading1"/>
        <w:numPr>
          <w:ilvl w:val="0"/>
          <w:numId w:val="31"/>
        </w:numPr>
        <w:spacing w:before="0" w:after="200"/>
        <w:ind w:left="357" w:hanging="357"/>
        <w:jc w:val="center"/>
        <w:rPr>
          <w:rFonts w:ascii="Times New Roman" w:hAnsi="Times New Roman" w:cs="Times New Roman"/>
          <w:b/>
          <w:color w:val="auto"/>
          <w:sz w:val="28"/>
          <w:szCs w:val="28"/>
        </w:rPr>
      </w:pPr>
      <w:r w:rsidRPr="003B6DC4">
        <w:rPr>
          <w:rFonts w:ascii="Times New Roman" w:hAnsi="Times New Roman" w:cs="Times New Roman"/>
          <w:b/>
          <w:color w:val="auto"/>
          <w:sz w:val="28"/>
          <w:szCs w:val="28"/>
        </w:rPr>
        <w:t xml:space="preserve">Reformu </w:t>
      </w:r>
      <w:r w:rsidR="001E043E" w:rsidRPr="003B6DC4">
        <w:rPr>
          <w:rFonts w:ascii="Times New Roman" w:hAnsi="Times New Roman" w:cs="Times New Roman"/>
          <w:b/>
          <w:color w:val="auto"/>
          <w:sz w:val="28"/>
          <w:szCs w:val="28"/>
        </w:rPr>
        <w:t>virzieni</w:t>
      </w:r>
      <w:r w:rsidR="00E31C1D" w:rsidRPr="003B6DC4">
        <w:rPr>
          <w:rFonts w:ascii="Times New Roman" w:hAnsi="Times New Roman" w:cs="Times New Roman"/>
          <w:b/>
          <w:color w:val="auto"/>
          <w:sz w:val="28"/>
          <w:szCs w:val="28"/>
        </w:rPr>
        <w:t xml:space="preserve"> </w:t>
      </w:r>
      <w:r w:rsidR="00DA1CBD" w:rsidRPr="003B6DC4">
        <w:rPr>
          <w:rFonts w:ascii="Times New Roman" w:hAnsi="Times New Roman" w:cs="Times New Roman"/>
          <w:b/>
          <w:color w:val="auto"/>
          <w:sz w:val="28"/>
          <w:szCs w:val="28"/>
        </w:rPr>
        <w:t xml:space="preserve">veselības aprūpes pakalpojumu </w:t>
      </w:r>
      <w:r w:rsidR="00E31C1D" w:rsidRPr="003B6DC4">
        <w:rPr>
          <w:rFonts w:ascii="Times New Roman" w:hAnsi="Times New Roman" w:cs="Times New Roman"/>
          <w:b/>
          <w:color w:val="auto"/>
          <w:sz w:val="28"/>
          <w:szCs w:val="28"/>
        </w:rPr>
        <w:t xml:space="preserve">pieejamības </w:t>
      </w:r>
      <w:r w:rsidRPr="003B6DC4">
        <w:rPr>
          <w:rFonts w:ascii="Times New Roman" w:hAnsi="Times New Roman" w:cs="Times New Roman"/>
          <w:b/>
          <w:color w:val="auto"/>
          <w:sz w:val="28"/>
          <w:szCs w:val="28"/>
        </w:rPr>
        <w:t xml:space="preserve">un kvalitātes </w:t>
      </w:r>
      <w:r w:rsidR="00E31C1D" w:rsidRPr="003B6DC4">
        <w:rPr>
          <w:rFonts w:ascii="Times New Roman" w:hAnsi="Times New Roman" w:cs="Times New Roman"/>
          <w:b/>
          <w:color w:val="auto"/>
          <w:sz w:val="28"/>
          <w:szCs w:val="28"/>
        </w:rPr>
        <w:t>uzlabošanai</w:t>
      </w:r>
    </w:p>
    <w:p w14:paraId="2576216B" w14:textId="20ABEC99" w:rsidR="00E520B7" w:rsidRPr="003B6DC4" w:rsidRDefault="001E043E" w:rsidP="00B95DF0">
      <w:pPr>
        <w:shd w:val="clear" w:color="auto" w:fill="FFFFFF"/>
        <w:ind w:firstLine="720"/>
        <w:jc w:val="both"/>
        <w:rPr>
          <w:rFonts w:ascii="Times New Roman" w:eastAsia="Times New Roman" w:hAnsi="Times New Roman" w:cs="Times New Roman"/>
          <w:b/>
          <w:color w:val="000000" w:themeColor="text1"/>
          <w:sz w:val="24"/>
          <w:szCs w:val="24"/>
          <w:lang w:eastAsia="lv-LV"/>
        </w:rPr>
      </w:pPr>
      <w:r w:rsidRPr="003B6DC4">
        <w:rPr>
          <w:rFonts w:ascii="Times New Roman" w:eastAsia="Times New Roman" w:hAnsi="Times New Roman" w:cs="Times New Roman"/>
          <w:color w:val="000000" w:themeColor="text1"/>
          <w:sz w:val="24"/>
          <w:szCs w:val="24"/>
          <w:lang w:eastAsia="lv-LV"/>
        </w:rPr>
        <w:t xml:space="preserve">Lai </w:t>
      </w:r>
      <w:r w:rsidR="00E96106" w:rsidRPr="003B6DC4">
        <w:rPr>
          <w:rFonts w:ascii="Times New Roman" w:eastAsia="Times New Roman" w:hAnsi="Times New Roman" w:cs="Times New Roman"/>
          <w:color w:val="000000" w:themeColor="text1"/>
          <w:sz w:val="24"/>
          <w:szCs w:val="24"/>
          <w:lang w:eastAsia="lv-LV"/>
        </w:rPr>
        <w:t xml:space="preserve">turpinātu reformu un </w:t>
      </w:r>
      <w:r w:rsidRPr="003B6DC4">
        <w:rPr>
          <w:rFonts w:ascii="Times New Roman" w:eastAsia="Times New Roman" w:hAnsi="Times New Roman" w:cs="Times New Roman"/>
          <w:color w:val="000000" w:themeColor="text1"/>
          <w:sz w:val="24"/>
          <w:szCs w:val="24"/>
          <w:lang w:eastAsia="lv-LV"/>
        </w:rPr>
        <w:t>realizētu S</w:t>
      </w:r>
      <w:r w:rsidR="00AD69DC" w:rsidRPr="003B6DC4">
        <w:rPr>
          <w:rFonts w:ascii="Times New Roman" w:eastAsia="Times New Roman" w:hAnsi="Times New Roman" w:cs="Times New Roman"/>
          <w:color w:val="000000" w:themeColor="text1"/>
          <w:sz w:val="24"/>
          <w:szCs w:val="24"/>
          <w:lang w:eastAsia="lv-LV"/>
        </w:rPr>
        <w:t>VP</w:t>
      </w:r>
      <w:r w:rsidRPr="003B6DC4">
        <w:rPr>
          <w:rFonts w:ascii="Times New Roman" w:eastAsia="Times New Roman" w:hAnsi="Times New Roman" w:cs="Times New Roman"/>
          <w:color w:val="000000" w:themeColor="text1"/>
          <w:sz w:val="24"/>
          <w:szCs w:val="24"/>
          <w:lang w:eastAsia="lv-LV"/>
        </w:rPr>
        <w:t xml:space="preserve"> izvirzītos virsmērķus </w:t>
      </w:r>
      <w:r w:rsidR="00E520B7" w:rsidRPr="003B6DC4">
        <w:rPr>
          <w:rFonts w:ascii="Times New Roman" w:eastAsia="Times New Roman" w:hAnsi="Times New Roman" w:cs="Times New Roman"/>
          <w:color w:val="000000" w:themeColor="text1"/>
          <w:sz w:val="24"/>
          <w:szCs w:val="24"/>
          <w:lang w:eastAsia="lv-LV"/>
        </w:rPr>
        <w:t xml:space="preserve">kā rīcības virziens izvirzītā mērķa sasniegšanai minēts </w:t>
      </w:r>
      <w:r w:rsidR="00E520B7" w:rsidRPr="003B6DC4">
        <w:rPr>
          <w:rFonts w:ascii="Times New Roman" w:eastAsia="Times New Roman" w:hAnsi="Times New Roman" w:cs="Times New Roman"/>
          <w:b/>
          <w:color w:val="000000" w:themeColor="text1"/>
          <w:sz w:val="24"/>
          <w:szCs w:val="24"/>
          <w:lang w:eastAsia="lv-LV"/>
        </w:rPr>
        <w:t>„kvalitatīvas, drošas un ilgtspējīgas veselības aprūpes pakalpojumu sistēmas veidošana (t. sk. pacienta iemaksu samazināšana, rindu saīsināšana uz plānveida pakalpojumiem, darba samaksas paaugstināšana veselības aprūpes nozares darbiniekiem, zāļu pieejamība pacientiem), nodrošinot pakalpojumu vienlīdzīgu pieejamību visiem Latvijas iedzīvotājiem”</w:t>
      </w:r>
      <w:r w:rsidR="001715C8" w:rsidRPr="003B6DC4">
        <w:rPr>
          <w:rStyle w:val="FootnoteReference"/>
          <w:rFonts w:ascii="Times New Roman" w:eastAsia="Times New Roman" w:hAnsi="Times New Roman" w:cs="Times New Roman"/>
          <w:b/>
          <w:color w:val="000000" w:themeColor="text1"/>
          <w:sz w:val="24"/>
          <w:szCs w:val="24"/>
          <w:lang w:eastAsia="lv-LV"/>
        </w:rPr>
        <w:footnoteReference w:id="17"/>
      </w:r>
      <w:r w:rsidR="00EC6306" w:rsidRPr="003B6DC4">
        <w:rPr>
          <w:rFonts w:ascii="Times New Roman" w:eastAsia="Times New Roman" w:hAnsi="Times New Roman" w:cs="Times New Roman"/>
          <w:b/>
          <w:color w:val="000000" w:themeColor="text1"/>
          <w:sz w:val="24"/>
          <w:szCs w:val="24"/>
          <w:lang w:eastAsia="lv-LV"/>
        </w:rPr>
        <w:t>.</w:t>
      </w:r>
    </w:p>
    <w:p w14:paraId="030BBBC2" w14:textId="1E8CD81F" w:rsidR="00E37EEB" w:rsidRPr="003B6DC4" w:rsidRDefault="009749EF" w:rsidP="00B95DF0">
      <w:pPr>
        <w:ind w:firstLine="709"/>
        <w:jc w:val="both"/>
        <w:rPr>
          <w:rFonts w:ascii="Times New Roman" w:hAnsi="Times New Roman" w:cs="Times New Roman"/>
          <w:b/>
          <w:color w:val="000000" w:themeColor="text1"/>
          <w:sz w:val="24"/>
          <w:szCs w:val="24"/>
        </w:rPr>
      </w:pPr>
      <w:r w:rsidRPr="003B6DC4">
        <w:rPr>
          <w:rFonts w:ascii="Times New Roman" w:hAnsi="Times New Roman" w:cs="Times New Roman"/>
          <w:color w:val="000000" w:themeColor="text1"/>
          <w:sz w:val="24"/>
          <w:szCs w:val="24"/>
        </w:rPr>
        <w:t xml:space="preserve">Minēto problēmu </w:t>
      </w:r>
      <w:r w:rsidR="00E520B7" w:rsidRPr="003B6DC4">
        <w:rPr>
          <w:rFonts w:ascii="Times New Roman" w:hAnsi="Times New Roman" w:cs="Times New Roman"/>
          <w:color w:val="000000" w:themeColor="text1"/>
          <w:sz w:val="24"/>
          <w:szCs w:val="24"/>
        </w:rPr>
        <w:t>risināšanai nepieciešams „</w:t>
      </w:r>
      <w:r w:rsidR="00E520B7" w:rsidRPr="003B6DC4">
        <w:rPr>
          <w:rFonts w:ascii="Times New Roman" w:hAnsi="Times New Roman" w:cs="Times New Roman"/>
          <w:b/>
          <w:color w:val="000000" w:themeColor="text1"/>
          <w:sz w:val="24"/>
          <w:szCs w:val="24"/>
        </w:rPr>
        <w:t xml:space="preserve">veicināt pacientu tiešo maksājumu īpatsvara samazināšanos, uzlabojot veselības aprūpes pakalpojumu pieejamību un mazinot gaidīšanas laikus”, </w:t>
      </w:r>
      <w:r w:rsidR="00E520B7" w:rsidRPr="003B6DC4">
        <w:rPr>
          <w:rFonts w:ascii="Times New Roman" w:hAnsi="Times New Roman" w:cs="Times New Roman"/>
          <w:color w:val="000000" w:themeColor="text1"/>
          <w:sz w:val="24"/>
          <w:szCs w:val="24"/>
        </w:rPr>
        <w:t>kā arī „</w:t>
      </w:r>
      <w:r w:rsidR="00E520B7" w:rsidRPr="003B6DC4">
        <w:rPr>
          <w:rFonts w:ascii="Times New Roman" w:hAnsi="Times New Roman" w:cs="Times New Roman"/>
          <w:b/>
          <w:color w:val="000000" w:themeColor="text1"/>
          <w:sz w:val="24"/>
          <w:szCs w:val="24"/>
        </w:rPr>
        <w:t>uzlabot veselības aprūpes pakalpojumu pieejamību un kvalitāti visos veselības aprūpes līmeņos”</w:t>
      </w:r>
      <w:r w:rsidR="00DB73D6" w:rsidRPr="003B6DC4">
        <w:rPr>
          <w:rStyle w:val="FootnoteReference"/>
          <w:rFonts w:ascii="Times New Roman" w:hAnsi="Times New Roman" w:cs="Times New Roman"/>
          <w:b/>
          <w:color w:val="000000" w:themeColor="text1"/>
          <w:sz w:val="24"/>
          <w:szCs w:val="24"/>
        </w:rPr>
        <w:footnoteReference w:id="18"/>
      </w:r>
      <w:r w:rsidR="00E520B7" w:rsidRPr="003B6DC4">
        <w:rPr>
          <w:rFonts w:ascii="Times New Roman" w:hAnsi="Times New Roman" w:cs="Times New Roman"/>
          <w:b/>
          <w:color w:val="000000" w:themeColor="text1"/>
          <w:sz w:val="24"/>
          <w:szCs w:val="24"/>
        </w:rPr>
        <w:t>.</w:t>
      </w:r>
    </w:p>
    <w:p w14:paraId="742EB4E0" w14:textId="0021D44A" w:rsidR="004C1683" w:rsidRPr="003B6DC4" w:rsidRDefault="00E31C1D" w:rsidP="003E1FF2">
      <w:pPr>
        <w:ind w:firstLine="709"/>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Atbilstoši </w:t>
      </w:r>
      <w:r w:rsidR="00426BC0" w:rsidRPr="003B6DC4">
        <w:rPr>
          <w:rFonts w:ascii="Times New Roman" w:eastAsia="Times New Roman" w:hAnsi="Times New Roman" w:cs="Times New Roman"/>
          <w:sz w:val="24"/>
          <w:szCs w:val="24"/>
          <w:lang w:eastAsia="lv-LV"/>
        </w:rPr>
        <w:t xml:space="preserve">šiem minētajiem </w:t>
      </w:r>
      <w:r w:rsidRPr="003B6DC4">
        <w:rPr>
          <w:rFonts w:ascii="Times New Roman" w:eastAsia="Times New Roman" w:hAnsi="Times New Roman" w:cs="Times New Roman"/>
          <w:color w:val="000000" w:themeColor="text1"/>
          <w:sz w:val="24"/>
          <w:szCs w:val="24"/>
          <w:lang w:eastAsia="lv-LV"/>
        </w:rPr>
        <w:t>S</w:t>
      </w:r>
      <w:r w:rsidR="00AD69DC" w:rsidRPr="003B6DC4">
        <w:rPr>
          <w:rFonts w:ascii="Times New Roman" w:eastAsia="Times New Roman" w:hAnsi="Times New Roman" w:cs="Times New Roman"/>
          <w:color w:val="000000" w:themeColor="text1"/>
          <w:sz w:val="24"/>
          <w:szCs w:val="24"/>
          <w:lang w:eastAsia="lv-LV"/>
        </w:rPr>
        <w:t>VP</w:t>
      </w:r>
      <w:r w:rsidR="008E5730" w:rsidRPr="003B6DC4">
        <w:rPr>
          <w:rFonts w:ascii="Times New Roman" w:eastAsia="Times New Roman" w:hAnsi="Times New Roman" w:cs="Times New Roman"/>
          <w:sz w:val="24"/>
          <w:szCs w:val="24"/>
          <w:lang w:eastAsia="lv-LV"/>
        </w:rPr>
        <w:t xml:space="preserve"> iezīmē</w:t>
      </w:r>
      <w:r w:rsidRPr="003B6DC4">
        <w:rPr>
          <w:rFonts w:ascii="Times New Roman" w:eastAsia="Times New Roman" w:hAnsi="Times New Roman" w:cs="Times New Roman"/>
          <w:sz w:val="24"/>
          <w:szCs w:val="24"/>
          <w:lang w:eastAsia="lv-LV"/>
        </w:rPr>
        <w:t>tajiem</w:t>
      </w:r>
      <w:r w:rsidR="008E5730" w:rsidRPr="003B6DC4">
        <w:rPr>
          <w:rFonts w:ascii="Times New Roman" w:eastAsia="Times New Roman" w:hAnsi="Times New Roman" w:cs="Times New Roman"/>
          <w:sz w:val="24"/>
          <w:szCs w:val="24"/>
          <w:lang w:eastAsia="lv-LV"/>
        </w:rPr>
        <w:t xml:space="preserve"> problēmu virzien</w:t>
      </w:r>
      <w:r w:rsidRPr="003B6DC4">
        <w:rPr>
          <w:rFonts w:ascii="Times New Roman" w:eastAsia="Times New Roman" w:hAnsi="Times New Roman" w:cs="Times New Roman"/>
          <w:sz w:val="24"/>
          <w:szCs w:val="24"/>
          <w:lang w:eastAsia="lv-LV"/>
        </w:rPr>
        <w:t xml:space="preserve">iem </w:t>
      </w:r>
      <w:r w:rsidR="008E5730" w:rsidRPr="003B6DC4">
        <w:rPr>
          <w:rFonts w:ascii="Times New Roman" w:eastAsia="Times New Roman" w:hAnsi="Times New Roman" w:cs="Times New Roman"/>
          <w:sz w:val="24"/>
          <w:szCs w:val="24"/>
          <w:lang w:eastAsia="lv-LV"/>
        </w:rPr>
        <w:t>veselības aprūpes nozarē</w:t>
      </w:r>
      <w:r w:rsidR="003E1FF2" w:rsidRPr="003B6DC4">
        <w:rPr>
          <w:rFonts w:ascii="Times New Roman" w:eastAsia="Times New Roman" w:hAnsi="Times New Roman" w:cs="Times New Roman"/>
          <w:sz w:val="24"/>
          <w:szCs w:val="24"/>
          <w:lang w:eastAsia="lv-LV"/>
        </w:rPr>
        <w:t xml:space="preserve">, </w:t>
      </w:r>
      <w:r w:rsidRPr="003B6DC4">
        <w:rPr>
          <w:rFonts w:ascii="Times New Roman" w:eastAsia="Times New Roman" w:hAnsi="Times New Roman" w:cs="Times New Roman"/>
          <w:sz w:val="24"/>
          <w:szCs w:val="24"/>
          <w:lang w:eastAsia="lv-LV"/>
        </w:rPr>
        <w:t>la</w:t>
      </w:r>
      <w:r w:rsidR="004C1683" w:rsidRPr="003B6DC4">
        <w:rPr>
          <w:rFonts w:ascii="Times New Roman" w:eastAsia="Times New Roman" w:hAnsi="Times New Roman" w:cs="Times New Roman"/>
          <w:sz w:val="24"/>
          <w:szCs w:val="24"/>
          <w:lang w:eastAsia="lv-LV"/>
        </w:rPr>
        <w:t>i</w:t>
      </w:r>
      <w:r w:rsidR="003E1FF2" w:rsidRPr="003B6DC4">
        <w:rPr>
          <w:rFonts w:ascii="Times New Roman" w:eastAsia="Times New Roman" w:hAnsi="Times New Roman" w:cs="Times New Roman"/>
          <w:sz w:val="24"/>
          <w:szCs w:val="24"/>
          <w:lang w:eastAsia="lv-LV"/>
        </w:rPr>
        <w:t xml:space="preserve"> nodrošinātu turpmāku veselības aprūpes pakalpojumu kvalitātes un pieejamības uzlabošanu iedzīvotājiem, un attiecīgi </w:t>
      </w:r>
      <w:r w:rsidR="003E1FF2" w:rsidRPr="003B6DC4">
        <w:rPr>
          <w:rFonts w:ascii="Times New Roman" w:eastAsia="Times New Roman" w:hAnsi="Times New Roman" w:cs="Times New Roman"/>
          <w:color w:val="414142"/>
          <w:sz w:val="24"/>
          <w:szCs w:val="24"/>
          <w:lang w:eastAsia="lv-LV"/>
        </w:rPr>
        <w:t>palielinātu veselīgi nodzīvoto mūža gadu skaitu un samazinātu potenciāli zaudēto mūža gadu</w:t>
      </w:r>
      <w:r w:rsidR="00DB73D6" w:rsidRPr="003B6DC4">
        <w:rPr>
          <w:rFonts w:ascii="Times New Roman" w:eastAsia="Times New Roman" w:hAnsi="Times New Roman" w:cs="Times New Roman"/>
          <w:color w:val="414142"/>
          <w:sz w:val="24"/>
          <w:szCs w:val="24"/>
          <w:lang w:eastAsia="lv-LV"/>
        </w:rPr>
        <w:t xml:space="preserve"> skaitu</w:t>
      </w:r>
      <w:r w:rsidR="003E1FF2" w:rsidRPr="003B6DC4">
        <w:rPr>
          <w:rFonts w:ascii="Times New Roman" w:eastAsia="Times New Roman" w:hAnsi="Times New Roman" w:cs="Times New Roman"/>
          <w:color w:val="414142"/>
          <w:sz w:val="24"/>
          <w:szCs w:val="24"/>
          <w:lang w:eastAsia="lv-LV"/>
        </w:rPr>
        <w:t>, tādējādi veicinot visas tautsaimniecības attīstību,</w:t>
      </w:r>
      <w:r w:rsidR="004C1683" w:rsidRPr="003B6DC4">
        <w:rPr>
          <w:rFonts w:ascii="Times New Roman" w:eastAsia="Times New Roman" w:hAnsi="Times New Roman" w:cs="Times New Roman"/>
          <w:sz w:val="24"/>
          <w:szCs w:val="24"/>
          <w:lang w:eastAsia="lv-LV"/>
        </w:rPr>
        <w:t xml:space="preserve"> </w:t>
      </w:r>
      <w:r w:rsidRPr="003B6DC4">
        <w:rPr>
          <w:rFonts w:ascii="Times New Roman" w:eastAsia="Times New Roman" w:hAnsi="Times New Roman" w:cs="Times New Roman"/>
          <w:sz w:val="24"/>
          <w:szCs w:val="24"/>
          <w:lang w:eastAsia="lv-LV"/>
        </w:rPr>
        <w:t xml:space="preserve">Veselības ministrija saplānojusi </w:t>
      </w:r>
      <w:r w:rsidR="0033675C" w:rsidRPr="003B6DC4">
        <w:rPr>
          <w:rFonts w:ascii="Times New Roman" w:eastAsia="Times New Roman" w:hAnsi="Times New Roman" w:cs="Times New Roman"/>
          <w:sz w:val="24"/>
          <w:szCs w:val="24"/>
          <w:lang w:eastAsia="lv-LV"/>
        </w:rPr>
        <w:t>2017.gadā papildus pieejam</w:t>
      </w:r>
      <w:r w:rsidRPr="003B6DC4">
        <w:rPr>
          <w:rFonts w:ascii="Times New Roman" w:eastAsia="Times New Roman" w:hAnsi="Times New Roman" w:cs="Times New Roman"/>
          <w:sz w:val="24"/>
          <w:szCs w:val="24"/>
          <w:lang w:eastAsia="lv-LV"/>
        </w:rPr>
        <w:t>o finansējumu</w:t>
      </w:r>
      <w:r w:rsidR="0033675C" w:rsidRPr="003B6DC4">
        <w:rPr>
          <w:rFonts w:ascii="Times New Roman" w:eastAsia="Times New Roman" w:hAnsi="Times New Roman" w:cs="Times New Roman"/>
          <w:sz w:val="24"/>
          <w:szCs w:val="24"/>
          <w:lang w:eastAsia="lv-LV"/>
        </w:rPr>
        <w:t xml:space="preserve"> </w:t>
      </w:r>
      <w:r w:rsidRPr="003B6DC4">
        <w:rPr>
          <w:rFonts w:ascii="Times New Roman" w:hAnsi="Times New Roman" w:cs="Times New Roman"/>
          <w:sz w:val="24"/>
          <w:szCs w:val="24"/>
        </w:rPr>
        <w:t xml:space="preserve">34 324 450 </w:t>
      </w:r>
      <w:r w:rsidRPr="003B6DC4">
        <w:rPr>
          <w:rFonts w:ascii="Times New Roman" w:hAnsi="Times New Roman" w:cs="Times New Roman"/>
          <w:i/>
          <w:sz w:val="24"/>
          <w:szCs w:val="24"/>
        </w:rPr>
        <w:t>euro</w:t>
      </w:r>
      <w:r w:rsidRPr="003B6DC4">
        <w:rPr>
          <w:rFonts w:ascii="Times New Roman" w:hAnsi="Times New Roman" w:cs="Times New Roman"/>
          <w:sz w:val="24"/>
          <w:szCs w:val="24"/>
        </w:rPr>
        <w:t xml:space="preserve"> </w:t>
      </w:r>
      <w:r w:rsidR="0033675C" w:rsidRPr="003B6DC4">
        <w:rPr>
          <w:rFonts w:ascii="Times New Roman" w:eastAsia="Times New Roman" w:hAnsi="Times New Roman" w:cs="Times New Roman"/>
          <w:sz w:val="24"/>
          <w:szCs w:val="24"/>
          <w:lang w:eastAsia="lv-LV"/>
        </w:rPr>
        <w:t>apmērā no Eiropas Komisijas pieļautā budžeta deficīta palielināju</w:t>
      </w:r>
      <w:r w:rsidRPr="003B6DC4">
        <w:rPr>
          <w:rFonts w:ascii="Times New Roman" w:eastAsia="Times New Roman" w:hAnsi="Times New Roman" w:cs="Times New Roman"/>
          <w:sz w:val="24"/>
          <w:szCs w:val="24"/>
          <w:lang w:eastAsia="lv-LV"/>
        </w:rPr>
        <w:t>ma 0,1% apmērā šādiem veselības aprūpes pasākumiem:</w:t>
      </w:r>
      <w:r w:rsidR="003E1FF2" w:rsidRPr="003B6DC4">
        <w:rPr>
          <w:rFonts w:ascii="Times New Roman" w:eastAsia="Times New Roman" w:hAnsi="Times New Roman" w:cs="Times New Roman"/>
          <w:sz w:val="24"/>
          <w:szCs w:val="24"/>
          <w:lang w:eastAsia="lv-LV"/>
        </w:rPr>
        <w:t xml:space="preserve"> </w:t>
      </w:r>
    </w:p>
    <w:p w14:paraId="1F958C2C" w14:textId="6790F73D" w:rsidR="00BE1F7C" w:rsidRPr="009D750D" w:rsidRDefault="00EA7B04" w:rsidP="00E31C1D">
      <w:pPr>
        <w:pStyle w:val="ListParagraph"/>
        <w:numPr>
          <w:ilvl w:val="0"/>
          <w:numId w:val="24"/>
        </w:numPr>
        <w:ind w:right="17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R</w:t>
      </w:r>
      <w:r w:rsidR="00426BC0" w:rsidRPr="003B6DC4">
        <w:rPr>
          <w:rFonts w:ascii="Times New Roman" w:eastAsia="Times New Roman" w:hAnsi="Times New Roman"/>
          <w:sz w:val="24"/>
          <w:szCs w:val="24"/>
          <w:lang w:val="lv-LV" w:eastAsia="lv-LV"/>
        </w:rPr>
        <w:t>indu mazināšanai pie speciālis</w:t>
      </w:r>
      <w:r w:rsidR="00BE1F7C" w:rsidRPr="003B6DC4">
        <w:rPr>
          <w:rFonts w:ascii="Times New Roman" w:eastAsia="Times New Roman" w:hAnsi="Times New Roman"/>
          <w:sz w:val="24"/>
          <w:szCs w:val="24"/>
          <w:lang w:val="lv-LV" w:eastAsia="lv-LV"/>
        </w:rPr>
        <w:t xml:space="preserve">tiem, </w:t>
      </w:r>
      <w:r w:rsidR="00426BC0" w:rsidRPr="003B6DC4">
        <w:rPr>
          <w:rFonts w:ascii="Times New Roman" w:eastAsia="Times New Roman" w:hAnsi="Times New Roman"/>
          <w:sz w:val="24"/>
          <w:szCs w:val="24"/>
          <w:lang w:val="lv-LV" w:eastAsia="lv-LV"/>
        </w:rPr>
        <w:t>uz diagnostiskajiem izmeklējumiem</w:t>
      </w:r>
      <w:r w:rsidR="00BE1F7C" w:rsidRPr="003B6DC4">
        <w:rPr>
          <w:rFonts w:ascii="Times New Roman" w:eastAsia="Times New Roman" w:hAnsi="Times New Roman"/>
          <w:sz w:val="24"/>
          <w:szCs w:val="24"/>
          <w:lang w:val="lv-LV" w:eastAsia="lv-LV"/>
        </w:rPr>
        <w:t xml:space="preserve">, dienas </w:t>
      </w:r>
      <w:r w:rsidR="00BE1F7C" w:rsidRPr="009D750D">
        <w:rPr>
          <w:rFonts w:ascii="Times New Roman" w:eastAsia="Times New Roman" w:hAnsi="Times New Roman"/>
          <w:sz w:val="24"/>
          <w:szCs w:val="24"/>
          <w:lang w:val="lv-LV" w:eastAsia="lv-LV"/>
        </w:rPr>
        <w:t>stacionārā</w:t>
      </w:r>
      <w:r w:rsidR="005347BD" w:rsidRPr="009D750D">
        <w:rPr>
          <w:rFonts w:ascii="Times New Roman" w:eastAsia="Times New Roman" w:hAnsi="Times New Roman"/>
          <w:sz w:val="24"/>
          <w:szCs w:val="24"/>
          <w:lang w:val="lv-LV" w:eastAsia="lv-LV"/>
        </w:rPr>
        <w:t xml:space="preserve"> un ambulatorajā rehabilitācijā</w:t>
      </w:r>
      <w:r w:rsidRPr="009D750D">
        <w:rPr>
          <w:rFonts w:ascii="Times New Roman" w:eastAsia="Times New Roman" w:hAnsi="Times New Roman"/>
          <w:sz w:val="24"/>
          <w:szCs w:val="24"/>
          <w:lang w:val="lv-LV" w:eastAsia="lv-LV"/>
        </w:rPr>
        <w:t>;</w:t>
      </w:r>
    </w:p>
    <w:p w14:paraId="2776368F" w14:textId="7FC8CC9C" w:rsidR="00E31C1D" w:rsidRPr="009D750D" w:rsidRDefault="00E31C1D" w:rsidP="00E31C1D">
      <w:pPr>
        <w:pStyle w:val="ListParagraph"/>
        <w:numPr>
          <w:ilvl w:val="0"/>
          <w:numId w:val="24"/>
        </w:numPr>
        <w:ind w:right="174"/>
        <w:jc w:val="both"/>
        <w:rPr>
          <w:rFonts w:ascii="Times New Roman" w:eastAsia="Times New Roman" w:hAnsi="Times New Roman"/>
          <w:sz w:val="24"/>
          <w:szCs w:val="24"/>
          <w:lang w:val="lv-LV" w:eastAsia="lv-LV"/>
        </w:rPr>
      </w:pPr>
      <w:r w:rsidRPr="009D750D">
        <w:rPr>
          <w:rFonts w:ascii="Times New Roman" w:eastAsia="Times New Roman" w:hAnsi="Times New Roman"/>
          <w:sz w:val="24"/>
          <w:szCs w:val="24"/>
          <w:lang w:val="lv-LV" w:eastAsia="lv-LV"/>
        </w:rPr>
        <w:t xml:space="preserve">Onkoloģisko saslimšanu diagnostikas un ārstēšanas </w:t>
      </w:r>
      <w:r w:rsidR="003E1FF2" w:rsidRPr="009D750D">
        <w:rPr>
          <w:rFonts w:ascii="Times New Roman" w:eastAsia="Times New Roman" w:hAnsi="Times New Roman"/>
          <w:sz w:val="24"/>
          <w:szCs w:val="24"/>
          <w:lang w:val="lv-LV" w:eastAsia="lv-LV"/>
        </w:rPr>
        <w:t xml:space="preserve">pieejamības </w:t>
      </w:r>
      <w:r w:rsidRPr="009D750D">
        <w:rPr>
          <w:rFonts w:ascii="Times New Roman" w:eastAsia="Times New Roman" w:hAnsi="Times New Roman"/>
          <w:sz w:val="24"/>
          <w:szCs w:val="24"/>
          <w:lang w:val="lv-LV" w:eastAsia="lv-LV"/>
        </w:rPr>
        <w:t>uzlabošanai</w:t>
      </w:r>
      <w:r w:rsidR="00E1655F" w:rsidRPr="009D750D">
        <w:rPr>
          <w:rFonts w:ascii="Times New Roman" w:eastAsia="Times New Roman" w:hAnsi="Times New Roman"/>
          <w:sz w:val="24"/>
          <w:szCs w:val="24"/>
          <w:lang w:val="lv-LV" w:eastAsia="lv-LV"/>
        </w:rPr>
        <w:t>;</w:t>
      </w:r>
    </w:p>
    <w:p w14:paraId="2C9FA2EF" w14:textId="4CFB4EC4" w:rsidR="00BE1F7C" w:rsidRPr="009D750D" w:rsidRDefault="009D750D" w:rsidP="00E31C1D">
      <w:pPr>
        <w:pStyle w:val="ListParagraph"/>
        <w:numPr>
          <w:ilvl w:val="0"/>
          <w:numId w:val="24"/>
        </w:numPr>
        <w:ind w:right="174"/>
        <w:jc w:val="both"/>
        <w:rPr>
          <w:rFonts w:ascii="Times New Roman" w:eastAsia="Times New Roman" w:hAnsi="Times New Roman"/>
          <w:sz w:val="24"/>
          <w:szCs w:val="24"/>
          <w:lang w:val="lv-LV" w:eastAsia="lv-LV"/>
        </w:rPr>
      </w:pPr>
      <w:r w:rsidRPr="009D750D">
        <w:rPr>
          <w:rFonts w:ascii="Times New Roman" w:eastAsia="Times New Roman" w:hAnsi="Times New Roman"/>
          <w:bCs/>
          <w:color w:val="000000"/>
          <w:sz w:val="24"/>
          <w:szCs w:val="24"/>
          <w:lang w:eastAsia="lv-LV"/>
        </w:rPr>
        <w:t xml:space="preserve">Reformas valsts kompensējamo medikamentu nodrošinājumam VHC pacientiem F3-F4 stadijā. </w:t>
      </w:r>
    </w:p>
    <w:p w14:paraId="3AD57875" w14:textId="02CA2944" w:rsidR="00EA7B04" w:rsidRPr="003B6DC4" w:rsidRDefault="00EA7B04" w:rsidP="008A0E37">
      <w:pPr>
        <w:pStyle w:val="ListParagraph"/>
        <w:spacing w:after="0" w:line="240" w:lineRule="auto"/>
        <w:jc w:val="center"/>
        <w:rPr>
          <w:rFonts w:ascii="Times New Roman" w:eastAsia="Times New Roman" w:hAnsi="Times New Roman"/>
          <w:i/>
          <w:sz w:val="24"/>
          <w:szCs w:val="24"/>
          <w:lang w:val="lv-LV" w:eastAsia="lv-LV"/>
        </w:rPr>
      </w:pPr>
    </w:p>
    <w:p w14:paraId="2C3FAB03" w14:textId="75896A34" w:rsidR="008A0E37" w:rsidRPr="003B6DC4" w:rsidRDefault="008A0E37" w:rsidP="008A0E37">
      <w:pPr>
        <w:pStyle w:val="ListParagraph"/>
        <w:spacing w:after="0" w:line="240" w:lineRule="auto"/>
        <w:jc w:val="right"/>
        <w:rPr>
          <w:rFonts w:ascii="Times New Roman" w:eastAsia="Times New Roman" w:hAnsi="Times New Roman"/>
          <w:i/>
          <w:sz w:val="24"/>
          <w:szCs w:val="24"/>
          <w:lang w:val="lv-LV" w:eastAsia="lv-LV"/>
        </w:rPr>
      </w:pPr>
      <w:r w:rsidRPr="003B6DC4">
        <w:rPr>
          <w:rFonts w:ascii="Times New Roman" w:eastAsia="Times New Roman" w:hAnsi="Times New Roman"/>
          <w:i/>
          <w:sz w:val="24"/>
          <w:szCs w:val="24"/>
          <w:lang w:val="lv-LV" w:eastAsia="lv-LV"/>
        </w:rPr>
        <w:t>1.tabula</w:t>
      </w:r>
    </w:p>
    <w:p w14:paraId="21904F75" w14:textId="77777777" w:rsidR="008A0E37" w:rsidRPr="003B6DC4" w:rsidRDefault="008A0E37" w:rsidP="008A0E37">
      <w:pPr>
        <w:pStyle w:val="ListParagraph"/>
        <w:spacing w:after="0" w:line="240" w:lineRule="auto"/>
        <w:jc w:val="center"/>
        <w:rPr>
          <w:rFonts w:ascii="Times New Roman" w:eastAsia="Times New Roman" w:hAnsi="Times New Roman"/>
          <w:b/>
          <w:sz w:val="24"/>
          <w:szCs w:val="24"/>
          <w:lang w:val="lv-LV" w:eastAsia="lv-LV"/>
        </w:rPr>
      </w:pPr>
      <w:r w:rsidRPr="003B6DC4">
        <w:rPr>
          <w:rFonts w:ascii="Times New Roman" w:eastAsia="Times New Roman" w:hAnsi="Times New Roman"/>
          <w:b/>
          <w:sz w:val="24"/>
          <w:szCs w:val="24"/>
          <w:lang w:val="lv-LV" w:eastAsia="lv-LV"/>
        </w:rPr>
        <w:t>Veselības nozares reformu turpināšanai no Eiropas Komisijas pieļautā budžeta deficīta papildus piešķirtā finansējuma sadalījums 2017.gadam</w:t>
      </w:r>
    </w:p>
    <w:p w14:paraId="38450C47" w14:textId="77777777" w:rsidR="008A0E37" w:rsidRPr="003B6DC4" w:rsidRDefault="008A0E37" w:rsidP="008A0E37">
      <w:pPr>
        <w:pStyle w:val="ListParagraph"/>
        <w:spacing w:after="0" w:line="240" w:lineRule="auto"/>
        <w:jc w:val="center"/>
        <w:rPr>
          <w:rFonts w:ascii="Times New Roman" w:eastAsia="Times New Roman" w:hAnsi="Times New Roman"/>
          <w:b/>
          <w:sz w:val="24"/>
          <w:szCs w:val="24"/>
          <w:lang w:val="lv-LV" w:eastAsia="lv-LV"/>
        </w:rPr>
      </w:pPr>
    </w:p>
    <w:tbl>
      <w:tblPr>
        <w:tblW w:w="9350" w:type="dxa"/>
        <w:jc w:val="center"/>
        <w:tblLook w:val="04A0" w:firstRow="1" w:lastRow="0" w:firstColumn="1" w:lastColumn="0" w:noHBand="0" w:noVBand="1"/>
      </w:tblPr>
      <w:tblGrid>
        <w:gridCol w:w="562"/>
        <w:gridCol w:w="7128"/>
        <w:gridCol w:w="1660"/>
      </w:tblGrid>
      <w:tr w:rsidR="009268C2" w:rsidRPr="0066058E" w14:paraId="514B57E4" w14:textId="77777777" w:rsidTr="009268C2">
        <w:trPr>
          <w:trHeight w:val="630"/>
          <w:jc w:val="center"/>
        </w:trPr>
        <w:tc>
          <w:tcPr>
            <w:tcW w:w="5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C68F30E" w14:textId="77777777"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p>
        </w:tc>
        <w:tc>
          <w:tcPr>
            <w:tcW w:w="71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BF4D24A" w14:textId="31956C4F"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r w:rsidRPr="0066058E">
              <w:rPr>
                <w:rFonts w:ascii="Times New Roman" w:eastAsia="Times New Roman" w:hAnsi="Times New Roman" w:cs="Times New Roman"/>
                <w:b/>
                <w:color w:val="000000"/>
                <w:sz w:val="24"/>
                <w:szCs w:val="24"/>
                <w:lang w:eastAsia="lv-LV"/>
              </w:rPr>
              <w:t>Plānotais pasākums</w:t>
            </w:r>
          </w:p>
        </w:tc>
        <w:tc>
          <w:tcPr>
            <w:tcW w:w="16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A343A33" w14:textId="77777777"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r w:rsidRPr="0066058E">
              <w:rPr>
                <w:rFonts w:ascii="Times New Roman" w:eastAsia="Times New Roman" w:hAnsi="Times New Roman" w:cs="Times New Roman"/>
                <w:b/>
                <w:color w:val="000000"/>
                <w:sz w:val="24"/>
                <w:szCs w:val="24"/>
                <w:lang w:eastAsia="lv-LV"/>
              </w:rPr>
              <w:t>Finansējuma apmērs</w:t>
            </w:r>
          </w:p>
          <w:p w14:paraId="10A97DCA" w14:textId="32AD99F5" w:rsidR="009268C2" w:rsidRPr="0066058E" w:rsidRDefault="009268C2" w:rsidP="00787F5A">
            <w:pPr>
              <w:spacing w:after="0" w:line="240" w:lineRule="auto"/>
              <w:jc w:val="center"/>
              <w:rPr>
                <w:rFonts w:ascii="Times New Roman" w:eastAsia="Times New Roman" w:hAnsi="Times New Roman" w:cs="Times New Roman"/>
                <w:b/>
                <w:i/>
                <w:color w:val="000000"/>
                <w:sz w:val="24"/>
                <w:szCs w:val="24"/>
                <w:lang w:eastAsia="lv-LV"/>
              </w:rPr>
            </w:pPr>
          </w:p>
        </w:tc>
      </w:tr>
      <w:tr w:rsidR="009268C2" w:rsidRPr="003B6DC4" w14:paraId="12C859EF" w14:textId="77777777" w:rsidTr="009268C2">
        <w:trPr>
          <w:trHeight w:val="315"/>
          <w:jc w:val="center"/>
        </w:trPr>
        <w:tc>
          <w:tcPr>
            <w:tcW w:w="562" w:type="dxa"/>
            <w:tcBorders>
              <w:top w:val="nil"/>
              <w:left w:val="single" w:sz="4" w:space="0" w:color="auto"/>
              <w:bottom w:val="single" w:sz="4" w:space="0" w:color="auto"/>
              <w:right w:val="single" w:sz="4" w:space="0" w:color="auto"/>
            </w:tcBorders>
            <w:shd w:val="clear" w:color="auto" w:fill="FBD4B4" w:themeFill="accent6" w:themeFillTint="66"/>
          </w:tcPr>
          <w:p w14:paraId="71BC23B6" w14:textId="77777777" w:rsidR="009268C2" w:rsidRPr="003B6DC4" w:rsidRDefault="009268C2" w:rsidP="00787F5A">
            <w:pPr>
              <w:spacing w:after="0" w:line="240" w:lineRule="auto"/>
              <w:jc w:val="center"/>
              <w:rPr>
                <w:rFonts w:ascii="Times New Roman" w:eastAsia="Times New Roman" w:hAnsi="Times New Roman" w:cs="Times New Roman"/>
                <w:color w:val="000000"/>
                <w:sz w:val="20"/>
                <w:szCs w:val="20"/>
                <w:lang w:eastAsia="lv-LV"/>
              </w:rPr>
            </w:pPr>
          </w:p>
        </w:tc>
        <w:tc>
          <w:tcPr>
            <w:tcW w:w="712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277B7CB" w14:textId="7141508D" w:rsidR="009268C2" w:rsidRPr="003B6DC4" w:rsidRDefault="009268C2" w:rsidP="00787F5A">
            <w:pPr>
              <w:spacing w:after="0" w:line="240" w:lineRule="auto"/>
              <w:jc w:val="center"/>
              <w:rPr>
                <w:rFonts w:ascii="Times New Roman" w:eastAsia="Times New Roman" w:hAnsi="Times New Roman" w:cs="Times New Roman"/>
                <w:color w:val="000000"/>
                <w:sz w:val="20"/>
                <w:szCs w:val="20"/>
                <w:lang w:eastAsia="lv-LV"/>
              </w:rPr>
            </w:pPr>
          </w:p>
        </w:tc>
        <w:tc>
          <w:tcPr>
            <w:tcW w:w="16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5D2CB26" w14:textId="27DDCC50" w:rsidR="009268C2" w:rsidRPr="003B6DC4" w:rsidRDefault="009268C2" w:rsidP="0066058E">
            <w:pPr>
              <w:spacing w:after="0" w:line="240" w:lineRule="auto"/>
              <w:jc w:val="center"/>
              <w:rPr>
                <w:rFonts w:ascii="Times New Roman" w:eastAsia="Times New Roman" w:hAnsi="Times New Roman" w:cs="Times New Roman"/>
                <w:color w:val="000000"/>
                <w:sz w:val="20"/>
                <w:szCs w:val="20"/>
                <w:lang w:eastAsia="lv-LV"/>
              </w:rPr>
            </w:pPr>
            <w:r w:rsidRPr="003B6DC4">
              <w:rPr>
                <w:rFonts w:ascii="Times New Roman" w:eastAsia="Times New Roman" w:hAnsi="Times New Roman" w:cs="Times New Roman"/>
                <w:i/>
                <w:color w:val="000000"/>
                <w:sz w:val="24"/>
                <w:szCs w:val="24"/>
                <w:lang w:eastAsia="lv-LV"/>
              </w:rPr>
              <w:t>(euro)</w:t>
            </w:r>
          </w:p>
        </w:tc>
      </w:tr>
      <w:tr w:rsidR="009268C2" w:rsidRPr="003B6DC4" w14:paraId="11368231" w14:textId="77777777" w:rsidTr="00180838">
        <w:trPr>
          <w:trHeight w:val="630"/>
          <w:jc w:val="center"/>
        </w:trPr>
        <w:tc>
          <w:tcPr>
            <w:tcW w:w="562" w:type="dxa"/>
            <w:tcBorders>
              <w:top w:val="nil"/>
              <w:left w:val="single" w:sz="4" w:space="0" w:color="auto"/>
              <w:bottom w:val="single" w:sz="4" w:space="0" w:color="auto"/>
              <w:right w:val="single" w:sz="4" w:space="0" w:color="auto"/>
            </w:tcBorders>
          </w:tcPr>
          <w:p w14:paraId="4012228A" w14:textId="33026224"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w:t>
            </w:r>
          </w:p>
        </w:tc>
        <w:tc>
          <w:tcPr>
            <w:tcW w:w="7128" w:type="dxa"/>
            <w:tcBorders>
              <w:top w:val="nil"/>
              <w:left w:val="single" w:sz="4" w:space="0" w:color="auto"/>
              <w:bottom w:val="single" w:sz="4" w:space="0" w:color="auto"/>
              <w:right w:val="single" w:sz="4" w:space="0" w:color="auto"/>
            </w:tcBorders>
            <w:shd w:val="clear" w:color="auto" w:fill="auto"/>
            <w:vAlign w:val="center"/>
            <w:hideMark/>
          </w:tcPr>
          <w:p w14:paraId="2B2ED33B" w14:textId="08D9A46F"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Rindu mazināšanai pie speciālistiem, uz diagnostiskajiem izmeklējumiem, dienas stacionārā</w:t>
            </w:r>
            <w:r w:rsidRPr="0066058E">
              <w:rPr>
                <w:rFonts w:ascii="Times New Roman" w:eastAsia="Times New Roman" w:hAnsi="Times New Roman"/>
                <w:sz w:val="24"/>
                <w:szCs w:val="24"/>
                <w:lang w:eastAsia="lv-LV"/>
              </w:rPr>
              <w:t xml:space="preserve"> un ambulatorajā rehabilitācijā</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E6A5B1F" w14:textId="43B8DC36"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16 599 307</w:t>
            </w:r>
          </w:p>
        </w:tc>
      </w:tr>
      <w:tr w:rsidR="009268C2" w:rsidRPr="003B6DC4" w14:paraId="2364A818" w14:textId="77777777" w:rsidTr="00180838">
        <w:trPr>
          <w:trHeight w:val="630"/>
          <w:jc w:val="center"/>
        </w:trPr>
        <w:tc>
          <w:tcPr>
            <w:tcW w:w="562" w:type="dxa"/>
            <w:tcBorders>
              <w:top w:val="single" w:sz="4" w:space="0" w:color="auto"/>
              <w:left w:val="single" w:sz="4" w:space="0" w:color="auto"/>
              <w:bottom w:val="single" w:sz="4" w:space="0" w:color="auto"/>
              <w:right w:val="single" w:sz="4" w:space="0" w:color="auto"/>
            </w:tcBorders>
          </w:tcPr>
          <w:p w14:paraId="0047F90E" w14:textId="120467E7"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2381" w14:textId="730C37CB"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Onkoloģisko saslimšanu diagnostikas un ārstēšanas pieejamības uzlabošanai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DEBC" w14:textId="5A6F27E3"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12 262 260</w:t>
            </w:r>
          </w:p>
        </w:tc>
      </w:tr>
      <w:tr w:rsidR="009268C2" w:rsidRPr="003B6DC4" w14:paraId="701B2F06" w14:textId="77777777" w:rsidTr="00180838">
        <w:trPr>
          <w:trHeight w:val="630"/>
          <w:jc w:val="center"/>
        </w:trPr>
        <w:tc>
          <w:tcPr>
            <w:tcW w:w="562" w:type="dxa"/>
            <w:tcBorders>
              <w:top w:val="single" w:sz="4" w:space="0" w:color="auto"/>
              <w:left w:val="single" w:sz="4" w:space="0" w:color="auto"/>
              <w:bottom w:val="single" w:sz="4" w:space="0" w:color="auto"/>
              <w:right w:val="single" w:sz="4" w:space="0" w:color="auto"/>
            </w:tcBorders>
          </w:tcPr>
          <w:p w14:paraId="43C8E6FF" w14:textId="5B53832B" w:rsidR="009268C2" w:rsidRPr="0066058E" w:rsidRDefault="009268C2" w:rsidP="0066058E">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869A" w14:textId="513CA6BF" w:rsidR="009268C2" w:rsidRPr="0066058E" w:rsidRDefault="00194FBC" w:rsidP="0066058E">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R</w:t>
            </w:r>
            <w:r w:rsidRPr="00194FBC">
              <w:rPr>
                <w:rFonts w:ascii="Times New Roman" w:eastAsia="Times New Roman" w:hAnsi="Times New Roman" w:cs="Times New Roman"/>
                <w:bCs/>
                <w:color w:val="000000"/>
                <w:sz w:val="24"/>
                <w:szCs w:val="24"/>
                <w:lang w:eastAsia="lv-LV"/>
              </w:rPr>
              <w:t>eformas valsts kompensējamo medikamentu nodrošinājumam VHC pacientiem F3-F4 stadijā</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805C" w14:textId="77777777"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5 462 883</w:t>
            </w:r>
          </w:p>
        </w:tc>
      </w:tr>
      <w:tr w:rsidR="009268C2" w:rsidRPr="003B6DC4" w14:paraId="634C7947" w14:textId="77777777" w:rsidTr="009268C2">
        <w:trPr>
          <w:trHeight w:val="315"/>
          <w:jc w:val="center"/>
        </w:trPr>
        <w:tc>
          <w:tcPr>
            <w:tcW w:w="562" w:type="dxa"/>
            <w:tcBorders>
              <w:top w:val="nil"/>
              <w:left w:val="single" w:sz="4" w:space="0" w:color="auto"/>
              <w:bottom w:val="single" w:sz="4" w:space="0" w:color="auto"/>
              <w:right w:val="single" w:sz="4" w:space="0" w:color="auto"/>
            </w:tcBorders>
            <w:shd w:val="clear" w:color="auto" w:fill="FABF8F" w:themeFill="accent6" w:themeFillTint="99"/>
          </w:tcPr>
          <w:p w14:paraId="33D3344C" w14:textId="77777777" w:rsidR="009268C2" w:rsidRPr="003B6DC4" w:rsidRDefault="009268C2" w:rsidP="00787F5A">
            <w:pPr>
              <w:spacing w:after="0" w:line="240" w:lineRule="auto"/>
              <w:jc w:val="right"/>
              <w:rPr>
                <w:rFonts w:ascii="Times New Roman" w:eastAsia="Times New Roman" w:hAnsi="Times New Roman" w:cs="Times New Roman"/>
                <w:b/>
                <w:bCs/>
                <w:color w:val="000000"/>
                <w:sz w:val="24"/>
                <w:szCs w:val="24"/>
                <w:lang w:eastAsia="lv-LV"/>
              </w:rPr>
            </w:pPr>
          </w:p>
        </w:tc>
        <w:tc>
          <w:tcPr>
            <w:tcW w:w="7128"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62768C38" w14:textId="0D5292B7" w:rsidR="009268C2" w:rsidRPr="003B6DC4" w:rsidRDefault="009268C2" w:rsidP="00787F5A">
            <w:pPr>
              <w:spacing w:after="0" w:line="240" w:lineRule="auto"/>
              <w:jc w:val="right"/>
              <w:rPr>
                <w:rFonts w:ascii="Times New Roman" w:eastAsia="Times New Roman" w:hAnsi="Times New Roman" w:cs="Times New Roman"/>
                <w:b/>
                <w:bCs/>
                <w:color w:val="000000"/>
                <w:sz w:val="24"/>
                <w:szCs w:val="24"/>
                <w:lang w:eastAsia="lv-LV"/>
              </w:rPr>
            </w:pPr>
            <w:r w:rsidRPr="003B6DC4">
              <w:rPr>
                <w:rFonts w:ascii="Times New Roman" w:eastAsia="Times New Roman" w:hAnsi="Times New Roman" w:cs="Times New Roman"/>
                <w:b/>
                <w:bCs/>
                <w:color w:val="000000"/>
                <w:sz w:val="24"/>
                <w:szCs w:val="24"/>
                <w:lang w:eastAsia="lv-LV"/>
              </w:rPr>
              <w:t xml:space="preserve">Kopā: </w:t>
            </w:r>
          </w:p>
        </w:tc>
        <w:tc>
          <w:tcPr>
            <w:tcW w:w="166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8EE269E" w14:textId="7BD4260B" w:rsidR="009268C2" w:rsidRPr="004B3E85" w:rsidRDefault="00223616" w:rsidP="004B3E85">
            <w:pPr>
              <w:pStyle w:val="ListParagraph"/>
              <w:numPr>
                <w:ilvl w:val="0"/>
                <w:numId w:val="57"/>
              </w:num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3</w:t>
            </w:r>
            <w:r w:rsidR="009268C2" w:rsidRPr="004B3E85">
              <w:rPr>
                <w:rFonts w:ascii="Times New Roman" w:eastAsia="Times New Roman" w:hAnsi="Times New Roman"/>
                <w:b/>
                <w:bCs/>
                <w:color w:val="000000"/>
                <w:sz w:val="24"/>
                <w:szCs w:val="24"/>
                <w:lang w:eastAsia="lv-LV"/>
              </w:rPr>
              <w:t>24 450</w:t>
            </w:r>
          </w:p>
        </w:tc>
      </w:tr>
    </w:tbl>
    <w:p w14:paraId="443F73B1" w14:textId="77777777" w:rsidR="00EA7B04" w:rsidRPr="003B6DC4" w:rsidRDefault="00EA7B04" w:rsidP="003E1FF2">
      <w:pPr>
        <w:spacing w:after="0" w:line="240" w:lineRule="auto"/>
        <w:jc w:val="right"/>
        <w:rPr>
          <w:rFonts w:ascii="Times New Roman" w:eastAsia="Times New Roman" w:hAnsi="Times New Roman"/>
          <w:i/>
          <w:sz w:val="24"/>
          <w:szCs w:val="24"/>
          <w:lang w:eastAsia="lv-LV"/>
        </w:rPr>
      </w:pPr>
    </w:p>
    <w:p w14:paraId="4269F9FE" w14:textId="71FAB54A" w:rsidR="004B3E85" w:rsidRPr="00217A33" w:rsidRDefault="002077AA" w:rsidP="00217A33">
      <w:pPr>
        <w:ind w:firstLine="709"/>
        <w:jc w:val="both"/>
        <w:rPr>
          <w:rFonts w:ascii="Times New Roman" w:hAnsi="Times New Roman" w:cs="Times New Roman"/>
          <w:sz w:val="24"/>
          <w:szCs w:val="24"/>
          <w:lang w:eastAsia="lv-LV"/>
        </w:rPr>
      </w:pPr>
      <w:r w:rsidRPr="00D5520B">
        <w:rPr>
          <w:rFonts w:ascii="Times New Roman" w:hAnsi="Times New Roman" w:cs="Times New Roman"/>
          <w:sz w:val="24"/>
          <w:szCs w:val="24"/>
          <w:lang w:eastAsia="lv-LV"/>
        </w:rPr>
        <w:t>P</w:t>
      </w:r>
      <w:r w:rsidR="00A937D8" w:rsidRPr="00D5520B">
        <w:rPr>
          <w:rFonts w:ascii="Times New Roman" w:hAnsi="Times New Roman" w:cs="Times New Roman"/>
          <w:sz w:val="24"/>
          <w:szCs w:val="24"/>
          <w:lang w:eastAsia="lv-LV"/>
        </w:rPr>
        <w:t>apildus</w:t>
      </w:r>
      <w:r w:rsidR="00A937D8" w:rsidRPr="006134C6">
        <w:rPr>
          <w:rFonts w:ascii="Times New Roman" w:hAnsi="Times New Roman" w:cs="Times New Roman"/>
          <w:sz w:val="24"/>
          <w:szCs w:val="24"/>
          <w:lang w:eastAsia="lv-LV"/>
        </w:rPr>
        <w:t xml:space="preserve"> Ministru kabineta </w:t>
      </w:r>
      <w:r w:rsidRPr="00D5520B">
        <w:rPr>
          <w:rFonts w:ascii="Times New Roman" w:hAnsi="Times New Roman" w:cs="Times New Roman"/>
          <w:sz w:val="24"/>
          <w:szCs w:val="24"/>
          <w:lang w:eastAsia="lv-LV"/>
        </w:rPr>
        <w:t xml:space="preserve">2016. gada </w:t>
      </w:r>
      <w:r w:rsidR="00A937D8" w:rsidRPr="006134C6">
        <w:rPr>
          <w:rFonts w:ascii="Times New Roman" w:hAnsi="Times New Roman" w:cs="Times New Roman"/>
          <w:sz w:val="24"/>
          <w:szCs w:val="24"/>
          <w:lang w:eastAsia="lv-LV"/>
        </w:rPr>
        <w:t xml:space="preserve">20.decembra sēdes </w:t>
      </w:r>
      <w:r w:rsidR="00A937D8" w:rsidRPr="00D5520B">
        <w:rPr>
          <w:rFonts w:ascii="Times New Roman" w:hAnsi="Times New Roman" w:cs="Times New Roman"/>
          <w:sz w:val="24"/>
          <w:szCs w:val="24"/>
          <w:lang w:eastAsia="lv-LV"/>
        </w:rPr>
        <w:t>protokol</w:t>
      </w:r>
      <w:r w:rsidRPr="00D5520B">
        <w:rPr>
          <w:rFonts w:ascii="Times New Roman" w:hAnsi="Times New Roman" w:cs="Times New Roman"/>
          <w:sz w:val="24"/>
          <w:szCs w:val="24"/>
          <w:lang w:eastAsia="lv-LV"/>
        </w:rPr>
        <w:t>a</w:t>
      </w:r>
      <w:r w:rsidR="00A937D8" w:rsidRPr="006134C6">
        <w:rPr>
          <w:rFonts w:ascii="Times New Roman" w:hAnsi="Times New Roman" w:cs="Times New Roman"/>
          <w:sz w:val="24"/>
          <w:szCs w:val="24"/>
          <w:lang w:eastAsia="lv-LV"/>
        </w:rPr>
        <w:t xml:space="preserve"> Nr.69 86§ </w:t>
      </w:r>
      <w:r w:rsidR="00CB074D" w:rsidRPr="00D5520B">
        <w:rPr>
          <w:rFonts w:ascii="Times New Roman" w:hAnsi="Times New Roman" w:cs="Times New Roman"/>
          <w:sz w:val="24"/>
          <w:szCs w:val="24"/>
          <w:lang w:eastAsia="lv-LV"/>
        </w:rPr>
        <w:t>(Informatīvais</w:t>
      </w:r>
      <w:r w:rsidR="00A937D8" w:rsidRPr="00D5520B">
        <w:rPr>
          <w:rFonts w:ascii="Times New Roman" w:hAnsi="Times New Roman" w:cs="Times New Roman"/>
          <w:sz w:val="24"/>
          <w:szCs w:val="24"/>
          <w:lang w:eastAsia="lv-LV"/>
        </w:rPr>
        <w:t xml:space="preserve"> ziņoju</w:t>
      </w:r>
      <w:r w:rsidR="00CB074D" w:rsidRPr="00D5520B">
        <w:rPr>
          <w:rFonts w:ascii="Times New Roman" w:hAnsi="Times New Roman" w:cs="Times New Roman"/>
          <w:sz w:val="24"/>
          <w:szCs w:val="24"/>
          <w:lang w:eastAsia="lv-LV"/>
        </w:rPr>
        <w:t>ms</w:t>
      </w:r>
      <w:r w:rsidR="00A937D8" w:rsidRPr="006134C6">
        <w:rPr>
          <w:rFonts w:ascii="Times New Roman" w:hAnsi="Times New Roman" w:cs="Times New Roman"/>
          <w:sz w:val="24"/>
          <w:szCs w:val="24"/>
          <w:lang w:eastAsia="lv-LV"/>
        </w:rPr>
        <w:t xml:space="preserve"> "Par veselības reformas pasākumu īstenošanu 2017.gadā</w:t>
      </w:r>
      <w:r w:rsidR="00A937D8" w:rsidRPr="00D5520B">
        <w:rPr>
          <w:rFonts w:ascii="Times New Roman" w:hAnsi="Times New Roman" w:cs="Times New Roman"/>
          <w:sz w:val="24"/>
          <w:szCs w:val="24"/>
          <w:lang w:eastAsia="lv-LV"/>
        </w:rPr>
        <w:t>"</w:t>
      </w:r>
      <w:r w:rsidR="00CB074D" w:rsidRPr="00D5520B">
        <w:rPr>
          <w:rFonts w:ascii="Times New Roman" w:hAnsi="Times New Roman" w:cs="Times New Roman"/>
          <w:sz w:val="24"/>
          <w:szCs w:val="24"/>
          <w:lang w:eastAsia="lv-LV"/>
        </w:rPr>
        <w:t>)</w:t>
      </w:r>
      <w:r w:rsidR="00A937D8" w:rsidRPr="006134C6">
        <w:rPr>
          <w:rFonts w:ascii="Times New Roman" w:hAnsi="Times New Roman" w:cs="Times New Roman"/>
          <w:sz w:val="24"/>
          <w:szCs w:val="24"/>
          <w:lang w:eastAsia="lv-LV"/>
        </w:rPr>
        <w:t xml:space="preserve"> apstiprinātajām reformām onkoloģijas jomā,</w:t>
      </w:r>
      <w:r w:rsidR="00A937D8" w:rsidRPr="00D5520B">
        <w:rPr>
          <w:rFonts w:ascii="Times New Roman" w:hAnsi="Times New Roman" w:cs="Times New Roman"/>
          <w:sz w:val="24"/>
          <w:szCs w:val="24"/>
          <w:lang w:eastAsia="lv-LV"/>
        </w:rPr>
        <w:t xml:space="preserve"> </w:t>
      </w:r>
      <w:r w:rsidR="00CB074D" w:rsidRPr="00D5520B">
        <w:rPr>
          <w:rFonts w:ascii="Times New Roman" w:hAnsi="Times New Roman" w:cs="Times New Roman"/>
          <w:sz w:val="24"/>
          <w:szCs w:val="24"/>
          <w:lang w:eastAsia="lv-LV"/>
        </w:rPr>
        <w:t>t</w:t>
      </w:r>
      <w:r w:rsidRPr="00D5520B">
        <w:rPr>
          <w:rFonts w:ascii="Times New Roman" w:hAnsi="Times New Roman" w:cs="Times New Roman"/>
          <w:sz w:val="24"/>
          <w:szCs w:val="24"/>
          <w:lang w:eastAsia="lv-LV"/>
        </w:rPr>
        <w:t>urpmāk</w:t>
      </w:r>
      <w:r w:rsidR="00A937D8" w:rsidRPr="006134C6">
        <w:rPr>
          <w:rFonts w:ascii="Times New Roman" w:hAnsi="Times New Roman" w:cs="Times New Roman"/>
          <w:sz w:val="24"/>
          <w:szCs w:val="24"/>
          <w:lang w:eastAsia="lv-LV"/>
        </w:rPr>
        <w:t xml:space="preserve"> tiek aprakstītas nepieciešamās reformas rindu mazināšanai pie speciālistiem, uz diagnostiskajiem izmeklējumiem, dienas stacionārā un ambulatorajā rehabilitācijā un </w:t>
      </w:r>
      <w:r w:rsidR="00194FBC" w:rsidRPr="00194FBC">
        <w:rPr>
          <w:rFonts w:ascii="Times New Roman" w:hAnsi="Times New Roman" w:cs="Times New Roman"/>
          <w:sz w:val="24"/>
          <w:szCs w:val="24"/>
          <w:lang w:eastAsia="lv-LV"/>
        </w:rPr>
        <w:t>reformas valsts kompensējamo medikamentu nodrošinājumam VHC pacientiem F3-F4 stadijā</w:t>
      </w:r>
      <w:r w:rsidR="00A937D8" w:rsidRPr="006134C6">
        <w:rPr>
          <w:rFonts w:ascii="Times New Roman" w:hAnsi="Times New Roman" w:cs="Times New Roman"/>
          <w:sz w:val="24"/>
          <w:szCs w:val="24"/>
          <w:lang w:eastAsia="lv-LV"/>
        </w:rPr>
        <w:t>.</w:t>
      </w:r>
    </w:p>
    <w:p w14:paraId="378A2353" w14:textId="77777777" w:rsidR="00A937D8" w:rsidRPr="003B6DC4" w:rsidRDefault="00A937D8" w:rsidP="00A937D8">
      <w:pPr>
        <w:pStyle w:val="Heading2"/>
        <w:numPr>
          <w:ilvl w:val="1"/>
          <w:numId w:val="31"/>
        </w:numPr>
        <w:spacing w:before="0" w:after="200"/>
        <w:jc w:val="center"/>
        <w:rPr>
          <w:rFonts w:ascii="Times New Roman" w:hAnsi="Times New Roman" w:cs="Times New Roman"/>
          <w:b/>
          <w:color w:val="auto"/>
          <w:sz w:val="24"/>
          <w:szCs w:val="24"/>
        </w:rPr>
      </w:pPr>
      <w:r>
        <w:rPr>
          <w:rFonts w:ascii="Times New Roman" w:hAnsi="Times New Roman" w:cs="Times New Roman"/>
          <w:b/>
          <w:color w:val="auto"/>
          <w:sz w:val="24"/>
          <w:szCs w:val="24"/>
        </w:rPr>
        <w:t>R</w:t>
      </w:r>
      <w:r w:rsidRPr="00832E36">
        <w:rPr>
          <w:rFonts w:ascii="Times New Roman" w:hAnsi="Times New Roman" w:cs="Times New Roman"/>
          <w:b/>
          <w:color w:val="auto"/>
          <w:sz w:val="24"/>
          <w:szCs w:val="24"/>
        </w:rPr>
        <w:t>indu mazināšanai pie speciālistiem, uz diagnostiskajiem izmeklējumiem, dienas stacionārā un ambulatorajā rehabilitācijā</w:t>
      </w:r>
      <w:r w:rsidRPr="00B13B1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jeb pieejamības uzlabošanai</w:t>
      </w:r>
    </w:p>
    <w:p w14:paraId="4979FC45" w14:textId="1D9B2715" w:rsidR="00A937D8" w:rsidRPr="003B6DC4" w:rsidRDefault="00A937D8" w:rsidP="00A937D8">
      <w:pPr>
        <w:autoSpaceDE w:val="0"/>
        <w:autoSpaceDN w:val="0"/>
        <w:adjustRightInd w:val="0"/>
        <w:ind w:firstLine="720"/>
        <w:jc w:val="both"/>
        <w:rPr>
          <w:rFonts w:ascii="Times New Roman" w:hAnsi="Times New Roman" w:cs="Times New Roman"/>
          <w:sz w:val="24"/>
          <w:szCs w:val="24"/>
          <w:lang w:bidi="lo-LA"/>
        </w:rPr>
      </w:pPr>
      <w:r>
        <w:rPr>
          <w:rFonts w:ascii="Times New Roman" w:hAnsi="Times New Roman" w:cs="Times New Roman"/>
          <w:sz w:val="24"/>
          <w:szCs w:val="24"/>
          <w:lang w:bidi="lo-LA"/>
        </w:rPr>
        <w:t>Speciālistu konsultācijas, diagnostiskie izmeklējumi</w:t>
      </w:r>
      <w:r w:rsidR="000F1FE7">
        <w:rPr>
          <w:rFonts w:ascii="Times New Roman" w:hAnsi="Times New Roman" w:cs="Times New Roman"/>
          <w:sz w:val="24"/>
          <w:szCs w:val="24"/>
          <w:lang w:bidi="lo-LA"/>
        </w:rPr>
        <w:t xml:space="preserve">, </w:t>
      </w:r>
      <w:r>
        <w:rPr>
          <w:rFonts w:ascii="Times New Roman" w:hAnsi="Times New Roman" w:cs="Times New Roman"/>
          <w:sz w:val="24"/>
          <w:szCs w:val="24"/>
          <w:lang w:bidi="lo-LA"/>
        </w:rPr>
        <w:t>dienas stacionārs</w:t>
      </w:r>
      <w:r w:rsidR="000F1FE7">
        <w:rPr>
          <w:rFonts w:ascii="Times New Roman" w:hAnsi="Times New Roman" w:cs="Times New Roman"/>
          <w:sz w:val="24"/>
          <w:szCs w:val="24"/>
          <w:lang w:bidi="lo-LA"/>
        </w:rPr>
        <w:t xml:space="preserve"> un ambulatorā rehabilitācija</w:t>
      </w:r>
      <w:r>
        <w:rPr>
          <w:rFonts w:ascii="Times New Roman" w:hAnsi="Times New Roman" w:cs="Times New Roman"/>
          <w:sz w:val="24"/>
          <w:szCs w:val="24"/>
          <w:lang w:bidi="lo-LA"/>
        </w:rPr>
        <w:t xml:space="preserve"> ir s</w:t>
      </w:r>
      <w:r w:rsidRPr="003B6DC4">
        <w:rPr>
          <w:rFonts w:ascii="Times New Roman" w:hAnsi="Times New Roman" w:cs="Times New Roman"/>
          <w:sz w:val="24"/>
          <w:szCs w:val="24"/>
          <w:lang w:bidi="lo-LA"/>
        </w:rPr>
        <w:t>ekundārā</w:t>
      </w:r>
      <w:r w:rsidR="000F1FE7">
        <w:rPr>
          <w:rFonts w:ascii="Times New Roman" w:hAnsi="Times New Roman" w:cs="Times New Roman"/>
          <w:sz w:val="24"/>
          <w:szCs w:val="24"/>
          <w:lang w:bidi="lo-LA"/>
        </w:rPr>
        <w:t>s</w:t>
      </w:r>
      <w:r w:rsidRPr="003B6DC4">
        <w:rPr>
          <w:rFonts w:ascii="Times New Roman" w:hAnsi="Times New Roman" w:cs="Times New Roman"/>
          <w:sz w:val="24"/>
          <w:szCs w:val="24"/>
          <w:lang w:bidi="lo-LA"/>
        </w:rPr>
        <w:t xml:space="preserve"> ambulator</w:t>
      </w:r>
      <w:r>
        <w:rPr>
          <w:rFonts w:ascii="Times New Roman" w:hAnsi="Times New Roman" w:cs="Times New Roman"/>
          <w:sz w:val="24"/>
          <w:szCs w:val="24"/>
          <w:lang w:bidi="lo-LA"/>
        </w:rPr>
        <w:t>ā</w:t>
      </w:r>
      <w:r w:rsidR="000F1FE7">
        <w:rPr>
          <w:rFonts w:ascii="Times New Roman" w:hAnsi="Times New Roman" w:cs="Times New Roman"/>
          <w:sz w:val="24"/>
          <w:szCs w:val="24"/>
          <w:lang w:bidi="lo-LA"/>
        </w:rPr>
        <w:t>s</w:t>
      </w:r>
      <w:r>
        <w:rPr>
          <w:rFonts w:ascii="Times New Roman" w:hAnsi="Times New Roman" w:cs="Times New Roman"/>
          <w:sz w:val="24"/>
          <w:szCs w:val="24"/>
          <w:lang w:bidi="lo-LA"/>
        </w:rPr>
        <w:t xml:space="preserve"> veselības aprūpe</w:t>
      </w:r>
      <w:r w:rsidR="000F1FE7">
        <w:rPr>
          <w:rFonts w:ascii="Times New Roman" w:hAnsi="Times New Roman" w:cs="Times New Roman"/>
          <w:sz w:val="24"/>
          <w:szCs w:val="24"/>
          <w:lang w:bidi="lo-LA"/>
        </w:rPr>
        <w:t>s pakalpojumi</w:t>
      </w:r>
      <w:r>
        <w:rPr>
          <w:rFonts w:ascii="Times New Roman" w:hAnsi="Times New Roman" w:cs="Times New Roman"/>
          <w:sz w:val="24"/>
          <w:szCs w:val="24"/>
          <w:lang w:bidi="lo-LA"/>
        </w:rPr>
        <w:t>.</w:t>
      </w:r>
    </w:p>
    <w:p w14:paraId="67CFCA17" w14:textId="77777777" w:rsidR="00A937D8" w:rsidRPr="00B13B14" w:rsidRDefault="00A937D8" w:rsidP="00A937D8">
      <w:pPr>
        <w:pStyle w:val="Heading3"/>
        <w:numPr>
          <w:ilvl w:val="2"/>
          <w:numId w:val="31"/>
        </w:numPr>
        <w:rPr>
          <w:rFonts w:ascii="Times New Roman" w:hAnsi="Times New Roman" w:cs="Times New Roman"/>
          <w:b/>
          <w:color w:val="000000" w:themeColor="text1"/>
          <w:lang w:bidi="lo-LA"/>
        </w:rPr>
      </w:pPr>
      <w:r w:rsidRPr="00B13B14">
        <w:rPr>
          <w:rFonts w:ascii="Times New Roman" w:hAnsi="Times New Roman" w:cs="Times New Roman"/>
          <w:b/>
          <w:color w:val="000000" w:themeColor="text1"/>
          <w:lang w:bidi="lo-LA"/>
        </w:rPr>
        <w:t xml:space="preserve">Speciālistu konsultācijas </w:t>
      </w:r>
    </w:p>
    <w:p w14:paraId="2988CB32" w14:textId="77777777" w:rsidR="00A937D8" w:rsidRPr="003B6DC4" w:rsidRDefault="00A937D8" w:rsidP="00A937D8">
      <w:pPr>
        <w:autoSpaceDE w:val="0"/>
        <w:autoSpaceDN w:val="0"/>
        <w:adjustRightInd w:val="0"/>
        <w:ind w:firstLine="720"/>
        <w:jc w:val="both"/>
        <w:rPr>
          <w:rFonts w:ascii="Times New Roman" w:hAnsi="Times New Roman" w:cs="Times New Roman"/>
          <w:sz w:val="24"/>
          <w:szCs w:val="24"/>
          <w:lang w:bidi="lo-LA"/>
        </w:rPr>
      </w:pPr>
      <w:r w:rsidRPr="003B6DC4">
        <w:rPr>
          <w:rFonts w:ascii="Times New Roman" w:hAnsi="Times New Roman" w:cs="Times New Roman"/>
          <w:sz w:val="24"/>
          <w:szCs w:val="24"/>
          <w:lang w:bidi="lo-LA"/>
        </w:rPr>
        <w:t>Valsts apmaksātus sekundārās veselības aprūpes pakalpojumus</w:t>
      </w:r>
      <w:r>
        <w:rPr>
          <w:rFonts w:ascii="Times New Roman" w:hAnsi="Times New Roman" w:cs="Times New Roman"/>
          <w:sz w:val="24"/>
          <w:szCs w:val="24"/>
          <w:lang w:bidi="lo-LA"/>
        </w:rPr>
        <w:t>, tajā skaitā speciālistu konsultācijas un izmeklējumus,</w:t>
      </w:r>
      <w:r w:rsidRPr="003B6DC4">
        <w:rPr>
          <w:rFonts w:ascii="Times New Roman" w:hAnsi="Times New Roman" w:cs="Times New Roman"/>
          <w:sz w:val="24"/>
          <w:szCs w:val="24"/>
          <w:lang w:bidi="lo-LA"/>
        </w:rPr>
        <w:t xml:space="preserve"> saņem pēc ģimenes ārsta vai speciālista </w:t>
      </w:r>
      <w:r>
        <w:rPr>
          <w:rFonts w:ascii="Times New Roman" w:hAnsi="Times New Roman" w:cs="Times New Roman"/>
          <w:sz w:val="24"/>
          <w:szCs w:val="24"/>
          <w:lang w:bidi="lo-LA"/>
        </w:rPr>
        <w:t>nosūtījuma, kuriem</w:t>
      </w:r>
      <w:r w:rsidRPr="003B6DC4">
        <w:rPr>
          <w:rFonts w:ascii="Times New Roman" w:hAnsi="Times New Roman" w:cs="Times New Roman"/>
          <w:sz w:val="24"/>
          <w:szCs w:val="24"/>
          <w:lang w:bidi="lo-LA"/>
        </w:rPr>
        <w:t xml:space="preserve"> ir noslēgti līgumi par no valsts budžeta apmaksājamu veselības aprūpes p</w:t>
      </w:r>
      <w:r>
        <w:rPr>
          <w:rFonts w:ascii="Times New Roman" w:hAnsi="Times New Roman" w:cs="Times New Roman"/>
          <w:sz w:val="24"/>
          <w:szCs w:val="24"/>
          <w:lang w:bidi="lo-LA"/>
        </w:rPr>
        <w:t>akalpojumu sniegšanu</w:t>
      </w:r>
      <w:r w:rsidRPr="003B6DC4">
        <w:rPr>
          <w:rFonts w:ascii="Times New Roman" w:hAnsi="Times New Roman" w:cs="Times New Roman"/>
          <w:sz w:val="24"/>
          <w:szCs w:val="24"/>
          <w:lang w:bidi="lo-LA"/>
        </w:rPr>
        <w:t>.</w:t>
      </w:r>
    </w:p>
    <w:p w14:paraId="7FE7F3C9" w14:textId="77777777" w:rsidR="00A937D8" w:rsidRPr="003B6DC4" w:rsidRDefault="00A937D8" w:rsidP="00A937D8">
      <w:pPr>
        <w:autoSpaceDE w:val="0"/>
        <w:autoSpaceDN w:val="0"/>
        <w:adjustRightInd w:val="0"/>
        <w:spacing w:after="0"/>
        <w:ind w:firstLine="720"/>
        <w:jc w:val="both"/>
        <w:rPr>
          <w:rFonts w:ascii="Times New Roman" w:hAnsi="Times New Roman" w:cs="Times New Roman"/>
          <w:sz w:val="24"/>
          <w:szCs w:val="24"/>
          <w:lang w:bidi="lo-LA"/>
        </w:rPr>
      </w:pPr>
      <w:r w:rsidRPr="003B6DC4">
        <w:rPr>
          <w:rFonts w:ascii="Times New Roman" w:hAnsi="Times New Roman" w:cs="Times New Roman"/>
          <w:sz w:val="24"/>
          <w:szCs w:val="24"/>
          <w:lang w:bidi="lo-LA"/>
        </w:rPr>
        <w:t xml:space="preserve">Pieejamība bez nosūtījuma ir pie šādiem speciālistiem: </w:t>
      </w:r>
    </w:p>
    <w:p w14:paraId="00804FD3" w14:textId="77777777" w:rsidR="00A937D8" w:rsidRPr="003B6DC4" w:rsidRDefault="00A937D8" w:rsidP="007D6645">
      <w:pPr>
        <w:pStyle w:val="ListParagraph"/>
        <w:numPr>
          <w:ilvl w:val="0"/>
          <w:numId w:val="47"/>
        </w:numPr>
        <w:autoSpaceDE w:val="0"/>
        <w:autoSpaceDN w:val="0"/>
        <w:adjustRightInd w:val="0"/>
        <w:spacing w:after="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psihiatra vai bērnu psihiatra, ja slimo ar psihisku slimību;</w:t>
      </w:r>
    </w:p>
    <w:p w14:paraId="5582F10C"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narkologa, ja slimo ar alkohola, narkotisko vai psihotropo vielu atkarību;</w:t>
      </w:r>
    </w:p>
    <w:p w14:paraId="1B663753"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lastRenderedPageBreak/>
        <w:t>pie pneimonologa, ja slimo ar tuberkulozi;</w:t>
      </w:r>
    </w:p>
    <w:p w14:paraId="3B65218D"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dermatovenerologa, ja slimo ar seksuāli transmisīvu slimību;</w:t>
      </w:r>
    </w:p>
    <w:p w14:paraId="31C4F31E"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 xml:space="preserve">pie endokrinologa, ja slimo ar cukura diabētu </w:t>
      </w:r>
    </w:p>
    <w:p w14:paraId="6BAF9804"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onkologa, onkologa ķīmijterapeita, ja slimo ar onkoloģisku slimību</w:t>
      </w:r>
    </w:p>
    <w:p w14:paraId="4A67D4A7"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ginekologa, ārpus valsts organizētā vēža skrīninga;</w:t>
      </w:r>
    </w:p>
    <w:p w14:paraId="0C55E69C"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oftalmologa;</w:t>
      </w:r>
    </w:p>
    <w:p w14:paraId="567C9D47"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bērnu ķirurga;</w:t>
      </w:r>
    </w:p>
    <w:p w14:paraId="05AA85E3"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pediatra;</w:t>
      </w:r>
    </w:p>
    <w:p w14:paraId="79DF07D0" w14:textId="77777777" w:rsidR="00A937D8" w:rsidRPr="003B6DC4" w:rsidRDefault="00A937D8" w:rsidP="007D6645">
      <w:pPr>
        <w:pStyle w:val="ListParagraph"/>
        <w:numPr>
          <w:ilvl w:val="0"/>
          <w:numId w:val="47"/>
        </w:numPr>
        <w:autoSpaceDE w:val="0"/>
        <w:autoSpaceDN w:val="0"/>
        <w:adjustRightInd w:val="0"/>
        <w:ind w:left="0" w:firstLine="426"/>
        <w:jc w:val="both"/>
        <w:rPr>
          <w:rFonts w:ascii="Times New Roman" w:hAnsi="Times New Roman"/>
          <w:sz w:val="24"/>
          <w:szCs w:val="24"/>
          <w:lang w:val="lv-LV" w:bidi="lo-LA"/>
        </w:rPr>
      </w:pPr>
      <w:r w:rsidRPr="003B6DC4">
        <w:rPr>
          <w:rFonts w:ascii="Times New Roman" w:hAnsi="Times New Roman"/>
          <w:sz w:val="24"/>
          <w:szCs w:val="24"/>
          <w:lang w:val="lv-LV" w:bidi="lo-LA"/>
        </w:rPr>
        <w:t>pie infektologa, ja persona slimo ar HIV /AIDS infekciju.</w:t>
      </w:r>
    </w:p>
    <w:p w14:paraId="7C3BB929" w14:textId="77777777" w:rsidR="00A937D8" w:rsidRPr="003B6DC4" w:rsidRDefault="00A937D8" w:rsidP="00A937D8">
      <w:pPr>
        <w:pStyle w:val="NormalWeb"/>
        <w:shd w:val="clear" w:color="auto" w:fill="FFFFFF"/>
        <w:spacing w:before="0" w:beforeAutospacing="0" w:after="200" w:afterAutospacing="0" w:line="276" w:lineRule="auto"/>
        <w:ind w:firstLine="720"/>
        <w:jc w:val="both"/>
        <w:textAlignment w:val="baseline"/>
        <w:rPr>
          <w:color w:val="5E5B5B"/>
        </w:rPr>
      </w:pPr>
      <w:r>
        <w:t xml:space="preserve">Lai </w:t>
      </w:r>
      <w:r w:rsidRPr="003B6DC4">
        <w:t>saņemtu sekundāros ambulatoro</w:t>
      </w:r>
      <w:r>
        <w:t>s</w:t>
      </w:r>
      <w:r w:rsidRPr="003B6DC4">
        <w:t xml:space="preserve"> veselības aprūpes pakalpojumus, pacients vienojas ar ārstniecības iestādi, kad būs iespējams saņemt nosūtījumā norādīto veselības aprūpes pakalpojumu. Savukārt ārstniecības iestāde par sniegto veselības aprūpes pakalpojumu informē ārstniecības personu, kura izsniedza nosūtījumu, un, ja pacientam ir nepieciešami tālāki izmeklējumi vai konsultācijas, izsniedz personai nosūtīj</w:t>
      </w:r>
      <w:r>
        <w:t>umu šādu pakalpojumu saņemšanai</w:t>
      </w:r>
      <w:r w:rsidRPr="003B6DC4">
        <w:t>.</w:t>
      </w:r>
      <w:r w:rsidRPr="003B6DC4">
        <w:rPr>
          <w:color w:val="5E5B5B"/>
        </w:rPr>
        <w:t xml:space="preserve"> </w:t>
      </w:r>
    </w:p>
    <w:p w14:paraId="4463F294" w14:textId="6A612016" w:rsidR="00163075" w:rsidRPr="006134C6" w:rsidRDefault="00A937D8" w:rsidP="00163075">
      <w:pPr>
        <w:pStyle w:val="NormalWeb"/>
        <w:shd w:val="clear" w:color="auto" w:fill="FFFFFF"/>
        <w:spacing w:before="0" w:beforeAutospacing="0" w:after="200" w:afterAutospacing="0" w:line="276" w:lineRule="auto"/>
        <w:ind w:firstLine="720"/>
        <w:jc w:val="both"/>
        <w:textAlignment w:val="baseline"/>
      </w:pPr>
      <w:r w:rsidRPr="006134C6">
        <w:t>Uz 2016.gada 1.</w:t>
      </w:r>
      <w:r w:rsidR="00E3340B" w:rsidRPr="006134C6">
        <w:t>decembri</w:t>
      </w:r>
      <w:r w:rsidRPr="006134C6">
        <w:t xml:space="preserve"> pacientu gaidīšanas rindas pie endokrinologa līdz </w:t>
      </w:r>
      <w:r w:rsidR="008A00DF" w:rsidRPr="006134C6">
        <w:t>117</w:t>
      </w:r>
      <w:r w:rsidRPr="006134C6">
        <w:t xml:space="preserve"> dienām, t.i. </w:t>
      </w:r>
      <w:r w:rsidR="00B22835" w:rsidRPr="006134C6">
        <w:t>3,9</w:t>
      </w:r>
      <w:r w:rsidRPr="006134C6">
        <w:t xml:space="preserve"> mēnešiem (</w:t>
      </w:r>
      <w:r w:rsidR="00B22835" w:rsidRPr="006134C6">
        <w:t xml:space="preserve">SIA "Rīgas Austrumu klīniskā universitātes slimnīca" stacionārs ''Gaiļezers", SIA "Jelgavas poliklīnika", SIA "Siguldas slimnīca", SIA "Veselības centrs 4", </w:t>
      </w:r>
      <w:r w:rsidRPr="006134C6">
        <w:t xml:space="preserve">AS "Veselības centru apvienība" </w:t>
      </w:r>
      <w:r w:rsidR="00B22835" w:rsidRPr="006134C6">
        <w:t xml:space="preserve">struktūrvienība "VCA OLVI medicīnas centrs" </w:t>
      </w:r>
      <w:r w:rsidRPr="006134C6">
        <w:t xml:space="preserve">un SIA "Rīgas 1. slimnīca"), pie ginekologa līdz </w:t>
      </w:r>
      <w:r w:rsidR="002B76B0" w:rsidRPr="006134C6">
        <w:t>75</w:t>
      </w:r>
      <w:r w:rsidRPr="006134C6">
        <w:t xml:space="preserve"> dienām, t.i. līdz </w:t>
      </w:r>
      <w:r w:rsidR="002B76B0" w:rsidRPr="006134C6">
        <w:t>2,5</w:t>
      </w:r>
      <w:r w:rsidRPr="006134C6">
        <w:t xml:space="preserve"> mēnešiem (SIA "Rīgas Austrumu klīniskā universitātes slimnīca "Stacionārs ''Biķernieki"</w:t>
      </w:r>
      <w:r w:rsidR="002B76B0" w:rsidRPr="006134C6">
        <w:t>, SIA "Salaspils veselības centrs" un SIA "Zemgales veselības centrs"</w:t>
      </w:r>
      <w:r w:rsidRPr="006134C6">
        <w:t xml:space="preserve">), pie kardiologa līdz </w:t>
      </w:r>
      <w:r w:rsidR="00B86033" w:rsidRPr="006134C6">
        <w:t>133</w:t>
      </w:r>
      <w:r w:rsidRPr="006134C6">
        <w:t xml:space="preserve"> dienām, t.i. </w:t>
      </w:r>
      <w:r w:rsidR="00B86033" w:rsidRPr="006134C6">
        <w:t>4,43</w:t>
      </w:r>
      <w:r w:rsidRPr="006134C6">
        <w:t xml:space="preserve"> mēnešiem (</w:t>
      </w:r>
      <w:r w:rsidR="00B86033" w:rsidRPr="006134C6">
        <w:t>AS "Veselības centru apvienība" struktūrvienība "VCA Juglas medicīnas centrs" un SIA "Rīgas Austrumu klīniskā universitātes slimnīca" stacionārs ''Biķernieki"</w:t>
      </w:r>
      <w:r w:rsidRPr="006134C6">
        <w:t xml:space="preserve">), pie reimatologa – </w:t>
      </w:r>
      <w:r w:rsidR="00B86033" w:rsidRPr="006134C6">
        <w:t>107</w:t>
      </w:r>
      <w:r w:rsidRPr="006134C6">
        <w:t xml:space="preserve"> dienām, t.i. </w:t>
      </w:r>
      <w:r w:rsidR="00B86033" w:rsidRPr="006134C6">
        <w:t>3,57</w:t>
      </w:r>
      <w:r w:rsidRPr="006134C6">
        <w:t xml:space="preserve"> mēnešiem (</w:t>
      </w:r>
      <w:r w:rsidR="00B86033" w:rsidRPr="006134C6">
        <w:t>SIA "Rīgas 1.slimnīca" un SIA "Rīgas Austrumu klīniskā universitātes slimnīca" stacionārs ''Biķernieki"</w:t>
      </w:r>
      <w:r w:rsidRPr="006134C6">
        <w:t xml:space="preserve">), pie oftalmologa līdz </w:t>
      </w:r>
      <w:r w:rsidR="00C503EC" w:rsidRPr="006134C6">
        <w:t>150</w:t>
      </w:r>
      <w:r w:rsidRPr="006134C6">
        <w:t xml:space="preserve"> dienām, t.i. </w:t>
      </w:r>
      <w:r w:rsidR="00C503EC" w:rsidRPr="006134C6">
        <w:t>5</w:t>
      </w:r>
      <w:r w:rsidRPr="006134C6">
        <w:t xml:space="preserve"> mēnešiem (</w:t>
      </w:r>
      <w:r w:rsidR="00C503EC" w:rsidRPr="006134C6">
        <w:t>SIA "</w:t>
      </w:r>
      <w:r w:rsidRPr="006134C6">
        <w:t>Ziemeļkurzemes reģionālā slimnīca</w:t>
      </w:r>
      <w:r w:rsidR="00C503EC" w:rsidRPr="006134C6">
        <w:t>", SIA "Rīgas Austrumu klīniskā universitātes slimnīca" stacionārs ''Biķernieki" un Madonas slimnīca, Madonas novada pašvaldības SIA</w:t>
      </w:r>
      <w:r w:rsidRPr="006134C6">
        <w:t xml:space="preserve">), pie traumatologa, ortopēda līdz </w:t>
      </w:r>
      <w:r w:rsidR="006956E4" w:rsidRPr="006134C6">
        <w:t>97</w:t>
      </w:r>
      <w:r w:rsidRPr="006134C6">
        <w:t xml:space="preserve"> dienām, t.i. </w:t>
      </w:r>
      <w:r w:rsidR="006956E4" w:rsidRPr="006134C6">
        <w:t>3,23</w:t>
      </w:r>
      <w:r w:rsidRPr="006134C6">
        <w:t xml:space="preserve"> mēnešiem </w:t>
      </w:r>
      <w:r w:rsidR="006956E4" w:rsidRPr="006134C6">
        <w:t>(</w:t>
      </w:r>
      <w:r w:rsidRPr="006134C6">
        <w:t>SIA "</w:t>
      </w:r>
      <w:r w:rsidR="006956E4" w:rsidRPr="006134C6">
        <w:t>Daugavpils reģionālā slimnīca</w:t>
      </w:r>
      <w:r w:rsidRPr="006134C6">
        <w:t>"</w:t>
      </w:r>
      <w:r w:rsidR="006956E4" w:rsidRPr="006134C6">
        <w:t xml:space="preserve"> un SIA "Salaspils veselības centrs"</w:t>
      </w:r>
      <w:r w:rsidRPr="006134C6">
        <w:t>), pie asinsvadu ķirurga SIA „Rīgas 1.slimnīca” līdz 14</w:t>
      </w:r>
      <w:r w:rsidR="00EC58CD" w:rsidRPr="006134C6">
        <w:t>6</w:t>
      </w:r>
      <w:r w:rsidRPr="006134C6">
        <w:t xml:space="preserve"> dienām, t.i. 4,</w:t>
      </w:r>
      <w:r w:rsidR="00EC58CD" w:rsidRPr="006134C6">
        <w:t>87</w:t>
      </w:r>
      <w:r w:rsidRPr="006134C6">
        <w:t xml:space="preserve"> mēnešiem, pie gastroenterologa līdz </w:t>
      </w:r>
      <w:r w:rsidR="00EC58CD" w:rsidRPr="006134C6">
        <w:t>105</w:t>
      </w:r>
      <w:r w:rsidRPr="006134C6">
        <w:t xml:space="preserve"> dienām, t.i. </w:t>
      </w:r>
      <w:r w:rsidR="00EC58CD" w:rsidRPr="006134C6">
        <w:t>3,5</w:t>
      </w:r>
      <w:r w:rsidRPr="006134C6">
        <w:t xml:space="preserve"> mēnešiem (SIA "Rīgas 1. slimnīca</w:t>
      </w:r>
      <w:r w:rsidR="00EC58CD" w:rsidRPr="006134C6">
        <w:t>")</w:t>
      </w:r>
      <w:r w:rsidRPr="006134C6">
        <w:t xml:space="preserve">, pie urologa līdz </w:t>
      </w:r>
      <w:r w:rsidR="00EC58CD" w:rsidRPr="006134C6">
        <w:t>114</w:t>
      </w:r>
      <w:r w:rsidRPr="006134C6">
        <w:t xml:space="preserve"> dienām, t.i. </w:t>
      </w:r>
      <w:r w:rsidR="00EC58CD" w:rsidRPr="006134C6">
        <w:t>3,8</w:t>
      </w:r>
      <w:r w:rsidRPr="006134C6">
        <w:t xml:space="preserve"> mēnešiem (</w:t>
      </w:r>
      <w:r w:rsidR="00EC58CD" w:rsidRPr="006134C6">
        <w:t>SIA "Rīgas 1. slimnīca" un SIA "Vidzemes slimnīca"</w:t>
      </w:r>
      <w:r w:rsidRPr="006134C6">
        <w:t xml:space="preserve">), pie bērnu ķirurga līdz </w:t>
      </w:r>
      <w:r w:rsidR="00552DD4" w:rsidRPr="006134C6">
        <w:t>30 dienām, t.i. 1</w:t>
      </w:r>
      <w:r w:rsidRPr="006134C6">
        <w:t xml:space="preserve"> mēne</w:t>
      </w:r>
      <w:r w:rsidR="00552DD4" w:rsidRPr="006134C6">
        <w:t>sis</w:t>
      </w:r>
      <w:r w:rsidRPr="006134C6">
        <w:t xml:space="preserve"> (AS "Veselības cen</w:t>
      </w:r>
      <w:r w:rsidR="00552DD4" w:rsidRPr="006134C6">
        <w:t>tru apvienība" struktūrvienība "</w:t>
      </w:r>
      <w:r w:rsidRPr="006134C6">
        <w:t>VCA veselības centrs Pļavnieki</w:t>
      </w:r>
      <w:r w:rsidR="00552DD4" w:rsidRPr="006134C6">
        <w:t>"</w:t>
      </w:r>
      <w:r w:rsidRPr="006134C6">
        <w:t xml:space="preserve">), pie mikroķirurga līdz </w:t>
      </w:r>
      <w:r w:rsidR="008F6DE4" w:rsidRPr="006134C6">
        <w:t>70</w:t>
      </w:r>
      <w:r w:rsidRPr="006134C6">
        <w:t xml:space="preserve"> dienām, t.i. 2</w:t>
      </w:r>
      <w:r w:rsidR="008F6DE4" w:rsidRPr="006134C6">
        <w:t>,33</w:t>
      </w:r>
      <w:r w:rsidRPr="006134C6">
        <w:t xml:space="preserve"> mēnešiem (Madonas slimnīca, Madonas novada pašvaldības SIA), pie sirds ķirurga līdz </w:t>
      </w:r>
      <w:r w:rsidR="00115899" w:rsidRPr="006134C6">
        <w:t>31</w:t>
      </w:r>
      <w:r w:rsidRPr="006134C6">
        <w:t xml:space="preserve"> dienām, t.i. 1,</w:t>
      </w:r>
      <w:r w:rsidR="00115899" w:rsidRPr="006134C6">
        <w:t>0</w:t>
      </w:r>
      <w:r w:rsidRPr="006134C6">
        <w:t xml:space="preserve">3 mēnešiem (VSIA "Paula Stradiņa klīniskā universitātes slimnīca"), pie pneimonologa līdz </w:t>
      </w:r>
      <w:r w:rsidR="00544472" w:rsidRPr="006134C6">
        <w:t>75</w:t>
      </w:r>
      <w:r w:rsidRPr="006134C6">
        <w:t xml:space="preserve"> dienām, t.i. </w:t>
      </w:r>
      <w:r w:rsidR="00544472" w:rsidRPr="006134C6">
        <w:t>2,50</w:t>
      </w:r>
      <w:r w:rsidRPr="006134C6">
        <w:t xml:space="preserve"> mēnešiem (SIA "Rīgas 1. slimnīca"), pie otolaringologa līdz </w:t>
      </w:r>
      <w:r w:rsidR="00544472" w:rsidRPr="006134C6">
        <w:t>62</w:t>
      </w:r>
      <w:r w:rsidRPr="006134C6">
        <w:t xml:space="preserve"> dienām, t.i. </w:t>
      </w:r>
      <w:r w:rsidR="00544472" w:rsidRPr="006134C6">
        <w:t>2,07</w:t>
      </w:r>
      <w:r w:rsidRPr="006134C6">
        <w:t xml:space="preserve"> mēnešiem (</w:t>
      </w:r>
      <w:r w:rsidR="00544472" w:rsidRPr="006134C6">
        <w:t>SIA "Salaspils veselības centrs"</w:t>
      </w:r>
      <w:r w:rsidRPr="006134C6">
        <w:t xml:space="preserve">), pie narkologa līdz </w:t>
      </w:r>
      <w:r w:rsidR="00544472" w:rsidRPr="006134C6">
        <w:t xml:space="preserve">31 dienām, t.i. 1,03 mēnešiem </w:t>
      </w:r>
      <w:r w:rsidRPr="006134C6">
        <w:t>(</w:t>
      </w:r>
      <w:r w:rsidR="00544472" w:rsidRPr="006134C6">
        <w:t>SIA "Salaspils veselības centrs"</w:t>
      </w:r>
      <w:r w:rsidRPr="006134C6">
        <w:t xml:space="preserve">), pie neirologa līdz </w:t>
      </w:r>
      <w:r w:rsidR="00163075" w:rsidRPr="006134C6">
        <w:t>92</w:t>
      </w:r>
      <w:r w:rsidRPr="006134C6">
        <w:t xml:space="preserve"> dienām, t.i. </w:t>
      </w:r>
      <w:r w:rsidR="00163075" w:rsidRPr="006134C6">
        <w:t>3,07</w:t>
      </w:r>
      <w:r w:rsidRPr="006134C6">
        <w:t xml:space="preserve"> mēnešiem (</w:t>
      </w:r>
      <w:r w:rsidR="00163075" w:rsidRPr="006134C6">
        <w:t>SIA "Salaspils veselības centrs"</w:t>
      </w:r>
      <w:r w:rsidRPr="006134C6">
        <w:t>)</w:t>
      </w:r>
      <w:r w:rsidR="00FE7002" w:rsidRPr="006134C6">
        <w:t>.</w:t>
      </w:r>
      <w:r w:rsidR="00163075" w:rsidRPr="006134C6">
        <w:t xml:space="preserve"> </w:t>
      </w:r>
    </w:p>
    <w:p w14:paraId="6FB1DD35" w14:textId="5DB83862" w:rsidR="00A937D8" w:rsidRPr="006213DE" w:rsidRDefault="00163075" w:rsidP="007D6645">
      <w:pPr>
        <w:pStyle w:val="NormalWeb"/>
        <w:shd w:val="clear" w:color="auto" w:fill="FFFFFF"/>
        <w:spacing w:before="0" w:beforeAutospacing="0" w:after="200" w:afterAutospacing="0" w:line="276" w:lineRule="auto"/>
        <w:ind w:firstLine="720"/>
        <w:jc w:val="both"/>
        <w:textAlignment w:val="baseline"/>
      </w:pPr>
      <w:r>
        <w:rPr>
          <w:color w:val="FF0000"/>
        </w:rPr>
        <w:lastRenderedPageBreak/>
        <w:t xml:space="preserve">  </w:t>
      </w:r>
      <w:r w:rsidRPr="00163075">
        <w:rPr>
          <w:color w:val="FF0000"/>
        </w:rPr>
        <w:t xml:space="preserve"> </w:t>
      </w:r>
      <w:r w:rsidR="00A937D8" w:rsidRPr="006213DE">
        <w:t>Analizējot ārstniecības iestāžu sniegto informāciju par gaidīšanas rindu garumiem ārstniecības iestādēs, redzams, ka pacientu pieprasījums pēc ambulatorajiem izmeklējumiem un speciālistu konsultācijām būtiski pārsniedz valsts novirzīto finansējumu šim mērķim. Apgrūtinātās izmeklējumu pieejamības rezultātā pacientiem precīzas diagnozes tiek uzstādītas novēloti un nav iespējams</w:t>
      </w:r>
      <w:r w:rsidR="006134C6" w:rsidRPr="006213DE">
        <w:t xml:space="preserve"> nodrošināt kvalitatīvu </w:t>
      </w:r>
      <w:r w:rsidR="006134C6">
        <w:t>slimību</w:t>
      </w:r>
      <w:r w:rsidR="006134C6" w:rsidRPr="006213DE">
        <w:t xml:space="preserve"> norises uzraudzību</w:t>
      </w:r>
      <w:r w:rsidR="00A937D8" w:rsidRPr="006213DE">
        <w:t xml:space="preserve">. </w:t>
      </w:r>
    </w:p>
    <w:p w14:paraId="15803DAE" w14:textId="77777777" w:rsidR="00A937D8" w:rsidRPr="006213DE" w:rsidRDefault="00A937D8" w:rsidP="006213DE">
      <w:pPr>
        <w:pStyle w:val="Heading3"/>
        <w:numPr>
          <w:ilvl w:val="2"/>
          <w:numId w:val="31"/>
        </w:numPr>
        <w:rPr>
          <w:rFonts w:ascii="Times New Roman" w:hAnsi="Times New Roman"/>
          <w:b/>
          <w:color w:val="000000" w:themeColor="text1"/>
        </w:rPr>
      </w:pPr>
      <w:r w:rsidRPr="006213DE">
        <w:rPr>
          <w:rFonts w:ascii="Times New Roman" w:hAnsi="Times New Roman"/>
          <w:b/>
          <w:color w:val="000000" w:themeColor="text1"/>
        </w:rPr>
        <w:t xml:space="preserve">Dienas stacionārs </w:t>
      </w:r>
    </w:p>
    <w:p w14:paraId="73CB06C3" w14:textId="77777777" w:rsidR="00A937D8" w:rsidRPr="006213DE" w:rsidRDefault="00A937D8" w:rsidP="00A937D8">
      <w:pPr>
        <w:autoSpaceDE w:val="0"/>
        <w:autoSpaceDN w:val="0"/>
        <w:adjustRightInd w:val="0"/>
        <w:ind w:firstLine="720"/>
        <w:jc w:val="both"/>
        <w:rPr>
          <w:rFonts w:ascii="Times New Roman" w:hAnsi="Times New Roman"/>
          <w:color w:val="000000"/>
          <w:sz w:val="24"/>
        </w:rPr>
      </w:pPr>
      <w:r w:rsidRPr="006213DE">
        <w:rPr>
          <w:rFonts w:ascii="Times New Roman" w:hAnsi="Times New Roman"/>
          <w:color w:val="000000"/>
          <w:sz w:val="24"/>
        </w:rPr>
        <w:t>Dienas stacionārs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pacienta novērošanu pēc manipulāciju veikšanas.</w:t>
      </w:r>
    </w:p>
    <w:p w14:paraId="4ECF5CC7" w14:textId="77777777" w:rsidR="00A937D8" w:rsidRPr="006213DE" w:rsidRDefault="00A937D8" w:rsidP="00A937D8">
      <w:pPr>
        <w:autoSpaceDE w:val="0"/>
        <w:autoSpaceDN w:val="0"/>
        <w:adjustRightInd w:val="0"/>
        <w:ind w:firstLine="720"/>
        <w:jc w:val="both"/>
        <w:rPr>
          <w:rFonts w:ascii="Times New Roman" w:hAnsi="Times New Roman"/>
          <w:color w:val="000000"/>
          <w:sz w:val="24"/>
        </w:rPr>
      </w:pPr>
      <w:r w:rsidRPr="006213DE">
        <w:rPr>
          <w:rFonts w:ascii="Times New Roman" w:hAnsi="Times New Roman"/>
          <w:color w:val="000000"/>
          <w:sz w:val="24"/>
        </w:rPr>
        <w:t xml:space="preserve"> Dienas stacionārā sniedz ārstniecības pakalpojumus, kurus to sarežģītības, risku vai laikietilpības dēļ nav iespējams sniegt ambulatori, tomēr kuru dēļ nav nepieciešama pacienta uzņemšana stacionārā pacienta diennakts uzraudzībai. Dienas stacionāri var būt gan slimnīcu, gan ambulatoro ārstniecības iestāžu struktūrvienības.</w:t>
      </w:r>
    </w:p>
    <w:p w14:paraId="0427148A" w14:textId="77777777" w:rsidR="00A937D8" w:rsidRPr="006213DE" w:rsidRDefault="00A937D8" w:rsidP="00A937D8">
      <w:pPr>
        <w:autoSpaceDE w:val="0"/>
        <w:autoSpaceDN w:val="0"/>
        <w:adjustRightInd w:val="0"/>
        <w:spacing w:after="0"/>
        <w:ind w:firstLine="851"/>
        <w:jc w:val="both"/>
        <w:rPr>
          <w:rFonts w:ascii="Times New Roman" w:hAnsi="Times New Roman"/>
          <w:color w:val="000000"/>
          <w:sz w:val="24"/>
        </w:rPr>
      </w:pPr>
      <w:r w:rsidRPr="006213DE">
        <w:rPr>
          <w:rFonts w:ascii="Times New Roman" w:hAnsi="Times New Roman"/>
          <w:color w:val="000000"/>
          <w:sz w:val="24"/>
        </w:rPr>
        <w:t>Dienas stacionārā veselības aprūpes pakalpojumus veic šādos līmeņos:</w:t>
      </w:r>
    </w:p>
    <w:p w14:paraId="6A4BA83B" w14:textId="77777777" w:rsidR="00A937D8" w:rsidRPr="006213DE" w:rsidRDefault="00A937D8" w:rsidP="00A937D8">
      <w:pPr>
        <w:pStyle w:val="ListParagraph"/>
        <w:numPr>
          <w:ilvl w:val="0"/>
          <w:numId w:val="48"/>
        </w:numPr>
        <w:autoSpaceDE w:val="0"/>
        <w:autoSpaceDN w:val="0"/>
        <w:adjustRightInd w:val="0"/>
        <w:spacing w:after="0"/>
        <w:ind w:left="0" w:firstLine="0"/>
        <w:jc w:val="both"/>
        <w:rPr>
          <w:rFonts w:ascii="Times New Roman" w:hAnsi="Times New Roman"/>
          <w:color w:val="000000"/>
          <w:sz w:val="24"/>
          <w:lang w:val="lv-LV"/>
        </w:rPr>
      </w:pPr>
      <w:r w:rsidRPr="006213DE">
        <w:rPr>
          <w:rFonts w:ascii="Times New Roman" w:hAnsi="Times New Roman"/>
          <w:color w:val="000000"/>
          <w:sz w:val="24"/>
          <w:lang w:val="lv-LV"/>
        </w:rPr>
        <w:t>pirmā līmeņa dienas stacionārs ārstniecības iestādē, kurā ir intensīvās terapijas un anestezioloģijas nodaļas, kā arī asins kabinets;</w:t>
      </w:r>
    </w:p>
    <w:p w14:paraId="7381BED1" w14:textId="77777777" w:rsidR="00A937D8" w:rsidRPr="003B6DC4" w:rsidRDefault="00A937D8" w:rsidP="00A937D8">
      <w:pPr>
        <w:pStyle w:val="ListParagraph"/>
        <w:numPr>
          <w:ilvl w:val="0"/>
          <w:numId w:val="48"/>
        </w:numPr>
        <w:autoSpaceDE w:val="0"/>
        <w:autoSpaceDN w:val="0"/>
        <w:adjustRightInd w:val="0"/>
        <w:ind w:left="0" w:firstLine="0"/>
        <w:jc w:val="both"/>
        <w:rPr>
          <w:rFonts w:ascii="Times New Roman" w:hAnsi="Times New Roman"/>
          <w:sz w:val="24"/>
          <w:szCs w:val="24"/>
          <w:lang w:val="lv-LV"/>
        </w:rPr>
      </w:pPr>
      <w:r w:rsidRPr="006213DE">
        <w:rPr>
          <w:rFonts w:ascii="Times New Roman" w:hAnsi="Times New Roman"/>
          <w:color w:val="000000"/>
          <w:sz w:val="24"/>
          <w:lang w:val="lv-LV"/>
        </w:rPr>
        <w:t xml:space="preserve">otrā līmeņa dienas stacionārā </w:t>
      </w:r>
      <w:r w:rsidRPr="006213DE">
        <w:rPr>
          <w:rFonts w:ascii="Times New Roman" w:hAnsi="Times New Roman"/>
          <w:color w:val="000000"/>
          <w:sz w:val="24"/>
          <w:u w:val="single"/>
          <w:lang w:val="lv-LV"/>
        </w:rPr>
        <w:t>nav</w:t>
      </w:r>
      <w:r w:rsidRPr="006213DE">
        <w:rPr>
          <w:rFonts w:ascii="Times New Roman" w:hAnsi="Times New Roman"/>
          <w:color w:val="000000"/>
          <w:sz w:val="24"/>
          <w:lang w:val="lv-LV"/>
        </w:rPr>
        <w:t xml:space="preserve"> intensīvās terapijas, anestezioloģijas nodaļas un asins kabinets.</w:t>
      </w:r>
    </w:p>
    <w:p w14:paraId="53823A88" w14:textId="60842A11" w:rsidR="00A937D8" w:rsidRPr="006134C6" w:rsidRDefault="00A937D8" w:rsidP="00121AC9">
      <w:pPr>
        <w:ind w:firstLine="720"/>
        <w:jc w:val="both"/>
        <w:rPr>
          <w:rFonts w:ascii="Times New Roman" w:hAnsi="Times New Roman" w:cs="Times New Roman"/>
          <w:sz w:val="24"/>
          <w:szCs w:val="24"/>
        </w:rPr>
      </w:pPr>
      <w:r w:rsidRPr="006134C6">
        <w:rPr>
          <w:rFonts w:ascii="Times New Roman" w:hAnsi="Times New Roman" w:cs="Times New Roman"/>
          <w:sz w:val="24"/>
          <w:szCs w:val="24"/>
        </w:rPr>
        <w:t>Uz 2016.gada 1.</w:t>
      </w:r>
      <w:r w:rsidR="005A4215" w:rsidRPr="006134C6">
        <w:rPr>
          <w:rFonts w:ascii="Times New Roman" w:hAnsi="Times New Roman" w:cs="Times New Roman"/>
          <w:sz w:val="24"/>
          <w:szCs w:val="24"/>
        </w:rPr>
        <w:t>decembri</w:t>
      </w:r>
      <w:r w:rsidRPr="006134C6">
        <w:rPr>
          <w:rFonts w:ascii="Times New Roman" w:hAnsi="Times New Roman" w:cs="Times New Roman"/>
          <w:sz w:val="24"/>
          <w:szCs w:val="24"/>
        </w:rPr>
        <w:t xml:space="preserve"> gaidīšanas rindas dienas stacionārā ķirurģiskajiem pakalpojumiem oftalmoloģijā ir līdz 3000 dienām, t.i. 8,3 gadiem (SIA "Rīgas Austrumu klīniskā universitātes slimn</w:t>
      </w:r>
      <w:r w:rsidR="005A4215" w:rsidRPr="006134C6">
        <w:rPr>
          <w:rFonts w:ascii="Times New Roman" w:hAnsi="Times New Roman" w:cs="Times New Roman"/>
          <w:sz w:val="24"/>
          <w:szCs w:val="24"/>
        </w:rPr>
        <w:t>īca "Stacionārs ''Biķernieki")</w:t>
      </w:r>
      <w:r w:rsidRPr="006134C6">
        <w:rPr>
          <w:rFonts w:ascii="Times New Roman" w:hAnsi="Times New Roman" w:cs="Times New Roman"/>
          <w:sz w:val="24"/>
          <w:szCs w:val="24"/>
        </w:rPr>
        <w:t xml:space="preserve">, </w:t>
      </w:r>
      <w:r w:rsidR="00121AC9" w:rsidRPr="006134C6">
        <w:rPr>
          <w:rFonts w:ascii="Times New Roman" w:hAnsi="Times New Roman" w:cs="Times New Roman"/>
          <w:sz w:val="24"/>
          <w:szCs w:val="24"/>
        </w:rPr>
        <w:t xml:space="preserve">ginekoloģijai dienas stacionārā - 180 dienas, t.i. 6 mēnešiem (SIA "Vidzemes slimnīca" (Valmierā)), </w:t>
      </w:r>
      <w:r w:rsidRPr="006134C6">
        <w:rPr>
          <w:rFonts w:ascii="Times New Roman" w:hAnsi="Times New Roman" w:cs="Times New Roman"/>
          <w:sz w:val="24"/>
          <w:szCs w:val="24"/>
        </w:rPr>
        <w:t xml:space="preserve">staru terapijai - </w:t>
      </w:r>
      <w:r w:rsidR="005A4215" w:rsidRPr="006134C6">
        <w:rPr>
          <w:rFonts w:ascii="Times New Roman" w:hAnsi="Times New Roman" w:cs="Times New Roman"/>
          <w:sz w:val="24"/>
          <w:szCs w:val="24"/>
        </w:rPr>
        <w:t xml:space="preserve">20 dienām </w:t>
      </w:r>
      <w:r w:rsidRPr="006134C6">
        <w:rPr>
          <w:rFonts w:ascii="Times New Roman" w:hAnsi="Times New Roman" w:cs="Times New Roman"/>
          <w:sz w:val="24"/>
          <w:szCs w:val="24"/>
        </w:rPr>
        <w:t>(</w:t>
      </w:r>
      <w:r w:rsidR="005A4215" w:rsidRPr="006134C6">
        <w:rPr>
          <w:rFonts w:ascii="Times New Roman" w:hAnsi="Times New Roman" w:cs="Times New Roman"/>
          <w:sz w:val="24"/>
          <w:szCs w:val="24"/>
        </w:rPr>
        <w:t>SIA "Liepājas reģionālā slimnīca"</w:t>
      </w:r>
      <w:r w:rsidRPr="006134C6">
        <w:rPr>
          <w:rFonts w:ascii="Times New Roman" w:hAnsi="Times New Roman" w:cs="Times New Roman"/>
          <w:sz w:val="24"/>
          <w:szCs w:val="24"/>
        </w:rPr>
        <w:t>), otolaringoloģija bērniem - 1</w:t>
      </w:r>
      <w:r w:rsidR="005A4215" w:rsidRPr="006134C6">
        <w:rPr>
          <w:rFonts w:ascii="Times New Roman" w:hAnsi="Times New Roman" w:cs="Times New Roman"/>
          <w:sz w:val="24"/>
          <w:szCs w:val="24"/>
        </w:rPr>
        <w:t>20</w:t>
      </w:r>
      <w:r w:rsidRPr="006134C6">
        <w:rPr>
          <w:rFonts w:ascii="Times New Roman" w:hAnsi="Times New Roman" w:cs="Times New Roman"/>
          <w:sz w:val="24"/>
          <w:szCs w:val="24"/>
        </w:rPr>
        <w:t xml:space="preserve"> dienām, t.i. </w:t>
      </w:r>
      <w:r w:rsidR="005A4215" w:rsidRPr="006134C6">
        <w:rPr>
          <w:rFonts w:ascii="Times New Roman" w:hAnsi="Times New Roman" w:cs="Times New Roman"/>
          <w:sz w:val="24"/>
          <w:szCs w:val="24"/>
        </w:rPr>
        <w:t>4</w:t>
      </w:r>
      <w:r w:rsidRPr="006134C6">
        <w:rPr>
          <w:rFonts w:ascii="Times New Roman" w:hAnsi="Times New Roman" w:cs="Times New Roman"/>
          <w:sz w:val="24"/>
          <w:szCs w:val="24"/>
        </w:rPr>
        <w:t xml:space="preserve"> mēnešiem (SIA "Vidzemes slimnīca" (Valmierā)) un pieaugušajiem - </w:t>
      </w:r>
      <w:r w:rsidR="005A4215" w:rsidRPr="006134C6">
        <w:rPr>
          <w:rFonts w:ascii="Times New Roman" w:hAnsi="Times New Roman" w:cs="Times New Roman"/>
          <w:sz w:val="24"/>
          <w:szCs w:val="24"/>
        </w:rPr>
        <w:t>120</w:t>
      </w:r>
      <w:r w:rsidRPr="006134C6">
        <w:rPr>
          <w:rFonts w:ascii="Times New Roman" w:hAnsi="Times New Roman" w:cs="Times New Roman"/>
          <w:sz w:val="24"/>
          <w:szCs w:val="24"/>
        </w:rPr>
        <w:t xml:space="preserve"> dienām, t.i. </w:t>
      </w:r>
      <w:r w:rsidR="005A4215" w:rsidRPr="006134C6">
        <w:rPr>
          <w:rFonts w:ascii="Times New Roman" w:hAnsi="Times New Roman" w:cs="Times New Roman"/>
          <w:sz w:val="24"/>
          <w:szCs w:val="24"/>
        </w:rPr>
        <w:t>4</w:t>
      </w:r>
      <w:r w:rsidRPr="006134C6">
        <w:rPr>
          <w:rFonts w:ascii="Times New Roman" w:hAnsi="Times New Roman" w:cs="Times New Roman"/>
          <w:sz w:val="24"/>
          <w:szCs w:val="24"/>
        </w:rPr>
        <w:t xml:space="preserve"> mēnešiem (</w:t>
      </w:r>
      <w:r w:rsidR="005A4215" w:rsidRPr="006134C6">
        <w:rPr>
          <w:rFonts w:ascii="Times New Roman" w:hAnsi="Times New Roman" w:cs="Times New Roman"/>
          <w:sz w:val="24"/>
          <w:szCs w:val="24"/>
        </w:rPr>
        <w:t>SIA "Vidzemes slimnīca" (Valmierā)</w:t>
      </w:r>
      <w:r w:rsidRPr="006134C6">
        <w:rPr>
          <w:rFonts w:ascii="Times New Roman" w:hAnsi="Times New Roman" w:cs="Times New Roman"/>
          <w:sz w:val="24"/>
          <w:szCs w:val="24"/>
        </w:rPr>
        <w:t xml:space="preserve">), invazīvā radioloģija - 2 mēnešiem </w:t>
      </w:r>
      <w:r w:rsidR="00964E40" w:rsidRPr="006134C6">
        <w:rPr>
          <w:rFonts w:ascii="Times New Roman" w:hAnsi="Times New Roman" w:cs="Times New Roman"/>
          <w:sz w:val="24"/>
          <w:szCs w:val="24"/>
        </w:rPr>
        <w:t>(SIA "Liepājas reģionālā slimnīca")</w:t>
      </w:r>
      <w:r w:rsidRPr="006134C6">
        <w:rPr>
          <w:rFonts w:ascii="Times New Roman" w:hAnsi="Times New Roman" w:cs="Times New Roman"/>
          <w:sz w:val="24"/>
          <w:szCs w:val="24"/>
        </w:rPr>
        <w:t>, savukārt g</w:t>
      </w:r>
      <w:r w:rsidR="00964E40" w:rsidRPr="006134C6">
        <w:rPr>
          <w:rFonts w:ascii="Times New Roman" w:hAnsi="Times New Roman" w:cs="Times New Roman"/>
          <w:sz w:val="24"/>
          <w:szCs w:val="24"/>
        </w:rPr>
        <w:t>astrointenstinālā endoskopija dienas stacionārā</w:t>
      </w:r>
      <w:r w:rsidR="0006051B" w:rsidRPr="006134C6">
        <w:rPr>
          <w:rFonts w:ascii="Times New Roman" w:hAnsi="Times New Roman" w:cs="Times New Roman"/>
          <w:sz w:val="24"/>
          <w:szCs w:val="24"/>
        </w:rPr>
        <w:t xml:space="preserve"> - </w:t>
      </w:r>
      <w:r w:rsidR="00964E40" w:rsidRPr="006134C6">
        <w:rPr>
          <w:rFonts w:ascii="Times New Roman" w:hAnsi="Times New Roman" w:cs="Times New Roman"/>
          <w:sz w:val="24"/>
          <w:szCs w:val="24"/>
        </w:rPr>
        <w:t>150 dienas, t.i. 5</w:t>
      </w:r>
      <w:r w:rsidRPr="006134C6">
        <w:rPr>
          <w:rFonts w:ascii="Times New Roman" w:hAnsi="Times New Roman" w:cs="Times New Roman"/>
          <w:sz w:val="24"/>
          <w:szCs w:val="24"/>
        </w:rPr>
        <w:t xml:space="preserve"> mēnešiem </w:t>
      </w:r>
      <w:r w:rsidR="00964E40" w:rsidRPr="006134C6">
        <w:rPr>
          <w:rFonts w:ascii="Times New Roman" w:hAnsi="Times New Roman" w:cs="Times New Roman"/>
          <w:sz w:val="24"/>
          <w:szCs w:val="24"/>
        </w:rPr>
        <w:t>(SIA "Bauskas slimnīca"</w:t>
      </w:r>
      <w:r w:rsidR="0006051B" w:rsidRPr="006134C6">
        <w:rPr>
          <w:rFonts w:ascii="Times New Roman" w:hAnsi="Times New Roman" w:cs="Times New Roman"/>
          <w:sz w:val="24"/>
          <w:szCs w:val="24"/>
        </w:rPr>
        <w:t>), traumatoloģija</w:t>
      </w:r>
      <w:r w:rsidR="00121AC9" w:rsidRPr="006134C6">
        <w:rPr>
          <w:rFonts w:ascii="Times New Roman" w:hAnsi="Times New Roman" w:cs="Times New Roman"/>
          <w:sz w:val="24"/>
          <w:szCs w:val="24"/>
        </w:rPr>
        <w:t>i</w:t>
      </w:r>
      <w:r w:rsidR="0006051B" w:rsidRPr="006134C6">
        <w:rPr>
          <w:rFonts w:ascii="Times New Roman" w:hAnsi="Times New Roman" w:cs="Times New Roman"/>
          <w:sz w:val="24"/>
          <w:szCs w:val="24"/>
        </w:rPr>
        <w:t>, ortopēdija</w:t>
      </w:r>
      <w:r w:rsidR="00121AC9" w:rsidRPr="006134C6">
        <w:rPr>
          <w:rFonts w:ascii="Times New Roman" w:hAnsi="Times New Roman" w:cs="Times New Roman"/>
          <w:sz w:val="24"/>
          <w:szCs w:val="24"/>
        </w:rPr>
        <w:t>i</w:t>
      </w:r>
      <w:r w:rsidR="0006051B" w:rsidRPr="006134C6">
        <w:rPr>
          <w:rFonts w:ascii="Times New Roman" w:hAnsi="Times New Roman" w:cs="Times New Roman"/>
          <w:sz w:val="24"/>
          <w:szCs w:val="24"/>
        </w:rPr>
        <w:t xml:space="preserve"> dienas stacionārā</w:t>
      </w:r>
      <w:r w:rsidR="00121AC9" w:rsidRPr="006134C6">
        <w:rPr>
          <w:rFonts w:ascii="Times New Roman" w:hAnsi="Times New Roman" w:cs="Times New Roman"/>
          <w:sz w:val="24"/>
          <w:szCs w:val="24"/>
        </w:rPr>
        <w:t xml:space="preserve"> </w:t>
      </w:r>
      <w:r w:rsidR="0006051B" w:rsidRPr="006134C6">
        <w:rPr>
          <w:rFonts w:ascii="Times New Roman" w:hAnsi="Times New Roman" w:cs="Times New Roman"/>
          <w:sz w:val="24"/>
          <w:szCs w:val="24"/>
        </w:rPr>
        <w:t>- 1</w:t>
      </w:r>
      <w:r w:rsidR="00121AC9" w:rsidRPr="006134C6">
        <w:rPr>
          <w:rFonts w:ascii="Times New Roman" w:hAnsi="Times New Roman" w:cs="Times New Roman"/>
          <w:sz w:val="24"/>
          <w:szCs w:val="24"/>
        </w:rPr>
        <w:t>5</w:t>
      </w:r>
      <w:r w:rsidR="0006051B" w:rsidRPr="006134C6">
        <w:rPr>
          <w:rFonts w:ascii="Times New Roman" w:hAnsi="Times New Roman" w:cs="Times New Roman"/>
          <w:sz w:val="24"/>
          <w:szCs w:val="24"/>
        </w:rPr>
        <w:t xml:space="preserve">0 dienas, t.i. </w:t>
      </w:r>
      <w:r w:rsidR="00121AC9" w:rsidRPr="006134C6">
        <w:rPr>
          <w:rFonts w:ascii="Times New Roman" w:hAnsi="Times New Roman" w:cs="Times New Roman"/>
          <w:sz w:val="24"/>
          <w:szCs w:val="24"/>
        </w:rPr>
        <w:t>5</w:t>
      </w:r>
      <w:r w:rsidR="0006051B" w:rsidRPr="006134C6">
        <w:rPr>
          <w:rFonts w:ascii="Times New Roman" w:hAnsi="Times New Roman" w:cs="Times New Roman"/>
          <w:sz w:val="24"/>
          <w:szCs w:val="24"/>
        </w:rPr>
        <w:t xml:space="preserve"> mēnešiem (SIA </w:t>
      </w:r>
      <w:r w:rsidR="00121AC9" w:rsidRPr="006134C6">
        <w:rPr>
          <w:rFonts w:ascii="Times New Roman" w:hAnsi="Times New Roman" w:cs="Times New Roman"/>
          <w:sz w:val="24"/>
          <w:szCs w:val="24"/>
        </w:rPr>
        <w:t>"Vidzemes slimnīca" (Valmierā)</w:t>
      </w:r>
      <w:r w:rsidR="0006051B" w:rsidRPr="006134C6">
        <w:rPr>
          <w:rFonts w:ascii="Times New Roman" w:hAnsi="Times New Roman" w:cs="Times New Roman"/>
          <w:sz w:val="24"/>
          <w:szCs w:val="24"/>
        </w:rPr>
        <w:t>),</w:t>
      </w:r>
      <w:r w:rsidR="00121AC9" w:rsidRPr="006134C6">
        <w:rPr>
          <w:rFonts w:ascii="Times New Roman" w:hAnsi="Times New Roman" w:cs="Times New Roman"/>
          <w:sz w:val="24"/>
          <w:szCs w:val="24"/>
        </w:rPr>
        <w:t xml:space="preserve"> uroloģijai dienas stacionārā - 150 dienas, t.i. 5 mēnešiem (SIA "Vidzemes slimnīca" (Valmierā)), vispārējiem ķirurģiskajiem pakalpojumiem dienas stacionārā - 120 dienas, t.i. 4 mēnešiem (SIA "Vidzemes slimnīca" (Valmierā)). </w:t>
      </w:r>
    </w:p>
    <w:p w14:paraId="460C4EBE" w14:textId="77777777" w:rsidR="00A937D8" w:rsidRPr="006213DE" w:rsidRDefault="00A937D8" w:rsidP="00A937D8">
      <w:pPr>
        <w:pStyle w:val="Heading3"/>
        <w:numPr>
          <w:ilvl w:val="2"/>
          <w:numId w:val="31"/>
        </w:numPr>
        <w:spacing w:before="0" w:line="360" w:lineRule="auto"/>
        <w:ind w:left="1225" w:hanging="505"/>
        <w:rPr>
          <w:rFonts w:ascii="Times New Roman" w:hAnsi="Times New Roman"/>
          <w:b/>
          <w:color w:val="000000" w:themeColor="text1"/>
        </w:rPr>
      </w:pPr>
      <w:r w:rsidRPr="006213DE">
        <w:rPr>
          <w:rFonts w:ascii="Times New Roman" w:hAnsi="Times New Roman"/>
          <w:b/>
          <w:color w:val="000000" w:themeColor="text1"/>
        </w:rPr>
        <w:t>Medicīniskā rehabilitācija ambulatori</w:t>
      </w:r>
    </w:p>
    <w:p w14:paraId="6135B8F8" w14:textId="77777777" w:rsidR="00A937D8" w:rsidRPr="003B6DC4" w:rsidRDefault="00A937D8" w:rsidP="00A937D8">
      <w:pPr>
        <w:spacing w:after="120"/>
        <w:ind w:firstLine="720"/>
        <w:jc w:val="both"/>
        <w:rPr>
          <w:rFonts w:ascii="Times New Roman" w:hAnsi="Times New Roman" w:cs="Times New Roman"/>
          <w:sz w:val="24"/>
          <w:szCs w:val="24"/>
        </w:rPr>
      </w:pPr>
      <w:r w:rsidRPr="003B6DC4">
        <w:rPr>
          <w:rFonts w:ascii="Times New Roman" w:hAnsi="Times New Roman" w:cs="Times New Roman"/>
          <w:sz w:val="24"/>
          <w:szCs w:val="24"/>
        </w:rPr>
        <w:t>Medicīniskās rehabilitācijas pakalpojumu mērķis ir nodrošināt personām ar noteiktiem funkcionāliem ierobežojumiem šo ierobežojumu mazināšanu vai novēršanu, kā arī komplikāciju riska novērtēšanu un mazināšanu. Ambulatorās rehabilitācijas gadījumā pacients netiek stacionēts un saņem pakalpojumus ambulatori, piemēram, rehabilitologa, fizioterapeita vai ergoterapeita konsultāciju.</w:t>
      </w:r>
    </w:p>
    <w:p w14:paraId="6505FC26" w14:textId="77777777" w:rsidR="00A937D8" w:rsidRPr="003B6DC4" w:rsidRDefault="00A937D8" w:rsidP="00A937D8">
      <w:pPr>
        <w:spacing w:after="120"/>
        <w:ind w:firstLine="720"/>
        <w:jc w:val="both"/>
        <w:rPr>
          <w:rFonts w:ascii="Times New Roman" w:hAnsi="Times New Roman" w:cs="Times New Roman"/>
          <w:sz w:val="24"/>
          <w:szCs w:val="24"/>
        </w:rPr>
      </w:pPr>
      <w:r w:rsidRPr="003B6DC4">
        <w:rPr>
          <w:rFonts w:ascii="Times New Roman" w:hAnsi="Times New Roman" w:cs="Times New Roman"/>
          <w:sz w:val="24"/>
          <w:szCs w:val="24"/>
        </w:rPr>
        <w:lastRenderedPageBreak/>
        <w:t>Medicīniskās rehabilitācijas pakalpojumus sniedz fizikālās un rehabilitācijas medicīnas ārsti un funkcionālie speciālisti konsultāciju, multiprofesionālu vai monoprofesionālu medicīniskās rehabilitācijas pakalpojumu veidā, piedaloties citām ārstniecības un ārstniecības atbalsta personām.</w:t>
      </w:r>
    </w:p>
    <w:p w14:paraId="31A739E3" w14:textId="77777777" w:rsidR="00A937D8" w:rsidRPr="003B6DC4" w:rsidRDefault="00A937D8" w:rsidP="00A937D8">
      <w:pPr>
        <w:ind w:firstLine="720"/>
        <w:jc w:val="both"/>
        <w:rPr>
          <w:rFonts w:ascii="Times New Roman" w:hAnsi="Times New Roman" w:cs="Times New Roman"/>
          <w:sz w:val="24"/>
          <w:szCs w:val="24"/>
        </w:rPr>
      </w:pPr>
      <w:r w:rsidRPr="003B6DC4">
        <w:rPr>
          <w:rFonts w:ascii="Times New Roman" w:hAnsi="Times New Roman" w:cs="Times New Roman"/>
          <w:sz w:val="24"/>
          <w:szCs w:val="24"/>
        </w:rPr>
        <w:t>Medicīniskās rehabilitācijas pakalpojumus pacients var saņemt ambulatorā ārstniecības iestādē, tajā skaitā dienas stacionārā, un stacionārā ārstniecības iestādē (Nacionālajā rehabilitācijas centrā "Vaivari", Rīgas Austrumu klīniskās universitātes slimnīcā, Bērnu klīniskās universitātes slimnīcā, Vidzemes slimnīcā, Rēzeknes slimnīcā, Liepājas reģionālajā slimnīcā).</w:t>
      </w:r>
    </w:p>
    <w:p w14:paraId="54B27278" w14:textId="470E78C2" w:rsidR="00900613" w:rsidRPr="003B6DC4" w:rsidRDefault="00A937D8" w:rsidP="006134C6">
      <w:pPr>
        <w:ind w:firstLine="720"/>
        <w:jc w:val="both"/>
        <w:rPr>
          <w:rFonts w:ascii="Times New Roman" w:hAnsi="Times New Roman" w:cs="Times New Roman"/>
          <w:sz w:val="24"/>
          <w:szCs w:val="24"/>
        </w:rPr>
      </w:pPr>
      <w:r w:rsidRPr="006134C6">
        <w:rPr>
          <w:rFonts w:ascii="Times New Roman" w:hAnsi="Times New Roman" w:cs="Times New Roman"/>
          <w:sz w:val="24"/>
          <w:szCs w:val="24"/>
        </w:rPr>
        <w:t>Gaidīšanas laiks jeb gaidīšanas rindas garums uz valsts apmaksāta veselības aprūpes pakalpojuma saņemšanu uz ambulatoriem rehabilitologa pakalpojumiem ir līdz 1</w:t>
      </w:r>
      <w:r w:rsidR="00EF1644" w:rsidRPr="006134C6">
        <w:rPr>
          <w:rFonts w:ascii="Times New Roman" w:hAnsi="Times New Roman" w:cs="Times New Roman"/>
          <w:sz w:val="24"/>
          <w:szCs w:val="24"/>
        </w:rPr>
        <w:t>81</w:t>
      </w:r>
      <w:r w:rsidRPr="006134C6">
        <w:rPr>
          <w:rFonts w:ascii="Times New Roman" w:hAnsi="Times New Roman" w:cs="Times New Roman"/>
          <w:sz w:val="24"/>
          <w:szCs w:val="24"/>
        </w:rPr>
        <w:t xml:space="preserve"> dienām, uz ambulatoriem ergoterapeita pakalpojumiem gaidīšanas laiks ir līdz 950 dienām (SIA "Rīgas Austrumu klīniskā universitātes slimnīca" Stacionārs ''Biķernieki"), savukārt uz ambulatoriem fizioterapeita pakalpojumiem gaidīšanas laiks ir līdz pat </w:t>
      </w:r>
      <w:r w:rsidR="00EF1644" w:rsidRPr="006134C6">
        <w:rPr>
          <w:rFonts w:ascii="Times New Roman" w:hAnsi="Times New Roman" w:cs="Times New Roman"/>
          <w:sz w:val="24"/>
          <w:szCs w:val="24"/>
        </w:rPr>
        <w:t>600</w:t>
      </w:r>
      <w:r w:rsidRPr="006134C6">
        <w:rPr>
          <w:rFonts w:ascii="Times New Roman" w:hAnsi="Times New Roman" w:cs="Times New Roman"/>
          <w:sz w:val="24"/>
          <w:szCs w:val="24"/>
        </w:rPr>
        <w:t xml:space="preserve"> dienām </w:t>
      </w:r>
      <w:r w:rsidR="00EF1644" w:rsidRPr="006134C6">
        <w:rPr>
          <w:rFonts w:ascii="Times New Roman" w:hAnsi="Times New Roman" w:cs="Times New Roman"/>
          <w:sz w:val="24"/>
          <w:szCs w:val="24"/>
        </w:rPr>
        <w:t>(SIA "Rīgas Austrumu klīniskā universitātes slimnīca" Stacionārs ''Biķernieki"), uz audiologopēda pakalpojumiem līdz 350 dienām (SIA "Rīgas Austrumu klīniskā universitātes slimnīca" stacionārs ''Biķernieki") un vispārējā masāža bērniem līdz 420 dienām (SIA "Rīgas 1.slimnīca").</w:t>
      </w:r>
      <w:r w:rsidR="00EF1644" w:rsidRPr="006213DE">
        <w:t xml:space="preserve">   </w:t>
      </w:r>
    </w:p>
    <w:p w14:paraId="6748F675" w14:textId="77777777" w:rsidR="00A937D8" w:rsidRDefault="00A937D8" w:rsidP="00A937D8">
      <w:pPr>
        <w:ind w:firstLine="720"/>
        <w:jc w:val="both"/>
        <w:rPr>
          <w:rFonts w:ascii="Times New Roman" w:eastAsia="Times New Roman" w:hAnsi="Times New Roman" w:cs="Times New Roman"/>
          <w:sz w:val="24"/>
          <w:szCs w:val="24"/>
          <w:lang w:eastAsia="lv-LV"/>
        </w:rPr>
      </w:pPr>
      <w:r w:rsidRPr="003B6DC4">
        <w:rPr>
          <w:rFonts w:ascii="Times New Roman" w:hAnsi="Times New Roman" w:cs="Times New Roman"/>
          <w:sz w:val="24"/>
          <w:szCs w:val="24"/>
        </w:rPr>
        <w:t>Funkcionālo traucējumu novēršanas vai mazināšanas efektivitāte ir tieši atkarīga no savlaicīgas rehabilitācijas pakalpojumu saņemšanas, tāpēc rehabilitācijas pakalpojumu pieejamības uzlabošana nodrošina  ātrāku pacientu funkcionālo traucējumu novēršanu vai mazināšanu, līdz ar to samazinot darbnespējas periodu, uzlabojot dzīves kvalitāti, attiecīgi mazinot invaliditātes gadījumu skaitu.</w:t>
      </w:r>
      <w:r>
        <w:rPr>
          <w:rFonts w:ascii="Times New Roman" w:hAnsi="Times New Roman" w:cs="Times New Roman"/>
          <w:sz w:val="24"/>
          <w:szCs w:val="24"/>
        </w:rPr>
        <w:t xml:space="preserve"> </w:t>
      </w:r>
      <w:r w:rsidRPr="003B6DC4">
        <w:rPr>
          <w:rFonts w:ascii="Times New Roman" w:eastAsia="Times New Roman" w:hAnsi="Times New Roman" w:cs="Times New Roman"/>
          <w:sz w:val="24"/>
          <w:szCs w:val="24"/>
          <w:lang w:eastAsia="lv-LV"/>
        </w:rPr>
        <w:t>Saskaņā ar Veselības un darbspēju ekspertīzes ārstu valsts komisijas datiem 2015.gadā 17 466 personām pirmo reizi dzīvē noteikta invaliditāte. Un 2015. gadā, tāpat kā iepriekšējā gadā, pirmreizējiem invalīdiem pārsvarā noteikta smaga invaliditāte - 68,8%.</w:t>
      </w:r>
    </w:p>
    <w:p w14:paraId="788836C6" w14:textId="77777777" w:rsidR="00A937D8" w:rsidRPr="003B6DC4" w:rsidRDefault="00A937D8" w:rsidP="00A937D8">
      <w:pPr>
        <w:spacing w:after="0" w:line="240" w:lineRule="auto"/>
        <w:ind w:firstLine="720"/>
        <w:jc w:val="right"/>
        <w:rPr>
          <w:rFonts w:ascii="Times New Roman" w:hAnsi="Times New Roman" w:cs="Times New Roman"/>
          <w:i/>
          <w:sz w:val="24"/>
          <w:szCs w:val="24"/>
        </w:rPr>
      </w:pPr>
      <w:r w:rsidRPr="003B6DC4">
        <w:rPr>
          <w:rFonts w:ascii="Times New Roman" w:hAnsi="Times New Roman" w:cs="Times New Roman"/>
          <w:i/>
          <w:sz w:val="24"/>
          <w:szCs w:val="24"/>
        </w:rPr>
        <w:t xml:space="preserve">2.tabula </w:t>
      </w:r>
    </w:p>
    <w:p w14:paraId="1CAA48F0" w14:textId="77777777" w:rsidR="00A937D8" w:rsidRPr="003B6DC4" w:rsidRDefault="00A937D8" w:rsidP="00A937D8">
      <w:pPr>
        <w:spacing w:after="0" w:line="240" w:lineRule="auto"/>
        <w:jc w:val="center"/>
        <w:rPr>
          <w:rFonts w:ascii="Times New Roman" w:hAnsi="Times New Roman" w:cs="Times New Roman"/>
          <w:b/>
          <w:sz w:val="24"/>
          <w:szCs w:val="24"/>
        </w:rPr>
      </w:pPr>
      <w:r w:rsidRPr="003B6DC4">
        <w:rPr>
          <w:rFonts w:ascii="Times New Roman" w:hAnsi="Times New Roman" w:cs="Times New Roman"/>
          <w:b/>
          <w:sz w:val="24"/>
          <w:szCs w:val="24"/>
        </w:rPr>
        <w:t>Sekundārās ambulatorās veselības aprūpes pakalpojumu plānotais pakalpojuma skaits</w:t>
      </w:r>
    </w:p>
    <w:p w14:paraId="4BBCCE2B" w14:textId="77777777" w:rsidR="00A937D8" w:rsidRPr="003B6DC4" w:rsidRDefault="00A937D8" w:rsidP="00A937D8">
      <w:pPr>
        <w:spacing w:after="0" w:line="240" w:lineRule="auto"/>
        <w:ind w:firstLine="720"/>
        <w:jc w:val="center"/>
        <w:rPr>
          <w:rFonts w:ascii="Times New Roman" w:hAnsi="Times New Roman" w:cs="Times New Roman"/>
          <w:b/>
          <w:sz w:val="24"/>
          <w:szCs w:val="24"/>
        </w:rPr>
      </w:pP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37"/>
        <w:gridCol w:w="1134"/>
        <w:gridCol w:w="1559"/>
        <w:gridCol w:w="1559"/>
        <w:gridCol w:w="1285"/>
        <w:gridCol w:w="1272"/>
        <w:gridCol w:w="1272"/>
        <w:gridCol w:w="1272"/>
      </w:tblGrid>
      <w:tr w:rsidR="00A937D8" w:rsidRPr="004A68D5" w14:paraId="2135E2EF" w14:textId="77777777" w:rsidTr="0065597C">
        <w:trPr>
          <w:cantSplit/>
          <w:trHeight w:val="1656"/>
          <w:jc w:val="center"/>
        </w:trPr>
        <w:tc>
          <w:tcPr>
            <w:tcW w:w="401" w:type="dxa"/>
            <w:shd w:val="clear" w:color="000000" w:fill="E36C0A"/>
            <w:vAlign w:val="center"/>
            <w:hideMark/>
          </w:tcPr>
          <w:p w14:paraId="253E1D31"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000000" w:fill="E36C0A"/>
            <w:vAlign w:val="center"/>
            <w:hideMark/>
          </w:tcPr>
          <w:p w14:paraId="5AF2A4E9" w14:textId="77777777" w:rsidR="00A937D8" w:rsidRPr="004A68D5" w:rsidRDefault="00A937D8" w:rsidP="0065597C">
            <w:pPr>
              <w:spacing w:after="0" w:line="240" w:lineRule="auto"/>
              <w:rPr>
                <w:rFonts w:ascii="Times New Roman" w:eastAsia="Times New Roman" w:hAnsi="Times New Roman" w:cs="Times New Roman"/>
                <w:b/>
                <w:bCs/>
                <w:sz w:val="20"/>
                <w:szCs w:val="20"/>
                <w:lang w:eastAsia="lv-LV"/>
              </w:rPr>
            </w:pPr>
          </w:p>
        </w:tc>
        <w:tc>
          <w:tcPr>
            <w:tcW w:w="1134" w:type="dxa"/>
            <w:shd w:val="clear" w:color="000000" w:fill="E36C0A"/>
            <w:textDirection w:val="btLr"/>
            <w:vAlign w:val="center"/>
            <w:hideMark/>
          </w:tcPr>
          <w:p w14:paraId="29AD5CC2" w14:textId="77777777" w:rsidR="00A937D8"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Vienas ārstēš</w:t>
            </w:r>
            <w:r>
              <w:rPr>
                <w:rFonts w:ascii="Times New Roman" w:eastAsia="Times New Roman" w:hAnsi="Times New Roman" w:cs="Times New Roman"/>
                <w:b/>
                <w:bCs/>
                <w:sz w:val="20"/>
                <w:szCs w:val="20"/>
                <w:lang w:eastAsia="lv-LV"/>
              </w:rPr>
              <w:t>anas vidējās</w:t>
            </w:r>
          </w:p>
          <w:p w14:paraId="7ACC3758" w14:textId="77777777" w:rsidR="00A937D8"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izmaksas</w:t>
            </w:r>
          </w:p>
          <w:p w14:paraId="07742601" w14:textId="77777777" w:rsidR="00A937D8" w:rsidRPr="004A68D5"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000000" w:fill="E36C0A"/>
            <w:textDirection w:val="btLr"/>
            <w:vAlign w:val="center"/>
            <w:hideMark/>
          </w:tcPr>
          <w:p w14:paraId="0DE2B1BC" w14:textId="77777777" w:rsidR="00A937D8" w:rsidRPr="004A68D5"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 xml:space="preserve">Plānotais finansējums </w:t>
            </w:r>
          </w:p>
        </w:tc>
        <w:tc>
          <w:tcPr>
            <w:tcW w:w="1285" w:type="dxa"/>
            <w:shd w:val="clear" w:color="000000" w:fill="E36C0A"/>
            <w:textDirection w:val="btLr"/>
            <w:vAlign w:val="center"/>
            <w:hideMark/>
          </w:tcPr>
          <w:p w14:paraId="4CC923B5" w14:textId="77777777" w:rsidR="00A937D8" w:rsidRPr="004A68D5"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Papildus </w:t>
            </w:r>
            <w:r w:rsidRPr="004A68D5">
              <w:rPr>
                <w:rFonts w:ascii="Times New Roman" w:eastAsia="Times New Roman" w:hAnsi="Times New Roman" w:cs="Times New Roman"/>
                <w:b/>
                <w:bCs/>
                <w:sz w:val="20"/>
                <w:szCs w:val="20"/>
                <w:lang w:eastAsia="lv-LV"/>
              </w:rPr>
              <w:t>finansēj</w:t>
            </w:r>
            <w:r>
              <w:rPr>
                <w:rFonts w:ascii="Times New Roman" w:eastAsia="Times New Roman" w:hAnsi="Times New Roman" w:cs="Times New Roman"/>
                <w:b/>
                <w:bCs/>
                <w:sz w:val="20"/>
                <w:szCs w:val="20"/>
                <w:lang w:eastAsia="lv-LV"/>
              </w:rPr>
              <w:t>ums</w:t>
            </w:r>
            <w:r w:rsidRPr="004A68D5">
              <w:rPr>
                <w:rFonts w:ascii="Times New Roman" w:eastAsia="Times New Roman" w:hAnsi="Times New Roman" w:cs="Times New Roman"/>
                <w:b/>
                <w:bCs/>
                <w:sz w:val="20"/>
                <w:szCs w:val="20"/>
                <w:lang w:eastAsia="lv-LV"/>
              </w:rPr>
              <w:t xml:space="preserve"> </w:t>
            </w:r>
          </w:p>
        </w:tc>
        <w:tc>
          <w:tcPr>
            <w:tcW w:w="2544" w:type="dxa"/>
            <w:gridSpan w:val="2"/>
            <w:shd w:val="clear" w:color="000000" w:fill="E36C0A"/>
            <w:textDirection w:val="btLr"/>
            <w:vAlign w:val="center"/>
          </w:tcPr>
          <w:p w14:paraId="5B6BA940" w14:textId="77777777" w:rsidR="00A937D8" w:rsidRPr="004A68D5"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 xml:space="preserve">Plānotais </w:t>
            </w:r>
            <w:r>
              <w:rPr>
                <w:rFonts w:ascii="Times New Roman" w:eastAsia="Times New Roman" w:hAnsi="Times New Roman" w:cs="Times New Roman"/>
                <w:b/>
                <w:bCs/>
                <w:sz w:val="20"/>
                <w:szCs w:val="20"/>
                <w:lang w:eastAsia="lv-LV"/>
              </w:rPr>
              <w:t>pakalpojumu</w:t>
            </w:r>
            <w:r w:rsidRPr="004A68D5">
              <w:rPr>
                <w:rFonts w:ascii="Times New Roman" w:eastAsia="Times New Roman" w:hAnsi="Times New Roman" w:cs="Times New Roman"/>
                <w:b/>
                <w:bCs/>
                <w:sz w:val="20"/>
                <w:szCs w:val="20"/>
                <w:lang w:eastAsia="lv-LV"/>
              </w:rPr>
              <w:t xml:space="preserve"> skaits </w:t>
            </w:r>
          </w:p>
        </w:tc>
        <w:tc>
          <w:tcPr>
            <w:tcW w:w="1272" w:type="dxa"/>
            <w:shd w:val="clear" w:color="000000" w:fill="E36C0A"/>
            <w:textDirection w:val="btLr"/>
            <w:vAlign w:val="center"/>
            <w:hideMark/>
          </w:tcPr>
          <w:p w14:paraId="4C48D590" w14:textId="77777777" w:rsidR="00A937D8" w:rsidRPr="004A68D5" w:rsidRDefault="00A937D8" w:rsidP="0065597C">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Plānotais pa</w:t>
            </w:r>
            <w:r>
              <w:rPr>
                <w:rFonts w:ascii="Times New Roman" w:eastAsia="Times New Roman" w:hAnsi="Times New Roman" w:cs="Times New Roman"/>
                <w:b/>
                <w:bCs/>
                <w:sz w:val="20"/>
                <w:szCs w:val="20"/>
                <w:lang w:eastAsia="lv-LV"/>
              </w:rPr>
              <w:t>kalpojumu</w:t>
            </w:r>
            <w:r w:rsidRPr="004A68D5">
              <w:rPr>
                <w:rFonts w:ascii="Times New Roman" w:eastAsia="Times New Roman" w:hAnsi="Times New Roman" w:cs="Times New Roman"/>
                <w:b/>
                <w:bCs/>
                <w:sz w:val="20"/>
                <w:szCs w:val="20"/>
                <w:lang w:eastAsia="lv-LV"/>
              </w:rPr>
              <w:t xml:space="preserve"> skaits pēc finansējuma piešķīruma</w:t>
            </w:r>
          </w:p>
        </w:tc>
      </w:tr>
      <w:tr w:rsidR="00A937D8" w:rsidRPr="004A68D5" w14:paraId="31BD5D8D" w14:textId="77777777" w:rsidTr="0065597C">
        <w:trPr>
          <w:trHeight w:val="640"/>
          <w:jc w:val="center"/>
        </w:trPr>
        <w:tc>
          <w:tcPr>
            <w:tcW w:w="401" w:type="dxa"/>
            <w:shd w:val="clear" w:color="auto" w:fill="FABF8F" w:themeFill="accent6" w:themeFillTint="99"/>
            <w:vAlign w:val="center"/>
          </w:tcPr>
          <w:p w14:paraId="2B4FBAB3"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FABF8F" w:themeFill="accent6" w:themeFillTint="99"/>
            <w:vAlign w:val="center"/>
          </w:tcPr>
          <w:p w14:paraId="2CBA30A2"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7DE874E4" w14:textId="77777777" w:rsidR="00A937D8" w:rsidRDefault="00A937D8" w:rsidP="0065597C">
            <w:pPr>
              <w:spacing w:after="0" w:line="240" w:lineRule="auto"/>
              <w:jc w:val="center"/>
              <w:rPr>
                <w:rFonts w:ascii="Times New Roman" w:eastAsia="Times New Roman" w:hAnsi="Times New Roman" w:cs="Times New Roman"/>
                <w:i/>
                <w:iCs/>
                <w:sz w:val="20"/>
                <w:szCs w:val="20"/>
                <w:lang w:eastAsia="lv-LV"/>
              </w:rPr>
            </w:pPr>
          </w:p>
          <w:p w14:paraId="59D937F4"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i/>
                <w:iCs/>
                <w:sz w:val="20"/>
                <w:szCs w:val="20"/>
                <w:lang w:eastAsia="lv-LV"/>
              </w:rPr>
              <w:t>(</w:t>
            </w:r>
            <w:r w:rsidRPr="004A68D5">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7D445F7B" w14:textId="77777777" w:rsidR="00A937D8" w:rsidRDefault="00A937D8" w:rsidP="0065597C">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2016</w:t>
            </w:r>
          </w:p>
          <w:p w14:paraId="430FFBB4" w14:textId="77777777" w:rsidR="00A937D8" w:rsidRPr="002B342D" w:rsidRDefault="00A937D8" w:rsidP="0065597C">
            <w:pPr>
              <w:spacing w:after="0" w:line="240" w:lineRule="auto"/>
              <w:jc w:val="center"/>
              <w:rPr>
                <w:rFonts w:ascii="Times New Roman" w:eastAsia="Times New Roman" w:hAnsi="Times New Roman" w:cs="Times New Roman"/>
                <w:bCs/>
                <w:sz w:val="20"/>
                <w:szCs w:val="20"/>
                <w:lang w:eastAsia="lv-LV"/>
              </w:rPr>
            </w:pPr>
            <w:r w:rsidRPr="002B342D">
              <w:rPr>
                <w:rFonts w:ascii="Times New Roman" w:eastAsia="Times New Roman" w:hAnsi="Times New Roman" w:cs="Times New Roman"/>
                <w:bCs/>
                <w:i/>
                <w:iCs/>
                <w:sz w:val="20"/>
                <w:szCs w:val="20"/>
                <w:lang w:eastAsia="lv-LV"/>
              </w:rPr>
              <w:t>(euro)</w:t>
            </w:r>
          </w:p>
        </w:tc>
        <w:tc>
          <w:tcPr>
            <w:tcW w:w="1559" w:type="dxa"/>
            <w:shd w:val="clear" w:color="auto" w:fill="FABF8F" w:themeFill="accent6" w:themeFillTint="99"/>
            <w:vAlign w:val="center"/>
          </w:tcPr>
          <w:p w14:paraId="5737F258" w14:textId="77777777" w:rsidR="00A937D8" w:rsidRDefault="00A937D8" w:rsidP="0065597C">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p w14:paraId="1858FE86" w14:textId="77777777" w:rsidR="00A937D8" w:rsidRPr="002B342D" w:rsidRDefault="00A937D8" w:rsidP="0065597C">
            <w:pPr>
              <w:spacing w:after="0" w:line="240" w:lineRule="auto"/>
              <w:jc w:val="center"/>
              <w:rPr>
                <w:rFonts w:ascii="Times New Roman" w:eastAsia="Times New Roman" w:hAnsi="Times New Roman" w:cs="Times New Roman"/>
                <w:bCs/>
                <w:sz w:val="20"/>
                <w:szCs w:val="20"/>
                <w:lang w:eastAsia="lv-LV"/>
              </w:rPr>
            </w:pPr>
            <w:r w:rsidRPr="002B342D">
              <w:rPr>
                <w:rFonts w:ascii="Times New Roman" w:eastAsia="Times New Roman" w:hAnsi="Times New Roman" w:cs="Times New Roman"/>
                <w:bCs/>
                <w:i/>
                <w:iCs/>
                <w:sz w:val="20"/>
                <w:szCs w:val="20"/>
                <w:lang w:eastAsia="lv-LV"/>
              </w:rPr>
              <w:t>(euro)</w:t>
            </w:r>
          </w:p>
        </w:tc>
        <w:tc>
          <w:tcPr>
            <w:tcW w:w="1285" w:type="dxa"/>
            <w:shd w:val="clear" w:color="auto" w:fill="FABF8F" w:themeFill="accent6" w:themeFillTint="99"/>
            <w:vAlign w:val="center"/>
          </w:tcPr>
          <w:p w14:paraId="29292B61" w14:textId="77777777" w:rsidR="00A937D8" w:rsidRDefault="00A937D8" w:rsidP="0065597C">
            <w:pPr>
              <w:spacing w:after="0" w:line="240" w:lineRule="auto"/>
              <w:jc w:val="center"/>
              <w:rPr>
                <w:rFonts w:ascii="Times New Roman" w:eastAsia="Times New Roman" w:hAnsi="Times New Roman" w:cs="Times New Roman"/>
                <w:bCs/>
                <w:i/>
                <w:iCs/>
                <w:sz w:val="20"/>
                <w:szCs w:val="20"/>
                <w:lang w:eastAsia="lv-LV"/>
              </w:rPr>
            </w:pPr>
          </w:p>
          <w:p w14:paraId="2B71F3C5" w14:textId="77777777" w:rsidR="00A937D8" w:rsidRPr="0066058E" w:rsidRDefault="00A937D8" w:rsidP="0065597C">
            <w:pPr>
              <w:spacing w:after="0" w:line="240" w:lineRule="auto"/>
              <w:jc w:val="center"/>
              <w:rPr>
                <w:rFonts w:ascii="Times New Roman" w:eastAsia="Times New Roman" w:hAnsi="Times New Roman" w:cs="Times New Roman"/>
                <w:bCs/>
                <w:i/>
                <w:iCs/>
                <w:sz w:val="20"/>
                <w:szCs w:val="20"/>
                <w:lang w:eastAsia="lv-LV"/>
              </w:rPr>
            </w:pPr>
            <w:r w:rsidRPr="002B342D">
              <w:rPr>
                <w:rFonts w:ascii="Times New Roman" w:eastAsia="Times New Roman" w:hAnsi="Times New Roman" w:cs="Times New Roman"/>
                <w:bCs/>
                <w:i/>
                <w:iCs/>
                <w:sz w:val="20"/>
                <w:szCs w:val="20"/>
                <w:lang w:eastAsia="lv-LV"/>
              </w:rPr>
              <w:t>(euro)</w:t>
            </w:r>
          </w:p>
        </w:tc>
        <w:tc>
          <w:tcPr>
            <w:tcW w:w="1272" w:type="dxa"/>
            <w:shd w:val="clear" w:color="auto" w:fill="FABF8F" w:themeFill="accent6" w:themeFillTint="99"/>
            <w:vAlign w:val="center"/>
          </w:tcPr>
          <w:p w14:paraId="4DA183A3"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2016</w:t>
            </w:r>
          </w:p>
        </w:tc>
        <w:tc>
          <w:tcPr>
            <w:tcW w:w="1272" w:type="dxa"/>
            <w:shd w:val="clear" w:color="auto" w:fill="FABF8F" w:themeFill="accent6" w:themeFillTint="99"/>
            <w:vAlign w:val="center"/>
          </w:tcPr>
          <w:p w14:paraId="4843F176"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71930F42" w14:textId="77777777" w:rsidR="00A937D8" w:rsidRPr="004A68D5" w:rsidRDefault="00A937D8" w:rsidP="0065597C">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tc>
      </w:tr>
      <w:tr w:rsidR="00A937D8" w:rsidRPr="004A68D5" w14:paraId="2D01E4B5" w14:textId="77777777" w:rsidTr="0065597C">
        <w:trPr>
          <w:trHeight w:val="525"/>
          <w:jc w:val="center"/>
        </w:trPr>
        <w:tc>
          <w:tcPr>
            <w:tcW w:w="401" w:type="dxa"/>
            <w:shd w:val="clear" w:color="auto" w:fill="auto"/>
            <w:noWrap/>
            <w:vAlign w:val="bottom"/>
            <w:hideMark/>
          </w:tcPr>
          <w:p w14:paraId="48BAA664" w14:textId="77777777" w:rsidR="00A937D8" w:rsidRPr="004A68D5" w:rsidRDefault="00A937D8" w:rsidP="0065597C">
            <w:pPr>
              <w:spacing w:after="0" w:line="240" w:lineRule="auto"/>
              <w:jc w:val="right"/>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w:t>
            </w:r>
          </w:p>
        </w:tc>
        <w:tc>
          <w:tcPr>
            <w:tcW w:w="1437" w:type="dxa"/>
            <w:shd w:val="clear" w:color="auto" w:fill="auto"/>
            <w:vAlign w:val="bottom"/>
            <w:hideMark/>
          </w:tcPr>
          <w:p w14:paraId="3B8E1EB3" w14:textId="77777777" w:rsidR="00A937D8" w:rsidRPr="004A68D5"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 xml:space="preserve">Speciālistu </w:t>
            </w:r>
            <w:r>
              <w:rPr>
                <w:rFonts w:ascii="Times New Roman" w:eastAsia="Times New Roman" w:hAnsi="Times New Roman" w:cs="Times New Roman"/>
                <w:sz w:val="20"/>
                <w:szCs w:val="20"/>
                <w:lang w:eastAsia="lv-LV"/>
              </w:rPr>
              <w:t>konsultācijas</w:t>
            </w:r>
          </w:p>
        </w:tc>
        <w:tc>
          <w:tcPr>
            <w:tcW w:w="1134" w:type="dxa"/>
            <w:shd w:val="clear" w:color="auto" w:fill="auto"/>
            <w:noWrap/>
            <w:vAlign w:val="bottom"/>
            <w:hideMark/>
          </w:tcPr>
          <w:p w14:paraId="563C80BC"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Pr="004A68D5">
              <w:rPr>
                <w:rFonts w:ascii="Times New Roman" w:eastAsia="Times New Roman" w:hAnsi="Times New Roman" w:cs="Times New Roman"/>
                <w:sz w:val="20"/>
                <w:szCs w:val="20"/>
                <w:lang w:eastAsia="lv-LV"/>
              </w:rPr>
              <w:t>530</w:t>
            </w:r>
          </w:p>
        </w:tc>
        <w:tc>
          <w:tcPr>
            <w:tcW w:w="1559" w:type="dxa"/>
            <w:shd w:val="clear" w:color="auto" w:fill="auto"/>
            <w:noWrap/>
            <w:vAlign w:val="bottom"/>
            <w:hideMark/>
          </w:tcPr>
          <w:p w14:paraId="6A237F9D"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24 962 514</w:t>
            </w:r>
          </w:p>
        </w:tc>
        <w:tc>
          <w:tcPr>
            <w:tcW w:w="1559" w:type="dxa"/>
            <w:shd w:val="clear" w:color="auto" w:fill="auto"/>
            <w:noWrap/>
            <w:vAlign w:val="bottom"/>
            <w:hideMark/>
          </w:tcPr>
          <w:p w14:paraId="6EE3A9A3"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28 104 954</w:t>
            </w:r>
          </w:p>
        </w:tc>
        <w:tc>
          <w:tcPr>
            <w:tcW w:w="1285" w:type="dxa"/>
            <w:shd w:val="clear" w:color="auto" w:fill="auto"/>
            <w:noWrap/>
            <w:vAlign w:val="bottom"/>
            <w:hideMark/>
          </w:tcPr>
          <w:p w14:paraId="2EEFB8DE"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3 386 187</w:t>
            </w:r>
          </w:p>
        </w:tc>
        <w:tc>
          <w:tcPr>
            <w:tcW w:w="1272" w:type="dxa"/>
            <w:vAlign w:val="bottom"/>
          </w:tcPr>
          <w:p w14:paraId="3D93F0CB" w14:textId="77777777" w:rsidR="00A937D8" w:rsidRPr="00A84E8A" w:rsidRDefault="00A937D8"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sz w:val="20"/>
                <w:szCs w:val="20"/>
                <w:lang w:eastAsia="lv-LV"/>
              </w:rPr>
              <w:t>1 992 204</w:t>
            </w:r>
          </w:p>
        </w:tc>
        <w:tc>
          <w:tcPr>
            <w:tcW w:w="1272" w:type="dxa"/>
            <w:vAlign w:val="bottom"/>
          </w:tcPr>
          <w:p w14:paraId="6F8974E8" w14:textId="35D6D5FE" w:rsidR="00A937D8" w:rsidRPr="00A84E8A" w:rsidRDefault="00A937D8" w:rsidP="002134DA">
            <w:pPr>
              <w:spacing w:after="0" w:line="240" w:lineRule="auto"/>
              <w:jc w:val="center"/>
              <w:rPr>
                <w:rFonts w:ascii="Times New Roman" w:eastAsia="Times New Roman" w:hAnsi="Times New Roman" w:cs="Times New Roman"/>
                <w:b/>
                <w:color w:val="FF0000"/>
                <w:sz w:val="20"/>
                <w:szCs w:val="20"/>
                <w:lang w:eastAsia="lv-LV"/>
              </w:rPr>
            </w:pPr>
            <w:r w:rsidRPr="00EC1BD2">
              <w:rPr>
                <w:rFonts w:ascii="Times New Roman" w:eastAsia="Times New Roman" w:hAnsi="Times New Roman" w:cs="Times New Roman"/>
                <w:b/>
                <w:color w:val="FF0000"/>
                <w:sz w:val="20"/>
                <w:szCs w:val="20"/>
                <w:lang w:eastAsia="lv-LV"/>
              </w:rPr>
              <w:t>2 24</w:t>
            </w:r>
            <w:r w:rsidR="002134DA">
              <w:rPr>
                <w:rFonts w:ascii="Times New Roman" w:eastAsia="Times New Roman" w:hAnsi="Times New Roman" w:cs="Times New Roman"/>
                <w:b/>
                <w:color w:val="FF0000"/>
                <w:sz w:val="20"/>
                <w:szCs w:val="20"/>
                <w:lang w:eastAsia="lv-LV"/>
              </w:rPr>
              <w:t>3</w:t>
            </w:r>
            <w:r w:rsidRPr="00EC1BD2">
              <w:rPr>
                <w:rFonts w:ascii="Times New Roman" w:eastAsia="Times New Roman" w:hAnsi="Times New Roman" w:cs="Times New Roman"/>
                <w:b/>
                <w:color w:val="FF0000"/>
                <w:sz w:val="20"/>
                <w:szCs w:val="20"/>
                <w:lang w:eastAsia="lv-LV"/>
              </w:rPr>
              <w:t xml:space="preserve"> </w:t>
            </w:r>
            <w:r w:rsidR="002134DA">
              <w:rPr>
                <w:rFonts w:ascii="Times New Roman" w:eastAsia="Times New Roman" w:hAnsi="Times New Roman" w:cs="Times New Roman"/>
                <w:b/>
                <w:color w:val="FF0000"/>
                <w:sz w:val="20"/>
                <w:szCs w:val="20"/>
                <w:lang w:eastAsia="lv-LV"/>
              </w:rPr>
              <w:t>013</w:t>
            </w:r>
          </w:p>
        </w:tc>
        <w:tc>
          <w:tcPr>
            <w:tcW w:w="1272" w:type="dxa"/>
            <w:shd w:val="clear" w:color="auto" w:fill="auto"/>
            <w:noWrap/>
            <w:vAlign w:val="bottom"/>
            <w:hideMark/>
          </w:tcPr>
          <w:p w14:paraId="0756EE55" w14:textId="2EEACEED" w:rsidR="00A937D8" w:rsidRPr="00A84E8A" w:rsidRDefault="00A937D8" w:rsidP="00745B7D">
            <w:pPr>
              <w:spacing w:after="0" w:line="240" w:lineRule="auto"/>
              <w:jc w:val="center"/>
              <w:rPr>
                <w:rFonts w:ascii="Times New Roman" w:eastAsia="Times New Roman" w:hAnsi="Times New Roman" w:cs="Times New Roman"/>
                <w:b/>
                <w:color w:val="FF0000"/>
                <w:sz w:val="20"/>
                <w:szCs w:val="20"/>
                <w:lang w:eastAsia="lv-LV"/>
              </w:rPr>
            </w:pPr>
            <w:r w:rsidRPr="00A84E8A">
              <w:rPr>
                <w:rFonts w:ascii="Times New Roman" w:eastAsia="Times New Roman" w:hAnsi="Times New Roman" w:cs="Times New Roman"/>
                <w:b/>
                <w:color w:val="FF0000"/>
                <w:sz w:val="20"/>
                <w:szCs w:val="20"/>
                <w:lang w:eastAsia="lv-LV"/>
              </w:rPr>
              <w:t>2 513 2</w:t>
            </w:r>
            <w:r w:rsidR="00745B7D">
              <w:rPr>
                <w:rFonts w:ascii="Times New Roman" w:eastAsia="Times New Roman" w:hAnsi="Times New Roman" w:cs="Times New Roman"/>
                <w:b/>
                <w:color w:val="FF0000"/>
                <w:sz w:val="20"/>
                <w:szCs w:val="20"/>
                <w:lang w:eastAsia="lv-LV"/>
              </w:rPr>
              <w:t>59</w:t>
            </w:r>
          </w:p>
        </w:tc>
      </w:tr>
      <w:tr w:rsidR="00A937D8" w:rsidRPr="004A68D5" w14:paraId="66F61C69" w14:textId="77777777" w:rsidTr="0065597C">
        <w:trPr>
          <w:trHeight w:val="708"/>
          <w:jc w:val="center"/>
        </w:trPr>
        <w:tc>
          <w:tcPr>
            <w:tcW w:w="401" w:type="dxa"/>
            <w:shd w:val="clear" w:color="auto" w:fill="auto"/>
            <w:noWrap/>
            <w:vAlign w:val="bottom"/>
          </w:tcPr>
          <w:p w14:paraId="3CAFC593" w14:textId="77777777" w:rsidR="00A937D8" w:rsidRPr="004A68D5" w:rsidRDefault="00A937D8" w:rsidP="0065597C">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437" w:type="dxa"/>
            <w:shd w:val="clear" w:color="auto" w:fill="auto"/>
            <w:vAlign w:val="bottom"/>
          </w:tcPr>
          <w:p w14:paraId="3E3B7FBB" w14:textId="77777777" w:rsidR="00A937D8"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Ambulatorie</w:t>
            </w:r>
          </w:p>
          <w:p w14:paraId="0B9FEEEC" w14:textId="77777777" w:rsidR="00A937D8" w:rsidRPr="004A68D5"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izmeklējumi</w:t>
            </w:r>
            <w:r>
              <w:rPr>
                <w:rFonts w:ascii="Times New Roman" w:eastAsia="Times New Roman" w:hAnsi="Times New Roman" w:cs="Times New Roman"/>
                <w:sz w:val="20"/>
                <w:szCs w:val="20"/>
                <w:lang w:eastAsia="lv-LV"/>
              </w:rPr>
              <w:t xml:space="preserve"> un terapija</w:t>
            </w:r>
          </w:p>
        </w:tc>
        <w:tc>
          <w:tcPr>
            <w:tcW w:w="1134" w:type="dxa"/>
            <w:shd w:val="clear" w:color="auto" w:fill="auto"/>
            <w:noWrap/>
            <w:vAlign w:val="bottom"/>
          </w:tcPr>
          <w:p w14:paraId="119D79E0"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r w:rsidRPr="004A68D5">
              <w:rPr>
                <w:rFonts w:ascii="Times New Roman" w:eastAsia="Times New Roman" w:hAnsi="Times New Roman" w:cs="Times New Roman"/>
                <w:sz w:val="20"/>
                <w:szCs w:val="20"/>
                <w:lang w:eastAsia="lv-LV"/>
              </w:rPr>
              <w:t>987</w:t>
            </w:r>
          </w:p>
        </w:tc>
        <w:tc>
          <w:tcPr>
            <w:tcW w:w="1559" w:type="dxa"/>
            <w:shd w:val="clear" w:color="auto" w:fill="auto"/>
            <w:noWrap/>
            <w:vAlign w:val="bottom"/>
          </w:tcPr>
          <w:p w14:paraId="61594B4F"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42 405 017</w:t>
            </w:r>
          </w:p>
        </w:tc>
        <w:tc>
          <w:tcPr>
            <w:tcW w:w="1559" w:type="dxa"/>
            <w:shd w:val="clear" w:color="auto" w:fill="auto"/>
            <w:noWrap/>
            <w:vAlign w:val="bottom"/>
          </w:tcPr>
          <w:p w14:paraId="39AAF3BC"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42 405 017</w:t>
            </w:r>
          </w:p>
        </w:tc>
        <w:tc>
          <w:tcPr>
            <w:tcW w:w="1285" w:type="dxa"/>
            <w:shd w:val="clear" w:color="auto" w:fill="auto"/>
            <w:noWrap/>
            <w:vAlign w:val="bottom"/>
          </w:tcPr>
          <w:p w14:paraId="6E554B8F"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7 541 491</w:t>
            </w:r>
          </w:p>
        </w:tc>
        <w:tc>
          <w:tcPr>
            <w:tcW w:w="1272" w:type="dxa"/>
            <w:vAlign w:val="bottom"/>
          </w:tcPr>
          <w:p w14:paraId="5940AC1A" w14:textId="77777777" w:rsidR="00A937D8" w:rsidRPr="00A84E8A" w:rsidRDefault="00A937D8"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sz w:val="20"/>
                <w:szCs w:val="20"/>
                <w:lang w:eastAsia="lv-LV"/>
              </w:rPr>
              <w:t>1 844 705</w:t>
            </w:r>
          </w:p>
        </w:tc>
        <w:tc>
          <w:tcPr>
            <w:tcW w:w="1272" w:type="dxa"/>
            <w:vAlign w:val="bottom"/>
          </w:tcPr>
          <w:p w14:paraId="211744BA" w14:textId="6243B76E" w:rsidR="00A937D8" w:rsidRPr="00A84E8A" w:rsidRDefault="00A937D8" w:rsidP="002134DA">
            <w:pPr>
              <w:spacing w:after="0" w:line="240" w:lineRule="auto"/>
              <w:jc w:val="center"/>
              <w:rPr>
                <w:rFonts w:ascii="Times New Roman" w:eastAsia="Times New Roman" w:hAnsi="Times New Roman" w:cs="Times New Roman"/>
                <w:b/>
                <w:color w:val="FF0000"/>
                <w:sz w:val="20"/>
                <w:szCs w:val="20"/>
                <w:lang w:eastAsia="lv-LV"/>
              </w:rPr>
            </w:pPr>
            <w:r w:rsidRPr="00EC1BD2">
              <w:rPr>
                <w:rFonts w:ascii="Times New Roman" w:eastAsia="Times New Roman" w:hAnsi="Times New Roman" w:cs="Times New Roman"/>
                <w:b/>
                <w:color w:val="FF0000"/>
                <w:sz w:val="20"/>
                <w:szCs w:val="20"/>
                <w:lang w:eastAsia="lv-LV"/>
              </w:rPr>
              <w:t>1 844 7</w:t>
            </w:r>
            <w:r w:rsidR="002134DA">
              <w:rPr>
                <w:rFonts w:ascii="Times New Roman" w:eastAsia="Times New Roman" w:hAnsi="Times New Roman" w:cs="Times New Roman"/>
                <w:b/>
                <w:color w:val="FF0000"/>
                <w:sz w:val="20"/>
                <w:szCs w:val="20"/>
                <w:lang w:eastAsia="lv-LV"/>
              </w:rPr>
              <w:t>39</w:t>
            </w:r>
          </w:p>
        </w:tc>
        <w:tc>
          <w:tcPr>
            <w:tcW w:w="1272" w:type="dxa"/>
            <w:shd w:val="clear" w:color="auto" w:fill="auto"/>
            <w:noWrap/>
            <w:vAlign w:val="bottom"/>
          </w:tcPr>
          <w:p w14:paraId="14B460E6" w14:textId="7B9E94A4" w:rsidR="00A937D8" w:rsidRPr="00A84E8A" w:rsidRDefault="00A937D8" w:rsidP="00745B7D">
            <w:pPr>
              <w:spacing w:after="0" w:line="240" w:lineRule="auto"/>
              <w:jc w:val="center"/>
              <w:rPr>
                <w:rFonts w:ascii="Times New Roman" w:eastAsia="Times New Roman" w:hAnsi="Times New Roman" w:cs="Times New Roman"/>
                <w:b/>
                <w:color w:val="FF0000"/>
                <w:sz w:val="20"/>
                <w:szCs w:val="20"/>
                <w:lang w:eastAsia="lv-LV"/>
              </w:rPr>
            </w:pPr>
            <w:r w:rsidRPr="00A84E8A">
              <w:rPr>
                <w:rFonts w:ascii="Times New Roman" w:eastAsia="Times New Roman" w:hAnsi="Times New Roman" w:cs="Times New Roman"/>
                <w:b/>
                <w:color w:val="FF0000"/>
                <w:sz w:val="20"/>
                <w:szCs w:val="20"/>
                <w:lang w:eastAsia="lv-LV"/>
              </w:rPr>
              <w:t xml:space="preserve">2 172 </w:t>
            </w:r>
            <w:r w:rsidR="00745B7D">
              <w:rPr>
                <w:rFonts w:ascii="Times New Roman" w:eastAsia="Times New Roman" w:hAnsi="Times New Roman" w:cs="Times New Roman"/>
                <w:b/>
                <w:color w:val="FF0000"/>
                <w:sz w:val="20"/>
                <w:szCs w:val="20"/>
                <w:lang w:eastAsia="lv-LV"/>
              </w:rPr>
              <w:t>81</w:t>
            </w:r>
            <w:r w:rsidRPr="00A84E8A">
              <w:rPr>
                <w:rFonts w:ascii="Times New Roman" w:eastAsia="Times New Roman" w:hAnsi="Times New Roman" w:cs="Times New Roman"/>
                <w:b/>
                <w:color w:val="FF0000"/>
                <w:sz w:val="20"/>
                <w:szCs w:val="20"/>
                <w:lang w:eastAsia="lv-LV"/>
              </w:rPr>
              <w:t>5</w:t>
            </w:r>
          </w:p>
        </w:tc>
      </w:tr>
      <w:tr w:rsidR="00A937D8" w:rsidRPr="004A68D5" w14:paraId="6F4F128A" w14:textId="77777777" w:rsidTr="0065597C">
        <w:trPr>
          <w:trHeight w:val="846"/>
          <w:jc w:val="center"/>
        </w:trPr>
        <w:tc>
          <w:tcPr>
            <w:tcW w:w="401" w:type="dxa"/>
            <w:shd w:val="clear" w:color="auto" w:fill="auto"/>
            <w:noWrap/>
            <w:vAlign w:val="bottom"/>
          </w:tcPr>
          <w:p w14:paraId="0AACE594"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w:t>
            </w:r>
          </w:p>
        </w:tc>
        <w:tc>
          <w:tcPr>
            <w:tcW w:w="1437" w:type="dxa"/>
            <w:shd w:val="clear" w:color="auto" w:fill="auto"/>
            <w:vAlign w:val="bottom"/>
          </w:tcPr>
          <w:p w14:paraId="25F014CA" w14:textId="77777777" w:rsidR="00A937D8" w:rsidRPr="004A68D5"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Dienas stacionārā sniegtie pakalpojumi</w:t>
            </w:r>
          </w:p>
        </w:tc>
        <w:tc>
          <w:tcPr>
            <w:tcW w:w="1134" w:type="dxa"/>
            <w:shd w:val="clear" w:color="auto" w:fill="auto"/>
            <w:noWrap/>
            <w:vAlign w:val="bottom"/>
          </w:tcPr>
          <w:p w14:paraId="065A61CD" w14:textId="77777777" w:rsidR="00A937D8"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w:t>
            </w:r>
            <w:r w:rsidRPr="004A68D5">
              <w:rPr>
                <w:rFonts w:ascii="Times New Roman" w:eastAsia="Times New Roman" w:hAnsi="Times New Roman" w:cs="Times New Roman"/>
                <w:sz w:val="20"/>
                <w:szCs w:val="20"/>
                <w:lang w:eastAsia="lv-LV"/>
              </w:rPr>
              <w:t>648</w:t>
            </w:r>
          </w:p>
        </w:tc>
        <w:tc>
          <w:tcPr>
            <w:tcW w:w="1559" w:type="dxa"/>
            <w:shd w:val="clear" w:color="auto" w:fill="auto"/>
            <w:noWrap/>
            <w:vAlign w:val="bottom"/>
          </w:tcPr>
          <w:p w14:paraId="5466B5D6" w14:textId="77777777" w:rsidR="00A937D8"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38 319 547</w:t>
            </w:r>
          </w:p>
        </w:tc>
        <w:tc>
          <w:tcPr>
            <w:tcW w:w="1559" w:type="dxa"/>
            <w:shd w:val="clear" w:color="auto" w:fill="auto"/>
            <w:noWrap/>
            <w:vAlign w:val="bottom"/>
          </w:tcPr>
          <w:p w14:paraId="035AADB6" w14:textId="77777777" w:rsidR="00A937D8"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39 677 107</w:t>
            </w:r>
          </w:p>
        </w:tc>
        <w:tc>
          <w:tcPr>
            <w:tcW w:w="1285" w:type="dxa"/>
            <w:shd w:val="clear" w:color="auto" w:fill="auto"/>
            <w:noWrap/>
            <w:vAlign w:val="bottom"/>
          </w:tcPr>
          <w:p w14:paraId="48C6BFDC" w14:textId="77777777" w:rsidR="00A937D8"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5 163 159</w:t>
            </w:r>
          </w:p>
        </w:tc>
        <w:tc>
          <w:tcPr>
            <w:tcW w:w="1272" w:type="dxa"/>
            <w:vAlign w:val="bottom"/>
          </w:tcPr>
          <w:p w14:paraId="0BBB433A" w14:textId="77777777" w:rsidR="00A937D8" w:rsidRPr="00A84E8A" w:rsidRDefault="00A937D8"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sz w:val="20"/>
                <w:szCs w:val="20"/>
                <w:lang w:eastAsia="lv-LV"/>
              </w:rPr>
              <w:t>463 650</w:t>
            </w:r>
          </w:p>
        </w:tc>
        <w:tc>
          <w:tcPr>
            <w:tcW w:w="1272" w:type="dxa"/>
            <w:vAlign w:val="bottom"/>
          </w:tcPr>
          <w:p w14:paraId="2A0EB58E" w14:textId="3591335F" w:rsidR="00A937D8" w:rsidRPr="00A84E8A" w:rsidRDefault="002134DA"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480 073</w:t>
            </w:r>
          </w:p>
        </w:tc>
        <w:tc>
          <w:tcPr>
            <w:tcW w:w="1272" w:type="dxa"/>
            <w:shd w:val="clear" w:color="auto" w:fill="auto"/>
            <w:noWrap/>
            <w:vAlign w:val="bottom"/>
          </w:tcPr>
          <w:p w14:paraId="1157C5E1" w14:textId="4A72EDC3" w:rsidR="00A937D8" w:rsidRPr="00A84E8A" w:rsidRDefault="00A937D8" w:rsidP="00745B7D">
            <w:pPr>
              <w:spacing w:after="0" w:line="240" w:lineRule="auto"/>
              <w:jc w:val="center"/>
              <w:rPr>
                <w:rFonts w:ascii="Times New Roman" w:eastAsia="Times New Roman" w:hAnsi="Times New Roman" w:cs="Times New Roman"/>
                <w:b/>
                <w:color w:val="FF0000"/>
                <w:sz w:val="20"/>
                <w:szCs w:val="20"/>
                <w:lang w:eastAsia="lv-LV"/>
              </w:rPr>
            </w:pPr>
            <w:r w:rsidRPr="00A84E8A">
              <w:rPr>
                <w:rFonts w:ascii="Times New Roman" w:eastAsia="Times New Roman" w:hAnsi="Times New Roman" w:cs="Times New Roman"/>
                <w:b/>
                <w:color w:val="FF0000"/>
                <w:sz w:val="20"/>
                <w:szCs w:val="20"/>
                <w:lang w:eastAsia="lv-LV"/>
              </w:rPr>
              <w:t>542 54</w:t>
            </w:r>
            <w:r w:rsidR="00745B7D">
              <w:rPr>
                <w:rFonts w:ascii="Times New Roman" w:eastAsia="Times New Roman" w:hAnsi="Times New Roman" w:cs="Times New Roman"/>
                <w:b/>
                <w:color w:val="FF0000"/>
                <w:sz w:val="20"/>
                <w:szCs w:val="20"/>
                <w:lang w:eastAsia="lv-LV"/>
              </w:rPr>
              <w:t>5</w:t>
            </w:r>
          </w:p>
        </w:tc>
      </w:tr>
      <w:tr w:rsidR="00A937D8" w:rsidRPr="004A68D5" w14:paraId="30DE8E3A" w14:textId="77777777" w:rsidTr="0065597C">
        <w:trPr>
          <w:trHeight w:val="510"/>
          <w:jc w:val="center"/>
        </w:trPr>
        <w:tc>
          <w:tcPr>
            <w:tcW w:w="401" w:type="dxa"/>
            <w:shd w:val="clear" w:color="auto" w:fill="auto"/>
            <w:noWrap/>
            <w:vAlign w:val="bottom"/>
            <w:hideMark/>
          </w:tcPr>
          <w:p w14:paraId="4787351D" w14:textId="77777777" w:rsidR="00A937D8" w:rsidRPr="004A68D5" w:rsidRDefault="00A937D8" w:rsidP="0065597C">
            <w:pPr>
              <w:spacing w:after="0" w:line="240" w:lineRule="auto"/>
              <w:jc w:val="right"/>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w:t>
            </w:r>
          </w:p>
        </w:tc>
        <w:tc>
          <w:tcPr>
            <w:tcW w:w="1437" w:type="dxa"/>
            <w:shd w:val="clear" w:color="auto" w:fill="auto"/>
            <w:vAlign w:val="center"/>
            <w:hideMark/>
          </w:tcPr>
          <w:p w14:paraId="290D727A" w14:textId="77777777" w:rsidR="00A937D8" w:rsidRPr="004A68D5"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Ambulatorā rehabilitācija</w:t>
            </w:r>
          </w:p>
        </w:tc>
        <w:tc>
          <w:tcPr>
            <w:tcW w:w="1134" w:type="dxa"/>
            <w:shd w:val="clear" w:color="auto" w:fill="auto"/>
            <w:noWrap/>
            <w:vAlign w:val="bottom"/>
            <w:hideMark/>
          </w:tcPr>
          <w:p w14:paraId="03ED7D1A"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Pr="004A68D5">
              <w:rPr>
                <w:rFonts w:ascii="Times New Roman" w:eastAsia="Times New Roman" w:hAnsi="Times New Roman" w:cs="Times New Roman"/>
                <w:sz w:val="20"/>
                <w:szCs w:val="20"/>
                <w:lang w:eastAsia="lv-LV"/>
              </w:rPr>
              <w:t>261</w:t>
            </w:r>
          </w:p>
        </w:tc>
        <w:tc>
          <w:tcPr>
            <w:tcW w:w="1559" w:type="dxa"/>
            <w:shd w:val="clear" w:color="auto" w:fill="auto"/>
            <w:noWrap/>
            <w:vAlign w:val="bottom"/>
            <w:hideMark/>
          </w:tcPr>
          <w:p w14:paraId="48E50C90"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5 104 087</w:t>
            </w:r>
          </w:p>
        </w:tc>
        <w:tc>
          <w:tcPr>
            <w:tcW w:w="1559" w:type="dxa"/>
            <w:shd w:val="clear" w:color="auto" w:fill="auto"/>
            <w:noWrap/>
            <w:vAlign w:val="bottom"/>
            <w:hideMark/>
          </w:tcPr>
          <w:p w14:paraId="161FBA0B"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5 104 087</w:t>
            </w:r>
          </w:p>
        </w:tc>
        <w:tc>
          <w:tcPr>
            <w:tcW w:w="1285" w:type="dxa"/>
            <w:shd w:val="clear" w:color="auto" w:fill="auto"/>
            <w:noWrap/>
            <w:vAlign w:val="bottom"/>
            <w:hideMark/>
          </w:tcPr>
          <w:p w14:paraId="5A3107A5"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508 470</w:t>
            </w:r>
          </w:p>
        </w:tc>
        <w:tc>
          <w:tcPr>
            <w:tcW w:w="1272" w:type="dxa"/>
            <w:vAlign w:val="bottom"/>
          </w:tcPr>
          <w:p w14:paraId="25FF2201" w14:textId="77777777" w:rsidR="00A937D8" w:rsidRPr="00A84E8A" w:rsidRDefault="00A937D8"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sz w:val="20"/>
                <w:szCs w:val="20"/>
                <w:lang w:eastAsia="lv-LV"/>
              </w:rPr>
              <w:t>702 919</w:t>
            </w:r>
          </w:p>
        </w:tc>
        <w:tc>
          <w:tcPr>
            <w:tcW w:w="1272" w:type="dxa"/>
            <w:vAlign w:val="bottom"/>
          </w:tcPr>
          <w:p w14:paraId="47C84AC4" w14:textId="4EE85E30" w:rsidR="00A937D8" w:rsidRPr="00A84E8A" w:rsidRDefault="00A937D8" w:rsidP="002134DA">
            <w:pPr>
              <w:spacing w:after="0" w:line="240" w:lineRule="auto"/>
              <w:jc w:val="center"/>
              <w:rPr>
                <w:rFonts w:ascii="Times New Roman" w:eastAsia="Times New Roman" w:hAnsi="Times New Roman" w:cs="Times New Roman"/>
                <w:b/>
                <w:color w:val="FF0000"/>
                <w:sz w:val="20"/>
                <w:szCs w:val="20"/>
                <w:lang w:eastAsia="lv-LV"/>
              </w:rPr>
            </w:pPr>
            <w:r w:rsidRPr="00EC1BD2">
              <w:rPr>
                <w:rFonts w:ascii="Times New Roman" w:eastAsia="Times New Roman" w:hAnsi="Times New Roman" w:cs="Times New Roman"/>
                <w:b/>
                <w:color w:val="FF0000"/>
                <w:sz w:val="20"/>
                <w:szCs w:val="20"/>
                <w:lang w:eastAsia="lv-LV"/>
              </w:rPr>
              <w:t>702 9</w:t>
            </w:r>
            <w:r w:rsidR="002134DA">
              <w:rPr>
                <w:rFonts w:ascii="Times New Roman" w:eastAsia="Times New Roman" w:hAnsi="Times New Roman" w:cs="Times New Roman"/>
                <w:b/>
                <w:color w:val="FF0000"/>
                <w:sz w:val="20"/>
                <w:szCs w:val="20"/>
                <w:lang w:eastAsia="lv-LV"/>
              </w:rPr>
              <w:t>45</w:t>
            </w:r>
          </w:p>
        </w:tc>
        <w:tc>
          <w:tcPr>
            <w:tcW w:w="1272" w:type="dxa"/>
            <w:shd w:val="clear" w:color="auto" w:fill="auto"/>
            <w:noWrap/>
            <w:vAlign w:val="bottom"/>
            <w:hideMark/>
          </w:tcPr>
          <w:p w14:paraId="69E92934" w14:textId="79F70484" w:rsidR="00A937D8" w:rsidRPr="00A84E8A" w:rsidRDefault="00A937D8" w:rsidP="00745B7D">
            <w:pPr>
              <w:spacing w:after="0" w:line="240" w:lineRule="auto"/>
              <w:jc w:val="center"/>
              <w:rPr>
                <w:rFonts w:ascii="Times New Roman" w:eastAsia="Times New Roman" w:hAnsi="Times New Roman" w:cs="Times New Roman"/>
                <w:b/>
                <w:color w:val="FF0000"/>
                <w:sz w:val="20"/>
                <w:szCs w:val="20"/>
                <w:lang w:eastAsia="lv-LV"/>
              </w:rPr>
            </w:pPr>
            <w:r w:rsidRPr="00A84E8A">
              <w:rPr>
                <w:rFonts w:ascii="Times New Roman" w:eastAsia="Times New Roman" w:hAnsi="Times New Roman" w:cs="Times New Roman"/>
                <w:b/>
                <w:color w:val="FF0000"/>
                <w:sz w:val="20"/>
                <w:szCs w:val="20"/>
                <w:lang w:eastAsia="lv-LV"/>
              </w:rPr>
              <w:t>772 9</w:t>
            </w:r>
            <w:r w:rsidR="00745B7D">
              <w:rPr>
                <w:rFonts w:ascii="Times New Roman" w:eastAsia="Times New Roman" w:hAnsi="Times New Roman" w:cs="Times New Roman"/>
                <w:b/>
                <w:color w:val="FF0000"/>
                <w:sz w:val="20"/>
                <w:szCs w:val="20"/>
                <w:lang w:eastAsia="lv-LV"/>
              </w:rPr>
              <w:t>73</w:t>
            </w:r>
          </w:p>
        </w:tc>
      </w:tr>
      <w:tr w:rsidR="00A937D8" w:rsidRPr="004A68D5" w14:paraId="48BA05C6" w14:textId="77777777" w:rsidTr="00C14920">
        <w:trPr>
          <w:trHeight w:val="300"/>
          <w:jc w:val="center"/>
        </w:trPr>
        <w:tc>
          <w:tcPr>
            <w:tcW w:w="401" w:type="dxa"/>
            <w:shd w:val="clear" w:color="auto" w:fill="FBD4B4" w:themeFill="accent6" w:themeFillTint="66"/>
            <w:noWrap/>
            <w:vAlign w:val="bottom"/>
            <w:hideMark/>
          </w:tcPr>
          <w:p w14:paraId="650314D8" w14:textId="77777777" w:rsidR="00A937D8" w:rsidRPr="004A68D5" w:rsidRDefault="00A937D8" w:rsidP="0065597C">
            <w:pPr>
              <w:spacing w:after="0" w:line="240" w:lineRule="auto"/>
              <w:jc w:val="right"/>
              <w:rPr>
                <w:rFonts w:ascii="Times New Roman" w:eastAsia="Times New Roman" w:hAnsi="Times New Roman" w:cs="Times New Roman"/>
                <w:sz w:val="20"/>
                <w:szCs w:val="20"/>
                <w:lang w:eastAsia="lv-LV"/>
              </w:rPr>
            </w:pPr>
          </w:p>
        </w:tc>
        <w:tc>
          <w:tcPr>
            <w:tcW w:w="1437" w:type="dxa"/>
            <w:shd w:val="clear" w:color="auto" w:fill="FBD4B4" w:themeFill="accent6" w:themeFillTint="66"/>
            <w:noWrap/>
            <w:vAlign w:val="bottom"/>
            <w:hideMark/>
          </w:tcPr>
          <w:p w14:paraId="42439123" w14:textId="77777777" w:rsidR="00A937D8" w:rsidRPr="004A68D5" w:rsidRDefault="00A937D8" w:rsidP="0065597C">
            <w:pPr>
              <w:spacing w:after="0" w:line="240" w:lineRule="auto"/>
              <w:rPr>
                <w:rFonts w:ascii="Times New Roman" w:eastAsia="Times New Roman" w:hAnsi="Times New Roman" w:cs="Times New Roman"/>
                <w:sz w:val="20"/>
                <w:szCs w:val="20"/>
                <w:lang w:eastAsia="lv-LV"/>
              </w:rPr>
            </w:pPr>
            <w:r w:rsidRPr="004A68D5">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3523D06B"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hideMark/>
          </w:tcPr>
          <w:p w14:paraId="39FF7782"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110 791 165</w:t>
            </w:r>
          </w:p>
        </w:tc>
        <w:tc>
          <w:tcPr>
            <w:tcW w:w="1559" w:type="dxa"/>
            <w:shd w:val="clear" w:color="auto" w:fill="FBD4B4" w:themeFill="accent6" w:themeFillTint="66"/>
            <w:noWrap/>
            <w:vAlign w:val="bottom"/>
            <w:hideMark/>
          </w:tcPr>
          <w:p w14:paraId="18987984"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115 291 165</w:t>
            </w:r>
          </w:p>
        </w:tc>
        <w:tc>
          <w:tcPr>
            <w:tcW w:w="1285" w:type="dxa"/>
            <w:shd w:val="clear" w:color="auto" w:fill="FBD4B4" w:themeFill="accent6" w:themeFillTint="66"/>
            <w:noWrap/>
            <w:vAlign w:val="bottom"/>
            <w:hideMark/>
          </w:tcPr>
          <w:p w14:paraId="2C7A74C7" w14:textId="77777777" w:rsidR="00A937D8" w:rsidRPr="004A68D5" w:rsidRDefault="00A937D8" w:rsidP="0065597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16 599 307</w:t>
            </w:r>
          </w:p>
        </w:tc>
        <w:tc>
          <w:tcPr>
            <w:tcW w:w="1272" w:type="dxa"/>
            <w:shd w:val="clear" w:color="auto" w:fill="FBD4B4" w:themeFill="accent6" w:themeFillTint="66"/>
            <w:vAlign w:val="bottom"/>
          </w:tcPr>
          <w:p w14:paraId="70DEB621" w14:textId="77777777" w:rsidR="00A937D8" w:rsidRPr="00A84E8A" w:rsidRDefault="00A937D8" w:rsidP="0065597C">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sz w:val="20"/>
                <w:szCs w:val="20"/>
                <w:lang w:eastAsia="lv-LV"/>
              </w:rPr>
              <w:t>5 003 478</w:t>
            </w:r>
          </w:p>
        </w:tc>
        <w:tc>
          <w:tcPr>
            <w:tcW w:w="1272" w:type="dxa"/>
            <w:shd w:val="clear" w:color="auto" w:fill="FBD4B4" w:themeFill="accent6" w:themeFillTint="66"/>
            <w:vAlign w:val="bottom"/>
          </w:tcPr>
          <w:p w14:paraId="2AFE06E7" w14:textId="6ADF2159" w:rsidR="00A937D8" w:rsidRPr="00745B7D" w:rsidRDefault="00A937D8" w:rsidP="002134DA">
            <w:pPr>
              <w:spacing w:after="0" w:line="240" w:lineRule="auto"/>
              <w:jc w:val="center"/>
              <w:rPr>
                <w:rFonts w:ascii="Times New Roman" w:eastAsia="Times New Roman" w:hAnsi="Times New Roman" w:cs="Times New Roman"/>
                <w:b/>
                <w:color w:val="FF0000"/>
                <w:sz w:val="20"/>
                <w:szCs w:val="20"/>
                <w:lang w:eastAsia="lv-LV"/>
              </w:rPr>
            </w:pPr>
            <w:r w:rsidRPr="00745B7D">
              <w:rPr>
                <w:rFonts w:ascii="Times New Roman" w:eastAsia="Times New Roman" w:hAnsi="Times New Roman" w:cs="Times New Roman"/>
                <w:b/>
                <w:color w:val="FF0000"/>
                <w:sz w:val="20"/>
                <w:szCs w:val="20"/>
                <w:lang w:eastAsia="lv-LV"/>
              </w:rPr>
              <w:t xml:space="preserve">5 270 </w:t>
            </w:r>
            <w:r w:rsidR="002134DA">
              <w:rPr>
                <w:rFonts w:ascii="Times New Roman" w:eastAsia="Times New Roman" w:hAnsi="Times New Roman" w:cs="Times New Roman"/>
                <w:b/>
                <w:color w:val="FF0000"/>
                <w:sz w:val="20"/>
                <w:szCs w:val="20"/>
                <w:lang w:eastAsia="lv-LV"/>
              </w:rPr>
              <w:t>770</w:t>
            </w:r>
          </w:p>
        </w:tc>
        <w:tc>
          <w:tcPr>
            <w:tcW w:w="1272" w:type="dxa"/>
            <w:shd w:val="clear" w:color="auto" w:fill="FBD4B4" w:themeFill="accent6" w:themeFillTint="66"/>
            <w:noWrap/>
            <w:vAlign w:val="bottom"/>
            <w:hideMark/>
          </w:tcPr>
          <w:p w14:paraId="6E5B8995" w14:textId="2B3034F5" w:rsidR="00A937D8" w:rsidRPr="00745B7D" w:rsidRDefault="00A937D8" w:rsidP="00745B7D">
            <w:pPr>
              <w:spacing w:after="0" w:line="240" w:lineRule="auto"/>
              <w:jc w:val="center"/>
              <w:rPr>
                <w:rFonts w:ascii="Times New Roman" w:eastAsia="Times New Roman" w:hAnsi="Times New Roman" w:cs="Times New Roman"/>
                <w:b/>
                <w:color w:val="FF0000"/>
                <w:sz w:val="20"/>
                <w:szCs w:val="20"/>
                <w:lang w:eastAsia="lv-LV"/>
              </w:rPr>
            </w:pPr>
            <w:r w:rsidRPr="00745B7D">
              <w:rPr>
                <w:rFonts w:ascii="Times New Roman" w:eastAsia="Times New Roman" w:hAnsi="Times New Roman" w:cs="Times New Roman"/>
                <w:b/>
                <w:color w:val="FF0000"/>
                <w:sz w:val="20"/>
                <w:szCs w:val="20"/>
                <w:lang w:eastAsia="lv-LV"/>
              </w:rPr>
              <w:t>6 001 5</w:t>
            </w:r>
            <w:r w:rsidR="00745B7D">
              <w:rPr>
                <w:rFonts w:ascii="Times New Roman" w:eastAsia="Times New Roman" w:hAnsi="Times New Roman" w:cs="Times New Roman"/>
                <w:b/>
                <w:color w:val="FF0000"/>
                <w:sz w:val="20"/>
                <w:szCs w:val="20"/>
                <w:lang w:eastAsia="lv-LV"/>
              </w:rPr>
              <w:t>92</w:t>
            </w:r>
          </w:p>
        </w:tc>
      </w:tr>
    </w:tbl>
    <w:p w14:paraId="237C6575" w14:textId="77777777" w:rsidR="00A937D8" w:rsidRPr="00C27FD7" w:rsidRDefault="00A937D8" w:rsidP="00A937D8">
      <w:pPr>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937D8" w:rsidRPr="00AD32B2" w14:paraId="32B55495" w14:textId="77777777" w:rsidTr="0065597C">
        <w:tc>
          <w:tcPr>
            <w:tcW w:w="9350" w:type="dxa"/>
          </w:tcPr>
          <w:p w14:paraId="764CFBE3" w14:textId="77777777" w:rsidR="00A937D8" w:rsidRPr="008C7026" w:rsidRDefault="00A937D8" w:rsidP="0065597C">
            <w:pPr>
              <w:ind w:firstLine="720"/>
              <w:jc w:val="both"/>
              <w:rPr>
                <w:rFonts w:ascii="Times New Roman" w:hAnsi="Times New Roman"/>
                <w:b/>
                <w:sz w:val="24"/>
                <w:szCs w:val="24"/>
              </w:rPr>
            </w:pPr>
            <w:r w:rsidRPr="008C7026">
              <w:rPr>
                <w:rFonts w:ascii="Times New Roman" w:hAnsi="Times New Roman"/>
                <w:b/>
                <w:sz w:val="24"/>
                <w:szCs w:val="24"/>
              </w:rPr>
              <w:t>Reformas mērķis ir ieguldot papildus valsts līdzekļus, uzlabot pieejamību sekundārās ambulatorās veselības aprūpes pakalpojumiem, tādejādi sekmējot iespējami liela veselības problēmu loka (savlaicīga slimību diagnostika, pacientu dzīves  kvalitāte, darbnespējas periods, invaliditāte u.c.) risināšanu ekonomiski efektīvākajā ambulatorajā sektorā</w:t>
            </w:r>
            <w:r w:rsidRPr="008C7026">
              <w:rPr>
                <w:rStyle w:val="FootnoteReference"/>
                <w:rFonts w:ascii="Times New Roman" w:hAnsi="Times New Roman"/>
                <w:b/>
                <w:color w:val="000000" w:themeColor="text1"/>
                <w:sz w:val="24"/>
                <w:szCs w:val="24"/>
              </w:rPr>
              <w:footnoteReference w:id="19"/>
            </w:r>
            <w:r w:rsidRPr="008C7026">
              <w:rPr>
                <w:rFonts w:ascii="Times New Roman" w:hAnsi="Times New Roman"/>
                <w:b/>
                <w:sz w:val="24"/>
                <w:szCs w:val="24"/>
              </w:rPr>
              <w:t>.</w:t>
            </w:r>
          </w:p>
          <w:p w14:paraId="02683120" w14:textId="77777777" w:rsidR="00A937D8" w:rsidRPr="008C7026" w:rsidRDefault="00A937D8" w:rsidP="0065597C">
            <w:pPr>
              <w:ind w:firstLine="720"/>
              <w:jc w:val="both"/>
              <w:rPr>
                <w:rFonts w:ascii="Times New Roman" w:hAnsi="Times New Roman"/>
                <w:b/>
                <w:sz w:val="24"/>
                <w:szCs w:val="24"/>
              </w:rPr>
            </w:pPr>
          </w:p>
          <w:p w14:paraId="72313D43" w14:textId="77777777" w:rsidR="00A937D8" w:rsidRPr="008C7026" w:rsidRDefault="00A937D8" w:rsidP="0065597C">
            <w:pPr>
              <w:jc w:val="both"/>
              <w:rPr>
                <w:rFonts w:ascii="Times New Roman" w:hAnsi="Times New Roman"/>
                <w:b/>
                <w:sz w:val="24"/>
                <w:szCs w:val="24"/>
              </w:rPr>
            </w:pPr>
            <w:r w:rsidRPr="008C7026">
              <w:rPr>
                <w:rFonts w:ascii="Times New Roman" w:hAnsi="Times New Roman"/>
                <w:b/>
                <w:sz w:val="24"/>
                <w:szCs w:val="24"/>
              </w:rPr>
              <w:t>Indikatīvie rādītāji:</w:t>
            </w:r>
          </w:p>
          <w:p w14:paraId="66082CB9" w14:textId="660F05B1" w:rsidR="00A937D8" w:rsidRPr="008C7026" w:rsidRDefault="00A937D8" w:rsidP="0065597C">
            <w:pPr>
              <w:pStyle w:val="ListParagraph"/>
              <w:numPr>
                <w:ilvl w:val="0"/>
                <w:numId w:val="56"/>
              </w:numPr>
              <w:jc w:val="both"/>
              <w:rPr>
                <w:rFonts w:ascii="Times New Roman" w:hAnsi="Times New Roman"/>
                <w:b/>
                <w:sz w:val="24"/>
                <w:szCs w:val="24"/>
                <w:lang w:val="lv-LV"/>
              </w:rPr>
            </w:pPr>
            <w:r w:rsidRPr="008C7026">
              <w:rPr>
                <w:rFonts w:ascii="Times New Roman" w:hAnsi="Times New Roman"/>
                <w:b/>
                <w:sz w:val="24"/>
                <w:szCs w:val="24"/>
                <w:lang w:val="lv-LV"/>
              </w:rPr>
              <w:t>Papildus 270 2</w:t>
            </w:r>
            <w:r w:rsidR="002134DA">
              <w:rPr>
                <w:rFonts w:ascii="Times New Roman" w:hAnsi="Times New Roman"/>
                <w:b/>
                <w:sz w:val="24"/>
                <w:szCs w:val="24"/>
                <w:lang w:val="lv-LV"/>
              </w:rPr>
              <w:t>4</w:t>
            </w:r>
            <w:r w:rsidR="00990524">
              <w:rPr>
                <w:rFonts w:ascii="Times New Roman" w:hAnsi="Times New Roman"/>
                <w:b/>
                <w:sz w:val="24"/>
                <w:szCs w:val="24"/>
                <w:lang w:val="lv-LV"/>
              </w:rPr>
              <w:t>6</w:t>
            </w:r>
            <w:r w:rsidRPr="008C7026">
              <w:rPr>
                <w:rFonts w:ascii="Times New Roman" w:hAnsi="Times New Roman"/>
                <w:b/>
                <w:sz w:val="24"/>
                <w:szCs w:val="24"/>
                <w:lang w:val="lv-LV"/>
              </w:rPr>
              <w:t xml:space="preserve"> speciālistu konsultācijas </w:t>
            </w:r>
          </w:p>
          <w:p w14:paraId="62A8B003" w14:textId="1C3687E2" w:rsidR="00A937D8" w:rsidRPr="008C7026" w:rsidRDefault="00A937D8" w:rsidP="0065597C">
            <w:pPr>
              <w:pStyle w:val="ListParagraph"/>
              <w:numPr>
                <w:ilvl w:val="0"/>
                <w:numId w:val="56"/>
              </w:numPr>
              <w:jc w:val="both"/>
              <w:rPr>
                <w:rFonts w:ascii="Times New Roman" w:hAnsi="Times New Roman"/>
                <w:b/>
                <w:sz w:val="24"/>
                <w:szCs w:val="24"/>
                <w:lang w:val="lv-LV"/>
              </w:rPr>
            </w:pPr>
            <w:r w:rsidRPr="008C7026">
              <w:rPr>
                <w:rFonts w:ascii="Times New Roman" w:hAnsi="Times New Roman"/>
                <w:b/>
                <w:sz w:val="24"/>
                <w:szCs w:val="24"/>
                <w:lang w:val="lv-LV"/>
              </w:rPr>
              <w:t>Papildus 328 </w:t>
            </w:r>
            <w:r w:rsidR="002134DA">
              <w:rPr>
                <w:rFonts w:ascii="Times New Roman" w:hAnsi="Times New Roman"/>
                <w:b/>
                <w:sz w:val="24"/>
                <w:szCs w:val="24"/>
                <w:lang w:val="lv-LV"/>
              </w:rPr>
              <w:t>076</w:t>
            </w:r>
            <w:r w:rsidRPr="008C7026">
              <w:rPr>
                <w:rFonts w:ascii="Times New Roman" w:hAnsi="Times New Roman"/>
                <w:b/>
                <w:sz w:val="24"/>
                <w:szCs w:val="24"/>
                <w:lang w:val="lv-LV"/>
              </w:rPr>
              <w:t xml:space="preserve"> ambulatorie izmeklējumi </w:t>
            </w:r>
          </w:p>
          <w:p w14:paraId="7C755820" w14:textId="2B7F847A" w:rsidR="00A937D8" w:rsidRPr="008C7026" w:rsidRDefault="00A937D8" w:rsidP="0065597C">
            <w:pPr>
              <w:pStyle w:val="ListParagraph"/>
              <w:numPr>
                <w:ilvl w:val="0"/>
                <w:numId w:val="56"/>
              </w:numPr>
              <w:jc w:val="both"/>
              <w:rPr>
                <w:rFonts w:ascii="Times New Roman" w:hAnsi="Times New Roman"/>
                <w:b/>
                <w:sz w:val="24"/>
                <w:szCs w:val="24"/>
                <w:lang w:val="lv-LV"/>
              </w:rPr>
            </w:pPr>
            <w:r w:rsidRPr="008C7026">
              <w:rPr>
                <w:rFonts w:ascii="Times New Roman" w:hAnsi="Times New Roman"/>
                <w:b/>
                <w:sz w:val="24"/>
                <w:szCs w:val="24"/>
                <w:lang w:val="lv-LV"/>
              </w:rPr>
              <w:t>Papildus 62 4</w:t>
            </w:r>
            <w:r w:rsidR="002134DA">
              <w:rPr>
                <w:rFonts w:ascii="Times New Roman" w:hAnsi="Times New Roman"/>
                <w:b/>
                <w:sz w:val="24"/>
                <w:szCs w:val="24"/>
                <w:lang w:val="lv-LV"/>
              </w:rPr>
              <w:t>72</w:t>
            </w:r>
            <w:r w:rsidRPr="008C7026">
              <w:rPr>
                <w:rFonts w:ascii="Times New Roman" w:hAnsi="Times New Roman"/>
                <w:b/>
                <w:sz w:val="24"/>
                <w:szCs w:val="24"/>
                <w:lang w:val="lv-LV"/>
              </w:rPr>
              <w:t xml:space="preserve"> dienas stacionāra pakalpojumi</w:t>
            </w:r>
          </w:p>
          <w:p w14:paraId="3CC2B930" w14:textId="582D99E9" w:rsidR="00A937D8" w:rsidRPr="008C7026" w:rsidRDefault="00A937D8" w:rsidP="0065597C">
            <w:pPr>
              <w:pStyle w:val="ListParagraph"/>
              <w:numPr>
                <w:ilvl w:val="0"/>
                <w:numId w:val="56"/>
              </w:numPr>
              <w:jc w:val="both"/>
              <w:rPr>
                <w:rFonts w:ascii="Times New Roman" w:hAnsi="Times New Roman"/>
                <w:b/>
                <w:sz w:val="24"/>
                <w:szCs w:val="24"/>
                <w:lang w:val="lv-LV"/>
              </w:rPr>
            </w:pPr>
            <w:r w:rsidRPr="008C7026">
              <w:rPr>
                <w:rFonts w:ascii="Times New Roman" w:hAnsi="Times New Roman"/>
                <w:b/>
                <w:sz w:val="24"/>
                <w:szCs w:val="24"/>
                <w:lang w:val="lv-LV"/>
              </w:rPr>
              <w:t>Papildus 70 0</w:t>
            </w:r>
            <w:r w:rsidR="002134DA">
              <w:rPr>
                <w:rFonts w:ascii="Times New Roman" w:hAnsi="Times New Roman"/>
                <w:b/>
                <w:sz w:val="24"/>
                <w:szCs w:val="24"/>
                <w:lang w:val="lv-LV"/>
              </w:rPr>
              <w:t>28</w:t>
            </w:r>
            <w:r w:rsidRPr="008C7026">
              <w:rPr>
                <w:rFonts w:ascii="Times New Roman" w:hAnsi="Times New Roman"/>
                <w:b/>
                <w:sz w:val="24"/>
                <w:szCs w:val="24"/>
                <w:lang w:val="lv-LV"/>
              </w:rPr>
              <w:t xml:space="preserve"> ambulatorās rehabilitācijas pakalpojumi </w:t>
            </w:r>
          </w:p>
          <w:p w14:paraId="15474021" w14:textId="77777777" w:rsidR="00A937D8" w:rsidRPr="008C7026" w:rsidRDefault="00A937D8" w:rsidP="0065597C">
            <w:pPr>
              <w:ind w:firstLine="720"/>
              <w:jc w:val="both"/>
              <w:rPr>
                <w:rFonts w:ascii="Times New Roman" w:hAnsi="Times New Roman"/>
                <w:b/>
                <w:sz w:val="24"/>
                <w:szCs w:val="24"/>
              </w:rPr>
            </w:pPr>
          </w:p>
          <w:p w14:paraId="6973F5B9" w14:textId="1283C352" w:rsidR="00A937D8" w:rsidRPr="00AD32B2" w:rsidRDefault="00A937D8" w:rsidP="0065597C">
            <w:pPr>
              <w:jc w:val="both"/>
              <w:rPr>
                <w:rFonts w:ascii="Times New Roman" w:hAnsi="Times New Roman"/>
                <w:b/>
                <w:sz w:val="24"/>
                <w:szCs w:val="24"/>
              </w:rPr>
            </w:pPr>
            <w:r w:rsidRPr="008C7026">
              <w:rPr>
                <w:rFonts w:ascii="Times New Roman" w:hAnsi="Times New Roman"/>
                <w:b/>
                <w:sz w:val="24"/>
                <w:szCs w:val="24"/>
              </w:rPr>
              <w:t>Kopā ambulatoro pakalpojumu skaita pieaugums 730 8</w:t>
            </w:r>
            <w:r w:rsidR="002134DA">
              <w:rPr>
                <w:rFonts w:ascii="Times New Roman" w:hAnsi="Times New Roman"/>
                <w:b/>
                <w:sz w:val="24"/>
                <w:szCs w:val="24"/>
              </w:rPr>
              <w:t>22</w:t>
            </w:r>
            <w:r w:rsidRPr="008C7026">
              <w:rPr>
                <w:rFonts w:ascii="Times New Roman" w:hAnsi="Times New Roman"/>
                <w:b/>
                <w:sz w:val="24"/>
                <w:szCs w:val="24"/>
              </w:rPr>
              <w:t xml:space="preserve"> pacientiem</w:t>
            </w:r>
            <w:r w:rsidRPr="00AD32B2">
              <w:rPr>
                <w:rFonts w:ascii="Times New Roman" w:hAnsi="Times New Roman"/>
                <w:b/>
                <w:sz w:val="24"/>
                <w:szCs w:val="24"/>
              </w:rPr>
              <w:t xml:space="preserve"> (</w:t>
            </w:r>
            <w:r>
              <w:rPr>
                <w:rFonts w:ascii="Times New Roman" w:hAnsi="Times New Roman"/>
                <w:b/>
                <w:sz w:val="24"/>
                <w:szCs w:val="24"/>
              </w:rPr>
              <w:t xml:space="preserve">pakalpojumu pieaugums </w:t>
            </w:r>
            <w:r w:rsidRPr="00AD32B2">
              <w:rPr>
                <w:rFonts w:ascii="Times New Roman" w:hAnsi="Times New Roman"/>
                <w:b/>
                <w:sz w:val="24"/>
                <w:szCs w:val="24"/>
              </w:rPr>
              <w:t>13,9%)</w:t>
            </w:r>
          </w:p>
          <w:p w14:paraId="20A69BD7" w14:textId="77777777" w:rsidR="00A937D8" w:rsidRPr="00AD32B2" w:rsidRDefault="00A937D8" w:rsidP="0065597C">
            <w:pPr>
              <w:jc w:val="both"/>
              <w:rPr>
                <w:rFonts w:ascii="Times New Roman" w:hAnsi="Times New Roman"/>
                <w:b/>
                <w:sz w:val="24"/>
                <w:szCs w:val="24"/>
              </w:rPr>
            </w:pPr>
          </w:p>
        </w:tc>
      </w:tr>
    </w:tbl>
    <w:p w14:paraId="717AAAEC" w14:textId="77777777" w:rsidR="00A937D8" w:rsidRDefault="00A937D8" w:rsidP="00A937D8">
      <w:pPr>
        <w:ind w:firstLine="720"/>
        <w:jc w:val="both"/>
        <w:rPr>
          <w:rFonts w:ascii="Times New Roman" w:hAnsi="Times New Roman" w:cs="Times New Roman"/>
          <w:noProof/>
          <w:sz w:val="24"/>
          <w:szCs w:val="24"/>
          <w:lang w:eastAsia="lv-LV"/>
        </w:rPr>
      </w:pPr>
    </w:p>
    <w:p w14:paraId="181DB081" w14:textId="77EC2BC5" w:rsidR="004D490F" w:rsidRPr="008603A3" w:rsidRDefault="00A937D8" w:rsidP="00AE4086">
      <w:pPr>
        <w:ind w:firstLine="720"/>
        <w:jc w:val="both"/>
        <w:rPr>
          <w:rFonts w:ascii="Times New Roman" w:hAnsi="Times New Roman" w:cs="Times New Roman"/>
          <w:noProof/>
          <w:sz w:val="24"/>
          <w:szCs w:val="24"/>
          <w:lang w:eastAsia="lv-LV"/>
        </w:rPr>
      </w:pPr>
      <w:r w:rsidRPr="00BB7B14">
        <w:rPr>
          <w:rFonts w:ascii="Times New Roman" w:hAnsi="Times New Roman" w:cs="Times New Roman"/>
          <w:noProof/>
          <w:sz w:val="24"/>
          <w:szCs w:val="24"/>
          <w:lang w:eastAsia="lv-LV"/>
        </w:rPr>
        <w:t>Attiecīgi tiek prognozēts, ka uzlabojot pieejamību augstāk minētajiem ambulatorajiem veselības aprūpes pakalpojumiem kopumā par 13,9%</w:t>
      </w:r>
      <w:r>
        <w:rPr>
          <w:rFonts w:ascii="Times New Roman" w:hAnsi="Times New Roman" w:cs="Times New Roman"/>
          <w:noProof/>
          <w:sz w:val="24"/>
          <w:szCs w:val="24"/>
          <w:lang w:eastAsia="lv-LV"/>
        </w:rPr>
        <w:t xml:space="preserve">, samazināsies </w:t>
      </w:r>
      <w:r w:rsidRPr="004C1238">
        <w:rPr>
          <w:rFonts w:ascii="Times New Roman" w:hAnsi="Times New Roman" w:cs="Times New Roman"/>
          <w:noProof/>
          <w:sz w:val="24"/>
          <w:szCs w:val="24"/>
          <w:lang w:eastAsia="lv-LV"/>
        </w:rPr>
        <w:t xml:space="preserve">gaidīšanas laiki. Palielinoties sniegto pakalpojumu apjomam un ņemot vērā, ka kopējais pacientu skaits paliek nemainīgs, nepalielinoties incidenču apjomam, </w:t>
      </w:r>
      <w:r w:rsidR="006B097E">
        <w:rPr>
          <w:rFonts w:ascii="Times New Roman" w:hAnsi="Times New Roman" w:cs="Times New Roman"/>
          <w:noProof/>
          <w:sz w:val="24"/>
          <w:szCs w:val="24"/>
          <w:lang w:eastAsia="lv-LV"/>
        </w:rPr>
        <w:t>2017.</w:t>
      </w:r>
      <w:r w:rsidR="006B097E" w:rsidRPr="008603A3">
        <w:rPr>
          <w:rFonts w:ascii="Times New Roman" w:hAnsi="Times New Roman" w:cs="Times New Roman"/>
          <w:noProof/>
          <w:sz w:val="24"/>
          <w:szCs w:val="24"/>
          <w:lang w:eastAsia="lv-LV"/>
        </w:rPr>
        <w:t xml:space="preserve">gadā sākotnēji </w:t>
      </w:r>
      <w:r w:rsidRPr="008603A3">
        <w:rPr>
          <w:rFonts w:ascii="Times New Roman" w:hAnsi="Times New Roman" w:cs="Times New Roman"/>
          <w:noProof/>
          <w:sz w:val="24"/>
          <w:szCs w:val="24"/>
          <w:lang w:eastAsia="lv-LV"/>
        </w:rPr>
        <w:t>gaidīšanas rindu apjoma samazinājums pēc papildus finansējuma piešķiršanas plāno</w:t>
      </w:r>
      <w:r w:rsidR="004D490F" w:rsidRPr="008603A3">
        <w:rPr>
          <w:rFonts w:ascii="Times New Roman" w:hAnsi="Times New Roman" w:cs="Times New Roman"/>
          <w:noProof/>
          <w:sz w:val="24"/>
          <w:szCs w:val="24"/>
          <w:lang w:eastAsia="lv-LV"/>
        </w:rPr>
        <w:t xml:space="preserve">ts 25% apmērā, atbilstoši </w:t>
      </w:r>
      <w:r w:rsidR="00FF2D0B">
        <w:rPr>
          <w:rFonts w:ascii="Times New Roman" w:hAnsi="Times New Roman"/>
          <w:noProof/>
          <w:sz w:val="24"/>
          <w:szCs w:val="24"/>
          <w:lang w:eastAsia="lv-LV"/>
        </w:rPr>
        <w:t>Nacionālā</w:t>
      </w:r>
      <w:r w:rsidR="00FF2D0B" w:rsidRPr="005E1B42">
        <w:rPr>
          <w:rFonts w:ascii="Times New Roman" w:hAnsi="Times New Roman"/>
          <w:noProof/>
          <w:sz w:val="24"/>
          <w:szCs w:val="24"/>
          <w:lang w:eastAsia="lv-LV"/>
        </w:rPr>
        <w:t xml:space="preserve"> veselības dienest</w:t>
      </w:r>
      <w:r w:rsidR="00FF2D0B">
        <w:rPr>
          <w:rFonts w:ascii="Times New Roman" w:hAnsi="Times New Roman"/>
          <w:noProof/>
          <w:sz w:val="24"/>
          <w:szCs w:val="24"/>
          <w:lang w:eastAsia="lv-LV"/>
        </w:rPr>
        <w:t>a</w:t>
      </w:r>
      <w:r w:rsidR="00FF2D0B" w:rsidRPr="005E1B42">
        <w:rPr>
          <w:rFonts w:ascii="Times New Roman" w:hAnsi="Times New Roman"/>
          <w:noProof/>
          <w:sz w:val="24"/>
          <w:szCs w:val="24"/>
          <w:lang w:eastAsia="lv-LV"/>
        </w:rPr>
        <w:t xml:space="preserve"> (</w:t>
      </w:r>
      <w:r w:rsidR="00FF2D0B" w:rsidRPr="008603A3">
        <w:rPr>
          <w:rFonts w:ascii="Times New Roman" w:hAnsi="Times New Roman"/>
          <w:noProof/>
          <w:sz w:val="24"/>
          <w:szCs w:val="24"/>
          <w:lang w:eastAsia="lv-LV"/>
        </w:rPr>
        <w:t xml:space="preserve">turpmāk – NVD) </w:t>
      </w:r>
      <w:r w:rsidR="004D490F" w:rsidRPr="008603A3">
        <w:rPr>
          <w:rFonts w:ascii="Times New Roman" w:hAnsi="Times New Roman" w:cs="Times New Roman"/>
          <w:noProof/>
          <w:sz w:val="24"/>
          <w:szCs w:val="24"/>
          <w:lang w:eastAsia="lv-LV"/>
        </w:rPr>
        <w:t>apkopotajai i</w:t>
      </w:r>
      <w:r w:rsidR="00B24449" w:rsidRPr="008603A3">
        <w:rPr>
          <w:rFonts w:ascii="Times New Roman" w:hAnsi="Times New Roman" w:cs="Times New Roman"/>
          <w:noProof/>
          <w:sz w:val="24"/>
          <w:szCs w:val="24"/>
          <w:lang w:eastAsia="lv-LV"/>
        </w:rPr>
        <w:t xml:space="preserve">nformācijai par rindu apjomiem </w:t>
      </w:r>
      <w:r w:rsidR="009531C7" w:rsidRPr="008603A3">
        <w:rPr>
          <w:rFonts w:ascii="Times New Roman" w:hAnsi="Times New Roman" w:cs="Times New Roman"/>
          <w:noProof/>
          <w:sz w:val="24"/>
          <w:szCs w:val="24"/>
          <w:lang w:eastAsia="lv-LV"/>
        </w:rPr>
        <w:t xml:space="preserve">uz 2016.gada 1.aprīli un prognozēto rindu garumu pilna 2016.gada apjomam. </w:t>
      </w:r>
      <w:r w:rsidR="00B14D0D" w:rsidRPr="008603A3">
        <w:rPr>
          <w:rFonts w:ascii="Times New Roman" w:hAnsi="Times New Roman" w:cs="Times New Roman"/>
          <w:noProof/>
          <w:sz w:val="24"/>
          <w:szCs w:val="24"/>
          <w:lang w:eastAsia="lv-LV"/>
        </w:rPr>
        <w:t>Uz 2016.gada 1.aprīli bija</w:t>
      </w:r>
      <w:r w:rsidR="002A4355" w:rsidRPr="008603A3">
        <w:rPr>
          <w:rFonts w:ascii="Times New Roman" w:hAnsi="Times New Roman" w:cs="Times New Roman"/>
          <w:noProof/>
          <w:sz w:val="24"/>
          <w:szCs w:val="24"/>
          <w:lang w:eastAsia="lv-LV"/>
        </w:rPr>
        <w:t xml:space="preserve"> gaidīšanas</w:t>
      </w:r>
      <w:r w:rsidR="00B14D0D" w:rsidRPr="008603A3">
        <w:rPr>
          <w:rFonts w:ascii="Times New Roman" w:hAnsi="Times New Roman" w:cs="Times New Roman"/>
          <w:noProof/>
          <w:sz w:val="24"/>
          <w:szCs w:val="24"/>
          <w:lang w:eastAsia="lv-LV"/>
        </w:rPr>
        <w:t xml:space="preserve"> rinda uz 611 tūkst. sekundārās veselības aprūpes pakalpojumiem.</w:t>
      </w:r>
      <w:r w:rsidR="002A4355" w:rsidRPr="008603A3">
        <w:rPr>
          <w:rFonts w:ascii="Times New Roman" w:hAnsi="Times New Roman" w:cs="Times New Roman"/>
          <w:noProof/>
          <w:sz w:val="24"/>
          <w:szCs w:val="24"/>
          <w:lang w:eastAsia="lv-LV"/>
        </w:rPr>
        <w:t xml:space="preserve"> Ņemot vērā kopējo izpildīto sekundārās ambulatorās veselības aprūpes pakalpojumu apjomu 2016.gadā, prognozēta rinda uz 2,9 miljoniem </w:t>
      </w:r>
      <w:r w:rsidR="00CA2DC8" w:rsidRPr="008603A3">
        <w:rPr>
          <w:rFonts w:ascii="Times New Roman" w:hAnsi="Times New Roman" w:cs="Times New Roman"/>
          <w:noProof/>
          <w:sz w:val="24"/>
          <w:szCs w:val="24"/>
          <w:lang w:eastAsia="lv-LV"/>
        </w:rPr>
        <w:t xml:space="preserve">sekundārās veselības aprūpes </w:t>
      </w:r>
      <w:r w:rsidR="002A4355" w:rsidRPr="008603A3">
        <w:rPr>
          <w:rFonts w:ascii="Times New Roman" w:hAnsi="Times New Roman" w:cs="Times New Roman"/>
          <w:noProof/>
          <w:sz w:val="24"/>
          <w:szCs w:val="24"/>
          <w:lang w:eastAsia="lv-LV"/>
        </w:rPr>
        <w:t>pakalpojumu.</w:t>
      </w:r>
    </w:p>
    <w:p w14:paraId="1AB1EA59" w14:textId="5955CD0D" w:rsidR="00903853" w:rsidRPr="008603A3" w:rsidRDefault="00903853" w:rsidP="00903853">
      <w:pPr>
        <w:ind w:firstLine="720"/>
        <w:jc w:val="both"/>
        <w:rPr>
          <w:rFonts w:ascii="Times New Roman" w:hAnsi="Times New Roman" w:cs="Times New Roman"/>
          <w:noProof/>
          <w:sz w:val="24"/>
          <w:szCs w:val="24"/>
          <w:lang w:eastAsia="lv-LV"/>
        </w:rPr>
      </w:pPr>
      <w:r w:rsidRPr="008603A3">
        <w:rPr>
          <w:rFonts w:ascii="Times New Roman" w:hAnsi="Times New Roman" w:cs="Times New Roman"/>
          <w:noProof/>
          <w:sz w:val="24"/>
          <w:szCs w:val="24"/>
          <w:lang w:eastAsia="lv-LV"/>
        </w:rPr>
        <w:t>Lai nodrošinātu, ka pie palielinātas pakalpojumu pieejamības tiek kontrolēts un ierobežots pieprasījuma palielinājums</w:t>
      </w:r>
      <w:r w:rsidR="004E1623" w:rsidRPr="008603A3">
        <w:rPr>
          <w:rFonts w:ascii="Times New Roman" w:hAnsi="Times New Roman" w:cs="Times New Roman"/>
          <w:noProof/>
          <w:sz w:val="24"/>
          <w:szCs w:val="24"/>
          <w:lang w:eastAsia="lv-LV"/>
        </w:rPr>
        <w:t>,</w:t>
      </w:r>
      <w:r w:rsidRPr="008603A3">
        <w:rPr>
          <w:rFonts w:ascii="Times New Roman" w:hAnsi="Times New Roman" w:cs="Times New Roman"/>
          <w:noProof/>
          <w:sz w:val="24"/>
          <w:szCs w:val="24"/>
          <w:lang w:eastAsia="lv-LV"/>
        </w:rPr>
        <w:t xml:space="preserve"> diagnostisko izmeklējumu skaitam jau pašlaik ir ierobežojumi</w:t>
      </w:r>
      <w:r w:rsidR="004E1623" w:rsidRPr="008603A3">
        <w:rPr>
          <w:rFonts w:ascii="Times New Roman" w:hAnsi="Times New Roman" w:cs="Times New Roman"/>
          <w:noProof/>
          <w:sz w:val="24"/>
          <w:szCs w:val="24"/>
          <w:lang w:eastAsia="lv-LV"/>
        </w:rPr>
        <w:t>,</w:t>
      </w:r>
      <w:r w:rsidRPr="008603A3">
        <w:rPr>
          <w:rFonts w:ascii="Times New Roman" w:hAnsi="Times New Roman" w:cs="Times New Roman"/>
          <w:noProof/>
          <w:sz w:val="24"/>
          <w:szCs w:val="24"/>
          <w:lang w:eastAsia="lv-LV"/>
        </w:rPr>
        <w:t xml:space="preserve"> nosakot pacientu indikācijas un nosūtīt tiesīgo speciālistu loku.</w:t>
      </w:r>
      <w:r w:rsidR="004E1623" w:rsidRPr="008603A3">
        <w:rPr>
          <w:rFonts w:ascii="Times New Roman" w:hAnsi="Times New Roman" w:cs="Times New Roman"/>
          <w:noProof/>
          <w:sz w:val="24"/>
          <w:szCs w:val="24"/>
          <w:lang w:eastAsia="lv-LV"/>
        </w:rPr>
        <w:t xml:space="preserve"> Tāpat a</w:t>
      </w:r>
      <w:r w:rsidRPr="008603A3">
        <w:rPr>
          <w:rFonts w:ascii="Times New Roman" w:hAnsi="Times New Roman" w:cs="Times New Roman"/>
          <w:noProof/>
          <w:sz w:val="24"/>
          <w:szCs w:val="24"/>
          <w:lang w:eastAsia="lv-LV"/>
        </w:rPr>
        <w:t>tsevišķās programmās jau ir ieviesti un arī turpmāk tiks attīstīti algoritmi pacientu diagnostisko un ārstniecisko pasākumu veikšanai (piemēram, onkoloģijā).</w:t>
      </w:r>
      <w:r w:rsidR="004E1623" w:rsidRPr="008603A3">
        <w:rPr>
          <w:rFonts w:ascii="Times New Roman" w:hAnsi="Times New Roman" w:cs="Times New Roman"/>
          <w:noProof/>
          <w:sz w:val="24"/>
          <w:szCs w:val="24"/>
          <w:lang w:eastAsia="lv-LV"/>
        </w:rPr>
        <w:t xml:space="preserve"> </w:t>
      </w:r>
      <w:r w:rsidRPr="008603A3">
        <w:rPr>
          <w:rFonts w:ascii="Times New Roman" w:hAnsi="Times New Roman" w:cs="Times New Roman"/>
          <w:noProof/>
          <w:sz w:val="24"/>
          <w:szCs w:val="24"/>
          <w:lang w:eastAsia="lv-LV"/>
        </w:rPr>
        <w:t xml:space="preserve">NVD tiks papildus izvērtēti dati par pakalpojumu apjoma </w:t>
      </w:r>
      <w:r w:rsidRPr="008603A3">
        <w:rPr>
          <w:rFonts w:ascii="Times New Roman" w:hAnsi="Times New Roman" w:cs="Times New Roman"/>
          <w:noProof/>
          <w:sz w:val="24"/>
          <w:szCs w:val="24"/>
          <w:lang w:eastAsia="lv-LV"/>
        </w:rPr>
        <w:lastRenderedPageBreak/>
        <w:t>izmaiņām, veikts informatīvi – izglītojošais darbs ar attiecīgajiem pakalpojumu sniedzējiem un Veselības inspekcija veiks papildus pārbaudes un uzraudzību.</w:t>
      </w:r>
    </w:p>
    <w:p w14:paraId="402EA571" w14:textId="3570B638" w:rsidR="00AE4086" w:rsidRDefault="00AE4086" w:rsidP="00AE4086">
      <w:pPr>
        <w:ind w:firstLine="720"/>
        <w:jc w:val="both"/>
        <w:rPr>
          <w:rFonts w:ascii="Times New Roman" w:hAnsi="Times New Roman" w:cs="Times New Roman"/>
          <w:noProof/>
          <w:sz w:val="24"/>
          <w:szCs w:val="24"/>
          <w:lang w:eastAsia="lv-LV"/>
        </w:rPr>
      </w:pPr>
      <w:r w:rsidRPr="008603A3">
        <w:rPr>
          <w:rFonts w:ascii="Times New Roman" w:hAnsi="Times New Roman" w:cs="Times New Roman"/>
          <w:noProof/>
          <w:sz w:val="24"/>
          <w:szCs w:val="24"/>
          <w:lang w:eastAsia="lv-LV"/>
        </w:rPr>
        <w:t>Tādējādi</w:t>
      </w:r>
      <w:r w:rsidR="00194926" w:rsidRPr="008603A3">
        <w:rPr>
          <w:rFonts w:ascii="Times New Roman" w:hAnsi="Times New Roman" w:cs="Times New Roman"/>
          <w:noProof/>
          <w:sz w:val="24"/>
          <w:szCs w:val="24"/>
          <w:lang w:eastAsia="lv-LV"/>
        </w:rPr>
        <w:t xml:space="preserve"> novirzot finansējumu sekundārās ambulatorās veselības aprūpes pakalpojumiem,</w:t>
      </w:r>
      <w:r w:rsidRPr="008603A3">
        <w:rPr>
          <w:rFonts w:ascii="Times New Roman" w:hAnsi="Times New Roman" w:cs="Times New Roman"/>
          <w:noProof/>
          <w:sz w:val="24"/>
          <w:szCs w:val="24"/>
          <w:lang w:eastAsia="lv-LV"/>
        </w:rPr>
        <w:t xml:space="preserve"> </w:t>
      </w:r>
      <w:r w:rsidR="00A937D8" w:rsidRPr="008603A3">
        <w:rPr>
          <w:rFonts w:ascii="Times New Roman" w:hAnsi="Times New Roman" w:cs="Times New Roman"/>
          <w:noProof/>
          <w:sz w:val="24"/>
          <w:szCs w:val="24"/>
          <w:lang w:eastAsia="lv-LV"/>
        </w:rPr>
        <w:t xml:space="preserve">uzlabosies </w:t>
      </w:r>
      <w:r w:rsidR="00194926" w:rsidRPr="008603A3">
        <w:rPr>
          <w:rFonts w:ascii="Times New Roman" w:hAnsi="Times New Roman" w:cs="Times New Roman"/>
          <w:noProof/>
          <w:sz w:val="24"/>
          <w:szCs w:val="24"/>
          <w:lang w:eastAsia="lv-LV"/>
        </w:rPr>
        <w:t>to</w:t>
      </w:r>
      <w:r w:rsidR="00A937D8" w:rsidRPr="008603A3">
        <w:rPr>
          <w:rFonts w:ascii="Times New Roman" w:hAnsi="Times New Roman" w:cs="Times New Roman"/>
          <w:noProof/>
          <w:sz w:val="24"/>
          <w:szCs w:val="24"/>
          <w:lang w:eastAsia="lv-LV"/>
        </w:rPr>
        <w:t xml:space="preserve"> pieejamība, kas rezultēsies labākos veselības rādītājos sabiedrībā, samazinot potenciāli zaudēto mūža gadus</w:t>
      </w:r>
      <w:r w:rsidR="00A937D8" w:rsidRPr="008603A3">
        <w:rPr>
          <w:rStyle w:val="FootnoteReference"/>
          <w:rFonts w:ascii="Times New Roman" w:hAnsi="Times New Roman" w:cs="Times New Roman"/>
          <w:noProof/>
          <w:sz w:val="24"/>
          <w:szCs w:val="24"/>
          <w:lang w:eastAsia="lv-LV"/>
        </w:rPr>
        <w:footnoteReference w:id="20"/>
      </w:r>
      <w:r w:rsidR="00194926" w:rsidRPr="008603A3">
        <w:rPr>
          <w:rFonts w:ascii="Times New Roman" w:hAnsi="Times New Roman" w:cs="Times New Roman"/>
          <w:noProof/>
          <w:sz w:val="24"/>
          <w:szCs w:val="24"/>
          <w:lang w:eastAsia="lv-LV"/>
        </w:rPr>
        <w:t xml:space="preserve"> (skat. 1.</w:t>
      </w:r>
      <w:r w:rsidR="008724B8" w:rsidRPr="008603A3">
        <w:rPr>
          <w:rFonts w:ascii="Times New Roman" w:hAnsi="Times New Roman" w:cs="Times New Roman"/>
          <w:noProof/>
          <w:sz w:val="24"/>
          <w:szCs w:val="24"/>
          <w:lang w:eastAsia="lv-LV"/>
        </w:rPr>
        <w:t>un 2.</w:t>
      </w:r>
      <w:r w:rsidR="00194926" w:rsidRPr="008603A3">
        <w:rPr>
          <w:rFonts w:ascii="Times New Roman" w:hAnsi="Times New Roman" w:cs="Times New Roman"/>
          <w:noProof/>
          <w:sz w:val="24"/>
          <w:szCs w:val="24"/>
          <w:lang w:eastAsia="lv-LV"/>
        </w:rPr>
        <w:t>attēlu)</w:t>
      </w:r>
      <w:r w:rsidRPr="008603A3">
        <w:rPr>
          <w:rFonts w:ascii="Times New Roman" w:hAnsi="Times New Roman" w:cs="Times New Roman"/>
          <w:noProof/>
          <w:sz w:val="24"/>
          <w:szCs w:val="24"/>
          <w:lang w:eastAsia="lv-LV"/>
        </w:rPr>
        <w:t>.</w:t>
      </w:r>
      <w:r w:rsidR="00FA6571" w:rsidRPr="008603A3">
        <w:rPr>
          <w:rFonts w:ascii="Times New Roman" w:hAnsi="Times New Roman" w:cs="Times New Roman"/>
          <w:noProof/>
          <w:sz w:val="24"/>
          <w:szCs w:val="24"/>
          <w:lang w:eastAsia="lv-LV"/>
        </w:rPr>
        <w:t xml:space="preserve"> Reformu ietvaros plānota potenciāli zaudēto mūža gadu samazinājums, kas atspoguļots 2.attēl</w:t>
      </w:r>
      <w:r w:rsidR="008603A3">
        <w:rPr>
          <w:rFonts w:ascii="Times New Roman" w:hAnsi="Times New Roman" w:cs="Times New Roman"/>
          <w:noProof/>
          <w:sz w:val="24"/>
          <w:szCs w:val="24"/>
          <w:lang w:eastAsia="lv-LV"/>
        </w:rPr>
        <w:t>ā sniedzot ilgtspējīgu ieguldījumu</w:t>
      </w:r>
      <w:r w:rsidR="00FA6571" w:rsidRPr="008603A3">
        <w:rPr>
          <w:rFonts w:ascii="Times New Roman" w:hAnsi="Times New Roman" w:cs="Times New Roman"/>
          <w:noProof/>
          <w:sz w:val="24"/>
          <w:szCs w:val="24"/>
          <w:lang w:eastAsia="lv-LV"/>
        </w:rPr>
        <w:t xml:space="preserve"> tautsaimniecībai ar prognozējamo ietekmi 19,6 milj.euro apmērā.</w:t>
      </w:r>
      <w:r w:rsidR="00FA6571">
        <w:rPr>
          <w:rFonts w:ascii="Times New Roman" w:hAnsi="Times New Roman" w:cs="Times New Roman"/>
          <w:noProof/>
          <w:sz w:val="24"/>
          <w:szCs w:val="24"/>
          <w:lang w:eastAsia="lv-LV"/>
        </w:rPr>
        <w:t xml:space="preserve"> </w:t>
      </w:r>
    </w:p>
    <w:p w14:paraId="51616F01" w14:textId="31B8BD83" w:rsidR="008724B8" w:rsidRPr="006213DE" w:rsidRDefault="008724B8" w:rsidP="008724B8">
      <w:pPr>
        <w:jc w:val="right"/>
        <w:rPr>
          <w:rFonts w:ascii="Times New Roman" w:hAnsi="Times New Roman"/>
          <w:i/>
          <w:sz w:val="24"/>
        </w:rPr>
      </w:pPr>
      <w:r>
        <w:rPr>
          <w:rFonts w:ascii="Times New Roman" w:hAnsi="Times New Roman"/>
          <w:i/>
          <w:sz w:val="24"/>
        </w:rPr>
        <w:t>1</w:t>
      </w:r>
      <w:r w:rsidRPr="006213DE">
        <w:rPr>
          <w:rFonts w:ascii="Times New Roman" w:hAnsi="Times New Roman"/>
          <w:i/>
          <w:sz w:val="24"/>
        </w:rPr>
        <w:t>.attēls</w:t>
      </w:r>
    </w:p>
    <w:p w14:paraId="21EC5E38" w14:textId="77777777" w:rsidR="008724B8" w:rsidRPr="006213DE" w:rsidRDefault="008724B8" w:rsidP="008724B8">
      <w:pPr>
        <w:jc w:val="center"/>
        <w:rPr>
          <w:rFonts w:ascii="Times New Roman" w:hAnsi="Times New Roman"/>
          <w:b/>
          <w:sz w:val="24"/>
        </w:rPr>
      </w:pPr>
      <w:r w:rsidRPr="006213DE">
        <w:rPr>
          <w:rFonts w:ascii="Times New Roman" w:hAnsi="Times New Roman"/>
          <w:b/>
          <w:sz w:val="24"/>
        </w:rPr>
        <w:t>Potenciāli zaudēto mūža gadu prognoze, ja ieguldījumi netiek veikti</w:t>
      </w:r>
    </w:p>
    <w:p w14:paraId="2973A3CD" w14:textId="360B854C" w:rsidR="008724B8" w:rsidRDefault="008724B8" w:rsidP="008724B8">
      <w:pPr>
        <w:jc w:val="center"/>
        <w:rPr>
          <w:rFonts w:ascii="Times New Roman" w:hAnsi="Times New Roman" w:cs="Times New Roman"/>
          <w:noProof/>
          <w:sz w:val="24"/>
          <w:szCs w:val="24"/>
          <w:lang w:eastAsia="lv-LV"/>
        </w:rPr>
      </w:pPr>
      <w:r>
        <w:rPr>
          <w:noProof/>
          <w:lang w:eastAsia="lv-LV"/>
        </w:rPr>
        <w:drawing>
          <wp:inline distT="0" distB="0" distL="0" distR="0" wp14:anchorId="730576FE" wp14:editId="52FD741A">
            <wp:extent cx="5619751" cy="32099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2BDC75" w14:textId="77777777" w:rsidR="008603A3" w:rsidRDefault="008603A3" w:rsidP="008724B8">
      <w:pPr>
        <w:jc w:val="right"/>
        <w:rPr>
          <w:rFonts w:ascii="Times New Roman" w:hAnsi="Times New Roman"/>
          <w:i/>
          <w:sz w:val="24"/>
        </w:rPr>
      </w:pPr>
    </w:p>
    <w:p w14:paraId="7811DA3C" w14:textId="77777777" w:rsidR="008603A3" w:rsidRDefault="008603A3" w:rsidP="008724B8">
      <w:pPr>
        <w:jc w:val="right"/>
        <w:rPr>
          <w:rFonts w:ascii="Times New Roman" w:hAnsi="Times New Roman"/>
          <w:i/>
          <w:sz w:val="24"/>
        </w:rPr>
      </w:pPr>
    </w:p>
    <w:p w14:paraId="5A15DDBC" w14:textId="77777777" w:rsidR="008603A3" w:rsidRDefault="008603A3" w:rsidP="008724B8">
      <w:pPr>
        <w:jc w:val="right"/>
        <w:rPr>
          <w:rFonts w:ascii="Times New Roman" w:hAnsi="Times New Roman"/>
          <w:i/>
          <w:sz w:val="24"/>
        </w:rPr>
      </w:pPr>
    </w:p>
    <w:p w14:paraId="3082C961" w14:textId="77777777" w:rsidR="008603A3" w:rsidRDefault="008603A3" w:rsidP="008724B8">
      <w:pPr>
        <w:jc w:val="right"/>
        <w:rPr>
          <w:rFonts w:ascii="Times New Roman" w:hAnsi="Times New Roman"/>
          <w:i/>
          <w:sz w:val="24"/>
        </w:rPr>
      </w:pPr>
    </w:p>
    <w:p w14:paraId="03DC95B4" w14:textId="77777777" w:rsidR="008603A3" w:rsidRDefault="008603A3" w:rsidP="008724B8">
      <w:pPr>
        <w:jc w:val="right"/>
        <w:rPr>
          <w:rFonts w:ascii="Times New Roman" w:hAnsi="Times New Roman"/>
          <w:i/>
          <w:sz w:val="24"/>
        </w:rPr>
      </w:pPr>
    </w:p>
    <w:p w14:paraId="7245997D" w14:textId="77777777" w:rsidR="008603A3" w:rsidRDefault="008603A3" w:rsidP="008724B8">
      <w:pPr>
        <w:jc w:val="right"/>
        <w:rPr>
          <w:rFonts w:ascii="Times New Roman" w:hAnsi="Times New Roman"/>
          <w:i/>
          <w:sz w:val="24"/>
        </w:rPr>
      </w:pPr>
    </w:p>
    <w:p w14:paraId="20D8BFDD" w14:textId="51277879" w:rsidR="008724B8" w:rsidRPr="006213DE" w:rsidRDefault="008724B8" w:rsidP="008724B8">
      <w:pPr>
        <w:jc w:val="right"/>
        <w:rPr>
          <w:rFonts w:ascii="Times New Roman" w:hAnsi="Times New Roman"/>
          <w:i/>
          <w:sz w:val="24"/>
        </w:rPr>
      </w:pPr>
      <w:r>
        <w:rPr>
          <w:rFonts w:ascii="Times New Roman" w:hAnsi="Times New Roman"/>
          <w:i/>
          <w:sz w:val="24"/>
        </w:rPr>
        <w:lastRenderedPageBreak/>
        <w:t>2</w:t>
      </w:r>
      <w:r w:rsidRPr="006213DE">
        <w:rPr>
          <w:rFonts w:ascii="Times New Roman" w:hAnsi="Times New Roman"/>
          <w:i/>
          <w:sz w:val="24"/>
        </w:rPr>
        <w:t>.attēls</w:t>
      </w:r>
    </w:p>
    <w:p w14:paraId="3645537B" w14:textId="1BCB19C9" w:rsidR="008724B8" w:rsidRPr="006213DE" w:rsidRDefault="008724B8" w:rsidP="008724B8">
      <w:pPr>
        <w:jc w:val="center"/>
        <w:rPr>
          <w:rFonts w:ascii="Times New Roman" w:hAnsi="Times New Roman"/>
          <w:b/>
          <w:sz w:val="24"/>
        </w:rPr>
      </w:pPr>
      <w:r w:rsidRPr="006213DE">
        <w:rPr>
          <w:rFonts w:ascii="Times New Roman" w:hAnsi="Times New Roman"/>
          <w:b/>
          <w:sz w:val="24"/>
        </w:rPr>
        <w:t xml:space="preserve">Potenciāli zaudēto mūža gadu prognoze, ja ieguldījumi </w:t>
      </w:r>
      <w:r>
        <w:rPr>
          <w:rFonts w:ascii="Times New Roman" w:hAnsi="Times New Roman"/>
          <w:b/>
          <w:sz w:val="24"/>
        </w:rPr>
        <w:t xml:space="preserve">sekundārās ambulatorās veselības aprūpes pakalpojumu pieejamībā </w:t>
      </w:r>
      <w:r w:rsidRPr="006213DE">
        <w:rPr>
          <w:rFonts w:ascii="Times New Roman" w:hAnsi="Times New Roman"/>
          <w:b/>
          <w:sz w:val="24"/>
        </w:rPr>
        <w:t>tiek veikti</w:t>
      </w:r>
    </w:p>
    <w:p w14:paraId="5A803B5E" w14:textId="02D56931" w:rsidR="00FA6571" w:rsidRDefault="00FA6571" w:rsidP="008603A3">
      <w:pPr>
        <w:jc w:val="both"/>
        <w:rPr>
          <w:rFonts w:ascii="Times New Roman" w:hAnsi="Times New Roman" w:cs="Times New Roman"/>
          <w:noProof/>
          <w:sz w:val="24"/>
          <w:szCs w:val="24"/>
          <w:lang w:eastAsia="lv-LV"/>
        </w:rPr>
      </w:pPr>
    </w:p>
    <w:p w14:paraId="01A76A8C" w14:textId="6D33E259" w:rsidR="00FA6571" w:rsidRDefault="00FA6571" w:rsidP="00AE4086">
      <w:pPr>
        <w:ind w:firstLine="720"/>
        <w:jc w:val="both"/>
        <w:rPr>
          <w:rFonts w:ascii="Times New Roman" w:hAnsi="Times New Roman" w:cs="Times New Roman"/>
          <w:noProof/>
          <w:sz w:val="24"/>
          <w:szCs w:val="24"/>
          <w:lang w:eastAsia="lv-LV"/>
        </w:rPr>
      </w:pPr>
      <w:r>
        <w:rPr>
          <w:noProof/>
          <w:lang w:eastAsia="lv-LV"/>
        </w:rPr>
        <w:drawing>
          <wp:inline distT="0" distB="0" distL="0" distR="0" wp14:anchorId="7A7F606C" wp14:editId="03A30540">
            <wp:extent cx="5486400" cy="2869565"/>
            <wp:effectExtent l="0" t="0" r="0" b="0"/>
            <wp:docPr id="11" name="Chart 1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FC14ED" w14:textId="0A809381" w:rsidR="00A937D8" w:rsidRPr="006134C6" w:rsidRDefault="00AE4086" w:rsidP="00AE4086">
      <w:pPr>
        <w:ind w:firstLine="720"/>
        <w:jc w:val="both"/>
        <w:rPr>
          <w:rFonts w:ascii="Times New Roman" w:hAnsi="Times New Roman" w:cs="Times New Roman"/>
          <w:noProof/>
          <w:sz w:val="24"/>
          <w:szCs w:val="24"/>
          <w:lang w:eastAsia="lv-LV"/>
        </w:rPr>
      </w:pPr>
      <w:r w:rsidRPr="006134C6">
        <w:rPr>
          <w:rFonts w:ascii="Times New Roman" w:hAnsi="Times New Roman" w:cs="Times New Roman"/>
          <w:noProof/>
          <w:sz w:val="24"/>
          <w:szCs w:val="24"/>
          <w:lang w:eastAsia="lv-LV"/>
        </w:rPr>
        <w:t>Lai nodrošinātu, ka reforma sasniedz būtiskus rezultātus 2018.- 2019.gadā</w:t>
      </w:r>
      <w:r w:rsidR="00CB074D" w:rsidRPr="00D5520B">
        <w:rPr>
          <w:rFonts w:ascii="Times New Roman" w:hAnsi="Times New Roman" w:cs="Times New Roman"/>
          <w:noProof/>
          <w:sz w:val="24"/>
          <w:szCs w:val="24"/>
          <w:lang w:eastAsia="lv-LV"/>
        </w:rPr>
        <w:t>,</w:t>
      </w:r>
      <w:r w:rsidR="00A937D8" w:rsidRPr="00D5520B">
        <w:rPr>
          <w:rFonts w:ascii="Times New Roman" w:hAnsi="Times New Roman" w:cs="Times New Roman"/>
          <w:noProof/>
          <w:sz w:val="24"/>
          <w:szCs w:val="24"/>
          <w:lang w:eastAsia="lv-LV"/>
        </w:rPr>
        <w:t xml:space="preserve"> </w:t>
      </w:r>
      <w:r w:rsidR="00CB074D" w:rsidRPr="00D5520B">
        <w:rPr>
          <w:rFonts w:ascii="Times New Roman" w:hAnsi="Times New Roman" w:cs="Times New Roman"/>
          <w:noProof/>
          <w:sz w:val="24"/>
          <w:szCs w:val="24"/>
          <w:lang w:eastAsia="lv-LV"/>
        </w:rPr>
        <w:t>jā</w:t>
      </w:r>
      <w:r w:rsidR="00A937D8" w:rsidRPr="00D5520B">
        <w:rPr>
          <w:rFonts w:ascii="Times New Roman" w:hAnsi="Times New Roman" w:cs="Times New Roman"/>
          <w:noProof/>
          <w:sz w:val="24"/>
          <w:szCs w:val="24"/>
          <w:lang w:eastAsia="lv-LV"/>
        </w:rPr>
        <w:t>turpin</w:t>
      </w:r>
      <w:r w:rsidR="00CB074D" w:rsidRPr="00D5520B">
        <w:rPr>
          <w:rFonts w:ascii="Times New Roman" w:hAnsi="Times New Roman" w:cs="Times New Roman"/>
          <w:noProof/>
          <w:sz w:val="24"/>
          <w:szCs w:val="24"/>
          <w:lang w:eastAsia="lv-LV"/>
        </w:rPr>
        <w:t>a</w:t>
      </w:r>
      <w:r w:rsidR="00A937D8" w:rsidRPr="00D5520B">
        <w:rPr>
          <w:rFonts w:ascii="Times New Roman" w:hAnsi="Times New Roman" w:cs="Times New Roman"/>
          <w:noProof/>
          <w:sz w:val="24"/>
          <w:szCs w:val="24"/>
          <w:lang w:eastAsia="lv-LV"/>
        </w:rPr>
        <w:t xml:space="preserve"> intervenc</w:t>
      </w:r>
      <w:r w:rsidR="00CB074D" w:rsidRPr="00D5520B">
        <w:rPr>
          <w:rFonts w:ascii="Times New Roman" w:hAnsi="Times New Roman" w:cs="Times New Roman"/>
          <w:noProof/>
          <w:sz w:val="24"/>
          <w:szCs w:val="24"/>
          <w:lang w:eastAsia="lv-LV"/>
        </w:rPr>
        <w:t>e</w:t>
      </w:r>
      <w:r w:rsidR="00A937D8" w:rsidRPr="006134C6">
        <w:rPr>
          <w:rFonts w:ascii="Times New Roman" w:hAnsi="Times New Roman" w:cs="Times New Roman"/>
          <w:noProof/>
          <w:sz w:val="24"/>
          <w:szCs w:val="24"/>
          <w:lang w:eastAsia="lv-LV"/>
        </w:rPr>
        <w:t xml:space="preserve"> ambulato</w:t>
      </w:r>
      <w:r w:rsidRPr="006134C6">
        <w:rPr>
          <w:rFonts w:ascii="Times New Roman" w:hAnsi="Times New Roman" w:cs="Times New Roman"/>
          <w:noProof/>
          <w:sz w:val="24"/>
          <w:szCs w:val="24"/>
          <w:lang w:eastAsia="lv-LV"/>
        </w:rPr>
        <w:t xml:space="preserve">ro pakalpojumu pieejamības jomā, nodrošinot, ka gaidīšanas rindu apjoms samazinās vismaz par 50%. Tomēr jāņem vērā </w:t>
      </w:r>
      <w:r w:rsidR="006134C6">
        <w:rPr>
          <w:rFonts w:ascii="Times New Roman" w:hAnsi="Times New Roman" w:cs="Times New Roman"/>
          <w:noProof/>
          <w:sz w:val="24"/>
          <w:szCs w:val="24"/>
          <w:lang w:eastAsia="lv-LV"/>
        </w:rPr>
        <w:t xml:space="preserve">divi </w:t>
      </w:r>
      <w:r w:rsidRPr="006134C6">
        <w:rPr>
          <w:rFonts w:ascii="Times New Roman" w:hAnsi="Times New Roman" w:cs="Times New Roman"/>
          <w:noProof/>
          <w:sz w:val="24"/>
          <w:szCs w:val="24"/>
          <w:lang w:eastAsia="lv-LV"/>
        </w:rPr>
        <w:t>būtiski aspekti, kas ietekmē turpmāko ambulatorā sektora pakalpojumu pieejamību</w:t>
      </w:r>
      <w:r w:rsidR="006B097E" w:rsidRPr="006134C6">
        <w:rPr>
          <w:rFonts w:ascii="Times New Roman" w:hAnsi="Times New Roman" w:cs="Times New Roman"/>
          <w:noProof/>
          <w:sz w:val="24"/>
          <w:szCs w:val="24"/>
          <w:lang w:eastAsia="lv-LV"/>
        </w:rPr>
        <w:t xml:space="preserve"> pēc sākotnējās intervences 2017.gadā</w:t>
      </w:r>
      <w:r w:rsidRPr="006134C6">
        <w:rPr>
          <w:rFonts w:ascii="Times New Roman" w:hAnsi="Times New Roman" w:cs="Times New Roman"/>
          <w:noProof/>
          <w:sz w:val="24"/>
          <w:szCs w:val="24"/>
          <w:lang w:eastAsia="lv-LV"/>
        </w:rPr>
        <w:t>:</w:t>
      </w:r>
    </w:p>
    <w:p w14:paraId="03D414B7" w14:textId="65421096" w:rsidR="00380602" w:rsidRDefault="00380602" w:rsidP="00AE4086">
      <w:pPr>
        <w:pStyle w:val="ListParagraph"/>
        <w:numPr>
          <w:ilvl w:val="0"/>
          <w:numId w:val="59"/>
        </w:numPr>
        <w:jc w:val="both"/>
        <w:rPr>
          <w:rFonts w:ascii="Times New Roman" w:hAnsi="Times New Roman"/>
          <w:noProof/>
          <w:sz w:val="24"/>
          <w:szCs w:val="24"/>
          <w:lang w:eastAsia="lv-LV"/>
        </w:rPr>
      </w:pPr>
      <w:r>
        <w:rPr>
          <w:rFonts w:ascii="Times New Roman" w:hAnsi="Times New Roman"/>
          <w:noProof/>
          <w:sz w:val="24"/>
          <w:szCs w:val="24"/>
          <w:lang w:eastAsia="lv-LV"/>
        </w:rPr>
        <w:t>Pacientu uzvedības maiņa, izvēloties pakalpojuma sniedzēju, ņemot vērā papildus pieejamos valsts apmaksātos veselības aprūpes pakalpojumus</w:t>
      </w:r>
      <w:r w:rsidR="006B097E">
        <w:rPr>
          <w:rFonts w:ascii="Times New Roman" w:hAnsi="Times New Roman"/>
          <w:noProof/>
          <w:sz w:val="24"/>
          <w:szCs w:val="24"/>
          <w:lang w:eastAsia="lv-LV"/>
        </w:rPr>
        <w:t xml:space="preserve"> (daļas pacientu pārvirzīšanās no maksas pakalpojumu uz valsts apmaksātu pakalpojumu sektoru saistībā ar uzlabotu pieejamību)</w:t>
      </w:r>
      <w:r>
        <w:rPr>
          <w:rFonts w:ascii="Times New Roman" w:hAnsi="Times New Roman"/>
          <w:noProof/>
          <w:sz w:val="24"/>
          <w:szCs w:val="24"/>
          <w:lang w:eastAsia="lv-LV"/>
        </w:rPr>
        <w:t>;</w:t>
      </w:r>
    </w:p>
    <w:p w14:paraId="41C8EAD8" w14:textId="2AB2046A" w:rsidR="003730EA" w:rsidRDefault="00AE4086" w:rsidP="002B76B0">
      <w:pPr>
        <w:pStyle w:val="ListParagraph"/>
        <w:numPr>
          <w:ilvl w:val="0"/>
          <w:numId w:val="59"/>
        </w:numPr>
        <w:jc w:val="both"/>
        <w:rPr>
          <w:rFonts w:ascii="Times New Roman" w:hAnsi="Times New Roman"/>
          <w:noProof/>
          <w:sz w:val="24"/>
          <w:szCs w:val="24"/>
          <w:lang w:eastAsia="lv-LV"/>
        </w:rPr>
      </w:pPr>
      <w:r w:rsidRPr="00380602">
        <w:rPr>
          <w:rFonts w:ascii="Times New Roman" w:hAnsi="Times New Roman"/>
          <w:noProof/>
          <w:sz w:val="24"/>
          <w:szCs w:val="24"/>
          <w:lang w:eastAsia="lv-LV"/>
        </w:rPr>
        <w:t xml:space="preserve">Ārstniecības personu </w:t>
      </w:r>
      <w:r w:rsidR="006B097E">
        <w:rPr>
          <w:rFonts w:ascii="Times New Roman" w:hAnsi="Times New Roman"/>
          <w:noProof/>
          <w:sz w:val="24"/>
          <w:szCs w:val="24"/>
          <w:lang w:eastAsia="lv-LV"/>
        </w:rPr>
        <w:t xml:space="preserve">trūkums, kuri ir gatavi sniegt </w:t>
      </w:r>
      <w:r w:rsidR="003730EA" w:rsidRPr="00380602">
        <w:rPr>
          <w:rFonts w:ascii="Times New Roman" w:hAnsi="Times New Roman"/>
          <w:noProof/>
          <w:sz w:val="24"/>
          <w:szCs w:val="24"/>
          <w:lang w:eastAsia="lv-LV"/>
        </w:rPr>
        <w:t>valsts apmaksātu</w:t>
      </w:r>
      <w:r w:rsidR="006B097E">
        <w:rPr>
          <w:rFonts w:ascii="Times New Roman" w:hAnsi="Times New Roman"/>
          <w:noProof/>
          <w:sz w:val="24"/>
          <w:szCs w:val="24"/>
          <w:lang w:eastAsia="lv-LV"/>
        </w:rPr>
        <w:t>s</w:t>
      </w:r>
      <w:r w:rsidR="003730EA" w:rsidRPr="00380602">
        <w:rPr>
          <w:rFonts w:ascii="Times New Roman" w:hAnsi="Times New Roman"/>
          <w:noProof/>
          <w:sz w:val="24"/>
          <w:szCs w:val="24"/>
          <w:lang w:eastAsia="lv-LV"/>
        </w:rPr>
        <w:t xml:space="preserve"> veselības aprūpes pakalpojumu</w:t>
      </w:r>
      <w:r w:rsidR="006B097E">
        <w:rPr>
          <w:rFonts w:ascii="Times New Roman" w:hAnsi="Times New Roman"/>
          <w:noProof/>
          <w:sz w:val="24"/>
          <w:szCs w:val="24"/>
          <w:lang w:eastAsia="lv-LV"/>
        </w:rPr>
        <w:t>s</w:t>
      </w:r>
      <w:r w:rsidR="003730EA" w:rsidRPr="00380602">
        <w:rPr>
          <w:rFonts w:ascii="Times New Roman" w:hAnsi="Times New Roman"/>
          <w:noProof/>
          <w:sz w:val="24"/>
          <w:szCs w:val="24"/>
          <w:lang w:eastAsia="lv-LV"/>
        </w:rPr>
        <w:t xml:space="preserve"> pie </w:t>
      </w:r>
      <w:r w:rsidR="006B097E">
        <w:rPr>
          <w:rFonts w:ascii="Times New Roman" w:hAnsi="Times New Roman"/>
          <w:noProof/>
          <w:sz w:val="24"/>
          <w:szCs w:val="24"/>
          <w:lang w:eastAsia="lv-LV"/>
        </w:rPr>
        <w:t>pašreizējās</w:t>
      </w:r>
      <w:r w:rsidR="003730EA" w:rsidRPr="00380602">
        <w:rPr>
          <w:rFonts w:ascii="Times New Roman" w:hAnsi="Times New Roman"/>
          <w:noProof/>
          <w:sz w:val="24"/>
          <w:szCs w:val="24"/>
          <w:lang w:eastAsia="lv-LV"/>
        </w:rPr>
        <w:t xml:space="preserve"> darba samaksas</w:t>
      </w:r>
      <w:r w:rsidR="00380602" w:rsidRPr="00380602">
        <w:rPr>
          <w:rFonts w:ascii="Times New Roman" w:hAnsi="Times New Roman"/>
          <w:noProof/>
          <w:sz w:val="24"/>
          <w:szCs w:val="24"/>
          <w:lang w:eastAsia="lv-LV"/>
        </w:rPr>
        <w:t>.</w:t>
      </w:r>
    </w:p>
    <w:p w14:paraId="4296847A" w14:textId="487C38E0" w:rsidR="006C3C5F" w:rsidRDefault="006B097E" w:rsidP="006C3C5F">
      <w:pPr>
        <w:ind w:firstLine="709"/>
        <w:jc w:val="both"/>
        <w:rPr>
          <w:rFonts w:ascii="Times New Roman" w:hAnsi="Times New Roman"/>
          <w:noProof/>
          <w:sz w:val="24"/>
          <w:szCs w:val="24"/>
          <w:lang w:eastAsia="lv-LV"/>
        </w:rPr>
      </w:pPr>
      <w:r>
        <w:rPr>
          <w:rFonts w:ascii="Times New Roman" w:hAnsi="Times New Roman"/>
          <w:noProof/>
          <w:sz w:val="24"/>
          <w:szCs w:val="24"/>
          <w:lang w:eastAsia="lv-LV"/>
        </w:rPr>
        <w:t xml:space="preserve">Palielinoties finansējumam ambulatoro pakalpojumu pieejamības jomā </w:t>
      </w:r>
      <w:r w:rsidR="00951ADD">
        <w:rPr>
          <w:rFonts w:ascii="Times New Roman" w:hAnsi="Times New Roman"/>
          <w:noProof/>
          <w:sz w:val="24"/>
          <w:szCs w:val="24"/>
          <w:lang w:eastAsia="lv-LV"/>
        </w:rPr>
        <w:t>un</w:t>
      </w:r>
      <w:r>
        <w:rPr>
          <w:rFonts w:ascii="Times New Roman" w:hAnsi="Times New Roman"/>
          <w:noProof/>
          <w:sz w:val="24"/>
          <w:szCs w:val="24"/>
          <w:lang w:eastAsia="lv-LV"/>
        </w:rPr>
        <w:t xml:space="preserve"> daļai pacientu pārvirzoties uz valsts </w:t>
      </w:r>
      <w:r w:rsidR="00951ADD">
        <w:rPr>
          <w:rFonts w:ascii="Times New Roman" w:hAnsi="Times New Roman"/>
          <w:noProof/>
          <w:sz w:val="24"/>
          <w:szCs w:val="24"/>
          <w:lang w:eastAsia="lv-LV"/>
        </w:rPr>
        <w:t xml:space="preserve">apmaksātu pakalpojumu saktoru, </w:t>
      </w:r>
      <w:r>
        <w:rPr>
          <w:rFonts w:ascii="Times New Roman" w:hAnsi="Times New Roman"/>
          <w:noProof/>
          <w:sz w:val="24"/>
          <w:szCs w:val="24"/>
          <w:lang w:eastAsia="lv-LV"/>
        </w:rPr>
        <w:t>vienlaikus tiks risināta problēma uz ko nor</w:t>
      </w:r>
      <w:r w:rsidR="00951ADD">
        <w:rPr>
          <w:rFonts w:ascii="Times New Roman" w:hAnsi="Times New Roman"/>
          <w:noProof/>
          <w:sz w:val="24"/>
          <w:szCs w:val="24"/>
          <w:lang w:eastAsia="lv-LV"/>
        </w:rPr>
        <w:t>āda</w:t>
      </w:r>
      <w:r w:rsidR="006670B4">
        <w:rPr>
          <w:rFonts w:ascii="Times New Roman" w:hAnsi="Times New Roman"/>
          <w:noProof/>
          <w:sz w:val="24"/>
          <w:szCs w:val="24"/>
          <w:lang w:eastAsia="lv-LV"/>
        </w:rPr>
        <w:t xml:space="preserve"> Eiropas komisija</w:t>
      </w:r>
      <w:r w:rsidR="00951ADD">
        <w:rPr>
          <w:rFonts w:ascii="Times New Roman" w:hAnsi="Times New Roman"/>
          <w:noProof/>
          <w:sz w:val="24"/>
          <w:szCs w:val="24"/>
          <w:lang w:eastAsia="lv-LV"/>
        </w:rPr>
        <w:t xml:space="preserve"> – </w:t>
      </w:r>
      <w:r w:rsidR="006670B4">
        <w:rPr>
          <w:rFonts w:ascii="Times New Roman" w:hAnsi="Times New Roman"/>
          <w:noProof/>
          <w:sz w:val="24"/>
          <w:szCs w:val="24"/>
          <w:lang w:eastAsia="lv-LV"/>
        </w:rPr>
        <w:t>Latvijas iedzīvotāju tieš</w:t>
      </w:r>
      <w:r w:rsidR="00951ADD">
        <w:rPr>
          <w:rFonts w:ascii="Times New Roman" w:hAnsi="Times New Roman"/>
          <w:noProof/>
          <w:sz w:val="24"/>
          <w:szCs w:val="24"/>
          <w:lang w:eastAsia="lv-LV"/>
        </w:rPr>
        <w:t>o</w:t>
      </w:r>
      <w:r w:rsidR="006670B4">
        <w:rPr>
          <w:rFonts w:ascii="Times New Roman" w:hAnsi="Times New Roman"/>
          <w:noProof/>
          <w:sz w:val="24"/>
          <w:szCs w:val="24"/>
          <w:lang w:eastAsia="lv-LV"/>
        </w:rPr>
        <w:t xml:space="preserve"> maksājum</w:t>
      </w:r>
      <w:r w:rsidR="00951ADD">
        <w:rPr>
          <w:rFonts w:ascii="Times New Roman" w:hAnsi="Times New Roman"/>
          <w:noProof/>
          <w:sz w:val="24"/>
          <w:szCs w:val="24"/>
          <w:lang w:eastAsia="lv-LV"/>
        </w:rPr>
        <w:t>u (</w:t>
      </w:r>
      <w:r w:rsidR="00951ADD" w:rsidRPr="006213DE">
        <w:rPr>
          <w:rFonts w:ascii="Times New Roman" w:hAnsi="Times New Roman"/>
          <w:i/>
          <w:sz w:val="24"/>
        </w:rPr>
        <w:t>out-of-pocket payments</w:t>
      </w:r>
      <w:r w:rsidR="00951ADD">
        <w:rPr>
          <w:rFonts w:ascii="Times New Roman" w:hAnsi="Times New Roman"/>
          <w:noProof/>
          <w:sz w:val="24"/>
          <w:szCs w:val="24"/>
          <w:lang w:eastAsia="lv-LV"/>
        </w:rPr>
        <w:t xml:space="preserve">) </w:t>
      </w:r>
      <w:r w:rsidR="00045FB3">
        <w:rPr>
          <w:rFonts w:ascii="Times New Roman" w:hAnsi="Times New Roman"/>
          <w:noProof/>
          <w:sz w:val="24"/>
          <w:szCs w:val="24"/>
          <w:lang w:eastAsia="lv-LV"/>
        </w:rPr>
        <w:t>lielais īpatsvars izdevumos</w:t>
      </w:r>
      <w:r w:rsidR="006670B4">
        <w:rPr>
          <w:rFonts w:ascii="Times New Roman" w:hAnsi="Times New Roman"/>
          <w:noProof/>
          <w:sz w:val="24"/>
          <w:szCs w:val="24"/>
          <w:lang w:eastAsia="lv-LV"/>
        </w:rPr>
        <w:t xml:space="preserve"> par veselības aprūpi. Faktiski gandrīz 40% no kopējiem izdevumiem vesel</w:t>
      </w:r>
      <w:r w:rsidR="00CA32FD">
        <w:rPr>
          <w:rFonts w:ascii="Times New Roman" w:hAnsi="Times New Roman"/>
          <w:noProof/>
          <w:sz w:val="24"/>
          <w:szCs w:val="24"/>
          <w:lang w:eastAsia="lv-LV"/>
        </w:rPr>
        <w:t>ī</w:t>
      </w:r>
      <w:r w:rsidR="006670B4">
        <w:rPr>
          <w:rFonts w:ascii="Times New Roman" w:hAnsi="Times New Roman"/>
          <w:noProof/>
          <w:sz w:val="24"/>
          <w:szCs w:val="24"/>
          <w:lang w:eastAsia="lv-LV"/>
        </w:rPr>
        <w:t xml:space="preserve">bas aprūpei tiek segti no privātiem iedzīvotāju </w:t>
      </w:r>
      <w:r w:rsidR="006C073F">
        <w:rPr>
          <w:rFonts w:ascii="Times New Roman" w:hAnsi="Times New Roman"/>
          <w:noProof/>
          <w:sz w:val="24"/>
          <w:szCs w:val="24"/>
          <w:lang w:eastAsia="lv-LV"/>
        </w:rPr>
        <w:t xml:space="preserve">tiešajiem </w:t>
      </w:r>
      <w:r w:rsidR="006670B4">
        <w:rPr>
          <w:rFonts w:ascii="Times New Roman" w:hAnsi="Times New Roman"/>
          <w:noProof/>
          <w:sz w:val="24"/>
          <w:szCs w:val="24"/>
          <w:lang w:eastAsia="lv-LV"/>
        </w:rPr>
        <w:t>maksājumiem</w:t>
      </w:r>
      <w:r w:rsidR="006134C6">
        <w:rPr>
          <w:rFonts w:ascii="Times New Roman" w:hAnsi="Times New Roman"/>
          <w:noProof/>
          <w:sz w:val="24"/>
          <w:szCs w:val="24"/>
          <w:lang w:eastAsia="lv-LV"/>
        </w:rPr>
        <w:t xml:space="preserve">, kā tas par 2012.-2014. gadu redzams </w:t>
      </w:r>
      <w:r w:rsidR="00D76DF3">
        <w:rPr>
          <w:rFonts w:ascii="Times New Roman" w:hAnsi="Times New Roman"/>
          <w:noProof/>
          <w:sz w:val="24"/>
          <w:szCs w:val="24"/>
          <w:lang w:eastAsia="lv-LV"/>
        </w:rPr>
        <w:t>3</w:t>
      </w:r>
      <w:r w:rsidR="006134C6">
        <w:rPr>
          <w:rFonts w:ascii="Times New Roman" w:hAnsi="Times New Roman"/>
          <w:noProof/>
          <w:sz w:val="24"/>
          <w:szCs w:val="24"/>
          <w:lang w:eastAsia="lv-LV"/>
        </w:rPr>
        <w:t>.attēlā</w:t>
      </w:r>
      <w:r w:rsidR="006670B4">
        <w:rPr>
          <w:rFonts w:ascii="Times New Roman" w:hAnsi="Times New Roman"/>
          <w:noProof/>
          <w:sz w:val="24"/>
          <w:szCs w:val="24"/>
          <w:lang w:eastAsia="lv-LV"/>
        </w:rPr>
        <w:t xml:space="preserve">. </w:t>
      </w:r>
    </w:p>
    <w:p w14:paraId="54A3E46E" w14:textId="77777777" w:rsidR="008603A3" w:rsidRDefault="008603A3" w:rsidP="006670B4">
      <w:pPr>
        <w:spacing w:after="0" w:line="240" w:lineRule="auto"/>
        <w:ind w:firstLine="720"/>
        <w:jc w:val="right"/>
        <w:rPr>
          <w:rFonts w:ascii="Times New Roman" w:hAnsi="Times New Roman" w:cs="Times New Roman"/>
          <w:i/>
          <w:sz w:val="24"/>
          <w:szCs w:val="24"/>
        </w:rPr>
      </w:pPr>
    </w:p>
    <w:p w14:paraId="79FDC92B" w14:textId="77777777" w:rsidR="008603A3" w:rsidRDefault="008603A3" w:rsidP="006670B4">
      <w:pPr>
        <w:spacing w:after="0" w:line="240" w:lineRule="auto"/>
        <w:ind w:firstLine="720"/>
        <w:jc w:val="right"/>
        <w:rPr>
          <w:rFonts w:ascii="Times New Roman" w:hAnsi="Times New Roman" w:cs="Times New Roman"/>
          <w:i/>
          <w:sz w:val="24"/>
          <w:szCs w:val="24"/>
        </w:rPr>
      </w:pPr>
    </w:p>
    <w:p w14:paraId="233A08E1" w14:textId="77B1C5CA" w:rsidR="006670B4" w:rsidRPr="003B6DC4" w:rsidRDefault="00C27E21" w:rsidP="006670B4">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3</w:t>
      </w:r>
      <w:r w:rsidR="006670B4" w:rsidRPr="003B6DC4">
        <w:rPr>
          <w:rFonts w:ascii="Times New Roman" w:hAnsi="Times New Roman" w:cs="Times New Roman"/>
          <w:i/>
          <w:sz w:val="24"/>
          <w:szCs w:val="24"/>
        </w:rPr>
        <w:t>.</w:t>
      </w:r>
      <w:r w:rsidR="006670B4">
        <w:rPr>
          <w:rFonts w:ascii="Times New Roman" w:hAnsi="Times New Roman" w:cs="Times New Roman"/>
          <w:i/>
          <w:sz w:val="24"/>
          <w:szCs w:val="24"/>
        </w:rPr>
        <w:t>attēls</w:t>
      </w:r>
      <w:r w:rsidR="006670B4" w:rsidRPr="003B6DC4">
        <w:rPr>
          <w:rFonts w:ascii="Times New Roman" w:hAnsi="Times New Roman" w:cs="Times New Roman"/>
          <w:i/>
          <w:sz w:val="24"/>
          <w:szCs w:val="24"/>
        </w:rPr>
        <w:t xml:space="preserve"> </w:t>
      </w:r>
    </w:p>
    <w:p w14:paraId="669739A6" w14:textId="2C73F5CF" w:rsidR="006670B4" w:rsidRDefault="006670B4" w:rsidP="006670B4">
      <w:pPr>
        <w:spacing w:after="120" w:line="240" w:lineRule="auto"/>
        <w:jc w:val="center"/>
        <w:rPr>
          <w:rFonts w:ascii="Times New Roman" w:hAnsi="Times New Roman"/>
          <w:noProof/>
          <w:sz w:val="24"/>
          <w:szCs w:val="24"/>
          <w:lang w:eastAsia="lv-LV"/>
        </w:rPr>
      </w:pPr>
      <w:r>
        <w:rPr>
          <w:rFonts w:ascii="Times New Roman" w:hAnsi="Times New Roman" w:cs="Times New Roman"/>
          <w:b/>
          <w:sz w:val="24"/>
          <w:szCs w:val="24"/>
        </w:rPr>
        <w:t>Veselības aprūpes izdevumu sadalījums</w:t>
      </w:r>
      <w:r w:rsidR="006134C6">
        <w:rPr>
          <w:rFonts w:ascii="Times New Roman" w:hAnsi="Times New Roman" w:cs="Times New Roman"/>
          <w:b/>
          <w:sz w:val="24"/>
          <w:szCs w:val="24"/>
        </w:rPr>
        <w:t xml:space="preserve"> Latvijā</w:t>
      </w:r>
    </w:p>
    <w:p w14:paraId="7962B511" w14:textId="319EC6D3" w:rsidR="006670B4" w:rsidRDefault="006670B4" w:rsidP="006670B4">
      <w:pPr>
        <w:ind w:firstLine="709"/>
        <w:jc w:val="center"/>
        <w:rPr>
          <w:rFonts w:ascii="Times New Roman" w:hAnsi="Times New Roman"/>
          <w:noProof/>
          <w:sz w:val="24"/>
          <w:szCs w:val="24"/>
          <w:lang w:eastAsia="lv-LV"/>
        </w:rPr>
      </w:pPr>
      <w:r w:rsidRPr="006213DE">
        <w:rPr>
          <w:noProof/>
          <w:lang w:eastAsia="lv-LV"/>
        </w:rPr>
        <w:drawing>
          <wp:inline distT="0" distB="0" distL="0" distR="0" wp14:anchorId="786DC5C9" wp14:editId="42CBE2F7">
            <wp:extent cx="4572000" cy="33813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66F8E8" w14:textId="0BC2FA48" w:rsidR="006670B4" w:rsidRPr="003B6DC4" w:rsidRDefault="006670B4" w:rsidP="006670B4">
      <w:pPr>
        <w:jc w:val="both"/>
        <w:rPr>
          <w:rFonts w:ascii="Times New Roman" w:hAnsi="Times New Roman" w:cs="Times New Roman"/>
          <w:sz w:val="24"/>
          <w:szCs w:val="24"/>
        </w:rPr>
      </w:pPr>
      <w:r w:rsidRPr="003B6DC4">
        <w:rPr>
          <w:rFonts w:ascii="Times New Roman" w:hAnsi="Times New Roman" w:cs="Times New Roman"/>
          <w:i/>
          <w:sz w:val="20"/>
          <w:szCs w:val="20"/>
        </w:rPr>
        <w:t xml:space="preserve">Avots: </w:t>
      </w:r>
      <w:r>
        <w:rPr>
          <w:rFonts w:ascii="Times New Roman" w:hAnsi="Times New Roman" w:cs="Times New Roman"/>
          <w:i/>
          <w:sz w:val="20"/>
          <w:szCs w:val="20"/>
        </w:rPr>
        <w:t>PVO</w:t>
      </w:r>
    </w:p>
    <w:p w14:paraId="65DB75AC" w14:textId="68DD3B9E" w:rsidR="0042696A" w:rsidRDefault="006134C6" w:rsidP="00CA32FD">
      <w:pPr>
        <w:ind w:firstLine="709"/>
        <w:jc w:val="both"/>
        <w:rPr>
          <w:rFonts w:ascii="Times New Roman" w:hAnsi="Times New Roman"/>
          <w:noProof/>
          <w:sz w:val="24"/>
          <w:szCs w:val="24"/>
          <w:lang w:eastAsia="lv-LV"/>
        </w:rPr>
      </w:pPr>
      <w:r>
        <w:rPr>
          <w:rFonts w:ascii="Times New Roman" w:hAnsi="Times New Roman"/>
          <w:noProof/>
          <w:sz w:val="24"/>
          <w:szCs w:val="24"/>
          <w:lang w:eastAsia="lv-LV"/>
        </w:rPr>
        <w:t>Tikmēr vidēji Eiropas S</w:t>
      </w:r>
      <w:r w:rsidR="00CA32FD">
        <w:rPr>
          <w:rFonts w:ascii="Times New Roman" w:hAnsi="Times New Roman"/>
          <w:noProof/>
          <w:sz w:val="24"/>
          <w:szCs w:val="24"/>
          <w:lang w:eastAsia="lv-LV"/>
        </w:rPr>
        <w:t xml:space="preserve">avienības valstīs </w:t>
      </w:r>
      <w:r w:rsidR="006C3AD0">
        <w:rPr>
          <w:rFonts w:ascii="Times New Roman" w:hAnsi="Times New Roman"/>
          <w:noProof/>
          <w:sz w:val="24"/>
          <w:szCs w:val="24"/>
          <w:lang w:eastAsia="lv-LV"/>
        </w:rPr>
        <w:t>iedzīvotāju</w:t>
      </w:r>
      <w:r w:rsidR="00CA32FD">
        <w:rPr>
          <w:rFonts w:ascii="Times New Roman" w:hAnsi="Times New Roman"/>
          <w:noProof/>
          <w:sz w:val="24"/>
          <w:szCs w:val="24"/>
          <w:lang w:eastAsia="lv-LV"/>
        </w:rPr>
        <w:t xml:space="preserve"> tieš</w:t>
      </w:r>
      <w:r w:rsidR="006C3AD0">
        <w:rPr>
          <w:rFonts w:ascii="Times New Roman" w:hAnsi="Times New Roman"/>
          <w:noProof/>
          <w:sz w:val="24"/>
          <w:szCs w:val="24"/>
          <w:lang w:eastAsia="lv-LV"/>
        </w:rPr>
        <w:t xml:space="preserve">ie </w:t>
      </w:r>
      <w:r w:rsidR="00CA32FD">
        <w:rPr>
          <w:rFonts w:ascii="Times New Roman" w:hAnsi="Times New Roman"/>
          <w:noProof/>
          <w:sz w:val="24"/>
          <w:szCs w:val="24"/>
          <w:lang w:eastAsia="lv-LV"/>
        </w:rPr>
        <w:t>maksājumi sastāda 13.9% no kopējiem veselības aprūpes izdevumiem</w:t>
      </w:r>
      <w:r w:rsidR="00C667AC">
        <w:rPr>
          <w:rStyle w:val="FootnoteReference"/>
          <w:rFonts w:ascii="Times New Roman" w:hAnsi="Times New Roman"/>
          <w:noProof/>
          <w:sz w:val="24"/>
          <w:szCs w:val="24"/>
          <w:lang w:eastAsia="lv-LV"/>
        </w:rPr>
        <w:footnoteReference w:id="21"/>
      </w:r>
      <w:r w:rsidR="00CA32FD">
        <w:rPr>
          <w:rFonts w:ascii="Times New Roman" w:hAnsi="Times New Roman"/>
          <w:noProof/>
          <w:sz w:val="24"/>
          <w:szCs w:val="24"/>
          <w:lang w:eastAsia="lv-LV"/>
        </w:rPr>
        <w:t>. Galvenie iemesli augstajiem iedzīvotāju tiešajiem maksājumiem ir pārāk garas rindas uz valsts apmaksātajiem pakalpojumiem, pakalpojumi ir pārāk dārgi vai nav ģeogrāfiski pieejami.</w:t>
      </w:r>
      <w:r w:rsidR="0042696A">
        <w:rPr>
          <w:rFonts w:ascii="Times New Roman" w:hAnsi="Times New Roman"/>
          <w:noProof/>
          <w:sz w:val="24"/>
          <w:szCs w:val="24"/>
          <w:lang w:eastAsia="lv-LV"/>
        </w:rPr>
        <w:t xml:space="preserve"> </w:t>
      </w:r>
    </w:p>
    <w:p w14:paraId="19B7CF59" w14:textId="1F06C890" w:rsidR="006670B4" w:rsidRPr="00807345" w:rsidRDefault="0042696A" w:rsidP="00CA32FD">
      <w:pPr>
        <w:ind w:firstLine="709"/>
        <w:jc w:val="both"/>
        <w:rPr>
          <w:rFonts w:ascii="Times New Roman" w:hAnsi="Times New Roman"/>
          <w:noProof/>
          <w:sz w:val="24"/>
          <w:szCs w:val="24"/>
          <w:lang w:eastAsia="lv-LV"/>
        </w:rPr>
      </w:pPr>
      <w:r>
        <w:rPr>
          <w:rFonts w:ascii="Times New Roman" w:hAnsi="Times New Roman"/>
          <w:noProof/>
          <w:sz w:val="24"/>
          <w:szCs w:val="24"/>
          <w:lang w:eastAsia="lv-LV"/>
        </w:rPr>
        <w:t>Līdz ar to</w:t>
      </w:r>
      <w:r w:rsidR="00681B7B">
        <w:rPr>
          <w:rFonts w:ascii="Times New Roman" w:hAnsi="Times New Roman"/>
          <w:noProof/>
          <w:sz w:val="24"/>
          <w:szCs w:val="24"/>
          <w:lang w:eastAsia="lv-LV"/>
        </w:rPr>
        <w:t>,</w:t>
      </w:r>
      <w:r>
        <w:rPr>
          <w:rFonts w:ascii="Times New Roman" w:hAnsi="Times New Roman"/>
          <w:noProof/>
          <w:sz w:val="24"/>
          <w:szCs w:val="24"/>
          <w:lang w:eastAsia="lv-LV"/>
        </w:rPr>
        <w:t xml:space="preserve"> palielinot valsts apmaksāto pakalpojumu pieejamību, sagaidā</w:t>
      </w:r>
      <w:r w:rsidR="006134C6">
        <w:rPr>
          <w:rFonts w:ascii="Times New Roman" w:hAnsi="Times New Roman"/>
          <w:noProof/>
          <w:sz w:val="24"/>
          <w:szCs w:val="24"/>
          <w:lang w:eastAsia="lv-LV"/>
        </w:rPr>
        <w:t>ms, ka daļa no iedzīvotājiem, kuri</w:t>
      </w:r>
      <w:r>
        <w:rPr>
          <w:rFonts w:ascii="Times New Roman" w:hAnsi="Times New Roman"/>
          <w:noProof/>
          <w:sz w:val="24"/>
          <w:szCs w:val="24"/>
          <w:lang w:eastAsia="lv-LV"/>
        </w:rPr>
        <w:t xml:space="preserve"> pakalpojumu</w:t>
      </w:r>
      <w:r w:rsidR="006134C6">
        <w:rPr>
          <w:rFonts w:ascii="Times New Roman" w:hAnsi="Times New Roman"/>
          <w:noProof/>
          <w:sz w:val="24"/>
          <w:szCs w:val="24"/>
          <w:lang w:eastAsia="lv-LV"/>
        </w:rPr>
        <w:t>s</w:t>
      </w:r>
      <w:r>
        <w:rPr>
          <w:rFonts w:ascii="Times New Roman" w:hAnsi="Times New Roman"/>
          <w:noProof/>
          <w:sz w:val="24"/>
          <w:szCs w:val="24"/>
          <w:lang w:eastAsia="lv-LV"/>
        </w:rPr>
        <w:t xml:space="preserve"> saņem veicot privātus maksājumus, turpmāk izvēlēsies saņemt valsts apmaksātu</w:t>
      </w:r>
      <w:r w:rsidR="006134C6">
        <w:rPr>
          <w:rFonts w:ascii="Times New Roman" w:hAnsi="Times New Roman"/>
          <w:noProof/>
          <w:sz w:val="24"/>
          <w:szCs w:val="24"/>
          <w:lang w:eastAsia="lv-LV"/>
        </w:rPr>
        <w:t>s</w:t>
      </w:r>
      <w:r>
        <w:rPr>
          <w:rFonts w:ascii="Times New Roman" w:hAnsi="Times New Roman"/>
          <w:noProof/>
          <w:sz w:val="24"/>
          <w:szCs w:val="24"/>
          <w:lang w:eastAsia="lv-LV"/>
        </w:rPr>
        <w:t xml:space="preserve"> pakalpojumu</w:t>
      </w:r>
      <w:r w:rsidR="006134C6">
        <w:rPr>
          <w:rFonts w:ascii="Times New Roman" w:hAnsi="Times New Roman"/>
          <w:noProof/>
          <w:sz w:val="24"/>
          <w:szCs w:val="24"/>
          <w:lang w:eastAsia="lv-LV"/>
        </w:rPr>
        <w:t>s</w:t>
      </w:r>
      <w:r>
        <w:rPr>
          <w:rFonts w:ascii="Times New Roman" w:hAnsi="Times New Roman"/>
          <w:noProof/>
          <w:sz w:val="24"/>
          <w:szCs w:val="24"/>
          <w:lang w:eastAsia="lv-LV"/>
        </w:rPr>
        <w:t>. Atbilstoši SPKC aplēs</w:t>
      </w:r>
      <w:r w:rsidR="00681B7B">
        <w:rPr>
          <w:rFonts w:ascii="Times New Roman" w:hAnsi="Times New Roman"/>
          <w:noProof/>
          <w:sz w:val="24"/>
          <w:szCs w:val="24"/>
          <w:lang w:eastAsia="lv-LV"/>
        </w:rPr>
        <w:t xml:space="preserve">ēm tādējādi sagaidāms, ka lai nodrošinātu valsts apmaksāto pakalpojumu pieejamību ņemot vērā pacientu ieplūšanu no maksas pakalpojumu sektora, </w:t>
      </w:r>
      <w:r w:rsidR="00681B7B" w:rsidRPr="00807345">
        <w:rPr>
          <w:rFonts w:ascii="Times New Roman" w:hAnsi="Times New Roman"/>
          <w:noProof/>
          <w:sz w:val="24"/>
          <w:szCs w:val="24"/>
          <w:lang w:eastAsia="lv-LV"/>
        </w:rPr>
        <w:t xml:space="preserve">papildus nepieciešams palelināt pieejamo valsts apmaksāto pakalpojumu apjomu </w:t>
      </w:r>
      <w:r w:rsidR="00011826" w:rsidRPr="00807345">
        <w:rPr>
          <w:rFonts w:ascii="Times New Roman" w:hAnsi="Times New Roman"/>
          <w:noProof/>
          <w:sz w:val="24"/>
          <w:szCs w:val="24"/>
          <w:lang w:eastAsia="lv-LV"/>
        </w:rPr>
        <w:t xml:space="preserve">vēl </w:t>
      </w:r>
      <w:r w:rsidR="00681B7B" w:rsidRPr="00807345">
        <w:rPr>
          <w:rFonts w:ascii="Times New Roman" w:hAnsi="Times New Roman"/>
          <w:noProof/>
          <w:sz w:val="24"/>
          <w:szCs w:val="24"/>
          <w:lang w:eastAsia="lv-LV"/>
        </w:rPr>
        <w:t xml:space="preserve">vismaz </w:t>
      </w:r>
      <w:r w:rsidR="00011826" w:rsidRPr="00807345">
        <w:rPr>
          <w:rFonts w:ascii="Times New Roman" w:hAnsi="Times New Roman"/>
          <w:noProof/>
          <w:sz w:val="24"/>
          <w:szCs w:val="24"/>
          <w:lang w:eastAsia="lv-LV"/>
        </w:rPr>
        <w:t>papildus 5</w:t>
      </w:r>
      <w:r w:rsidR="00681B7B" w:rsidRPr="00807345">
        <w:rPr>
          <w:rFonts w:ascii="Times New Roman" w:hAnsi="Times New Roman"/>
          <w:noProof/>
          <w:sz w:val="24"/>
          <w:szCs w:val="24"/>
          <w:lang w:eastAsia="lv-LV"/>
        </w:rPr>
        <w:t>0% apmērā. At</w:t>
      </w:r>
      <w:r w:rsidR="006134C6" w:rsidRPr="00807345">
        <w:rPr>
          <w:rFonts w:ascii="Times New Roman" w:hAnsi="Times New Roman"/>
          <w:noProof/>
          <w:sz w:val="24"/>
          <w:szCs w:val="24"/>
          <w:lang w:eastAsia="lv-LV"/>
        </w:rPr>
        <w:t>tiecīgi</w:t>
      </w:r>
      <w:r w:rsidR="00F90B4D" w:rsidRPr="00807345">
        <w:rPr>
          <w:rFonts w:ascii="Times New Roman" w:hAnsi="Times New Roman"/>
          <w:noProof/>
          <w:sz w:val="24"/>
          <w:szCs w:val="24"/>
          <w:lang w:eastAsia="lv-LV"/>
        </w:rPr>
        <w:t xml:space="preserve">, lai nodrošinātu vēl 25% rindu samazinājumu </w:t>
      </w:r>
      <w:r w:rsidR="006134C6" w:rsidRPr="00807345">
        <w:rPr>
          <w:rFonts w:ascii="Times New Roman" w:hAnsi="Times New Roman"/>
          <w:noProof/>
          <w:sz w:val="24"/>
          <w:szCs w:val="24"/>
          <w:lang w:eastAsia="lv-LV"/>
        </w:rPr>
        <w:t>sākot ar 2018. gadu</w:t>
      </w:r>
      <w:r w:rsidR="00F90B4D" w:rsidRPr="00807345">
        <w:rPr>
          <w:rFonts w:ascii="Times New Roman" w:hAnsi="Times New Roman"/>
          <w:noProof/>
          <w:sz w:val="24"/>
          <w:szCs w:val="24"/>
          <w:lang w:eastAsia="lv-LV"/>
        </w:rPr>
        <w:t>, kop</w:t>
      </w:r>
      <w:r w:rsidR="00011826" w:rsidRPr="00807345">
        <w:rPr>
          <w:rFonts w:ascii="Times New Roman" w:hAnsi="Times New Roman"/>
          <w:noProof/>
          <w:sz w:val="24"/>
          <w:szCs w:val="24"/>
          <w:lang w:eastAsia="lv-LV"/>
        </w:rPr>
        <w:t>ā sasniedzot rindu sam</w:t>
      </w:r>
      <w:r w:rsidR="00F90B4D" w:rsidRPr="00807345">
        <w:rPr>
          <w:rFonts w:ascii="Times New Roman" w:hAnsi="Times New Roman"/>
          <w:noProof/>
          <w:sz w:val="24"/>
          <w:szCs w:val="24"/>
          <w:lang w:eastAsia="lv-LV"/>
        </w:rPr>
        <w:t xml:space="preserve">azinājumu par 50%, nepieciešams ambulatoro pakalpojumu pieejamībā ieguldīt </w:t>
      </w:r>
      <w:r w:rsidR="00F90B4D" w:rsidRPr="00807345">
        <w:rPr>
          <w:rFonts w:ascii="Times New Roman" w:hAnsi="Times New Roman"/>
          <w:sz w:val="24"/>
        </w:rPr>
        <w:t xml:space="preserve">vēl vismaz </w:t>
      </w:r>
      <w:r w:rsidR="00011826" w:rsidRPr="00807345">
        <w:rPr>
          <w:rFonts w:ascii="Times New Roman" w:hAnsi="Times New Roman"/>
          <w:sz w:val="24"/>
        </w:rPr>
        <w:t>24 898 970</w:t>
      </w:r>
      <w:r w:rsidR="00F90B4D" w:rsidRPr="00807345">
        <w:rPr>
          <w:rFonts w:ascii="Times New Roman" w:hAnsi="Times New Roman"/>
          <w:sz w:val="24"/>
        </w:rPr>
        <w:t xml:space="preserve"> </w:t>
      </w:r>
      <w:r w:rsidR="00F90B4D" w:rsidRPr="00807345">
        <w:rPr>
          <w:rFonts w:ascii="Times New Roman" w:hAnsi="Times New Roman"/>
          <w:i/>
          <w:sz w:val="24"/>
        </w:rPr>
        <w:t>euro</w:t>
      </w:r>
      <w:r w:rsidR="006C3AD0" w:rsidRPr="00807345">
        <w:rPr>
          <w:rFonts w:ascii="Times New Roman" w:hAnsi="Times New Roman"/>
          <w:i/>
          <w:sz w:val="24"/>
        </w:rPr>
        <w:t xml:space="preserve"> </w:t>
      </w:r>
      <w:r w:rsidR="006C3AD0" w:rsidRPr="00807345">
        <w:rPr>
          <w:rFonts w:ascii="Times New Roman" w:hAnsi="Times New Roman"/>
          <w:sz w:val="24"/>
        </w:rPr>
        <w:t>gadā</w:t>
      </w:r>
      <w:r w:rsidR="00F90B4D" w:rsidRPr="00807345">
        <w:rPr>
          <w:rFonts w:ascii="Times New Roman" w:hAnsi="Times New Roman"/>
          <w:sz w:val="24"/>
        </w:rPr>
        <w:t xml:space="preserve">, sniedzot vēl papildus </w:t>
      </w:r>
      <w:r w:rsidR="00011826" w:rsidRPr="00807345">
        <w:rPr>
          <w:rFonts w:ascii="Times New Roman" w:hAnsi="Times New Roman"/>
          <w:sz w:val="24"/>
        </w:rPr>
        <w:t>1 096 219</w:t>
      </w:r>
      <w:r w:rsidR="006134C6" w:rsidRPr="00807345">
        <w:rPr>
          <w:rFonts w:ascii="Times New Roman" w:hAnsi="Times New Roman"/>
          <w:sz w:val="24"/>
        </w:rPr>
        <w:t xml:space="preserve"> </w:t>
      </w:r>
      <w:r w:rsidR="006134C6" w:rsidRPr="00807345">
        <w:rPr>
          <w:rFonts w:ascii="Times New Roman" w:hAnsi="Times New Roman"/>
          <w:noProof/>
          <w:sz w:val="24"/>
          <w:szCs w:val="24"/>
          <w:lang w:eastAsia="lv-LV"/>
        </w:rPr>
        <w:t>pakalpojumus</w:t>
      </w:r>
      <w:r w:rsidR="00F90B4D" w:rsidRPr="00807345">
        <w:rPr>
          <w:rFonts w:ascii="Times New Roman" w:hAnsi="Times New Roman"/>
          <w:noProof/>
          <w:sz w:val="24"/>
          <w:szCs w:val="24"/>
          <w:lang w:eastAsia="lv-LV"/>
        </w:rPr>
        <w:t>.</w:t>
      </w:r>
    </w:p>
    <w:p w14:paraId="184148F3" w14:textId="56CB0D1C" w:rsidR="00F90B4D" w:rsidRPr="008603A3" w:rsidRDefault="002B2539" w:rsidP="00CB24E5">
      <w:pPr>
        <w:ind w:firstLine="709"/>
        <w:jc w:val="both"/>
        <w:rPr>
          <w:rFonts w:ascii="Times New Roman" w:hAnsi="Times New Roman"/>
          <w:noProof/>
          <w:sz w:val="24"/>
          <w:szCs w:val="24"/>
          <w:lang w:eastAsia="lv-LV"/>
        </w:rPr>
      </w:pPr>
      <w:r>
        <w:rPr>
          <w:rFonts w:ascii="Times New Roman" w:hAnsi="Times New Roman"/>
          <w:noProof/>
          <w:sz w:val="24"/>
          <w:szCs w:val="24"/>
          <w:lang w:eastAsia="lv-LV"/>
        </w:rPr>
        <w:t>Tomēr papildus iedzīvotājiem pieejamo pakalpojumu apjomu ierobežo arī ārstniecības iestāžu spēja sniegt nepieciešamos pakalpojumus valsts p</w:t>
      </w:r>
      <w:r w:rsidR="00CB24E5">
        <w:rPr>
          <w:rFonts w:ascii="Times New Roman" w:hAnsi="Times New Roman"/>
          <w:noProof/>
          <w:sz w:val="24"/>
          <w:szCs w:val="24"/>
          <w:lang w:eastAsia="lv-LV"/>
        </w:rPr>
        <w:t>as</w:t>
      </w:r>
      <w:r w:rsidR="00886A9A">
        <w:rPr>
          <w:rFonts w:ascii="Times New Roman" w:hAnsi="Times New Roman"/>
          <w:noProof/>
          <w:sz w:val="24"/>
          <w:szCs w:val="24"/>
          <w:lang w:eastAsia="lv-LV"/>
        </w:rPr>
        <w:t>ūtī</w:t>
      </w:r>
      <w:r w:rsidR="00CB24E5">
        <w:rPr>
          <w:rFonts w:ascii="Times New Roman" w:hAnsi="Times New Roman"/>
          <w:noProof/>
          <w:sz w:val="24"/>
          <w:szCs w:val="24"/>
          <w:lang w:eastAsia="lv-LV"/>
        </w:rPr>
        <w:t>tajā</w:t>
      </w:r>
      <w:r>
        <w:rPr>
          <w:rFonts w:ascii="Times New Roman" w:hAnsi="Times New Roman"/>
          <w:noProof/>
          <w:sz w:val="24"/>
          <w:szCs w:val="24"/>
          <w:lang w:eastAsia="lv-LV"/>
        </w:rPr>
        <w:t xml:space="preserve"> apjomā. Tam pamatā ir faktiskajai tirgus cenai neatbilstošs pakalpojuma apmaksas tarifs, galvenokārt darba samaksas </w:t>
      </w:r>
      <w:r>
        <w:rPr>
          <w:rFonts w:ascii="Times New Roman" w:hAnsi="Times New Roman"/>
          <w:noProof/>
          <w:sz w:val="24"/>
          <w:szCs w:val="24"/>
          <w:lang w:eastAsia="lv-LV"/>
        </w:rPr>
        <w:lastRenderedPageBreak/>
        <w:t xml:space="preserve">jomā. </w:t>
      </w:r>
      <w:r w:rsidR="005E1B42" w:rsidRPr="008603A3">
        <w:rPr>
          <w:rFonts w:ascii="Times New Roman" w:hAnsi="Times New Roman"/>
          <w:noProof/>
          <w:sz w:val="24"/>
          <w:szCs w:val="24"/>
          <w:lang w:eastAsia="lv-LV"/>
        </w:rPr>
        <w:t>NVD</w:t>
      </w:r>
      <w:r w:rsidRPr="008603A3">
        <w:rPr>
          <w:rFonts w:ascii="Times New Roman" w:hAnsi="Times New Roman"/>
          <w:noProof/>
          <w:sz w:val="24"/>
          <w:szCs w:val="24"/>
          <w:lang w:eastAsia="lv-LV"/>
        </w:rPr>
        <w:t xml:space="preserve"> </w:t>
      </w:r>
      <w:r w:rsidR="008724B8" w:rsidRPr="008603A3">
        <w:rPr>
          <w:rFonts w:ascii="Times New Roman" w:hAnsi="Times New Roman"/>
          <w:noProof/>
          <w:sz w:val="24"/>
          <w:szCs w:val="24"/>
          <w:lang w:eastAsia="lv-LV"/>
        </w:rPr>
        <w:t xml:space="preserve">2016.gada decembrī </w:t>
      </w:r>
      <w:r w:rsidRPr="008603A3">
        <w:rPr>
          <w:rFonts w:ascii="Times New Roman" w:hAnsi="Times New Roman"/>
          <w:noProof/>
          <w:sz w:val="24"/>
          <w:szCs w:val="24"/>
          <w:lang w:eastAsia="lv-LV"/>
        </w:rPr>
        <w:t>ir veicis pakalpojumu sniedzēju aptauju par iespējām turpmāk sniegt papildus ambulatoros veselības aprūpes pakalpojumus.</w:t>
      </w:r>
    </w:p>
    <w:p w14:paraId="2CC1613E" w14:textId="36CF6203" w:rsidR="00A07829" w:rsidRPr="008603A3" w:rsidRDefault="006E1FFA" w:rsidP="00A07829">
      <w:pPr>
        <w:spacing w:after="0" w:line="240" w:lineRule="auto"/>
        <w:ind w:firstLine="720"/>
        <w:jc w:val="right"/>
        <w:rPr>
          <w:rFonts w:ascii="Times New Roman" w:hAnsi="Times New Roman" w:cs="Times New Roman"/>
          <w:i/>
          <w:sz w:val="24"/>
          <w:szCs w:val="24"/>
        </w:rPr>
      </w:pPr>
      <w:r w:rsidRPr="008603A3">
        <w:rPr>
          <w:rFonts w:ascii="Times New Roman" w:hAnsi="Times New Roman" w:cs="Times New Roman"/>
          <w:i/>
          <w:sz w:val="24"/>
          <w:szCs w:val="24"/>
        </w:rPr>
        <w:t>3</w:t>
      </w:r>
      <w:r w:rsidR="00A07829" w:rsidRPr="008603A3">
        <w:rPr>
          <w:rFonts w:ascii="Times New Roman" w:hAnsi="Times New Roman" w:cs="Times New Roman"/>
          <w:i/>
          <w:sz w:val="24"/>
          <w:szCs w:val="24"/>
        </w:rPr>
        <w:t>.</w:t>
      </w:r>
      <w:r w:rsidR="00251B35" w:rsidRPr="008603A3">
        <w:rPr>
          <w:rFonts w:ascii="Times New Roman" w:hAnsi="Times New Roman" w:cs="Times New Roman"/>
          <w:i/>
          <w:sz w:val="24"/>
          <w:szCs w:val="24"/>
        </w:rPr>
        <w:t>tabula</w:t>
      </w:r>
      <w:r w:rsidR="00A07829" w:rsidRPr="008603A3">
        <w:rPr>
          <w:rFonts w:ascii="Times New Roman" w:hAnsi="Times New Roman" w:cs="Times New Roman"/>
          <w:i/>
          <w:sz w:val="24"/>
          <w:szCs w:val="24"/>
        </w:rPr>
        <w:t xml:space="preserve"> </w:t>
      </w:r>
    </w:p>
    <w:p w14:paraId="3FD5D868" w14:textId="676A166E" w:rsidR="006E1FFA" w:rsidRDefault="008724B8" w:rsidP="006E1FFA">
      <w:pPr>
        <w:spacing w:after="120" w:line="240" w:lineRule="auto"/>
        <w:jc w:val="center"/>
        <w:rPr>
          <w:rFonts w:ascii="Times New Roman" w:hAnsi="Times New Roman"/>
          <w:noProof/>
          <w:sz w:val="24"/>
          <w:szCs w:val="24"/>
          <w:lang w:eastAsia="lv-LV"/>
        </w:rPr>
      </w:pPr>
      <w:r w:rsidRPr="008603A3">
        <w:rPr>
          <w:rFonts w:ascii="Times New Roman" w:hAnsi="Times New Roman" w:cs="Times New Roman"/>
          <w:b/>
          <w:sz w:val="24"/>
          <w:szCs w:val="24"/>
        </w:rPr>
        <w:t xml:space="preserve">Ārstniecības iestāžu </w:t>
      </w:r>
      <w:r w:rsidR="00BF5649" w:rsidRPr="008603A3">
        <w:rPr>
          <w:rFonts w:ascii="Times New Roman" w:hAnsi="Times New Roman" w:cs="Times New Roman"/>
          <w:b/>
          <w:sz w:val="24"/>
          <w:szCs w:val="24"/>
        </w:rPr>
        <w:t xml:space="preserve">iespējas sniegt </w:t>
      </w:r>
      <w:r w:rsidRPr="008603A3">
        <w:rPr>
          <w:rFonts w:ascii="Times New Roman" w:hAnsi="Times New Roman" w:cs="Times New Roman"/>
          <w:b/>
          <w:sz w:val="24"/>
          <w:szCs w:val="24"/>
        </w:rPr>
        <w:t>papildus veselības aprūpes pakalpojumu</w:t>
      </w:r>
      <w:r w:rsidR="00BF5649" w:rsidRPr="008603A3">
        <w:rPr>
          <w:rFonts w:ascii="Times New Roman" w:hAnsi="Times New Roman" w:cs="Times New Roman"/>
          <w:b/>
          <w:sz w:val="24"/>
          <w:szCs w:val="24"/>
        </w:rPr>
        <w:t>s</w:t>
      </w:r>
    </w:p>
    <w:tbl>
      <w:tblPr>
        <w:tblW w:w="6091" w:type="dxa"/>
        <w:jc w:val="center"/>
        <w:tblLook w:val="04A0" w:firstRow="1" w:lastRow="0" w:firstColumn="1" w:lastColumn="0" w:noHBand="0" w:noVBand="1"/>
      </w:tblPr>
      <w:tblGrid>
        <w:gridCol w:w="864"/>
        <w:gridCol w:w="2959"/>
        <w:gridCol w:w="2268"/>
      </w:tblGrid>
      <w:tr w:rsidR="002B2539" w:rsidRPr="002B2539" w14:paraId="33627D1C" w14:textId="77777777" w:rsidTr="003B1B5C">
        <w:trPr>
          <w:trHeight w:val="276"/>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5929864" w14:textId="045D61A1" w:rsidR="002B2539" w:rsidRPr="002B2539" w:rsidRDefault="002B2539" w:rsidP="00A07829">
            <w:pPr>
              <w:spacing w:after="0" w:line="240" w:lineRule="auto"/>
              <w:jc w:val="center"/>
              <w:rPr>
                <w:rFonts w:ascii="Times New Roman" w:eastAsia="Times New Roman" w:hAnsi="Times New Roman" w:cs="Times New Roman"/>
                <w:b/>
                <w:bCs/>
                <w:color w:val="000000"/>
                <w:sz w:val="24"/>
                <w:szCs w:val="24"/>
                <w:lang w:eastAsia="lv-LV"/>
              </w:rPr>
            </w:pPr>
            <w:r w:rsidRPr="002B2539">
              <w:rPr>
                <w:rFonts w:ascii="Times New Roman" w:eastAsia="Times New Roman" w:hAnsi="Times New Roman" w:cs="Times New Roman"/>
                <w:b/>
                <w:bCs/>
                <w:color w:val="000000"/>
                <w:sz w:val="24"/>
                <w:szCs w:val="24"/>
                <w:lang w:eastAsia="lv-LV"/>
              </w:rPr>
              <w:t>Nr. p. k.</w:t>
            </w:r>
          </w:p>
        </w:tc>
        <w:tc>
          <w:tcPr>
            <w:tcW w:w="295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3ED1F06" w14:textId="77777777" w:rsidR="002B2539" w:rsidRPr="002B2539" w:rsidRDefault="002B2539" w:rsidP="00A07829">
            <w:pPr>
              <w:spacing w:after="0" w:line="240" w:lineRule="auto"/>
              <w:jc w:val="center"/>
              <w:rPr>
                <w:rFonts w:ascii="Times New Roman" w:eastAsia="Times New Roman" w:hAnsi="Times New Roman" w:cs="Times New Roman"/>
                <w:b/>
                <w:bCs/>
                <w:color w:val="000000"/>
                <w:sz w:val="24"/>
                <w:szCs w:val="24"/>
                <w:lang w:eastAsia="lv-LV"/>
              </w:rPr>
            </w:pPr>
            <w:r w:rsidRPr="002B2539">
              <w:rPr>
                <w:rFonts w:ascii="Times New Roman" w:eastAsia="Times New Roman" w:hAnsi="Times New Roman" w:cs="Times New Roman"/>
                <w:b/>
                <w:bCs/>
                <w:color w:val="000000"/>
                <w:sz w:val="24"/>
                <w:szCs w:val="24"/>
                <w:lang w:eastAsia="lv-LV"/>
              </w:rPr>
              <w:t>Pakalpojumu veids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6ACC1C31" w14:textId="2B01E176" w:rsidR="002B2539" w:rsidRPr="002B2539" w:rsidRDefault="003B1B5C" w:rsidP="00A0782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Pakalpojumu skaits</w:t>
            </w:r>
            <w:r w:rsidR="00D76DF3">
              <w:rPr>
                <w:rFonts w:ascii="Times New Roman" w:eastAsia="Times New Roman" w:hAnsi="Times New Roman" w:cs="Times New Roman"/>
                <w:b/>
                <w:bCs/>
                <w:color w:val="000000"/>
                <w:sz w:val="24"/>
                <w:szCs w:val="24"/>
                <w:lang w:eastAsia="lv-LV"/>
              </w:rPr>
              <w:t xml:space="preserve"> gadā</w:t>
            </w:r>
          </w:p>
        </w:tc>
      </w:tr>
      <w:tr w:rsidR="002B2539" w:rsidRPr="002B2539" w14:paraId="70FD64C4" w14:textId="77777777" w:rsidTr="003B1B5C">
        <w:trPr>
          <w:trHeight w:val="509"/>
          <w:jc w:val="center"/>
        </w:trPr>
        <w:tc>
          <w:tcPr>
            <w:tcW w:w="864"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4667802" w14:textId="77777777" w:rsidR="002B2539" w:rsidRPr="002B2539" w:rsidRDefault="002B2539" w:rsidP="002B2539">
            <w:pPr>
              <w:spacing w:after="0" w:line="240" w:lineRule="auto"/>
              <w:rPr>
                <w:rFonts w:ascii="Times New Roman" w:eastAsia="Times New Roman" w:hAnsi="Times New Roman" w:cs="Times New Roman"/>
                <w:bCs/>
                <w:color w:val="000000"/>
                <w:sz w:val="24"/>
                <w:szCs w:val="24"/>
                <w:lang w:eastAsia="lv-LV"/>
              </w:rPr>
            </w:pPr>
          </w:p>
        </w:tc>
        <w:tc>
          <w:tcPr>
            <w:tcW w:w="2959"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A16C097" w14:textId="77777777" w:rsidR="002B2539" w:rsidRPr="002B2539" w:rsidRDefault="002B2539" w:rsidP="002B2539">
            <w:pPr>
              <w:spacing w:after="0" w:line="240" w:lineRule="auto"/>
              <w:rPr>
                <w:rFonts w:ascii="Times New Roman" w:eastAsia="Times New Roman" w:hAnsi="Times New Roman" w:cs="Times New Roman"/>
                <w:bCs/>
                <w:color w:val="000000"/>
                <w:sz w:val="24"/>
                <w:szCs w:val="24"/>
                <w:lang w:eastAsia="lv-LV"/>
              </w:rPr>
            </w:pPr>
          </w:p>
        </w:tc>
        <w:tc>
          <w:tcPr>
            <w:tcW w:w="2268"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5E72EDB" w14:textId="77777777" w:rsidR="002B2539" w:rsidRPr="002B2539" w:rsidRDefault="002B2539" w:rsidP="002B2539">
            <w:pPr>
              <w:spacing w:after="0" w:line="240" w:lineRule="auto"/>
              <w:rPr>
                <w:rFonts w:ascii="Times New Roman" w:eastAsia="Times New Roman" w:hAnsi="Times New Roman" w:cs="Times New Roman"/>
                <w:bCs/>
                <w:color w:val="000000"/>
                <w:sz w:val="24"/>
                <w:szCs w:val="24"/>
                <w:lang w:eastAsia="lv-LV"/>
              </w:rPr>
            </w:pPr>
          </w:p>
        </w:tc>
      </w:tr>
      <w:tr w:rsidR="002B2539" w:rsidRPr="002B2539" w14:paraId="59AD2277" w14:textId="77777777" w:rsidTr="00C14920">
        <w:trPr>
          <w:trHeight w:val="300"/>
          <w:jc w:val="center"/>
        </w:trPr>
        <w:tc>
          <w:tcPr>
            <w:tcW w:w="864"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14:paraId="440FB1E8" w14:textId="77777777" w:rsidR="002B2539" w:rsidRPr="002B2539" w:rsidRDefault="002B2539" w:rsidP="002B2539">
            <w:pPr>
              <w:spacing w:after="0" w:line="240" w:lineRule="auto"/>
              <w:jc w:val="center"/>
              <w:rPr>
                <w:rFonts w:ascii="Times New Roman" w:eastAsia="Times New Roman" w:hAnsi="Times New Roman" w:cs="Times New Roman"/>
                <w:color w:val="000000"/>
                <w:sz w:val="20"/>
                <w:szCs w:val="20"/>
                <w:lang w:eastAsia="lv-LV"/>
              </w:rPr>
            </w:pPr>
            <w:r w:rsidRPr="002B2539">
              <w:rPr>
                <w:rFonts w:ascii="Times New Roman" w:eastAsia="Times New Roman" w:hAnsi="Times New Roman" w:cs="Times New Roman"/>
                <w:color w:val="000000"/>
                <w:sz w:val="20"/>
                <w:szCs w:val="20"/>
                <w:lang w:eastAsia="lv-LV"/>
              </w:rPr>
              <w:t>1</w:t>
            </w:r>
          </w:p>
        </w:tc>
        <w:tc>
          <w:tcPr>
            <w:tcW w:w="2959" w:type="dxa"/>
            <w:tcBorders>
              <w:top w:val="nil"/>
              <w:left w:val="nil"/>
              <w:bottom w:val="single" w:sz="4" w:space="0" w:color="auto"/>
              <w:right w:val="single" w:sz="4" w:space="0" w:color="auto"/>
            </w:tcBorders>
            <w:shd w:val="clear" w:color="auto" w:fill="FBD4B4" w:themeFill="accent6" w:themeFillTint="66"/>
            <w:vAlign w:val="bottom"/>
            <w:hideMark/>
          </w:tcPr>
          <w:p w14:paraId="2928F11E" w14:textId="77777777" w:rsidR="002B2539" w:rsidRPr="002B2539" w:rsidRDefault="002B2539" w:rsidP="002B2539">
            <w:pPr>
              <w:spacing w:after="0" w:line="240" w:lineRule="auto"/>
              <w:jc w:val="center"/>
              <w:rPr>
                <w:rFonts w:ascii="Times New Roman" w:eastAsia="Times New Roman" w:hAnsi="Times New Roman" w:cs="Times New Roman"/>
                <w:color w:val="000000"/>
                <w:sz w:val="20"/>
                <w:szCs w:val="20"/>
                <w:lang w:eastAsia="lv-LV"/>
              </w:rPr>
            </w:pPr>
            <w:r w:rsidRPr="002B2539">
              <w:rPr>
                <w:rFonts w:ascii="Times New Roman" w:eastAsia="Times New Roman" w:hAnsi="Times New Roman" w:cs="Times New Roman"/>
                <w:color w:val="000000"/>
                <w:sz w:val="20"/>
                <w:szCs w:val="20"/>
                <w:lang w:eastAsia="lv-LV"/>
              </w:rPr>
              <w:t>2</w:t>
            </w:r>
          </w:p>
        </w:tc>
        <w:tc>
          <w:tcPr>
            <w:tcW w:w="2268" w:type="dxa"/>
            <w:tcBorders>
              <w:top w:val="nil"/>
              <w:left w:val="nil"/>
              <w:bottom w:val="single" w:sz="4" w:space="0" w:color="auto"/>
              <w:right w:val="single" w:sz="4" w:space="0" w:color="auto"/>
            </w:tcBorders>
            <w:shd w:val="clear" w:color="auto" w:fill="FBD4B4" w:themeFill="accent6" w:themeFillTint="66"/>
            <w:vAlign w:val="bottom"/>
            <w:hideMark/>
          </w:tcPr>
          <w:p w14:paraId="22B6CB97" w14:textId="77777777" w:rsidR="002B2539" w:rsidRPr="002B2539" w:rsidRDefault="002B2539" w:rsidP="002B2539">
            <w:pPr>
              <w:spacing w:after="0" w:line="240" w:lineRule="auto"/>
              <w:jc w:val="center"/>
              <w:rPr>
                <w:rFonts w:ascii="Times New Roman" w:eastAsia="Times New Roman" w:hAnsi="Times New Roman" w:cs="Times New Roman"/>
                <w:color w:val="000000"/>
                <w:sz w:val="20"/>
                <w:szCs w:val="20"/>
                <w:lang w:eastAsia="lv-LV"/>
              </w:rPr>
            </w:pPr>
            <w:r w:rsidRPr="002B2539">
              <w:rPr>
                <w:rFonts w:ascii="Times New Roman" w:eastAsia="Times New Roman" w:hAnsi="Times New Roman" w:cs="Times New Roman"/>
                <w:color w:val="000000"/>
                <w:sz w:val="20"/>
                <w:szCs w:val="20"/>
                <w:lang w:eastAsia="lv-LV"/>
              </w:rPr>
              <w:t>3</w:t>
            </w:r>
          </w:p>
        </w:tc>
      </w:tr>
      <w:tr w:rsidR="002B2539" w:rsidRPr="002B2539" w14:paraId="41723AA1" w14:textId="77777777" w:rsidTr="003B1B5C">
        <w:trPr>
          <w:trHeight w:val="315"/>
          <w:jc w:val="center"/>
        </w:trPr>
        <w:tc>
          <w:tcPr>
            <w:tcW w:w="864" w:type="dxa"/>
            <w:tcBorders>
              <w:top w:val="nil"/>
              <w:left w:val="single" w:sz="4" w:space="0" w:color="auto"/>
              <w:bottom w:val="single" w:sz="4" w:space="0" w:color="auto"/>
              <w:right w:val="single" w:sz="4" w:space="0" w:color="auto"/>
            </w:tcBorders>
            <w:shd w:val="clear" w:color="auto" w:fill="auto"/>
            <w:vAlign w:val="bottom"/>
            <w:hideMark/>
          </w:tcPr>
          <w:p w14:paraId="62101B6D"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1</w:t>
            </w:r>
          </w:p>
        </w:tc>
        <w:tc>
          <w:tcPr>
            <w:tcW w:w="2959" w:type="dxa"/>
            <w:tcBorders>
              <w:top w:val="nil"/>
              <w:left w:val="nil"/>
              <w:bottom w:val="single" w:sz="4" w:space="0" w:color="auto"/>
              <w:right w:val="single" w:sz="4" w:space="0" w:color="auto"/>
            </w:tcBorders>
            <w:shd w:val="clear" w:color="auto" w:fill="auto"/>
            <w:noWrap/>
            <w:vAlign w:val="bottom"/>
            <w:hideMark/>
          </w:tcPr>
          <w:p w14:paraId="1EF90987" w14:textId="77777777" w:rsidR="002B2539" w:rsidRPr="002B2539" w:rsidRDefault="002B2539" w:rsidP="002B2539">
            <w:pPr>
              <w:spacing w:after="0" w:line="240" w:lineRule="auto"/>
              <w:rPr>
                <w:rFonts w:ascii="Times New Roman" w:eastAsia="Times New Roman" w:hAnsi="Times New Roman" w:cs="Times New Roman"/>
                <w:color w:val="000000"/>
                <w:sz w:val="24"/>
                <w:szCs w:val="24"/>
                <w:lang w:eastAsia="lv-LV"/>
              </w:rPr>
            </w:pPr>
            <w:r w:rsidRPr="002B2539">
              <w:rPr>
                <w:rFonts w:ascii="Times New Roman" w:eastAsia="Times New Roman" w:hAnsi="Times New Roman" w:cs="Times New Roman"/>
                <w:color w:val="000000"/>
                <w:sz w:val="24"/>
                <w:szCs w:val="24"/>
                <w:lang w:eastAsia="lv-LV"/>
              </w:rPr>
              <w:t>Izmeklējumi</w:t>
            </w:r>
          </w:p>
        </w:tc>
        <w:tc>
          <w:tcPr>
            <w:tcW w:w="2268" w:type="dxa"/>
            <w:tcBorders>
              <w:top w:val="nil"/>
              <w:left w:val="nil"/>
              <w:bottom w:val="single" w:sz="4" w:space="0" w:color="auto"/>
              <w:right w:val="single" w:sz="4" w:space="0" w:color="auto"/>
            </w:tcBorders>
            <w:shd w:val="clear" w:color="auto" w:fill="auto"/>
            <w:noWrap/>
            <w:vAlign w:val="bottom"/>
            <w:hideMark/>
          </w:tcPr>
          <w:p w14:paraId="52EF4D38"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615 663</w:t>
            </w:r>
          </w:p>
        </w:tc>
      </w:tr>
      <w:tr w:rsidR="002B2539" w:rsidRPr="002B2539" w14:paraId="190DF832" w14:textId="77777777" w:rsidTr="003B1B5C">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64011CC"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2</w:t>
            </w:r>
          </w:p>
        </w:tc>
        <w:tc>
          <w:tcPr>
            <w:tcW w:w="2959" w:type="dxa"/>
            <w:tcBorders>
              <w:top w:val="nil"/>
              <w:left w:val="nil"/>
              <w:bottom w:val="single" w:sz="4" w:space="0" w:color="auto"/>
              <w:right w:val="single" w:sz="4" w:space="0" w:color="auto"/>
            </w:tcBorders>
            <w:shd w:val="clear" w:color="auto" w:fill="auto"/>
            <w:noWrap/>
            <w:vAlign w:val="bottom"/>
            <w:hideMark/>
          </w:tcPr>
          <w:p w14:paraId="72F79ABE" w14:textId="77777777" w:rsidR="002B2539" w:rsidRPr="002B2539" w:rsidRDefault="002B2539" w:rsidP="002B2539">
            <w:pPr>
              <w:spacing w:after="0" w:line="240" w:lineRule="auto"/>
              <w:rPr>
                <w:rFonts w:ascii="Times New Roman" w:eastAsia="Times New Roman" w:hAnsi="Times New Roman" w:cs="Times New Roman"/>
                <w:color w:val="000000"/>
                <w:sz w:val="24"/>
                <w:szCs w:val="24"/>
                <w:lang w:eastAsia="lv-LV"/>
              </w:rPr>
            </w:pPr>
            <w:r w:rsidRPr="002B2539">
              <w:rPr>
                <w:rFonts w:ascii="Times New Roman" w:eastAsia="Times New Roman" w:hAnsi="Times New Roman" w:cs="Times New Roman"/>
                <w:color w:val="000000"/>
                <w:sz w:val="24"/>
                <w:szCs w:val="24"/>
                <w:lang w:eastAsia="lv-LV"/>
              </w:rPr>
              <w:t>Rehabilitācijas pakalpojumi</w:t>
            </w:r>
          </w:p>
        </w:tc>
        <w:tc>
          <w:tcPr>
            <w:tcW w:w="2268" w:type="dxa"/>
            <w:tcBorders>
              <w:top w:val="nil"/>
              <w:left w:val="nil"/>
              <w:bottom w:val="single" w:sz="4" w:space="0" w:color="auto"/>
              <w:right w:val="single" w:sz="4" w:space="0" w:color="auto"/>
            </w:tcBorders>
            <w:shd w:val="clear" w:color="auto" w:fill="auto"/>
            <w:noWrap/>
            <w:vAlign w:val="bottom"/>
            <w:hideMark/>
          </w:tcPr>
          <w:p w14:paraId="1FF870D9"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334 154</w:t>
            </w:r>
          </w:p>
        </w:tc>
      </w:tr>
      <w:tr w:rsidR="002B2539" w:rsidRPr="002B2539" w14:paraId="43B91A6C" w14:textId="77777777" w:rsidTr="003B1B5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754F4"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3</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F6B8" w14:textId="77777777" w:rsidR="002B2539" w:rsidRPr="002B2539" w:rsidRDefault="002B2539" w:rsidP="002B2539">
            <w:pPr>
              <w:spacing w:after="0" w:line="240" w:lineRule="auto"/>
              <w:rPr>
                <w:rFonts w:ascii="Times New Roman" w:eastAsia="Times New Roman" w:hAnsi="Times New Roman" w:cs="Times New Roman"/>
                <w:color w:val="000000"/>
                <w:sz w:val="24"/>
                <w:szCs w:val="24"/>
                <w:lang w:eastAsia="lv-LV"/>
              </w:rPr>
            </w:pPr>
            <w:r w:rsidRPr="002B2539">
              <w:rPr>
                <w:rFonts w:ascii="Times New Roman" w:eastAsia="Times New Roman" w:hAnsi="Times New Roman" w:cs="Times New Roman"/>
                <w:color w:val="000000"/>
                <w:sz w:val="24"/>
                <w:szCs w:val="24"/>
                <w:lang w:eastAsia="lv-LV"/>
              </w:rPr>
              <w:t>Speciālistu konsultācijas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E822"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550 548</w:t>
            </w:r>
          </w:p>
        </w:tc>
      </w:tr>
      <w:tr w:rsidR="002B2539" w:rsidRPr="002B2539" w14:paraId="6D31D33F" w14:textId="77777777" w:rsidTr="003B1B5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724F"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4</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14:paraId="7D2908B4" w14:textId="77777777" w:rsidR="002B2539" w:rsidRPr="002B2539" w:rsidRDefault="002B2539" w:rsidP="002B2539">
            <w:pPr>
              <w:spacing w:after="0" w:line="240" w:lineRule="auto"/>
              <w:rPr>
                <w:rFonts w:ascii="Times New Roman" w:eastAsia="Times New Roman" w:hAnsi="Times New Roman" w:cs="Times New Roman"/>
                <w:color w:val="000000"/>
                <w:sz w:val="24"/>
                <w:szCs w:val="24"/>
                <w:lang w:eastAsia="lv-LV"/>
              </w:rPr>
            </w:pPr>
            <w:r w:rsidRPr="002B2539">
              <w:rPr>
                <w:rFonts w:ascii="Times New Roman" w:eastAsia="Times New Roman" w:hAnsi="Times New Roman" w:cs="Times New Roman"/>
                <w:color w:val="000000"/>
                <w:sz w:val="24"/>
                <w:szCs w:val="24"/>
                <w:lang w:eastAsia="lv-LV"/>
              </w:rPr>
              <w:t>Dienas stacionārs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A3FD096" w14:textId="77777777" w:rsidR="002B2539" w:rsidRPr="002B2539" w:rsidRDefault="002B2539" w:rsidP="002B2539">
            <w:pPr>
              <w:spacing w:after="0" w:line="240" w:lineRule="auto"/>
              <w:jc w:val="right"/>
              <w:rPr>
                <w:rFonts w:ascii="Times New Roman" w:eastAsia="Times New Roman" w:hAnsi="Times New Roman" w:cs="Times New Roman"/>
                <w:bCs/>
                <w:color w:val="000000"/>
                <w:sz w:val="24"/>
                <w:szCs w:val="24"/>
                <w:lang w:eastAsia="lv-LV"/>
              </w:rPr>
            </w:pPr>
            <w:r w:rsidRPr="002B2539">
              <w:rPr>
                <w:rFonts w:ascii="Times New Roman" w:eastAsia="Times New Roman" w:hAnsi="Times New Roman" w:cs="Times New Roman"/>
                <w:bCs/>
                <w:color w:val="000000"/>
                <w:sz w:val="24"/>
                <w:szCs w:val="24"/>
                <w:lang w:eastAsia="lv-LV"/>
              </w:rPr>
              <w:t>113 640</w:t>
            </w:r>
          </w:p>
        </w:tc>
      </w:tr>
      <w:tr w:rsidR="002B2539" w:rsidRPr="002B2539" w14:paraId="7B5AEEBD" w14:textId="77777777" w:rsidTr="00C14920">
        <w:trPr>
          <w:trHeight w:val="315"/>
          <w:jc w:val="center"/>
        </w:trPr>
        <w:tc>
          <w:tcPr>
            <w:tcW w:w="864"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14:paraId="2B82000A" w14:textId="60789344" w:rsidR="002B2539" w:rsidRPr="002B2539" w:rsidRDefault="002B2539" w:rsidP="002B2539">
            <w:pPr>
              <w:spacing w:after="0" w:line="240" w:lineRule="auto"/>
              <w:jc w:val="right"/>
              <w:rPr>
                <w:rFonts w:ascii="Times New Roman" w:eastAsia="Times New Roman" w:hAnsi="Times New Roman" w:cs="Times New Roman"/>
                <w:b/>
                <w:bCs/>
                <w:color w:val="000000"/>
                <w:sz w:val="24"/>
                <w:szCs w:val="24"/>
                <w:lang w:eastAsia="lv-LV"/>
              </w:rPr>
            </w:pPr>
          </w:p>
        </w:tc>
        <w:tc>
          <w:tcPr>
            <w:tcW w:w="2959" w:type="dxa"/>
            <w:tcBorders>
              <w:top w:val="nil"/>
              <w:left w:val="nil"/>
              <w:bottom w:val="single" w:sz="4" w:space="0" w:color="auto"/>
              <w:right w:val="single" w:sz="4" w:space="0" w:color="auto"/>
            </w:tcBorders>
            <w:shd w:val="clear" w:color="auto" w:fill="FBD4B4" w:themeFill="accent6" w:themeFillTint="66"/>
            <w:noWrap/>
            <w:vAlign w:val="bottom"/>
            <w:hideMark/>
          </w:tcPr>
          <w:p w14:paraId="354845B1" w14:textId="77777777" w:rsidR="002B2539" w:rsidRPr="002B2539" w:rsidRDefault="002B2539" w:rsidP="002B2539">
            <w:pPr>
              <w:spacing w:after="0" w:line="240" w:lineRule="auto"/>
              <w:rPr>
                <w:rFonts w:ascii="Times New Roman" w:eastAsia="Times New Roman" w:hAnsi="Times New Roman" w:cs="Times New Roman"/>
                <w:b/>
                <w:bCs/>
                <w:color w:val="000000"/>
                <w:sz w:val="24"/>
                <w:szCs w:val="24"/>
                <w:lang w:eastAsia="lv-LV"/>
              </w:rPr>
            </w:pPr>
            <w:r w:rsidRPr="002B2539">
              <w:rPr>
                <w:rFonts w:ascii="Times New Roman" w:eastAsia="Times New Roman" w:hAnsi="Times New Roman" w:cs="Times New Roman"/>
                <w:b/>
                <w:bCs/>
                <w:color w:val="000000"/>
                <w:sz w:val="24"/>
                <w:szCs w:val="24"/>
                <w:lang w:eastAsia="lv-LV"/>
              </w:rPr>
              <w:t>Kopā</w:t>
            </w:r>
          </w:p>
        </w:tc>
        <w:tc>
          <w:tcPr>
            <w:tcW w:w="2268" w:type="dxa"/>
            <w:tcBorders>
              <w:top w:val="nil"/>
              <w:left w:val="nil"/>
              <w:bottom w:val="single" w:sz="4" w:space="0" w:color="auto"/>
              <w:right w:val="single" w:sz="4" w:space="0" w:color="auto"/>
            </w:tcBorders>
            <w:shd w:val="clear" w:color="auto" w:fill="FBD4B4" w:themeFill="accent6" w:themeFillTint="66"/>
            <w:noWrap/>
            <w:vAlign w:val="bottom"/>
            <w:hideMark/>
          </w:tcPr>
          <w:p w14:paraId="30A66AC6" w14:textId="77777777" w:rsidR="002B2539" w:rsidRPr="002B2539" w:rsidRDefault="002B2539" w:rsidP="002B2539">
            <w:pPr>
              <w:spacing w:after="0" w:line="240" w:lineRule="auto"/>
              <w:jc w:val="right"/>
              <w:rPr>
                <w:rFonts w:ascii="Times New Roman" w:eastAsia="Times New Roman" w:hAnsi="Times New Roman" w:cs="Times New Roman"/>
                <w:b/>
                <w:bCs/>
                <w:color w:val="000000"/>
                <w:sz w:val="24"/>
                <w:szCs w:val="24"/>
                <w:lang w:eastAsia="lv-LV"/>
              </w:rPr>
            </w:pPr>
            <w:r w:rsidRPr="002B2539">
              <w:rPr>
                <w:rFonts w:ascii="Times New Roman" w:eastAsia="Times New Roman" w:hAnsi="Times New Roman" w:cs="Times New Roman"/>
                <w:b/>
                <w:bCs/>
                <w:color w:val="000000"/>
                <w:sz w:val="24"/>
                <w:szCs w:val="24"/>
                <w:lang w:eastAsia="lv-LV"/>
              </w:rPr>
              <w:t>1 614 005</w:t>
            </w:r>
          </w:p>
        </w:tc>
      </w:tr>
    </w:tbl>
    <w:p w14:paraId="32C90CFC" w14:textId="5E6F529E" w:rsidR="002B2539" w:rsidRPr="008603A3" w:rsidRDefault="006E1FFA" w:rsidP="006E1FFA">
      <w:pPr>
        <w:jc w:val="both"/>
        <w:rPr>
          <w:rFonts w:ascii="Times New Roman" w:hAnsi="Times New Roman" w:cs="Times New Roman"/>
          <w:i/>
          <w:sz w:val="20"/>
          <w:szCs w:val="20"/>
        </w:rPr>
      </w:pPr>
      <w:r w:rsidRPr="006E1FFA">
        <w:rPr>
          <w:rFonts w:ascii="Times New Roman" w:hAnsi="Times New Roman" w:cs="Times New Roman"/>
          <w:i/>
          <w:sz w:val="20"/>
          <w:szCs w:val="20"/>
        </w:rPr>
        <w:t>Avots</w:t>
      </w:r>
      <w:r w:rsidRPr="008603A3">
        <w:rPr>
          <w:rFonts w:ascii="Times New Roman" w:hAnsi="Times New Roman" w:cs="Times New Roman"/>
          <w:i/>
          <w:sz w:val="20"/>
          <w:szCs w:val="20"/>
        </w:rPr>
        <w:t>:</w:t>
      </w:r>
      <w:r w:rsidR="008724B8" w:rsidRPr="008603A3">
        <w:rPr>
          <w:rFonts w:ascii="Times New Roman" w:hAnsi="Times New Roman" w:cs="Times New Roman"/>
          <w:i/>
          <w:sz w:val="20"/>
          <w:szCs w:val="20"/>
        </w:rPr>
        <w:t xml:space="preserve"> </w:t>
      </w:r>
      <w:r w:rsidRPr="008603A3">
        <w:rPr>
          <w:rFonts w:ascii="Times New Roman" w:hAnsi="Times New Roman" w:cs="Times New Roman"/>
          <w:i/>
          <w:sz w:val="20"/>
          <w:szCs w:val="20"/>
        </w:rPr>
        <w:t>NVD</w:t>
      </w:r>
      <w:r w:rsidR="00BF5649" w:rsidRPr="008603A3">
        <w:rPr>
          <w:rFonts w:ascii="Times New Roman" w:hAnsi="Times New Roman" w:cs="Times New Roman"/>
          <w:i/>
          <w:sz w:val="20"/>
          <w:szCs w:val="20"/>
        </w:rPr>
        <w:t>, 2016.gada decembra aptaujas dati</w:t>
      </w:r>
    </w:p>
    <w:p w14:paraId="0E771A5F" w14:textId="6A2D7F4E" w:rsidR="00681B7B" w:rsidRPr="008603A3" w:rsidRDefault="003B1B5C" w:rsidP="00CA32FD">
      <w:pPr>
        <w:ind w:firstLine="709"/>
        <w:jc w:val="both"/>
        <w:rPr>
          <w:rFonts w:ascii="Times New Roman" w:hAnsi="Times New Roman"/>
          <w:noProof/>
          <w:sz w:val="24"/>
          <w:szCs w:val="24"/>
          <w:lang w:eastAsia="lv-LV"/>
        </w:rPr>
      </w:pPr>
      <w:r w:rsidRPr="008603A3">
        <w:rPr>
          <w:rFonts w:ascii="Times New Roman" w:hAnsi="Times New Roman"/>
          <w:noProof/>
          <w:sz w:val="24"/>
          <w:szCs w:val="24"/>
          <w:lang w:eastAsia="lv-LV"/>
        </w:rPr>
        <w:t>Ņemot vērā ārstniecības iestāžu pieejamos resursus</w:t>
      </w:r>
      <w:r w:rsidR="00633EA3" w:rsidRPr="008603A3">
        <w:rPr>
          <w:rFonts w:ascii="Times New Roman" w:hAnsi="Times New Roman"/>
          <w:noProof/>
          <w:sz w:val="24"/>
          <w:szCs w:val="24"/>
          <w:lang w:eastAsia="lv-LV"/>
        </w:rPr>
        <w:t>, tikai ambulator</w:t>
      </w:r>
      <w:r w:rsidR="00FB6020" w:rsidRPr="008603A3">
        <w:rPr>
          <w:rFonts w:ascii="Times New Roman" w:hAnsi="Times New Roman"/>
          <w:noProof/>
          <w:sz w:val="24"/>
          <w:szCs w:val="24"/>
          <w:lang w:eastAsia="lv-LV"/>
        </w:rPr>
        <w:t>aj</w:t>
      </w:r>
      <w:r w:rsidR="00633EA3" w:rsidRPr="008603A3">
        <w:rPr>
          <w:rFonts w:ascii="Times New Roman" w:hAnsi="Times New Roman"/>
          <w:noProof/>
          <w:sz w:val="24"/>
          <w:szCs w:val="24"/>
          <w:lang w:eastAsia="lv-LV"/>
        </w:rPr>
        <w:t>ā rehabilitācijā iespējams nodrošināt piedāvājumu atbilstoši papildus nepieciešamajam pakalpojumu skaitam</w:t>
      </w:r>
      <w:r w:rsidR="00C14920" w:rsidRPr="008603A3">
        <w:rPr>
          <w:rFonts w:ascii="Times New Roman" w:hAnsi="Times New Roman"/>
          <w:noProof/>
          <w:sz w:val="24"/>
          <w:szCs w:val="24"/>
          <w:lang w:eastAsia="lv-LV"/>
        </w:rPr>
        <w:t xml:space="preserve"> 2018. un 2019.gadā</w:t>
      </w:r>
      <w:r w:rsidR="00633EA3" w:rsidRPr="008603A3">
        <w:rPr>
          <w:rFonts w:ascii="Times New Roman" w:hAnsi="Times New Roman"/>
          <w:noProof/>
          <w:sz w:val="24"/>
          <w:szCs w:val="24"/>
          <w:lang w:eastAsia="lv-LV"/>
        </w:rPr>
        <w:t xml:space="preserve">. Savukārt izmeklējumus, speciālistu konsultācijas un dienas stacionāra pakalpojumus esošajā situācijā nav iespējams nodrošināt sekmīgas intervences turpināšanai nepieciešamajā apjomā. </w:t>
      </w:r>
    </w:p>
    <w:p w14:paraId="00B1A88B" w14:textId="77777777" w:rsidR="00E130C0" w:rsidRDefault="00633EA3" w:rsidP="00633EA3">
      <w:pPr>
        <w:ind w:firstLine="709"/>
        <w:jc w:val="both"/>
        <w:rPr>
          <w:rFonts w:ascii="Times New Roman" w:hAnsi="Times New Roman"/>
          <w:noProof/>
          <w:sz w:val="24"/>
          <w:szCs w:val="24"/>
          <w:lang w:eastAsia="lv-LV"/>
        </w:rPr>
      </w:pPr>
      <w:r w:rsidRPr="008603A3">
        <w:rPr>
          <w:rFonts w:ascii="Times New Roman" w:hAnsi="Times New Roman"/>
          <w:noProof/>
          <w:sz w:val="24"/>
          <w:szCs w:val="24"/>
          <w:lang w:eastAsia="lv-LV"/>
        </w:rPr>
        <w:t>Lai nodrošinātu piedāvājuma palielinājumu, nepieciešams pakāpeniski palielināt ārstniecības personu darba samaksu, tādējādi ārstniecības personām radot apstākļus izvēlēties sniegt valsts apmaksātus pakalpojumus maksas pakalpojumu vietā. Atbilstoši Veselības ministrijas prioritātēm cilvēkresursu jomā veselības nozarē</w:t>
      </w:r>
      <w:r w:rsidR="00E130C0" w:rsidRPr="008603A3">
        <w:rPr>
          <w:rFonts w:ascii="Times New Roman" w:hAnsi="Times New Roman"/>
          <w:noProof/>
          <w:sz w:val="24"/>
          <w:szCs w:val="24"/>
          <w:lang w:eastAsia="lv-LV"/>
        </w:rPr>
        <w:t>, ārstu un funkcionālo speicālistu vidējai darba samaksai jāsasniedz divkārša tautsamniecībā nodarbināto vidējā darba samaksa, ārstniecības un pacientu aprūpes personu darba samaksai jāsasniedz 60% un ārstniecības un pacientu aprūpes atbalsta personu darba samaksai jāsasniedz</w:t>
      </w:r>
      <w:r w:rsidR="00E130C0">
        <w:rPr>
          <w:rFonts w:ascii="Times New Roman" w:hAnsi="Times New Roman"/>
          <w:noProof/>
          <w:sz w:val="24"/>
          <w:szCs w:val="24"/>
          <w:lang w:eastAsia="lv-LV"/>
        </w:rPr>
        <w:t xml:space="preserve"> 40% no ārstu un funkcionālo speciālistu darba samaksas.</w:t>
      </w:r>
    </w:p>
    <w:p w14:paraId="7C190DAC" w14:textId="348F0E6E" w:rsidR="00633EA3" w:rsidRPr="008603A3" w:rsidRDefault="00E130C0" w:rsidP="00633EA3">
      <w:pPr>
        <w:ind w:firstLine="709"/>
        <w:jc w:val="both"/>
        <w:rPr>
          <w:rFonts w:ascii="Times New Roman" w:hAnsi="Times New Roman" w:cs="Times New Roman"/>
          <w:noProof/>
          <w:sz w:val="24"/>
          <w:szCs w:val="24"/>
          <w:lang w:eastAsia="lv-LV"/>
        </w:rPr>
      </w:pPr>
      <w:r>
        <w:rPr>
          <w:rFonts w:ascii="Times New Roman" w:hAnsi="Times New Roman"/>
          <w:noProof/>
          <w:sz w:val="24"/>
          <w:szCs w:val="24"/>
          <w:lang w:eastAsia="lv-LV"/>
        </w:rPr>
        <w:t>Līdz ar to sekmīgai reformu turpināšanai, kas tieši ietekmēs pakalpojumu pieejamības palielināšanu un iedzīvotāju tieš</w:t>
      </w:r>
      <w:r w:rsidR="00921C55">
        <w:rPr>
          <w:rFonts w:ascii="Times New Roman" w:hAnsi="Times New Roman"/>
          <w:noProof/>
          <w:sz w:val="24"/>
          <w:szCs w:val="24"/>
          <w:lang w:eastAsia="lv-LV"/>
        </w:rPr>
        <w:t xml:space="preserve">o </w:t>
      </w:r>
      <w:r w:rsidRPr="008603A3">
        <w:rPr>
          <w:rFonts w:ascii="Times New Roman" w:hAnsi="Times New Roman"/>
          <w:noProof/>
          <w:sz w:val="24"/>
          <w:szCs w:val="24"/>
          <w:lang w:eastAsia="lv-LV"/>
        </w:rPr>
        <w:t>maksājumu samazināšanu, nepieciešams novirzīt finansējumu ārstniecības personu darba samaksas paaugstināšanai 2018.</w:t>
      </w:r>
      <w:r w:rsidR="008F5B22" w:rsidRPr="008603A3">
        <w:rPr>
          <w:rFonts w:ascii="Times New Roman" w:hAnsi="Times New Roman"/>
          <w:noProof/>
          <w:sz w:val="24"/>
          <w:szCs w:val="24"/>
          <w:lang w:eastAsia="lv-LV"/>
        </w:rPr>
        <w:t xml:space="preserve"> </w:t>
      </w:r>
      <w:r w:rsidRPr="008603A3">
        <w:rPr>
          <w:rFonts w:ascii="Times New Roman" w:hAnsi="Times New Roman"/>
          <w:noProof/>
          <w:sz w:val="24"/>
          <w:szCs w:val="24"/>
          <w:lang w:eastAsia="lv-LV"/>
        </w:rPr>
        <w:t xml:space="preserve">un 2019.gadā </w:t>
      </w:r>
      <w:r w:rsidR="007B414F" w:rsidRPr="008603A3">
        <w:rPr>
          <w:rFonts w:ascii="Times New Roman" w:hAnsi="Times New Roman" w:cs="Times New Roman"/>
          <w:noProof/>
          <w:sz w:val="24"/>
          <w:szCs w:val="24"/>
          <w:lang w:eastAsia="lv-LV"/>
        </w:rPr>
        <w:t>150</w:t>
      </w:r>
      <w:r w:rsidRPr="008603A3">
        <w:rPr>
          <w:rFonts w:ascii="Times New Roman" w:hAnsi="Times New Roman"/>
          <w:sz w:val="24"/>
        </w:rPr>
        <w:t xml:space="preserve"> miljonu </w:t>
      </w:r>
      <w:r w:rsidRPr="008603A3">
        <w:rPr>
          <w:rFonts w:ascii="Times New Roman" w:hAnsi="Times New Roman"/>
          <w:i/>
          <w:sz w:val="24"/>
        </w:rPr>
        <w:t>euro</w:t>
      </w:r>
      <w:r w:rsidRPr="008603A3">
        <w:rPr>
          <w:rFonts w:ascii="Times New Roman" w:hAnsi="Times New Roman"/>
          <w:sz w:val="24"/>
        </w:rPr>
        <w:t xml:space="preserve"> apmērā</w:t>
      </w:r>
      <w:r w:rsidR="00921C55" w:rsidRPr="008603A3">
        <w:rPr>
          <w:rFonts w:ascii="Times New Roman" w:hAnsi="Times New Roman"/>
          <w:sz w:val="24"/>
        </w:rPr>
        <w:t xml:space="preserve"> ik gadu</w:t>
      </w:r>
      <w:r w:rsidR="007B414F" w:rsidRPr="008603A3">
        <w:rPr>
          <w:rFonts w:ascii="Times New Roman" w:hAnsi="Times New Roman" w:cs="Times New Roman"/>
          <w:noProof/>
          <w:sz w:val="24"/>
          <w:szCs w:val="24"/>
          <w:lang w:eastAsia="lv-LV"/>
        </w:rPr>
        <w:t xml:space="preserve">, kas pieejamā finansējuma apjomā būs jānodrošina </w:t>
      </w:r>
      <w:r w:rsidR="00A71851" w:rsidRPr="008603A3">
        <w:rPr>
          <w:rFonts w:ascii="Times New Roman" w:hAnsi="Times New Roman" w:cs="Times New Roman"/>
          <w:noProof/>
          <w:sz w:val="24"/>
          <w:szCs w:val="24"/>
          <w:lang w:eastAsia="lv-LV"/>
        </w:rPr>
        <w:t>vispārējās vese</w:t>
      </w:r>
      <w:r w:rsidR="006576D1" w:rsidRPr="008603A3">
        <w:rPr>
          <w:rFonts w:ascii="Times New Roman" w:hAnsi="Times New Roman" w:cs="Times New Roman"/>
          <w:noProof/>
          <w:sz w:val="24"/>
          <w:szCs w:val="24"/>
          <w:lang w:eastAsia="lv-LV"/>
        </w:rPr>
        <w:t>lības aprūpes reformas ietvaros</w:t>
      </w:r>
      <w:r w:rsidR="007B414F" w:rsidRPr="008603A3">
        <w:rPr>
          <w:rFonts w:ascii="Times New Roman" w:hAnsi="Times New Roman" w:cs="Times New Roman"/>
          <w:noProof/>
          <w:sz w:val="24"/>
          <w:szCs w:val="24"/>
          <w:lang w:eastAsia="lv-LV"/>
        </w:rPr>
        <w:t>.</w:t>
      </w:r>
    </w:p>
    <w:p w14:paraId="21120E24" w14:textId="1933E1CE" w:rsidR="00886A9A" w:rsidRDefault="00251B35" w:rsidP="00B15C03">
      <w:pPr>
        <w:ind w:firstLine="709"/>
        <w:jc w:val="both"/>
        <w:rPr>
          <w:rFonts w:ascii="Times New Roman" w:hAnsi="Times New Roman"/>
          <w:noProof/>
          <w:sz w:val="24"/>
          <w:szCs w:val="24"/>
          <w:lang w:eastAsia="lv-LV"/>
        </w:rPr>
      </w:pPr>
      <w:r w:rsidRPr="008603A3">
        <w:rPr>
          <w:rFonts w:ascii="Times New Roman" w:hAnsi="Times New Roman"/>
          <w:noProof/>
          <w:sz w:val="24"/>
          <w:szCs w:val="24"/>
          <w:lang w:eastAsia="lv-LV"/>
        </w:rPr>
        <w:t xml:space="preserve">Minēto faktoru ietekmē tiks veikta būtiska reforma veselības aprūpes pakalpojumu pieejamības nodrošināšanai iedzīvotājiem, samazinot rindu garumu </w:t>
      </w:r>
      <w:r w:rsidR="00B818E4" w:rsidRPr="008603A3">
        <w:rPr>
          <w:rFonts w:ascii="Times New Roman" w:hAnsi="Times New Roman"/>
          <w:noProof/>
          <w:sz w:val="24"/>
          <w:szCs w:val="24"/>
          <w:lang w:eastAsia="lv-LV"/>
        </w:rPr>
        <w:t xml:space="preserve">vismaz </w:t>
      </w:r>
      <w:r w:rsidRPr="008603A3">
        <w:rPr>
          <w:rFonts w:ascii="Times New Roman" w:hAnsi="Times New Roman"/>
          <w:noProof/>
          <w:sz w:val="24"/>
          <w:szCs w:val="24"/>
          <w:lang w:eastAsia="lv-LV"/>
        </w:rPr>
        <w:t>50% apmērā un ievērojami samazinot iedzīvotāju tiešo maksājumu par veselības</w:t>
      </w:r>
      <w:r>
        <w:rPr>
          <w:rFonts w:ascii="Times New Roman" w:hAnsi="Times New Roman"/>
          <w:noProof/>
          <w:sz w:val="24"/>
          <w:szCs w:val="24"/>
          <w:lang w:eastAsia="lv-LV"/>
        </w:rPr>
        <w:t xml:space="preserve"> aprūpes pakalpojumiem apjomu.</w:t>
      </w:r>
      <w:r w:rsidR="00B818E4">
        <w:rPr>
          <w:rFonts w:ascii="Times New Roman" w:hAnsi="Times New Roman"/>
          <w:noProof/>
          <w:sz w:val="24"/>
          <w:szCs w:val="24"/>
          <w:lang w:eastAsia="lv-LV"/>
        </w:rPr>
        <w:t xml:space="preserve"> </w:t>
      </w:r>
    </w:p>
    <w:p w14:paraId="5D31F40F" w14:textId="5B2A74C6" w:rsidR="00251B35" w:rsidRDefault="00B15C03" w:rsidP="00B15C03">
      <w:pPr>
        <w:ind w:firstLine="709"/>
        <w:jc w:val="both"/>
        <w:rPr>
          <w:rFonts w:ascii="Times New Roman" w:hAnsi="Times New Roman"/>
          <w:noProof/>
          <w:sz w:val="24"/>
          <w:szCs w:val="24"/>
          <w:lang w:eastAsia="lv-LV"/>
        </w:rPr>
      </w:pPr>
      <w:r>
        <w:rPr>
          <w:rFonts w:ascii="Times New Roman" w:hAnsi="Times New Roman"/>
          <w:sz w:val="24"/>
          <w:szCs w:val="24"/>
        </w:rPr>
        <w:t>I</w:t>
      </w:r>
      <w:r w:rsidR="00886A9A" w:rsidRPr="00886A9A">
        <w:rPr>
          <w:rFonts w:ascii="Times New Roman" w:hAnsi="Times New Roman"/>
          <w:sz w:val="24"/>
          <w:szCs w:val="24"/>
        </w:rPr>
        <w:t xml:space="preserve">edzīvotāju pašnovērtējumā minētās neapmierinātās vajadzības pēc veselības aprūpes pakalpojumiem </w:t>
      </w:r>
      <w:r w:rsidR="00886A9A" w:rsidRPr="00886A9A">
        <w:rPr>
          <w:rFonts w:ascii="Times New Roman" w:hAnsi="Times New Roman"/>
          <w:i/>
          <w:sz w:val="24"/>
          <w:szCs w:val="24"/>
        </w:rPr>
        <w:t>(unmet needs for medical care</w:t>
      </w:r>
      <w:r w:rsidR="00886A9A" w:rsidRPr="00886A9A">
        <w:rPr>
          <w:rFonts w:ascii="Times New Roman" w:hAnsi="Times New Roman"/>
          <w:sz w:val="24"/>
          <w:szCs w:val="24"/>
        </w:rPr>
        <w:t xml:space="preserve">), kas bija nepieciešami, bet netika saņemti, </w:t>
      </w:r>
      <w:r w:rsidR="00886A9A" w:rsidRPr="00886A9A">
        <w:rPr>
          <w:rFonts w:ascii="Times New Roman" w:hAnsi="Times New Roman"/>
          <w:sz w:val="24"/>
          <w:szCs w:val="24"/>
        </w:rPr>
        <w:lastRenderedPageBreak/>
        <w:t>finansiālu, g</w:t>
      </w:r>
      <w:r w:rsidR="00886A9A">
        <w:rPr>
          <w:rFonts w:ascii="Times New Roman" w:hAnsi="Times New Roman"/>
          <w:sz w:val="24"/>
          <w:szCs w:val="24"/>
        </w:rPr>
        <w:t>aro</w:t>
      </w:r>
      <w:r w:rsidR="00886A9A" w:rsidRPr="00886A9A">
        <w:rPr>
          <w:rFonts w:ascii="Times New Roman" w:hAnsi="Times New Roman"/>
          <w:sz w:val="24"/>
          <w:szCs w:val="24"/>
        </w:rPr>
        <w:t xml:space="preserve"> rindas vai nepieejamības </w:t>
      </w:r>
      <w:r w:rsidR="00886A9A">
        <w:rPr>
          <w:rFonts w:ascii="Times New Roman" w:hAnsi="Times New Roman"/>
          <w:sz w:val="24"/>
          <w:szCs w:val="24"/>
        </w:rPr>
        <w:t xml:space="preserve">iemeslu </w:t>
      </w:r>
      <w:r w:rsidR="00886A9A" w:rsidRPr="00886A9A">
        <w:rPr>
          <w:rFonts w:ascii="Times New Roman" w:hAnsi="Times New Roman"/>
          <w:sz w:val="24"/>
          <w:szCs w:val="24"/>
        </w:rPr>
        <w:t>dēļ</w:t>
      </w:r>
      <w:r>
        <w:rPr>
          <w:rFonts w:ascii="Times New Roman" w:hAnsi="Times New Roman"/>
          <w:sz w:val="24"/>
          <w:szCs w:val="24"/>
        </w:rPr>
        <w:t xml:space="preserve"> </w:t>
      </w:r>
      <w:r w:rsidRPr="00886A9A">
        <w:rPr>
          <w:rFonts w:ascii="Times New Roman" w:hAnsi="Times New Roman"/>
          <w:sz w:val="24"/>
          <w:szCs w:val="24"/>
        </w:rPr>
        <w:t>atspoguļotas</w:t>
      </w:r>
      <w:r>
        <w:rPr>
          <w:rFonts w:ascii="Times New Roman" w:hAnsi="Times New Roman"/>
          <w:sz w:val="24"/>
          <w:szCs w:val="24"/>
        </w:rPr>
        <w:t xml:space="preserve"> </w:t>
      </w:r>
      <w:r w:rsidR="00CF5363">
        <w:rPr>
          <w:rFonts w:ascii="Times New Roman" w:hAnsi="Times New Roman"/>
          <w:sz w:val="24"/>
          <w:szCs w:val="24"/>
        </w:rPr>
        <w:t>4</w:t>
      </w:r>
      <w:r>
        <w:rPr>
          <w:rFonts w:ascii="Times New Roman" w:hAnsi="Times New Roman"/>
          <w:sz w:val="24"/>
          <w:szCs w:val="24"/>
        </w:rPr>
        <w:t>.a</w:t>
      </w:r>
      <w:r w:rsidRPr="00886A9A">
        <w:rPr>
          <w:rFonts w:ascii="Times New Roman" w:hAnsi="Times New Roman"/>
          <w:sz w:val="24"/>
          <w:szCs w:val="24"/>
        </w:rPr>
        <w:t>ttēl</w:t>
      </w:r>
      <w:r>
        <w:rPr>
          <w:rFonts w:ascii="Times New Roman" w:hAnsi="Times New Roman"/>
          <w:sz w:val="24"/>
          <w:szCs w:val="24"/>
        </w:rPr>
        <w:t>ā</w:t>
      </w:r>
      <w:r w:rsidR="00886A9A" w:rsidRPr="00886A9A">
        <w:rPr>
          <w:rFonts w:ascii="Times New Roman" w:hAnsi="Times New Roman"/>
          <w:sz w:val="24"/>
          <w:szCs w:val="24"/>
        </w:rPr>
        <w:t>. Šie dati tiek apkopoti no Eiropas statistikas apsekojuma par ienākumiem un dz</w:t>
      </w:r>
      <w:r w:rsidR="00886A9A">
        <w:rPr>
          <w:rFonts w:ascii="Times New Roman" w:hAnsi="Times New Roman"/>
          <w:sz w:val="24"/>
          <w:szCs w:val="24"/>
        </w:rPr>
        <w:t>īves apstākļiem.</w:t>
      </w:r>
      <w:r w:rsidR="00886A9A" w:rsidRPr="00886A9A">
        <w:rPr>
          <w:rFonts w:ascii="Times New Roman" w:hAnsi="Times New Roman"/>
          <w:sz w:val="24"/>
          <w:szCs w:val="24"/>
        </w:rPr>
        <w:t xml:space="preserve"> Slimību</w:t>
      </w:r>
      <w:r w:rsidR="00886A9A">
        <w:rPr>
          <w:rFonts w:ascii="Times New Roman" w:hAnsi="Times New Roman"/>
          <w:sz w:val="24"/>
          <w:szCs w:val="24"/>
        </w:rPr>
        <w:t xml:space="preserve"> profilakses un kontroles centrs</w:t>
      </w:r>
      <w:r w:rsidR="00886A9A" w:rsidRPr="00886A9A">
        <w:rPr>
          <w:rFonts w:ascii="Times New Roman" w:hAnsi="Times New Roman"/>
          <w:sz w:val="24"/>
          <w:szCs w:val="24"/>
        </w:rPr>
        <w:t xml:space="preserve"> model</w:t>
      </w:r>
      <w:r w:rsidR="00886A9A">
        <w:rPr>
          <w:rFonts w:ascii="Times New Roman" w:hAnsi="Times New Roman"/>
          <w:sz w:val="24"/>
          <w:szCs w:val="24"/>
        </w:rPr>
        <w:t>ēja</w:t>
      </w:r>
      <w:r w:rsidR="00886A9A" w:rsidRPr="00886A9A">
        <w:rPr>
          <w:rFonts w:ascii="Times New Roman" w:hAnsi="Times New Roman"/>
          <w:sz w:val="24"/>
          <w:szCs w:val="24"/>
        </w:rPr>
        <w:t xml:space="preserve"> situāciju līdz 2021.gadam par rezultātiem tālāk ieguldot vai arī neieguldot līdzekļus pieejamības uzlabošanā.</w:t>
      </w:r>
      <w:r w:rsidR="00886A9A">
        <w:rPr>
          <w:rFonts w:ascii="Times New Roman" w:hAnsi="Times New Roman"/>
          <w:sz w:val="24"/>
          <w:szCs w:val="24"/>
        </w:rPr>
        <w:t xml:space="preserve"> </w:t>
      </w:r>
      <w:r w:rsidR="00886A9A">
        <w:rPr>
          <w:rFonts w:ascii="Times New Roman" w:hAnsi="Times New Roman"/>
          <w:noProof/>
          <w:sz w:val="24"/>
          <w:szCs w:val="24"/>
          <w:lang w:eastAsia="lv-LV"/>
        </w:rPr>
        <w:t>T</w:t>
      </w:r>
      <w:r w:rsidR="00B818E4">
        <w:rPr>
          <w:rFonts w:ascii="Times New Roman" w:hAnsi="Times New Roman"/>
          <w:noProof/>
          <w:sz w:val="24"/>
          <w:szCs w:val="24"/>
          <w:lang w:eastAsia="lv-LV"/>
        </w:rPr>
        <w:t>urpmākajos gados, veicot finansiālus ieguldījumus</w:t>
      </w:r>
      <w:r w:rsidR="00886A9A">
        <w:rPr>
          <w:rFonts w:ascii="Times New Roman" w:hAnsi="Times New Roman"/>
          <w:noProof/>
          <w:sz w:val="24"/>
          <w:szCs w:val="24"/>
          <w:lang w:eastAsia="lv-LV"/>
        </w:rPr>
        <w:t>, iedzīvot</w:t>
      </w:r>
      <w:r>
        <w:rPr>
          <w:rFonts w:ascii="Times New Roman" w:hAnsi="Times New Roman"/>
          <w:noProof/>
          <w:sz w:val="24"/>
          <w:szCs w:val="24"/>
          <w:lang w:eastAsia="lv-LV"/>
        </w:rPr>
        <w:t>ā</w:t>
      </w:r>
      <w:r w:rsidR="00886A9A">
        <w:rPr>
          <w:rFonts w:ascii="Times New Roman" w:hAnsi="Times New Roman"/>
          <w:noProof/>
          <w:sz w:val="24"/>
          <w:szCs w:val="24"/>
          <w:lang w:eastAsia="lv-LV"/>
        </w:rPr>
        <w:t>ju pašvērt</w:t>
      </w:r>
      <w:r>
        <w:rPr>
          <w:rFonts w:ascii="Times New Roman" w:hAnsi="Times New Roman"/>
          <w:noProof/>
          <w:sz w:val="24"/>
          <w:szCs w:val="24"/>
          <w:lang w:eastAsia="lv-LV"/>
        </w:rPr>
        <w:t>ējuma prognozei par pieejamību ir jāuzlabojas, bet neieguldot līdzekļus tiek prognozēts, ka situācija ar pakalpojumu nepieejamību sasniedz kritisko līmeni, kas atspoguļojas arī pašvērtējumā.</w:t>
      </w:r>
    </w:p>
    <w:p w14:paraId="79A05B5B" w14:textId="30B709DA" w:rsidR="00251B35" w:rsidRPr="003B6DC4" w:rsidRDefault="00CF5363" w:rsidP="00B15C03">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4</w:t>
      </w:r>
      <w:r w:rsidR="00251B35" w:rsidRPr="003B6DC4">
        <w:rPr>
          <w:rFonts w:ascii="Times New Roman" w:hAnsi="Times New Roman" w:cs="Times New Roman"/>
          <w:i/>
          <w:sz w:val="24"/>
          <w:szCs w:val="24"/>
        </w:rPr>
        <w:t>.</w:t>
      </w:r>
      <w:r w:rsidR="00251B35">
        <w:rPr>
          <w:rFonts w:ascii="Times New Roman" w:hAnsi="Times New Roman" w:cs="Times New Roman"/>
          <w:i/>
          <w:sz w:val="24"/>
          <w:szCs w:val="24"/>
        </w:rPr>
        <w:t>attēls</w:t>
      </w:r>
      <w:r w:rsidR="00251B35" w:rsidRPr="003B6DC4">
        <w:rPr>
          <w:rFonts w:ascii="Times New Roman" w:hAnsi="Times New Roman" w:cs="Times New Roman"/>
          <w:i/>
          <w:sz w:val="24"/>
          <w:szCs w:val="24"/>
        </w:rPr>
        <w:t xml:space="preserve"> </w:t>
      </w:r>
    </w:p>
    <w:p w14:paraId="17DDBB41" w14:textId="479AAA20" w:rsidR="00251B35" w:rsidRDefault="00251B35" w:rsidP="00251B35">
      <w:pPr>
        <w:spacing w:after="120" w:line="240" w:lineRule="auto"/>
        <w:jc w:val="center"/>
        <w:rPr>
          <w:rFonts w:ascii="Times New Roman" w:hAnsi="Times New Roman"/>
          <w:noProof/>
          <w:sz w:val="24"/>
          <w:szCs w:val="24"/>
          <w:lang w:eastAsia="lv-LV"/>
        </w:rPr>
      </w:pPr>
      <w:r>
        <w:rPr>
          <w:rFonts w:ascii="Times New Roman" w:hAnsi="Times New Roman" w:cs="Times New Roman"/>
          <w:b/>
          <w:sz w:val="24"/>
          <w:szCs w:val="24"/>
        </w:rPr>
        <w:t>Veselības aprūpes pakalpojumu pieejamība, %</w:t>
      </w:r>
    </w:p>
    <w:p w14:paraId="6146AF88" w14:textId="5C835003" w:rsidR="006670B4" w:rsidRPr="006213DE" w:rsidRDefault="00251B35" w:rsidP="006213DE">
      <w:pPr>
        <w:ind w:firstLine="709"/>
        <w:jc w:val="both"/>
        <w:rPr>
          <w:rFonts w:ascii="Times New Roman" w:hAnsi="Times New Roman"/>
          <w:sz w:val="24"/>
        </w:rPr>
      </w:pPr>
      <w:r w:rsidRPr="006213DE">
        <w:rPr>
          <w:noProof/>
          <w:lang w:eastAsia="lv-LV"/>
        </w:rPr>
        <w:drawing>
          <wp:inline distT="0" distB="0" distL="0" distR="0" wp14:anchorId="491C517C" wp14:editId="4B99D1E8">
            <wp:extent cx="5262563" cy="2886075"/>
            <wp:effectExtent l="0" t="0" r="146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E1FFA" w:rsidRPr="006E1FFA">
        <w:rPr>
          <w:rFonts w:ascii="Times New Roman" w:hAnsi="Times New Roman" w:cs="Times New Roman"/>
          <w:i/>
          <w:sz w:val="20"/>
          <w:szCs w:val="20"/>
        </w:rPr>
        <w:t>Avots:</w:t>
      </w:r>
      <w:r w:rsidR="00052B6D">
        <w:rPr>
          <w:rFonts w:ascii="Times New Roman" w:hAnsi="Times New Roman" w:cs="Times New Roman"/>
          <w:i/>
          <w:sz w:val="20"/>
          <w:szCs w:val="20"/>
        </w:rPr>
        <w:t xml:space="preserve"> SPKC, </w:t>
      </w:r>
      <w:r w:rsidR="00CB24E5" w:rsidRPr="00CB24E5">
        <w:rPr>
          <w:rFonts w:ascii="Times New Roman" w:hAnsi="Times New Roman" w:cs="Times New Roman"/>
          <w:i/>
          <w:color w:val="212121"/>
          <w:sz w:val="20"/>
          <w:szCs w:val="20"/>
          <w:shd w:val="clear" w:color="auto" w:fill="FFFFFF"/>
        </w:rPr>
        <w:t>EUROSTAT - SILC</w:t>
      </w:r>
      <w:r w:rsidR="00CB24E5">
        <w:rPr>
          <w:rStyle w:val="FootnoteReference"/>
          <w:rFonts w:ascii="Times New Roman" w:hAnsi="Times New Roman" w:cs="Times New Roman"/>
          <w:i/>
          <w:color w:val="212121"/>
          <w:sz w:val="20"/>
          <w:szCs w:val="20"/>
          <w:shd w:val="clear" w:color="auto" w:fill="FFFFFF"/>
        </w:rPr>
        <w:footnoteReference w:id="22"/>
      </w:r>
    </w:p>
    <w:p w14:paraId="324008B3" w14:textId="119C1C02" w:rsidR="00A937D8" w:rsidRPr="003B6DC4" w:rsidRDefault="00A937D8" w:rsidP="00A937D8">
      <w:pPr>
        <w:pStyle w:val="Heading2"/>
        <w:spacing w:before="0" w:after="200"/>
        <w:ind w:left="850" w:hanging="425"/>
        <w:jc w:val="center"/>
        <w:rPr>
          <w:rFonts w:ascii="Times New Roman" w:eastAsia="Times New Roman" w:hAnsi="Times New Roman" w:cs="Times New Roman"/>
          <w:sz w:val="24"/>
          <w:szCs w:val="24"/>
          <w:lang w:eastAsia="lv-LV"/>
        </w:rPr>
      </w:pPr>
      <w:r w:rsidRPr="004C1238">
        <w:rPr>
          <w:rFonts w:ascii="Times New Roman" w:eastAsia="Times New Roman" w:hAnsi="Times New Roman" w:cs="Times New Roman"/>
          <w:b/>
          <w:color w:val="auto"/>
          <w:sz w:val="24"/>
          <w:szCs w:val="24"/>
          <w:lang w:eastAsia="lv-LV"/>
        </w:rPr>
        <w:t>2.3</w:t>
      </w:r>
      <w:r w:rsidRPr="004C1238">
        <w:rPr>
          <w:rFonts w:ascii="Times New Roman" w:eastAsia="Times New Roman" w:hAnsi="Times New Roman" w:cs="Times New Roman"/>
          <w:sz w:val="24"/>
          <w:szCs w:val="24"/>
          <w:lang w:eastAsia="lv-LV"/>
        </w:rPr>
        <w:t xml:space="preserve">. </w:t>
      </w:r>
      <w:r w:rsidR="00A81E84">
        <w:rPr>
          <w:rFonts w:ascii="Times New Roman" w:eastAsia="Times New Roman" w:hAnsi="Times New Roman" w:cs="Times New Roman"/>
          <w:b/>
          <w:color w:val="auto"/>
          <w:sz w:val="24"/>
          <w:szCs w:val="24"/>
          <w:lang w:eastAsia="lv-LV"/>
        </w:rPr>
        <w:t>R</w:t>
      </w:r>
      <w:r w:rsidR="00A81E84" w:rsidRPr="00A81E84">
        <w:rPr>
          <w:rFonts w:ascii="Times New Roman" w:eastAsia="Times New Roman" w:hAnsi="Times New Roman" w:cs="Times New Roman"/>
          <w:b/>
          <w:color w:val="auto"/>
          <w:sz w:val="24"/>
          <w:szCs w:val="24"/>
          <w:lang w:eastAsia="lv-LV"/>
        </w:rPr>
        <w:t>eformas valsts kompensējamo medikamentu nodrošinājumam VHC pacientiem F3-F4 stadijā</w:t>
      </w:r>
    </w:p>
    <w:p w14:paraId="5D9A862E" w14:textId="425EC0C8" w:rsidR="00A937D8" w:rsidRPr="003B6DC4" w:rsidRDefault="00A937D8" w:rsidP="00A937D8">
      <w:pPr>
        <w:ind w:firstLine="709"/>
        <w:jc w:val="both"/>
        <w:rPr>
          <w:rFonts w:ascii="Times New Roman" w:hAnsi="Times New Roman" w:cs="Times New Roman"/>
          <w:sz w:val="24"/>
          <w:szCs w:val="24"/>
        </w:rPr>
      </w:pPr>
      <w:r>
        <w:rPr>
          <w:rFonts w:ascii="Times New Roman" w:hAnsi="Times New Roman" w:cs="Times New Roman"/>
          <w:sz w:val="24"/>
          <w:szCs w:val="24"/>
        </w:rPr>
        <w:t>Valsts apmaksājamās m</w:t>
      </w:r>
      <w:r w:rsidRPr="003B6DC4">
        <w:rPr>
          <w:rFonts w:ascii="Times New Roman" w:hAnsi="Times New Roman" w:cs="Times New Roman"/>
          <w:sz w:val="24"/>
          <w:szCs w:val="24"/>
        </w:rPr>
        <w:t xml:space="preserve">edikamentu iegādes kompensācijas sistēmas uzdevums ir nodrošināt </w:t>
      </w:r>
      <w:r w:rsidR="00717A49">
        <w:rPr>
          <w:rFonts w:ascii="Times New Roman" w:hAnsi="Times New Roman" w:cs="Times New Roman"/>
          <w:sz w:val="24"/>
          <w:szCs w:val="24"/>
        </w:rPr>
        <w:t xml:space="preserve">pārsvarā </w:t>
      </w:r>
      <w:r w:rsidRPr="003B6DC4">
        <w:rPr>
          <w:rFonts w:ascii="Times New Roman" w:hAnsi="Times New Roman" w:cs="Times New Roman"/>
          <w:sz w:val="24"/>
          <w:szCs w:val="24"/>
        </w:rPr>
        <w:t>ar hroniskām slimībām slimojošajiem pacientiem, ņemot vērā slimības raksturu un smaguma pakāpi, atbilstošās nepieciešamās zāles un arī medicīniskās ierīces, kuru lietošanas rezultātā var tikt pagarināta pacientu ar hroniskām saslimšanām dzīvildze vai labi kontrolētu slimības pazīmju laiks, samazināts paasinājumu biežums, invaliditātes risks, hospitalizācijas gadījumu skaits hroniskas slimības paasinājumu vai komplikāciju dēļ, kā arī kontrolēts un uzlabots veselības stāvoklis.</w:t>
      </w:r>
    </w:p>
    <w:p w14:paraId="0C1A73AC" w14:textId="39D1E75B" w:rsidR="00A937D8" w:rsidRPr="003B6DC4" w:rsidRDefault="00A937D8" w:rsidP="00A937D8">
      <w:pPr>
        <w:ind w:firstLine="709"/>
        <w:jc w:val="both"/>
        <w:rPr>
          <w:rFonts w:ascii="Times New Roman" w:hAnsi="Times New Roman" w:cs="Times New Roman"/>
          <w:sz w:val="24"/>
          <w:szCs w:val="24"/>
        </w:rPr>
      </w:pPr>
      <w:r w:rsidRPr="003B6DC4">
        <w:rPr>
          <w:rFonts w:ascii="Times New Roman" w:hAnsi="Times New Roman" w:cs="Times New Roman"/>
          <w:sz w:val="24"/>
          <w:szCs w:val="24"/>
        </w:rPr>
        <w:t xml:space="preserve">Šobrīd no medikamentu iegādes kompensācijas sistēmas budžeta līdzekļiem pacientiem ir iespēja saņemt noteiktu slimību ārstēšanai nepieciešamos medikamentus, kurus valsts kompensē 100 %, 75 % un 50 % apmērā atkarībā no diagnozes (diagnožu saraksts ir iekļauts 2006. gada </w:t>
      </w:r>
      <w:r w:rsidRPr="003B6DC4">
        <w:rPr>
          <w:rFonts w:ascii="Times New Roman" w:hAnsi="Times New Roman" w:cs="Times New Roman"/>
          <w:sz w:val="24"/>
          <w:szCs w:val="24"/>
        </w:rPr>
        <w:lastRenderedPageBreak/>
        <w:t>31.oktobra MK noteikumu Nr. 899 “Ambulatorajai ārstēšanai paredzēto zāļu un medicīnisko ierīču iegādes izdevumu kompensācijas kārtība” 1. pielikumā), tajā skaitā:</w:t>
      </w:r>
    </w:p>
    <w:p w14:paraId="6DD4429B" w14:textId="77777777" w:rsidR="00A937D8" w:rsidRPr="003B6DC4" w:rsidRDefault="00A937D8" w:rsidP="00A937D8">
      <w:pPr>
        <w:pStyle w:val="ListParagraph"/>
        <w:numPr>
          <w:ilvl w:val="0"/>
          <w:numId w:val="50"/>
        </w:numPr>
        <w:ind w:left="0" w:firstLine="0"/>
        <w:jc w:val="both"/>
        <w:rPr>
          <w:rFonts w:ascii="Times New Roman" w:hAnsi="Times New Roman"/>
          <w:sz w:val="24"/>
          <w:szCs w:val="24"/>
          <w:lang w:val="lv-LV"/>
        </w:rPr>
      </w:pPr>
      <w:r w:rsidRPr="003B6DC4">
        <w:rPr>
          <w:rFonts w:ascii="Times New Roman" w:hAnsi="Times New Roman"/>
          <w:sz w:val="24"/>
          <w:szCs w:val="24"/>
          <w:lang w:val="lv-LV"/>
        </w:rPr>
        <w:t>zāļu un medicīnisko ierīču iegādes izdevumu kompensācija vispārīgā kārtībā, tajā skaitā bērniem līdz 18 gadiem zāles un medicīniskās ierīces no kompensējamo zāļu saraksta tiek apmaksātas 100 % apmērā (lētākās līdzvērtīgas efektivitātes zāles). Lētāko zāļu 100 % kompensācija neattiecas uz M sarakstā iekļautajām zālēm;</w:t>
      </w:r>
    </w:p>
    <w:p w14:paraId="030C2C33" w14:textId="77777777" w:rsidR="00A937D8" w:rsidRPr="003B6DC4" w:rsidRDefault="00A937D8" w:rsidP="00A937D8">
      <w:pPr>
        <w:pStyle w:val="ListParagraph"/>
        <w:numPr>
          <w:ilvl w:val="0"/>
          <w:numId w:val="50"/>
        </w:numPr>
        <w:ind w:left="0" w:firstLine="0"/>
        <w:jc w:val="both"/>
        <w:rPr>
          <w:rFonts w:ascii="Times New Roman" w:hAnsi="Times New Roman"/>
          <w:sz w:val="24"/>
          <w:szCs w:val="24"/>
          <w:lang w:val="lv-LV"/>
        </w:rPr>
      </w:pPr>
      <w:r w:rsidRPr="003B6DC4">
        <w:rPr>
          <w:rFonts w:ascii="Times New Roman" w:hAnsi="Times New Roman"/>
          <w:sz w:val="24"/>
          <w:szCs w:val="24"/>
          <w:lang w:val="lv-LV"/>
        </w:rPr>
        <w:t>M sarakstā iekļauto zāļu kompensācija (zāļu kompensācija 50 % apmērā bērnam līdz 24 mēnešu vecumam, ja viņam nav noteikta diagnoze ar citu kompensācijas apmēru un kompensācija 25 % apmērā grūtniecei vai sievietei pēcdzemdību periodā līdz 42 dienām, ja nav noteikta diagnoze ar citu kompensācijas apmēru);</w:t>
      </w:r>
    </w:p>
    <w:p w14:paraId="0508459F" w14:textId="77777777" w:rsidR="00A937D8" w:rsidRPr="003B6DC4" w:rsidRDefault="00A937D8" w:rsidP="00A937D8">
      <w:pPr>
        <w:pStyle w:val="ListParagraph"/>
        <w:numPr>
          <w:ilvl w:val="0"/>
          <w:numId w:val="50"/>
        </w:numPr>
        <w:ind w:left="0" w:firstLine="0"/>
        <w:jc w:val="both"/>
        <w:rPr>
          <w:rFonts w:ascii="Times New Roman" w:hAnsi="Times New Roman"/>
          <w:sz w:val="24"/>
          <w:szCs w:val="24"/>
          <w:lang w:val="lv-LV"/>
        </w:rPr>
      </w:pPr>
      <w:r w:rsidRPr="003B6DC4">
        <w:rPr>
          <w:rFonts w:ascii="Times New Roman" w:hAnsi="Times New Roman"/>
          <w:sz w:val="24"/>
          <w:szCs w:val="24"/>
          <w:lang w:val="lv-LV"/>
        </w:rPr>
        <w:t>C sarakstā iekļauto zāļu un medicīnisko ierīču iegādes izdevumu kompensācija;</w:t>
      </w:r>
    </w:p>
    <w:p w14:paraId="296394DF" w14:textId="77777777" w:rsidR="00A937D8" w:rsidRPr="003B6DC4" w:rsidRDefault="00A937D8" w:rsidP="00A937D8">
      <w:pPr>
        <w:pStyle w:val="ListParagraph"/>
        <w:numPr>
          <w:ilvl w:val="0"/>
          <w:numId w:val="50"/>
        </w:numPr>
        <w:ind w:left="0" w:firstLine="0"/>
        <w:jc w:val="both"/>
        <w:rPr>
          <w:rFonts w:ascii="Times New Roman" w:hAnsi="Times New Roman"/>
          <w:sz w:val="24"/>
          <w:szCs w:val="24"/>
          <w:lang w:val="lv-LV"/>
        </w:rPr>
      </w:pPr>
      <w:r w:rsidRPr="003B6DC4">
        <w:rPr>
          <w:rFonts w:ascii="Times New Roman" w:hAnsi="Times New Roman"/>
          <w:sz w:val="24"/>
          <w:szCs w:val="24"/>
          <w:lang w:val="lv-LV"/>
        </w:rPr>
        <w:t>zāļu un medicīnisko ierīču iegādes izdevumu kompensācija individuāliem pacientiem;</w:t>
      </w:r>
    </w:p>
    <w:p w14:paraId="6C52EAA5" w14:textId="77777777" w:rsidR="00A937D8" w:rsidRPr="003B6DC4" w:rsidRDefault="00A937D8" w:rsidP="00A937D8">
      <w:pPr>
        <w:pStyle w:val="ListParagraph"/>
        <w:numPr>
          <w:ilvl w:val="0"/>
          <w:numId w:val="50"/>
        </w:numPr>
        <w:ind w:left="0" w:firstLine="0"/>
        <w:jc w:val="both"/>
        <w:rPr>
          <w:rFonts w:ascii="Times New Roman" w:hAnsi="Times New Roman"/>
          <w:sz w:val="24"/>
          <w:szCs w:val="24"/>
          <w:lang w:val="lv-LV"/>
        </w:rPr>
      </w:pPr>
      <w:r w:rsidRPr="003B6DC4">
        <w:rPr>
          <w:rFonts w:ascii="Times New Roman" w:hAnsi="Times New Roman"/>
          <w:sz w:val="24"/>
          <w:szCs w:val="24"/>
          <w:lang w:val="lv-LV"/>
        </w:rPr>
        <w:t>zāļu un medicīnisko ierīču iegādes izdevumu kompensācija – zāles un medicīniskās ierīces, kuras atbilstoši kompensācijas nosacījumiem drīkst izrakstīt konkrētas ārstniecības iestādes speciālisti.</w:t>
      </w:r>
    </w:p>
    <w:p w14:paraId="44009D03" w14:textId="087E8778" w:rsidR="00A937D8" w:rsidRPr="003B6DC4" w:rsidRDefault="00A937D8" w:rsidP="00A937D8">
      <w:pPr>
        <w:ind w:firstLine="709"/>
        <w:jc w:val="both"/>
        <w:rPr>
          <w:rFonts w:ascii="Times New Roman" w:hAnsi="Times New Roman"/>
          <w:sz w:val="24"/>
          <w:szCs w:val="24"/>
        </w:rPr>
      </w:pPr>
      <w:r w:rsidRPr="003B6DC4">
        <w:rPr>
          <w:rFonts w:ascii="Times New Roman" w:hAnsi="Times New Roman"/>
          <w:sz w:val="24"/>
          <w:szCs w:val="24"/>
        </w:rPr>
        <w:t xml:space="preserve">Kompensējamo zāļu saņēmēju (unikālo pacientu) skaits ar katru gadu palielinās (skat. </w:t>
      </w:r>
      <w:r w:rsidR="00CF5363">
        <w:rPr>
          <w:rFonts w:ascii="Times New Roman" w:hAnsi="Times New Roman"/>
          <w:sz w:val="24"/>
          <w:szCs w:val="24"/>
        </w:rPr>
        <w:t>5</w:t>
      </w:r>
      <w:r w:rsidR="008F5B22">
        <w:rPr>
          <w:rFonts w:ascii="Times New Roman" w:hAnsi="Times New Roman"/>
          <w:sz w:val="24"/>
          <w:szCs w:val="24"/>
        </w:rPr>
        <w:t>.</w:t>
      </w:r>
      <w:r w:rsidRPr="003B6DC4">
        <w:rPr>
          <w:rFonts w:ascii="Times New Roman" w:hAnsi="Times New Roman"/>
          <w:sz w:val="24"/>
          <w:szCs w:val="24"/>
        </w:rPr>
        <w:t xml:space="preserve">attēlu), jo papildus tiem pacientiem, kuri jau saņem ārstēšanu, katru gadu tiek diagnosticēti jauni. Ņemot vērā, ka zāļu iegādes izdevumu kompensācijas sistēmā pārsvarā iekļautas hroniskas slimības, pacientiem ārstēšanās nepieciešama pastāvīgi, un zāļu pareiza lietošana ambulatorajā ārstēšanā novērš vai samazina stacionārās ārstēšanas gadījumu skaitu. </w:t>
      </w:r>
    </w:p>
    <w:p w14:paraId="66944EE2" w14:textId="77777777" w:rsidR="00A937D8" w:rsidRPr="003B6DC4" w:rsidRDefault="00A937D8" w:rsidP="00FF2D0B">
      <w:pPr>
        <w:spacing w:after="0"/>
        <w:ind w:firstLine="709"/>
        <w:jc w:val="both"/>
        <w:rPr>
          <w:rFonts w:ascii="Times New Roman" w:hAnsi="Times New Roman"/>
          <w:sz w:val="24"/>
          <w:szCs w:val="24"/>
        </w:rPr>
      </w:pPr>
      <w:r w:rsidRPr="003B6DC4">
        <w:rPr>
          <w:rFonts w:ascii="Times New Roman" w:hAnsi="Times New Roman"/>
          <w:sz w:val="24"/>
          <w:szCs w:val="24"/>
        </w:rPr>
        <w:t>Lai nodrošinātu vienlīdzību kompensējamo zāļu saņemšanā visiem pacientiem ar vienādu diagnozi, nav iespējams atteikt zāļu izrakstīšanu no jauna diagnosticētajiem pacientiem. Tādējādi arī gadījumā, ja zāļu kompensācijas sistēma netiek attīstīta (papildināta ar jaunām diagnozēm un inovatīvām zālēm),  jārēķinās ar papildus izdevumiem.</w:t>
      </w:r>
    </w:p>
    <w:p w14:paraId="5CC38E4F" w14:textId="61B2DFF8" w:rsidR="00A937D8" w:rsidRPr="003B6DC4" w:rsidRDefault="00CF5363" w:rsidP="00FF2D0B">
      <w:pPr>
        <w:spacing w:after="0"/>
        <w:ind w:firstLine="709"/>
        <w:jc w:val="right"/>
        <w:rPr>
          <w:rFonts w:ascii="Times New Roman" w:hAnsi="Times New Roman"/>
          <w:i/>
          <w:sz w:val="24"/>
          <w:szCs w:val="24"/>
        </w:rPr>
      </w:pPr>
      <w:r>
        <w:rPr>
          <w:rFonts w:ascii="Times New Roman" w:hAnsi="Times New Roman"/>
          <w:i/>
          <w:sz w:val="24"/>
          <w:szCs w:val="24"/>
        </w:rPr>
        <w:t>5</w:t>
      </w:r>
      <w:r w:rsidR="00A937D8" w:rsidRPr="003B6DC4">
        <w:rPr>
          <w:rFonts w:ascii="Times New Roman" w:hAnsi="Times New Roman"/>
          <w:i/>
          <w:sz w:val="24"/>
          <w:szCs w:val="24"/>
        </w:rPr>
        <w:t>.attēls</w:t>
      </w:r>
    </w:p>
    <w:p w14:paraId="55375CB7" w14:textId="77777777" w:rsidR="00A937D8" w:rsidRPr="003B6DC4" w:rsidRDefault="00A937D8" w:rsidP="00A937D8">
      <w:pPr>
        <w:ind w:firstLine="709"/>
        <w:jc w:val="center"/>
        <w:rPr>
          <w:rFonts w:ascii="Times New Roman" w:hAnsi="Times New Roman"/>
          <w:b/>
          <w:sz w:val="24"/>
          <w:szCs w:val="24"/>
        </w:rPr>
      </w:pPr>
      <w:r w:rsidRPr="00813E96">
        <w:rPr>
          <w:rFonts w:ascii="Times New Roman" w:hAnsi="Times New Roman"/>
          <w:b/>
          <w:sz w:val="24"/>
          <w:szCs w:val="24"/>
        </w:rPr>
        <w:t>Unikālo pacientu skaita dinamika 2012.-2016. gadā</w:t>
      </w:r>
    </w:p>
    <w:p w14:paraId="47ECC786" w14:textId="77777777" w:rsidR="00A937D8" w:rsidRPr="006213DE" w:rsidRDefault="00A937D8" w:rsidP="00A937D8">
      <w:pPr>
        <w:jc w:val="center"/>
      </w:pPr>
      <w:r w:rsidRPr="006213DE">
        <w:rPr>
          <w:noProof/>
          <w:lang w:eastAsia="lv-LV"/>
        </w:rPr>
        <w:drawing>
          <wp:inline distT="0" distB="0" distL="0" distR="0" wp14:anchorId="7E58ADCF" wp14:editId="70668B86">
            <wp:extent cx="5038725" cy="20193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F40DC" w14:textId="30A2A3B7" w:rsidR="00A937D8" w:rsidRPr="003B6DC4" w:rsidRDefault="00A937D8" w:rsidP="00A937D8">
      <w:pPr>
        <w:rPr>
          <w:rFonts w:ascii="Times New Roman" w:hAnsi="Times New Roman" w:cs="Times New Roman"/>
          <w:i/>
          <w:sz w:val="20"/>
          <w:szCs w:val="20"/>
        </w:rPr>
      </w:pPr>
      <w:r w:rsidRPr="003B6DC4">
        <w:rPr>
          <w:rFonts w:ascii="Times New Roman" w:hAnsi="Times New Roman" w:cs="Times New Roman"/>
          <w:i/>
          <w:sz w:val="20"/>
          <w:szCs w:val="20"/>
        </w:rPr>
        <w:t>Avots: NVD</w:t>
      </w:r>
    </w:p>
    <w:p w14:paraId="1B582851" w14:textId="79A3CE4D" w:rsidR="00A937D8" w:rsidRDefault="00A937D8" w:rsidP="00337B24">
      <w:pPr>
        <w:jc w:val="both"/>
        <w:rPr>
          <w:rFonts w:ascii="Times New Roman" w:hAnsi="Times New Roman" w:cs="Times New Roman"/>
          <w:sz w:val="24"/>
          <w:szCs w:val="24"/>
        </w:rPr>
      </w:pPr>
      <w:r w:rsidRPr="003B6DC4">
        <w:rPr>
          <w:rFonts w:ascii="Times New Roman" w:hAnsi="Times New Roman" w:cs="Times New Roman"/>
          <w:sz w:val="24"/>
          <w:szCs w:val="24"/>
        </w:rPr>
        <w:lastRenderedPageBreak/>
        <w:tab/>
        <w:t>Ņemot vērā, ka zāļu kompensācijai piešķirto valsts budžeta līdzekļu apmērs aug lēnāk, nekā unikālo pacientu skaits, finansējuma apjoms, kas izlietots uz vienu pacientu, samazinās, liedzot iekļaut kompensējamo zāļu sarakstā jaunākās</w:t>
      </w:r>
      <w:r>
        <w:rPr>
          <w:rFonts w:ascii="Times New Roman" w:hAnsi="Times New Roman" w:cs="Times New Roman"/>
          <w:sz w:val="24"/>
          <w:szCs w:val="24"/>
        </w:rPr>
        <w:t xml:space="preserve"> paaudzes medikamentus (skat.  </w:t>
      </w:r>
      <w:r w:rsidR="00CF5363">
        <w:rPr>
          <w:rFonts w:ascii="Times New Roman" w:hAnsi="Times New Roman" w:cs="Times New Roman"/>
          <w:sz w:val="24"/>
          <w:szCs w:val="24"/>
        </w:rPr>
        <w:t>6</w:t>
      </w:r>
      <w:r>
        <w:rPr>
          <w:rFonts w:ascii="Times New Roman" w:hAnsi="Times New Roman" w:cs="Times New Roman"/>
          <w:sz w:val="24"/>
          <w:szCs w:val="24"/>
        </w:rPr>
        <w:t>. attēlu).</w:t>
      </w:r>
    </w:p>
    <w:p w14:paraId="200F7096" w14:textId="3BE7BAAA" w:rsidR="00A937D8" w:rsidRDefault="00CF5363" w:rsidP="00337B24">
      <w:pPr>
        <w:jc w:val="right"/>
        <w:rPr>
          <w:rFonts w:ascii="Times New Roman" w:hAnsi="Times New Roman" w:cs="Times New Roman"/>
          <w:i/>
          <w:sz w:val="24"/>
          <w:szCs w:val="24"/>
        </w:rPr>
      </w:pPr>
      <w:r>
        <w:rPr>
          <w:rFonts w:ascii="Times New Roman" w:hAnsi="Times New Roman" w:cs="Times New Roman"/>
          <w:i/>
          <w:sz w:val="24"/>
          <w:szCs w:val="24"/>
        </w:rPr>
        <w:t>6</w:t>
      </w:r>
      <w:r w:rsidR="00A937D8" w:rsidRPr="003B6DC4">
        <w:rPr>
          <w:rFonts w:ascii="Times New Roman" w:hAnsi="Times New Roman" w:cs="Times New Roman"/>
          <w:i/>
          <w:sz w:val="24"/>
          <w:szCs w:val="24"/>
        </w:rPr>
        <w:t>.attēls</w:t>
      </w:r>
    </w:p>
    <w:p w14:paraId="0B5EF713" w14:textId="77777777" w:rsidR="00A937D8" w:rsidRPr="00212ECB" w:rsidRDefault="00A937D8" w:rsidP="00337B24">
      <w:pPr>
        <w:jc w:val="center"/>
        <w:rPr>
          <w:rFonts w:ascii="Times New Roman" w:hAnsi="Times New Roman" w:cs="Times New Roman"/>
          <w:b/>
          <w:sz w:val="24"/>
          <w:szCs w:val="24"/>
        </w:rPr>
      </w:pPr>
      <w:r w:rsidRPr="00212ECB">
        <w:rPr>
          <w:rFonts w:ascii="Times New Roman" w:hAnsi="Times New Roman" w:cs="Times New Roman"/>
          <w:b/>
          <w:sz w:val="24"/>
          <w:szCs w:val="24"/>
        </w:rPr>
        <w:t>Zāļu kompensācijas apjoma un viena pacienta izmaksu korelācija</w:t>
      </w:r>
    </w:p>
    <w:p w14:paraId="55393971" w14:textId="77777777" w:rsidR="00A937D8" w:rsidRPr="003B6DC4" w:rsidRDefault="00A937D8" w:rsidP="00337B24">
      <w:pPr>
        <w:jc w:val="center"/>
        <w:rPr>
          <w:rFonts w:ascii="Times New Roman" w:hAnsi="Times New Roman" w:cs="Times New Roman"/>
          <w:sz w:val="24"/>
          <w:szCs w:val="24"/>
        </w:rPr>
      </w:pPr>
      <w:r w:rsidRPr="003B6DC4">
        <w:rPr>
          <w:rFonts w:ascii="Times New Roman" w:hAnsi="Times New Roman" w:cs="Times New Roman"/>
          <w:noProof/>
          <w:sz w:val="24"/>
          <w:szCs w:val="24"/>
          <w:lang w:eastAsia="lv-LV"/>
        </w:rPr>
        <w:drawing>
          <wp:inline distT="0" distB="0" distL="0" distR="0" wp14:anchorId="413986DA" wp14:editId="66D9709E">
            <wp:extent cx="5274310" cy="2305583"/>
            <wp:effectExtent l="0" t="0" r="254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5D7DF8" w14:textId="77777777" w:rsidR="00A937D8" w:rsidRPr="003B6DC4" w:rsidRDefault="00A937D8" w:rsidP="00337B24">
      <w:pPr>
        <w:jc w:val="both"/>
        <w:rPr>
          <w:rFonts w:ascii="Times New Roman" w:hAnsi="Times New Roman" w:cs="Times New Roman"/>
          <w:i/>
          <w:sz w:val="20"/>
          <w:szCs w:val="20"/>
        </w:rPr>
      </w:pPr>
      <w:r w:rsidRPr="003B6DC4">
        <w:rPr>
          <w:rFonts w:ascii="Times New Roman" w:hAnsi="Times New Roman" w:cs="Times New Roman"/>
          <w:i/>
          <w:sz w:val="20"/>
          <w:szCs w:val="20"/>
        </w:rPr>
        <w:t>Avots: NVD</w:t>
      </w:r>
    </w:p>
    <w:p w14:paraId="10B64560" w14:textId="77777777" w:rsidR="00A937D8" w:rsidRPr="003B6DC4" w:rsidRDefault="00A937D8" w:rsidP="00337B24">
      <w:pPr>
        <w:ind w:firstLine="709"/>
        <w:jc w:val="both"/>
        <w:rPr>
          <w:rFonts w:ascii="Times New Roman" w:hAnsi="Times New Roman" w:cs="Times New Roman"/>
          <w:sz w:val="24"/>
          <w:szCs w:val="24"/>
        </w:rPr>
      </w:pPr>
      <w:r w:rsidRPr="003B6DC4">
        <w:rPr>
          <w:rFonts w:ascii="Times New Roman" w:hAnsi="Times New Roman" w:cs="Times New Roman"/>
          <w:sz w:val="24"/>
          <w:szCs w:val="24"/>
        </w:rPr>
        <w:t>Neraugoties uz pastāvīgi nepietiekamo finansējumu, Veselības ministrija ir centusies esošo līdzekļu ietvaros nodrošināt pieejamību kompensējamām zālēm iespējami plašākam pacientu lokam:</w:t>
      </w:r>
    </w:p>
    <w:p w14:paraId="3B9022C8" w14:textId="77777777"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color w:val="000000"/>
          <w:sz w:val="24"/>
          <w:szCs w:val="24"/>
        </w:rPr>
        <w:t>2010</w:t>
      </w:r>
      <w:r w:rsidRPr="003B6DC4">
        <w:rPr>
          <w:rFonts w:ascii="Times New Roman" w:hAnsi="Times New Roman"/>
          <w:noProof/>
          <w:sz w:val="24"/>
          <w:szCs w:val="24"/>
          <w:lang w:eastAsia="lv-LV"/>
        </w:rPr>
        <w:t>.gadā tika rasta iespēja palielināt asinsrites sistēmas slimību diagnožu kompensācijas apmēru no 50% uz 75%;</w:t>
      </w:r>
    </w:p>
    <w:p w14:paraId="23932142" w14:textId="77777777"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noProof/>
          <w:sz w:val="24"/>
          <w:szCs w:val="24"/>
          <w:lang w:eastAsia="lv-LV"/>
        </w:rPr>
        <w:t>sākot ar 2011.gada 1.martu tika palielināts kompensācijas apmērs no 50% uz 75% diagnožu grupai „Vīrushepatīti”;</w:t>
      </w:r>
    </w:p>
    <w:p w14:paraId="5E6FA935" w14:textId="77777777"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sz w:val="24"/>
          <w:szCs w:val="24"/>
        </w:rPr>
        <w:t>2012.gadā tika nodrošināta Mātes un bērna veselības uzlabošanas plānā paredzēto uzdevumu izpilde: sākot ar 2012.gada 1.augustu – gripas vakcīnas iegādes izdevumu kompensācija 50% apmērā grūtniecēm; ar 2012.gada 1.septembri –</w:t>
      </w:r>
      <w:r w:rsidRPr="003B6DC4">
        <w:rPr>
          <w:rFonts w:ascii="Times New Roman" w:hAnsi="Times New Roman"/>
          <w:b/>
          <w:bCs/>
          <w:sz w:val="24"/>
          <w:szCs w:val="24"/>
        </w:rPr>
        <w:t xml:space="preserve"> </w:t>
      </w:r>
      <w:r w:rsidRPr="003B6DC4">
        <w:rPr>
          <w:rFonts w:ascii="Times New Roman" w:hAnsi="Times New Roman"/>
          <w:sz w:val="24"/>
          <w:szCs w:val="24"/>
        </w:rPr>
        <w:t>recepšu zāļu iegādes izdevumu kompensācija bērniem līdz 2 gadu vecumam 50% apmērā un grūtniecēm vai sievietēm pēcdzemdību periodā līdz 42 dienām 25% apmērā;</w:t>
      </w:r>
      <w:r w:rsidRPr="003B6DC4">
        <w:rPr>
          <w:rFonts w:ascii="Times New Roman" w:hAnsi="Times New Roman"/>
          <w:bCs/>
          <w:sz w:val="24"/>
          <w:szCs w:val="24"/>
        </w:rPr>
        <w:t xml:space="preserve"> ar 2012.gada 1.novembri </w:t>
      </w:r>
      <w:r w:rsidRPr="003B6DC4">
        <w:rPr>
          <w:rFonts w:ascii="Times New Roman" w:hAnsi="Times New Roman"/>
          <w:sz w:val="24"/>
          <w:szCs w:val="24"/>
        </w:rPr>
        <w:t>– zāļu iegādes izdevumu kompensācija 100% apmērā neauglības ārstēšanai;</w:t>
      </w:r>
    </w:p>
    <w:p w14:paraId="7CBB33FC" w14:textId="77777777"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bCs/>
          <w:sz w:val="24"/>
          <w:szCs w:val="24"/>
        </w:rPr>
        <w:t>sākot ar 2014.gadu tika nodrošināta 100% zāļu kompensācija bērniem līdz 18 gadu vecumam;</w:t>
      </w:r>
    </w:p>
    <w:p w14:paraId="34C653AB" w14:textId="77777777"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bCs/>
          <w:sz w:val="24"/>
          <w:szCs w:val="24"/>
        </w:rPr>
        <w:t>sākot ar</w:t>
      </w:r>
      <w:r w:rsidRPr="003B6DC4">
        <w:rPr>
          <w:rFonts w:ascii="Times New Roman" w:hAnsi="Times New Roman"/>
          <w:color w:val="000000"/>
          <w:sz w:val="24"/>
          <w:szCs w:val="24"/>
        </w:rPr>
        <w:t xml:space="preserve"> 2015.gada 1.jūliju tika paplašināta antibiotiku kompensācija akūtām respiratorām slimībām un vidusauss iekaisumam bērniem līdz 18 gadu vecumam;</w:t>
      </w:r>
    </w:p>
    <w:p w14:paraId="37848A2F" w14:textId="74573A9E" w:rsidR="00A937D8" w:rsidRPr="003B6DC4" w:rsidRDefault="00A937D8" w:rsidP="00337B24">
      <w:pPr>
        <w:widowControl w:val="0"/>
        <w:numPr>
          <w:ilvl w:val="0"/>
          <w:numId w:val="51"/>
        </w:numPr>
        <w:spacing w:after="0"/>
        <w:contextualSpacing/>
        <w:jc w:val="both"/>
        <w:rPr>
          <w:rFonts w:ascii="Times New Roman" w:hAnsi="Times New Roman"/>
          <w:color w:val="000000"/>
          <w:sz w:val="24"/>
          <w:szCs w:val="24"/>
        </w:rPr>
      </w:pPr>
      <w:r w:rsidRPr="003B6DC4">
        <w:rPr>
          <w:rFonts w:ascii="Times New Roman" w:hAnsi="Times New Roman"/>
          <w:color w:val="000000"/>
          <w:sz w:val="24"/>
          <w:szCs w:val="24"/>
        </w:rPr>
        <w:t xml:space="preserve">sākot </w:t>
      </w:r>
      <w:r w:rsidRPr="003B6DC4">
        <w:rPr>
          <w:rFonts w:ascii="Times New Roman" w:hAnsi="Times New Roman"/>
          <w:bCs/>
          <w:sz w:val="24"/>
          <w:szCs w:val="24"/>
        </w:rPr>
        <w:t xml:space="preserve">ar 2015.gada 1.jūliju tika palielināts zāļu </w:t>
      </w:r>
      <w:r w:rsidRPr="003B6DC4">
        <w:rPr>
          <w:rFonts w:ascii="Times New Roman" w:hAnsi="Times New Roman"/>
          <w:noProof/>
          <w:sz w:val="24"/>
          <w:szCs w:val="24"/>
          <w:lang w:eastAsia="lv-LV"/>
        </w:rPr>
        <w:t xml:space="preserve">kompensācijas apmērs no 50% uz 75% </w:t>
      </w:r>
      <w:r w:rsidRPr="003B6DC4">
        <w:rPr>
          <w:rFonts w:ascii="Times New Roman" w:hAnsi="Times New Roman"/>
          <w:color w:val="000000"/>
          <w:sz w:val="24"/>
          <w:szCs w:val="24"/>
        </w:rPr>
        <w:t xml:space="preserve">Krona </w:t>
      </w:r>
      <w:r w:rsidRPr="003B6DC4">
        <w:rPr>
          <w:rFonts w:ascii="Times New Roman" w:hAnsi="Times New Roman"/>
          <w:iCs/>
          <w:color w:val="000000"/>
          <w:sz w:val="24"/>
          <w:szCs w:val="24"/>
        </w:rPr>
        <w:t>slimības, Čūlain</w:t>
      </w:r>
      <w:r w:rsidR="00FB6020">
        <w:rPr>
          <w:rFonts w:ascii="Times New Roman" w:hAnsi="Times New Roman"/>
          <w:iCs/>
          <w:color w:val="000000"/>
          <w:sz w:val="24"/>
          <w:szCs w:val="24"/>
        </w:rPr>
        <w:t>ā kolīta un Zvīņēdes pacientiem.</w:t>
      </w:r>
    </w:p>
    <w:p w14:paraId="7CAE6664" w14:textId="77777777" w:rsidR="00FB6020" w:rsidRPr="00FB6020" w:rsidRDefault="00FB6020" w:rsidP="00FB6020">
      <w:pPr>
        <w:widowControl w:val="0"/>
        <w:spacing w:after="120"/>
        <w:ind w:firstLine="709"/>
        <w:contextualSpacing/>
        <w:jc w:val="both"/>
        <w:rPr>
          <w:rFonts w:ascii="Times New Roman" w:hAnsi="Times New Roman"/>
          <w:color w:val="000000"/>
          <w:sz w:val="24"/>
          <w:szCs w:val="24"/>
        </w:rPr>
      </w:pPr>
      <w:r w:rsidRPr="00FB6020">
        <w:rPr>
          <w:rFonts w:ascii="Times New Roman" w:hAnsi="Times New Roman"/>
          <w:sz w:val="24"/>
          <w:szCs w:val="24"/>
        </w:rPr>
        <w:lastRenderedPageBreak/>
        <w:t xml:space="preserve">Papildus iepriekš minētajam, sākot ar 2016.gada 1.janvāri </w:t>
      </w:r>
      <w:r w:rsidRPr="00FB6020">
        <w:rPr>
          <w:rFonts w:ascii="Times New Roman" w:hAnsi="Times New Roman"/>
          <w:noProof/>
          <w:sz w:val="24"/>
          <w:szCs w:val="24"/>
          <w:lang w:eastAsia="lv-LV"/>
        </w:rPr>
        <w:t xml:space="preserve">diagnožu grupai „Vīrushepatīti” </w:t>
      </w:r>
      <w:r w:rsidRPr="00FB6020">
        <w:rPr>
          <w:rFonts w:ascii="Times New Roman" w:hAnsi="Times New Roman"/>
          <w:sz w:val="24"/>
          <w:szCs w:val="24"/>
        </w:rPr>
        <w:t>tika</w:t>
      </w:r>
      <w:r w:rsidRPr="00FB6020">
        <w:rPr>
          <w:rFonts w:ascii="Times New Roman" w:hAnsi="Times New Roman"/>
          <w:noProof/>
          <w:sz w:val="24"/>
          <w:szCs w:val="24"/>
          <w:lang w:eastAsia="lv-LV"/>
        </w:rPr>
        <w:t xml:space="preserve"> palielināts kompensācijas apmērs no 75% uz 100%,</w:t>
      </w:r>
      <w:r w:rsidRPr="00FB6020">
        <w:rPr>
          <w:rFonts w:ascii="Times New Roman" w:hAnsi="Times New Roman"/>
          <w:color w:val="000000"/>
          <w:sz w:val="24"/>
          <w:szCs w:val="24"/>
          <w:lang w:bidi="gu-IN"/>
        </w:rPr>
        <w:t xml:space="preserve"> kā arī </w:t>
      </w:r>
      <w:r w:rsidRPr="00FB6020">
        <w:rPr>
          <w:rFonts w:ascii="Times New Roman" w:hAnsi="Times New Roman"/>
          <w:color w:val="000000"/>
          <w:sz w:val="24"/>
          <w:szCs w:val="24"/>
        </w:rPr>
        <w:t>atbilstoši Pasaules Veselības organizācijas rekomendācijām tika mainīti HIV/AIDS kompensācijas nosacījumi ātrākai terapijas uzsākšanai. Minētās izmaiņas tika veiktas, pamatojoties uz hroniska C hepatīta (turpmāk – VHC) epidemioloģisko situāciju valstī.</w:t>
      </w:r>
    </w:p>
    <w:p w14:paraId="499B0D27" w14:textId="2F4CA055" w:rsidR="00FB6020" w:rsidRPr="00FB6020" w:rsidRDefault="00FB6020" w:rsidP="00FB6020">
      <w:pPr>
        <w:widowControl w:val="0"/>
        <w:spacing w:after="120"/>
        <w:ind w:firstLine="709"/>
        <w:contextualSpacing/>
        <w:jc w:val="both"/>
        <w:rPr>
          <w:rFonts w:ascii="Times New Roman" w:hAnsi="Times New Roman"/>
          <w:color w:val="000000"/>
          <w:sz w:val="24"/>
          <w:szCs w:val="24"/>
        </w:rPr>
      </w:pPr>
      <w:r w:rsidRPr="00FB6020">
        <w:rPr>
          <w:rFonts w:ascii="Times New Roman" w:hAnsi="Times New Roman"/>
          <w:color w:val="000000"/>
          <w:sz w:val="24"/>
          <w:szCs w:val="24"/>
        </w:rPr>
        <w:t>Modelējot VHC izplatību sabiedrībā, infektoloģijas speciālistu veiktajā pētījumā tika secināts, ka  VHC antigēns ir konstatējams 1,7% Latvijas iedzīvotāju asinīs. Katru gadu tiek reģistrēti vairāk kā 1000 jaunatklāti VHC infekcijas gadījumi. Lielākajai daļai šo cilvēku ir VHC bezsimptomu forma, kas nozīmē, ka viņiem nav slimības klīnisko izpausmju, bet viņi ir infekciozi, un ilgākā laika periodā šie cilvēki var kļūt par VHC pacientiem ar dažādas pakāpes aknu bojājumiem.</w:t>
      </w:r>
    </w:p>
    <w:p w14:paraId="5C5470B3" w14:textId="77777777" w:rsidR="00FB6020" w:rsidRPr="00FB6020" w:rsidRDefault="00FB6020" w:rsidP="00FB6020">
      <w:pPr>
        <w:widowControl w:val="0"/>
        <w:spacing w:after="120"/>
        <w:ind w:firstLine="709"/>
        <w:contextualSpacing/>
        <w:jc w:val="both"/>
        <w:rPr>
          <w:rFonts w:ascii="Times New Roman" w:hAnsi="Times New Roman"/>
          <w:color w:val="000000"/>
          <w:sz w:val="24"/>
          <w:szCs w:val="24"/>
        </w:rPr>
      </w:pPr>
      <w:r w:rsidRPr="00FB6020">
        <w:rPr>
          <w:rFonts w:ascii="Times New Roman" w:hAnsi="Times New Roman"/>
          <w:color w:val="000000"/>
          <w:sz w:val="24"/>
          <w:szCs w:val="24"/>
        </w:rPr>
        <w:t>Atbilstoši Pasaules Veselības organizācijas (turpmāk – PVO) pētījumiem, 33% ar VHC inficētajām personām 30 gadu laikā attīstās aknu ciroze vai aknu ļaundabīgie audzēji, kas ir smagas aknu slimības un ierobežo cilvēka darba spējas, un noved pie letāla iznākuma</w:t>
      </w:r>
      <w:r w:rsidRPr="00FB6020">
        <w:rPr>
          <w:rStyle w:val="FootnoteReference"/>
          <w:rFonts w:ascii="Times New Roman" w:eastAsia="Times New Roman" w:hAnsi="Times New Roman" w:cs="Times New Roman"/>
          <w:sz w:val="28"/>
          <w:szCs w:val="28"/>
          <w:lang w:eastAsia="lv-LV"/>
        </w:rPr>
        <w:footnoteReference w:id="23"/>
      </w:r>
      <w:r w:rsidRPr="00FB6020">
        <w:rPr>
          <w:rFonts w:ascii="Times New Roman" w:hAnsi="Times New Roman"/>
          <w:color w:val="000000"/>
          <w:sz w:val="24"/>
          <w:szCs w:val="24"/>
        </w:rPr>
        <w:t>.  Tādēļ 2016. gada maijā Pasaules Veselības Asamblejā 194 valstis, tai skaitā Latvija, pieņēma Vispasaules veselības sektora stratēģiju par VHC izplatības ierobežošanu, kurā ir ietverta apņemšanās līdz 2030. gadam likvidēt VHC  kā sabiedrības veselības problēmu un panākt, ka 80% no inficētajām personām saņem ārstēšanu.</w:t>
      </w:r>
    </w:p>
    <w:p w14:paraId="2E747392" w14:textId="0E43E4C8" w:rsidR="00FB6020" w:rsidRPr="00FB6020" w:rsidRDefault="00FB6020" w:rsidP="00FB6020">
      <w:pPr>
        <w:widowControl w:val="0"/>
        <w:spacing w:after="120"/>
        <w:ind w:firstLine="709"/>
        <w:contextualSpacing/>
        <w:jc w:val="both"/>
        <w:rPr>
          <w:rFonts w:ascii="Times New Roman" w:hAnsi="Times New Roman"/>
          <w:color w:val="000000"/>
          <w:sz w:val="24"/>
          <w:szCs w:val="24"/>
        </w:rPr>
      </w:pPr>
      <w:r w:rsidRPr="00FB6020">
        <w:rPr>
          <w:rFonts w:ascii="Times New Roman" w:hAnsi="Times New Roman"/>
          <w:color w:val="000000"/>
          <w:sz w:val="24"/>
          <w:szCs w:val="24"/>
        </w:rPr>
        <w:t>Latvijas eksperti sadarbībā ar Slimību analīzes centra (Center of Disease Analysis – turpmāk CDA)</w:t>
      </w:r>
      <w:r w:rsidRPr="00FB6020">
        <w:rPr>
          <w:rStyle w:val="FootnoteReference"/>
          <w:rFonts w:ascii="Times New Roman" w:hAnsi="Times New Roman"/>
          <w:color w:val="000000"/>
          <w:sz w:val="24"/>
          <w:szCs w:val="24"/>
        </w:rPr>
        <w:footnoteReference w:id="24"/>
      </w:r>
      <w:r w:rsidRPr="00FB6020">
        <w:rPr>
          <w:rFonts w:ascii="Times New Roman" w:hAnsi="Times New Roman"/>
          <w:color w:val="000000"/>
          <w:sz w:val="24"/>
          <w:szCs w:val="24"/>
        </w:rPr>
        <w:t xml:space="preserve"> pārstāvjiem  veica aprēķinus, kas norāda</w:t>
      </w:r>
      <w:r w:rsidR="00942754">
        <w:rPr>
          <w:rFonts w:ascii="Times New Roman" w:hAnsi="Times New Roman"/>
          <w:color w:val="000000"/>
          <w:sz w:val="24"/>
          <w:szCs w:val="24"/>
        </w:rPr>
        <w:t xml:space="preserve"> - </w:t>
      </w:r>
      <w:r w:rsidRPr="00FB6020">
        <w:rPr>
          <w:rFonts w:ascii="Times New Roman" w:hAnsi="Times New Roman"/>
          <w:color w:val="000000"/>
          <w:sz w:val="24"/>
          <w:szCs w:val="24"/>
        </w:rPr>
        <w:t xml:space="preserve">ja  Latvijā netiks nodrošināta pietiekami efektīva VHC ārstēšana, pastāv risks, ka 2030. gadā ar VHC Latvijā būs inficēti gandrīz 50 tūkstoši pacientu, no kuriem aptuveni 10%  VHC pacientu (5000 VHC pacientu) būs aknu cirozes, aknu cirozes dekompensētā stadijā, aknu vēži vai nepieciešamība veikt aknu transplantācijas. Pacienti ar aknu cirozi, dekompensētu aknu cirozi un aknu vēzi ir invalīdi, kuri nav darbspējīgi un viņu ārstēšanai tiek tērēti ievērojami valsts budžeta finanšu līdzekļi.  </w:t>
      </w:r>
    </w:p>
    <w:p w14:paraId="5CBAB20C" w14:textId="43C74D01" w:rsidR="00FB6020" w:rsidRPr="00FB6020" w:rsidRDefault="00FB6020" w:rsidP="00942754">
      <w:pPr>
        <w:widowControl w:val="0"/>
        <w:spacing w:after="120"/>
        <w:ind w:firstLine="709"/>
        <w:contextualSpacing/>
        <w:jc w:val="both"/>
        <w:rPr>
          <w:rFonts w:ascii="Times New Roman" w:hAnsi="Times New Roman"/>
          <w:color w:val="000000"/>
          <w:sz w:val="24"/>
          <w:szCs w:val="24"/>
        </w:rPr>
      </w:pPr>
      <w:r w:rsidRPr="00FB6020">
        <w:rPr>
          <w:rFonts w:ascii="Times New Roman" w:hAnsi="Times New Roman"/>
          <w:color w:val="000000"/>
          <w:sz w:val="24"/>
          <w:szCs w:val="24"/>
        </w:rPr>
        <w:t>Kā liecina Slimību profilakses un kontroles centra dati, lielākā daļa ar VHC inficēto personu ir vecumā no 18-60 gadiem, kas ir cilvēki darbspējīgā vecumā.</w:t>
      </w:r>
    </w:p>
    <w:p w14:paraId="71F66059" w14:textId="77777777" w:rsidR="008E64F7" w:rsidRPr="00FB6020" w:rsidRDefault="008E64F7" w:rsidP="00391FE2">
      <w:pPr>
        <w:spacing w:after="0" w:line="240" w:lineRule="auto"/>
        <w:ind w:firstLine="720"/>
        <w:jc w:val="right"/>
        <w:rPr>
          <w:rFonts w:ascii="Times New Roman" w:hAnsi="Times New Roman" w:cs="Times New Roman"/>
          <w:i/>
          <w:sz w:val="24"/>
          <w:szCs w:val="24"/>
        </w:rPr>
      </w:pPr>
    </w:p>
    <w:p w14:paraId="35CAA248" w14:textId="1226B4E5" w:rsidR="00391FE2" w:rsidRPr="00FB6020" w:rsidRDefault="00391FE2" w:rsidP="00391FE2">
      <w:pPr>
        <w:spacing w:after="0" w:line="240" w:lineRule="auto"/>
        <w:ind w:firstLine="720"/>
        <w:jc w:val="right"/>
        <w:rPr>
          <w:rFonts w:ascii="Times New Roman" w:hAnsi="Times New Roman" w:cs="Times New Roman"/>
          <w:i/>
          <w:sz w:val="24"/>
          <w:szCs w:val="24"/>
        </w:rPr>
      </w:pPr>
      <w:r w:rsidRPr="00FB6020">
        <w:rPr>
          <w:rFonts w:ascii="Times New Roman" w:hAnsi="Times New Roman" w:cs="Times New Roman"/>
          <w:i/>
          <w:sz w:val="24"/>
          <w:szCs w:val="24"/>
        </w:rPr>
        <w:t>4.tabula</w:t>
      </w:r>
    </w:p>
    <w:p w14:paraId="6417B17F" w14:textId="3EA3FB38" w:rsidR="00391FE2" w:rsidRPr="00FB6020" w:rsidRDefault="009424F3" w:rsidP="0039218A">
      <w:pPr>
        <w:spacing w:after="0" w:line="240" w:lineRule="auto"/>
        <w:ind w:firstLine="720"/>
        <w:jc w:val="center"/>
        <w:rPr>
          <w:rFonts w:ascii="Times New Roman" w:hAnsi="Times New Roman" w:cs="Times New Roman"/>
          <w:b/>
          <w:sz w:val="24"/>
          <w:szCs w:val="24"/>
        </w:rPr>
      </w:pPr>
      <w:r w:rsidRPr="00FB6020">
        <w:rPr>
          <w:rFonts w:ascii="Times New Roman" w:hAnsi="Times New Roman" w:cs="Times New Roman"/>
          <w:b/>
          <w:sz w:val="24"/>
          <w:szCs w:val="24"/>
        </w:rPr>
        <w:t>VHC jaunatklāto gadījumu vecuma struktūra 2011.-2015. gados</w:t>
      </w:r>
    </w:p>
    <w:p w14:paraId="7C013D0F" w14:textId="77777777" w:rsidR="00391FE2" w:rsidRPr="00FB6020" w:rsidRDefault="00391FE2" w:rsidP="00391FE2">
      <w:pPr>
        <w:spacing w:after="0" w:line="240" w:lineRule="auto"/>
        <w:ind w:right="85"/>
        <w:jc w:val="both"/>
        <w:rPr>
          <w:rFonts w:ascii="Times New Roman" w:eastAsia="Times New Roman" w:hAnsi="Times New Roman" w:cs="Times New Roman"/>
          <w:b/>
          <w:sz w:val="28"/>
          <w:szCs w:val="28"/>
          <w:lang w:eastAsia="lv-LV"/>
        </w:rPr>
      </w:pPr>
    </w:p>
    <w:tbl>
      <w:tblPr>
        <w:tblW w:w="10065" w:type="dxa"/>
        <w:jc w:val="center"/>
        <w:tblLayout w:type="fixed"/>
        <w:tblCellMar>
          <w:left w:w="10" w:type="dxa"/>
          <w:right w:w="10" w:type="dxa"/>
        </w:tblCellMar>
        <w:tblLook w:val="04A0" w:firstRow="1" w:lastRow="0" w:firstColumn="1" w:lastColumn="0" w:noHBand="0" w:noVBand="1"/>
      </w:tblPr>
      <w:tblGrid>
        <w:gridCol w:w="1135"/>
        <w:gridCol w:w="709"/>
        <w:gridCol w:w="708"/>
        <w:gridCol w:w="851"/>
        <w:gridCol w:w="992"/>
        <w:gridCol w:w="851"/>
        <w:gridCol w:w="850"/>
        <w:gridCol w:w="992"/>
        <w:gridCol w:w="993"/>
        <w:gridCol w:w="1134"/>
        <w:gridCol w:w="850"/>
      </w:tblGrid>
      <w:tr w:rsidR="00391FE2" w:rsidRPr="00FB6020" w14:paraId="64CF7E68" w14:textId="77777777" w:rsidTr="0039218A">
        <w:trPr>
          <w:trHeight w:val="300"/>
          <w:jc w:val="center"/>
        </w:trPr>
        <w:tc>
          <w:tcPr>
            <w:tcW w:w="11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5690662E"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Vecums</w:t>
            </w:r>
          </w:p>
        </w:tc>
        <w:tc>
          <w:tcPr>
            <w:tcW w:w="709"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7CACC4C1"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0</w:t>
            </w:r>
          </w:p>
        </w:tc>
        <w:tc>
          <w:tcPr>
            <w:tcW w:w="708"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0B051C59"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1-6</w:t>
            </w:r>
          </w:p>
        </w:tc>
        <w:tc>
          <w:tcPr>
            <w:tcW w:w="851"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5E1D3C1A"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7-14</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22978D03"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15-17</w:t>
            </w:r>
          </w:p>
        </w:tc>
        <w:tc>
          <w:tcPr>
            <w:tcW w:w="851"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2B095E38"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18-29</w:t>
            </w:r>
          </w:p>
        </w:tc>
        <w:tc>
          <w:tcPr>
            <w:tcW w:w="850"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217051AD"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30-39</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6CFA30B0"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40-49</w:t>
            </w:r>
          </w:p>
        </w:tc>
        <w:tc>
          <w:tcPr>
            <w:tcW w:w="993"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552ABDC8"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50-59</w:t>
            </w:r>
          </w:p>
        </w:tc>
        <w:tc>
          <w:tcPr>
            <w:tcW w:w="1134"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63BF8695"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60 un &gt;</w:t>
            </w:r>
          </w:p>
        </w:tc>
        <w:tc>
          <w:tcPr>
            <w:tcW w:w="850"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459AF5AB" w14:textId="77777777" w:rsidR="00391FE2" w:rsidRPr="006213DE" w:rsidRDefault="00391FE2" w:rsidP="0065597C">
            <w:pPr>
              <w:suppressAutoHyphens/>
              <w:autoSpaceDN w:val="0"/>
              <w:spacing w:after="160" w:line="242" w:lineRule="auto"/>
              <w:jc w:val="center"/>
              <w:textAlignment w:val="baseline"/>
              <w:rPr>
                <w:rFonts w:ascii="Times New Roman" w:hAnsi="Times New Roman"/>
                <w:sz w:val="24"/>
              </w:rPr>
            </w:pPr>
            <w:r w:rsidRPr="006213DE">
              <w:rPr>
                <w:rFonts w:ascii="Times New Roman" w:hAnsi="Times New Roman"/>
                <w:sz w:val="24"/>
              </w:rPr>
              <w:t>Kopā</w:t>
            </w:r>
          </w:p>
        </w:tc>
      </w:tr>
      <w:tr w:rsidR="00391FE2" w:rsidRPr="00FB6020" w14:paraId="0D971CC6" w14:textId="77777777" w:rsidTr="0039218A">
        <w:trPr>
          <w:trHeight w:val="300"/>
          <w:jc w:val="center"/>
        </w:trPr>
        <w:tc>
          <w:tcPr>
            <w:tcW w:w="1135"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7313B18" w14:textId="77777777" w:rsidR="00391FE2" w:rsidRPr="006213DE" w:rsidRDefault="00391FE2" w:rsidP="0065597C">
            <w:pPr>
              <w:suppressAutoHyphens/>
              <w:autoSpaceDN w:val="0"/>
              <w:spacing w:after="0" w:line="240" w:lineRule="auto"/>
              <w:textAlignment w:val="baseline"/>
              <w:rPr>
                <w:rFonts w:ascii="Times New Roman" w:hAnsi="Times New Roman"/>
                <w:sz w:val="24"/>
              </w:rPr>
            </w:pPr>
            <w:r w:rsidRPr="006213DE">
              <w:rPr>
                <w:rFonts w:ascii="Times New Roman" w:hAnsi="Times New Roman"/>
                <w:sz w:val="24"/>
              </w:rPr>
              <w:t>Skaits</w:t>
            </w:r>
          </w:p>
        </w:tc>
        <w:tc>
          <w:tcPr>
            <w:tcW w:w="709" w:type="dxa"/>
            <w:tcBorders>
              <w:bottom w:val="single" w:sz="4" w:space="0" w:color="000000"/>
              <w:right w:val="single" w:sz="4" w:space="0" w:color="000000"/>
            </w:tcBorders>
            <w:noWrap/>
            <w:tcMar>
              <w:top w:w="0" w:type="dxa"/>
              <w:left w:w="108" w:type="dxa"/>
              <w:bottom w:w="0" w:type="dxa"/>
              <w:right w:w="108" w:type="dxa"/>
            </w:tcMar>
          </w:tcPr>
          <w:p w14:paraId="06B4BCFF"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3</w:t>
            </w:r>
          </w:p>
        </w:tc>
        <w:tc>
          <w:tcPr>
            <w:tcW w:w="708" w:type="dxa"/>
            <w:tcBorders>
              <w:bottom w:val="single" w:sz="4" w:space="0" w:color="000000"/>
              <w:right w:val="single" w:sz="4" w:space="0" w:color="000000"/>
            </w:tcBorders>
            <w:noWrap/>
            <w:tcMar>
              <w:top w:w="0" w:type="dxa"/>
              <w:left w:w="108" w:type="dxa"/>
              <w:bottom w:w="0" w:type="dxa"/>
              <w:right w:w="108" w:type="dxa"/>
            </w:tcMar>
          </w:tcPr>
          <w:p w14:paraId="5EC33BBB"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19</w:t>
            </w:r>
          </w:p>
        </w:tc>
        <w:tc>
          <w:tcPr>
            <w:tcW w:w="851" w:type="dxa"/>
            <w:tcBorders>
              <w:bottom w:val="single" w:sz="4" w:space="0" w:color="000000"/>
              <w:right w:val="single" w:sz="4" w:space="0" w:color="000000"/>
            </w:tcBorders>
            <w:noWrap/>
            <w:tcMar>
              <w:top w:w="0" w:type="dxa"/>
              <w:left w:w="108" w:type="dxa"/>
              <w:bottom w:w="0" w:type="dxa"/>
              <w:right w:w="108" w:type="dxa"/>
            </w:tcMar>
          </w:tcPr>
          <w:p w14:paraId="02D75E83"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19</w:t>
            </w:r>
          </w:p>
        </w:tc>
        <w:tc>
          <w:tcPr>
            <w:tcW w:w="992" w:type="dxa"/>
            <w:tcBorders>
              <w:bottom w:val="single" w:sz="4" w:space="0" w:color="000000"/>
              <w:right w:val="single" w:sz="4" w:space="0" w:color="000000"/>
            </w:tcBorders>
            <w:noWrap/>
            <w:tcMar>
              <w:top w:w="0" w:type="dxa"/>
              <w:left w:w="108" w:type="dxa"/>
              <w:bottom w:w="0" w:type="dxa"/>
              <w:right w:w="108" w:type="dxa"/>
            </w:tcMar>
          </w:tcPr>
          <w:p w14:paraId="1B517872"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26</w:t>
            </w:r>
          </w:p>
        </w:tc>
        <w:tc>
          <w:tcPr>
            <w:tcW w:w="851" w:type="dxa"/>
            <w:tcBorders>
              <w:bottom w:val="single" w:sz="4" w:space="0" w:color="000000"/>
              <w:right w:val="single" w:sz="4" w:space="0" w:color="000000"/>
            </w:tcBorders>
            <w:noWrap/>
            <w:tcMar>
              <w:top w:w="0" w:type="dxa"/>
              <w:left w:w="108" w:type="dxa"/>
              <w:bottom w:w="0" w:type="dxa"/>
              <w:right w:w="108" w:type="dxa"/>
            </w:tcMar>
          </w:tcPr>
          <w:p w14:paraId="1F867161"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1354</w:t>
            </w:r>
          </w:p>
        </w:tc>
        <w:tc>
          <w:tcPr>
            <w:tcW w:w="850" w:type="dxa"/>
            <w:tcBorders>
              <w:bottom w:val="single" w:sz="4" w:space="0" w:color="000000"/>
              <w:right w:val="single" w:sz="4" w:space="0" w:color="000000"/>
            </w:tcBorders>
            <w:noWrap/>
            <w:tcMar>
              <w:top w:w="0" w:type="dxa"/>
              <w:left w:w="108" w:type="dxa"/>
              <w:bottom w:w="0" w:type="dxa"/>
              <w:right w:w="108" w:type="dxa"/>
            </w:tcMar>
          </w:tcPr>
          <w:p w14:paraId="03B8570E"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2137</w:t>
            </w:r>
          </w:p>
        </w:tc>
        <w:tc>
          <w:tcPr>
            <w:tcW w:w="992" w:type="dxa"/>
            <w:tcBorders>
              <w:bottom w:val="single" w:sz="4" w:space="0" w:color="000000"/>
              <w:right w:val="single" w:sz="4" w:space="0" w:color="000000"/>
            </w:tcBorders>
            <w:noWrap/>
            <w:tcMar>
              <w:top w:w="0" w:type="dxa"/>
              <w:left w:w="108" w:type="dxa"/>
              <w:bottom w:w="0" w:type="dxa"/>
              <w:right w:w="108" w:type="dxa"/>
            </w:tcMar>
          </w:tcPr>
          <w:p w14:paraId="51F06C22"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1610</w:t>
            </w:r>
          </w:p>
        </w:tc>
        <w:tc>
          <w:tcPr>
            <w:tcW w:w="993" w:type="dxa"/>
            <w:tcBorders>
              <w:bottom w:val="single" w:sz="4" w:space="0" w:color="000000"/>
              <w:right w:val="single" w:sz="4" w:space="0" w:color="000000"/>
            </w:tcBorders>
            <w:noWrap/>
            <w:tcMar>
              <w:top w:w="0" w:type="dxa"/>
              <w:left w:w="108" w:type="dxa"/>
              <w:bottom w:w="0" w:type="dxa"/>
              <w:right w:w="108" w:type="dxa"/>
            </w:tcMar>
          </w:tcPr>
          <w:p w14:paraId="0F712919"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1234</w:t>
            </w:r>
          </w:p>
        </w:tc>
        <w:tc>
          <w:tcPr>
            <w:tcW w:w="1134" w:type="dxa"/>
            <w:tcBorders>
              <w:bottom w:val="single" w:sz="4" w:space="0" w:color="000000"/>
              <w:right w:val="single" w:sz="4" w:space="0" w:color="000000"/>
            </w:tcBorders>
            <w:noWrap/>
            <w:tcMar>
              <w:top w:w="0" w:type="dxa"/>
              <w:left w:w="108" w:type="dxa"/>
              <w:bottom w:w="0" w:type="dxa"/>
              <w:right w:w="108" w:type="dxa"/>
            </w:tcMar>
          </w:tcPr>
          <w:p w14:paraId="03426845"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944</w:t>
            </w:r>
          </w:p>
        </w:tc>
        <w:tc>
          <w:tcPr>
            <w:tcW w:w="850" w:type="dxa"/>
            <w:tcBorders>
              <w:bottom w:val="single" w:sz="4" w:space="0" w:color="000000"/>
              <w:right w:val="single" w:sz="4" w:space="0" w:color="000000"/>
            </w:tcBorders>
            <w:noWrap/>
            <w:tcMar>
              <w:top w:w="0" w:type="dxa"/>
              <w:left w:w="108" w:type="dxa"/>
              <w:bottom w:w="0" w:type="dxa"/>
              <w:right w:w="108" w:type="dxa"/>
            </w:tcMar>
          </w:tcPr>
          <w:p w14:paraId="25A6DDC9"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7346</w:t>
            </w:r>
          </w:p>
        </w:tc>
      </w:tr>
      <w:tr w:rsidR="00391FE2" w:rsidRPr="00FB6020" w14:paraId="404277C7" w14:textId="77777777" w:rsidTr="0039218A">
        <w:trPr>
          <w:trHeight w:val="300"/>
          <w:jc w:val="center"/>
        </w:trPr>
        <w:tc>
          <w:tcPr>
            <w:tcW w:w="11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9379D9C" w14:textId="77777777" w:rsidR="00391FE2" w:rsidRPr="006213DE" w:rsidRDefault="00391FE2" w:rsidP="0065597C">
            <w:pPr>
              <w:suppressAutoHyphens/>
              <w:autoSpaceDN w:val="0"/>
              <w:spacing w:after="0" w:line="240" w:lineRule="auto"/>
              <w:textAlignment w:val="baseline"/>
              <w:rPr>
                <w:rFonts w:ascii="Times New Roman" w:hAnsi="Times New Roman"/>
                <w:sz w:val="24"/>
              </w:rPr>
            </w:pPr>
            <w:r w:rsidRPr="006213DE">
              <w:rPr>
                <w:rFonts w:ascii="Times New Roman" w:hAnsi="Times New Roman"/>
                <w:sz w:val="24"/>
              </w:rPr>
              <w:t>%</w:t>
            </w:r>
          </w:p>
        </w:tc>
        <w:tc>
          <w:tcPr>
            <w:tcW w:w="709"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65A66706"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0,04</w:t>
            </w:r>
          </w:p>
        </w:tc>
        <w:tc>
          <w:tcPr>
            <w:tcW w:w="708"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3BCB4D09"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0,3</w:t>
            </w:r>
          </w:p>
        </w:tc>
        <w:tc>
          <w:tcPr>
            <w:tcW w:w="851"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015735C7"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0,3</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09B6CF2A"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0,4</w:t>
            </w:r>
          </w:p>
        </w:tc>
        <w:tc>
          <w:tcPr>
            <w:tcW w:w="851"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453636C1"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18,4</w:t>
            </w:r>
          </w:p>
        </w:tc>
        <w:tc>
          <w:tcPr>
            <w:tcW w:w="850"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4BDF6DCE"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29,1</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55845858"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21,9</w:t>
            </w:r>
          </w:p>
        </w:tc>
        <w:tc>
          <w:tcPr>
            <w:tcW w:w="993"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513E0002"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16,8</w:t>
            </w:r>
          </w:p>
        </w:tc>
        <w:tc>
          <w:tcPr>
            <w:tcW w:w="1134"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529336F9"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12,9</w:t>
            </w:r>
          </w:p>
        </w:tc>
        <w:tc>
          <w:tcPr>
            <w:tcW w:w="850" w:type="dxa"/>
            <w:tcBorders>
              <w:top w:val="single" w:sz="4" w:space="0" w:color="000000"/>
              <w:bottom w:val="single" w:sz="4" w:space="0" w:color="000000"/>
              <w:right w:val="single" w:sz="4" w:space="0" w:color="000000"/>
            </w:tcBorders>
            <w:noWrap/>
            <w:tcMar>
              <w:top w:w="0" w:type="dxa"/>
              <w:left w:w="108" w:type="dxa"/>
              <w:bottom w:w="0" w:type="dxa"/>
              <w:right w:w="108" w:type="dxa"/>
            </w:tcMar>
          </w:tcPr>
          <w:p w14:paraId="74B0DE06" w14:textId="77777777" w:rsidR="00391FE2" w:rsidRPr="00FB6020" w:rsidRDefault="00391FE2" w:rsidP="0065597C">
            <w:pPr>
              <w:suppressAutoHyphens/>
              <w:autoSpaceDN w:val="0"/>
              <w:spacing w:after="0" w:line="240" w:lineRule="auto"/>
              <w:jc w:val="center"/>
              <w:textAlignment w:val="baseline"/>
              <w:rPr>
                <w:rFonts w:ascii="Times New Roman" w:eastAsia="Times New Roman" w:hAnsi="Times New Roman" w:cs="Times New Roman"/>
                <w:sz w:val="24"/>
                <w:szCs w:val="24"/>
              </w:rPr>
            </w:pPr>
            <w:r w:rsidRPr="00FB6020">
              <w:rPr>
                <w:rFonts w:ascii="Times New Roman" w:eastAsia="Times New Roman" w:hAnsi="Times New Roman" w:cs="Times New Roman"/>
                <w:sz w:val="24"/>
                <w:szCs w:val="24"/>
              </w:rPr>
              <w:t>100,0</w:t>
            </w:r>
          </w:p>
        </w:tc>
      </w:tr>
    </w:tbl>
    <w:p w14:paraId="2615D2DF" w14:textId="53289DF6" w:rsidR="00955BDE" w:rsidRPr="006213DE" w:rsidRDefault="00174607" w:rsidP="006213DE">
      <w:pPr>
        <w:widowControl w:val="0"/>
        <w:spacing w:after="120"/>
        <w:contextualSpacing/>
        <w:jc w:val="both"/>
        <w:rPr>
          <w:rFonts w:ascii="Times New Roman" w:hAnsi="Times New Roman"/>
          <w:sz w:val="24"/>
        </w:rPr>
      </w:pPr>
      <w:r w:rsidRPr="00FB6020">
        <w:rPr>
          <w:rFonts w:ascii="Times New Roman" w:hAnsi="Times New Roman" w:cs="Times New Roman"/>
          <w:i/>
          <w:sz w:val="20"/>
          <w:szCs w:val="20"/>
        </w:rPr>
        <w:t>A</w:t>
      </w:r>
      <w:r w:rsidR="00955BDE" w:rsidRPr="00FB6020">
        <w:rPr>
          <w:rFonts w:ascii="Times New Roman" w:hAnsi="Times New Roman" w:cs="Times New Roman"/>
          <w:i/>
          <w:sz w:val="20"/>
          <w:szCs w:val="20"/>
        </w:rPr>
        <w:t>vots: SPKC</w:t>
      </w:r>
      <w:r w:rsidR="00955BDE" w:rsidRPr="006213DE">
        <w:rPr>
          <w:rStyle w:val="FootnoteReference"/>
          <w:rFonts w:ascii="Times New Roman" w:hAnsi="Times New Roman"/>
          <w:i/>
          <w:sz w:val="20"/>
        </w:rPr>
        <w:footnoteReference w:id="25"/>
      </w:r>
    </w:p>
    <w:p w14:paraId="7479286E" w14:textId="154F0C96" w:rsidR="00942754" w:rsidRPr="00942754" w:rsidRDefault="00942754" w:rsidP="009B6C00">
      <w:pPr>
        <w:widowControl w:val="0"/>
        <w:spacing w:after="120"/>
        <w:ind w:firstLine="709"/>
        <w:contextualSpacing/>
        <w:jc w:val="both"/>
        <w:rPr>
          <w:rFonts w:ascii="Times New Roman" w:hAnsi="Times New Roman" w:cs="Times New Roman"/>
          <w:sz w:val="24"/>
          <w:szCs w:val="24"/>
        </w:rPr>
      </w:pPr>
      <w:r w:rsidRPr="00942754">
        <w:rPr>
          <w:rFonts w:ascii="Times New Roman" w:hAnsi="Times New Roman" w:cs="Times New Roman"/>
          <w:sz w:val="24"/>
          <w:szCs w:val="24"/>
        </w:rPr>
        <w:lastRenderedPageBreak/>
        <w:t>Analizējot vecuma struktūru VHC pacientiem ar smagāko F3-F4 slimības formu (prioritārā pacientu grupa  ārstēšanas saņemšanai neatliekamā kārtā), jāsecina, ka lielākais īpatsvars pacientu ir vecumā no 30 līdz 69 gadiem. Šie cilvēki ir darbaspējīgā vecumā, kuriem progresējot slimībai, samazinās darbaspējas, līdz pat invaliditātei, kas iegūta, attīstoties aknu cirozei. Kā liecina VHC pacientu reģistra dati, 2016. gadā ārstniecības personu redzeslokā nonāca 1244 VHC pacienti, no kuriem 228 VHC pacientiem tika diagnosticēta F4 slimības forma (cirozes stadijā). Cirozes stadijā VHC izsauc smagus aknu darbības traucējumus, kā rezultātā tiek ierobežotas cilvēka darba spējas, līdz pat invaliditātei. Lai panāktu šo cilvēku izārstēšanu, ir nepieciešama aknu transplantācija. Atbilstoši reģistra datiem</w:t>
      </w:r>
      <w:r>
        <w:rPr>
          <w:rFonts w:ascii="Times New Roman" w:hAnsi="Times New Roman" w:cs="Times New Roman"/>
          <w:sz w:val="24"/>
          <w:szCs w:val="24"/>
        </w:rPr>
        <w:t>,</w:t>
      </w:r>
      <w:r w:rsidRPr="00942754">
        <w:rPr>
          <w:rFonts w:ascii="Times New Roman" w:hAnsi="Times New Roman" w:cs="Times New Roman"/>
          <w:sz w:val="24"/>
          <w:szCs w:val="24"/>
        </w:rPr>
        <w:t xml:space="preserve"> 426 personām VHC tika diagnosticēts F3 fibrozes stadijā, kas ir aknu cirozes priekšstadija. Šos pacientus neārstējot un neatbrīvojot no VHC ierosinātāja, dažu gadu laikā viņiem tiks diagnosticēta aknu ciroze. Savukārt VHC pacientus F3 fibrozes stadijā pilnībā atbrīvojot no VHC ierosinātāja, tiktu panākta šo cilvēku p</w:t>
      </w:r>
      <w:r>
        <w:rPr>
          <w:rFonts w:ascii="Times New Roman" w:hAnsi="Times New Roman" w:cs="Times New Roman"/>
          <w:sz w:val="24"/>
          <w:szCs w:val="24"/>
        </w:rPr>
        <w:t>ilnīga izārstēšana un atgriešanās</w:t>
      </w:r>
      <w:r w:rsidRPr="00942754">
        <w:rPr>
          <w:rFonts w:ascii="Times New Roman" w:hAnsi="Times New Roman" w:cs="Times New Roman"/>
          <w:sz w:val="24"/>
          <w:szCs w:val="24"/>
        </w:rPr>
        <w:t xml:space="preserve"> darba tirgū. Pēc provizoriskiem VHC pacientu reģistra datiem 2016. gadā no VHC ierosinātāja tika atbrīvoti 160 pacienti ar VHC F3 stadijā. Šie cilvēki ir pilnībā atgriezušies darba tirgū un nerada risku citu cilvēku inficēšanai ar VHC ierosinātāju. Pilnīga informācija par 2016. gadā reģistrēto pacientu ārstēšanas rezultātiem būs pieejama 2017. gada aprīlī. Tiek prognozēts, ka izārstēto pacientu skaits būs lielāks.</w:t>
      </w:r>
    </w:p>
    <w:p w14:paraId="6FEBBEF8" w14:textId="1E34057F" w:rsidR="008E64F7" w:rsidRPr="00942754" w:rsidRDefault="00942754" w:rsidP="009B6C00">
      <w:pPr>
        <w:widowControl w:val="0"/>
        <w:spacing w:after="120"/>
        <w:ind w:firstLine="709"/>
        <w:contextualSpacing/>
        <w:jc w:val="both"/>
        <w:rPr>
          <w:rFonts w:ascii="Times New Roman" w:hAnsi="Times New Roman" w:cs="Times New Roman"/>
          <w:sz w:val="24"/>
          <w:szCs w:val="24"/>
        </w:rPr>
      </w:pPr>
      <w:r w:rsidRPr="00942754">
        <w:rPr>
          <w:rFonts w:ascii="Times New Roman" w:hAnsi="Times New Roman" w:cs="Times New Roman"/>
          <w:sz w:val="24"/>
          <w:szCs w:val="24"/>
        </w:rPr>
        <w:t xml:space="preserve"> Papildus jāņem vērā fakts, ka laika periodā no 2011. līdz 2015.gadam 1354 personām vecumā no 18-29 gadiem ir jau reģistrēts VHC.</w:t>
      </w:r>
      <w:r>
        <w:rPr>
          <w:rFonts w:ascii="Times New Roman" w:hAnsi="Times New Roman" w:cs="Times New Roman"/>
          <w:sz w:val="24"/>
          <w:szCs w:val="24"/>
        </w:rPr>
        <w:t xml:space="preserve">  No šīm personām </w:t>
      </w:r>
      <w:r w:rsidRPr="00942754">
        <w:rPr>
          <w:rFonts w:ascii="Times New Roman" w:hAnsi="Times New Roman" w:cs="Times New Roman"/>
          <w:sz w:val="24"/>
          <w:szCs w:val="24"/>
        </w:rPr>
        <w:t>30% (406) līdz 50 gadu vecumam attīstīsies aknu ciroze, kas nozīmē ierobežotas darbaspējas un invaliditāti. Uzsākot savlaicīgu VHC ārstēšanu un novēršot vīrusa cirkulāciju sabiedrībā, var samazināt inficēšanās riskus un jaunu saslimšanas gadījumu skaitu.</w:t>
      </w:r>
    </w:p>
    <w:p w14:paraId="49F41210" w14:textId="200D211E" w:rsidR="00010A18" w:rsidRPr="00942754" w:rsidRDefault="004A0888" w:rsidP="00010A18">
      <w:pPr>
        <w:spacing w:after="0" w:line="240" w:lineRule="auto"/>
        <w:ind w:firstLine="720"/>
        <w:jc w:val="right"/>
        <w:rPr>
          <w:rFonts w:ascii="Times New Roman" w:hAnsi="Times New Roman" w:cs="Times New Roman"/>
          <w:i/>
          <w:sz w:val="24"/>
          <w:szCs w:val="24"/>
        </w:rPr>
      </w:pPr>
      <w:r w:rsidRPr="00942754">
        <w:rPr>
          <w:rFonts w:ascii="Times New Roman" w:hAnsi="Times New Roman" w:cs="Times New Roman"/>
          <w:i/>
          <w:sz w:val="24"/>
          <w:szCs w:val="24"/>
        </w:rPr>
        <w:t>5</w:t>
      </w:r>
      <w:r w:rsidR="00010A18" w:rsidRPr="00942754">
        <w:rPr>
          <w:rFonts w:ascii="Times New Roman" w:hAnsi="Times New Roman" w:cs="Times New Roman"/>
          <w:i/>
          <w:sz w:val="24"/>
          <w:szCs w:val="24"/>
        </w:rPr>
        <w:t>.tabula</w:t>
      </w:r>
    </w:p>
    <w:p w14:paraId="7D74094C" w14:textId="77777777" w:rsidR="0058284D" w:rsidRPr="00950CD9" w:rsidRDefault="009424F3" w:rsidP="0039218A">
      <w:pPr>
        <w:spacing w:after="0" w:line="240" w:lineRule="auto"/>
        <w:ind w:firstLine="720"/>
        <w:jc w:val="center"/>
        <w:rPr>
          <w:rFonts w:ascii="Times New Roman" w:hAnsi="Times New Roman" w:cs="Times New Roman"/>
          <w:b/>
          <w:sz w:val="24"/>
          <w:szCs w:val="24"/>
        </w:rPr>
      </w:pPr>
      <w:r w:rsidRPr="00942754">
        <w:rPr>
          <w:rFonts w:ascii="Times New Roman" w:hAnsi="Times New Roman" w:cs="Times New Roman"/>
          <w:b/>
          <w:sz w:val="24"/>
          <w:szCs w:val="24"/>
        </w:rPr>
        <w:t xml:space="preserve">VHC pacientu, </w:t>
      </w:r>
      <w:r w:rsidRPr="006213DE">
        <w:rPr>
          <w:rFonts w:ascii="Times New Roman" w:hAnsi="Times New Roman"/>
          <w:b/>
          <w:sz w:val="24"/>
        </w:rPr>
        <w:t>kuri vērsušies pēc palīdzības pie hepatologa</w:t>
      </w:r>
      <w:r w:rsidR="00C75E36" w:rsidRPr="00950CD9">
        <w:rPr>
          <w:rFonts w:ascii="Times New Roman" w:hAnsi="Times New Roman" w:cs="Times New Roman"/>
          <w:b/>
          <w:sz w:val="24"/>
          <w:szCs w:val="24"/>
        </w:rPr>
        <w:t>,</w:t>
      </w:r>
      <w:r w:rsidRPr="006213DE">
        <w:rPr>
          <w:rFonts w:ascii="Times New Roman" w:hAnsi="Times New Roman"/>
          <w:b/>
          <w:sz w:val="24"/>
        </w:rPr>
        <w:t xml:space="preserve"> </w:t>
      </w:r>
      <w:r w:rsidRPr="00942754">
        <w:rPr>
          <w:rFonts w:ascii="Times New Roman" w:hAnsi="Times New Roman" w:cs="Times New Roman"/>
          <w:b/>
          <w:sz w:val="24"/>
          <w:szCs w:val="24"/>
        </w:rPr>
        <w:t xml:space="preserve">F3-F4 stadijā </w:t>
      </w:r>
    </w:p>
    <w:p w14:paraId="7108035E" w14:textId="69BD7713" w:rsidR="00010A18" w:rsidRPr="00942754" w:rsidRDefault="009424F3" w:rsidP="0039218A">
      <w:pPr>
        <w:spacing w:after="0" w:line="240" w:lineRule="auto"/>
        <w:ind w:firstLine="720"/>
        <w:jc w:val="center"/>
        <w:rPr>
          <w:rFonts w:ascii="Times New Roman" w:hAnsi="Times New Roman" w:cs="Times New Roman"/>
          <w:b/>
          <w:sz w:val="24"/>
          <w:szCs w:val="24"/>
        </w:rPr>
      </w:pPr>
      <w:r w:rsidRPr="00942754">
        <w:rPr>
          <w:rFonts w:ascii="Times New Roman" w:hAnsi="Times New Roman" w:cs="Times New Roman"/>
          <w:b/>
          <w:sz w:val="24"/>
          <w:szCs w:val="24"/>
        </w:rPr>
        <w:t>vecuma struktūra 2015.-2016. gads</w:t>
      </w:r>
    </w:p>
    <w:p w14:paraId="5B4A1A65" w14:textId="77777777" w:rsidR="00010A18" w:rsidRPr="00942754" w:rsidRDefault="00010A18" w:rsidP="00010A18">
      <w:pPr>
        <w:spacing w:after="0" w:line="240" w:lineRule="auto"/>
        <w:ind w:right="85" w:firstLine="720"/>
        <w:jc w:val="both"/>
        <w:rPr>
          <w:rFonts w:ascii="Times New Roman" w:eastAsia="Times New Roman" w:hAnsi="Times New Roman" w:cs="Times New Roman"/>
          <w:sz w:val="28"/>
          <w:szCs w:val="28"/>
          <w:lang w:eastAsia="lv-LV"/>
        </w:rPr>
      </w:pPr>
    </w:p>
    <w:tbl>
      <w:tblPr>
        <w:tblW w:w="8784" w:type="dxa"/>
        <w:jc w:val="center"/>
        <w:tblLayout w:type="fixed"/>
        <w:tblCellMar>
          <w:left w:w="10" w:type="dxa"/>
          <w:right w:w="10" w:type="dxa"/>
        </w:tblCellMar>
        <w:tblLook w:val="04A0" w:firstRow="1" w:lastRow="0" w:firstColumn="1" w:lastColumn="0" w:noHBand="0" w:noVBand="1"/>
      </w:tblPr>
      <w:tblGrid>
        <w:gridCol w:w="1838"/>
        <w:gridCol w:w="992"/>
        <w:gridCol w:w="992"/>
        <w:gridCol w:w="992"/>
        <w:gridCol w:w="993"/>
        <w:gridCol w:w="992"/>
        <w:gridCol w:w="992"/>
        <w:gridCol w:w="993"/>
      </w:tblGrid>
      <w:tr w:rsidR="00010A18" w:rsidRPr="00942754" w14:paraId="260DFA2D" w14:textId="77777777" w:rsidTr="0039218A">
        <w:trPr>
          <w:trHeight w:val="300"/>
          <w:jc w:val="center"/>
        </w:trPr>
        <w:tc>
          <w:tcPr>
            <w:tcW w:w="183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44E3817D"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 xml:space="preserve">Vecums </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6EB685B"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19-29</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00F63FE"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30-39</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197BE78F"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40-49</w:t>
            </w:r>
          </w:p>
        </w:tc>
        <w:tc>
          <w:tcPr>
            <w:tcW w:w="993"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416F1C29"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50-59</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5E98281C"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60-69</w:t>
            </w:r>
          </w:p>
        </w:tc>
        <w:tc>
          <w:tcPr>
            <w:tcW w:w="99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E47A480"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70-79</w:t>
            </w:r>
          </w:p>
        </w:tc>
        <w:tc>
          <w:tcPr>
            <w:tcW w:w="993"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D7E6C4F"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 xml:space="preserve">Kopā </w:t>
            </w:r>
          </w:p>
        </w:tc>
      </w:tr>
      <w:tr w:rsidR="00010A18" w:rsidRPr="00942754" w14:paraId="14652E7F" w14:textId="77777777" w:rsidTr="0039218A">
        <w:trPr>
          <w:trHeight w:val="300"/>
          <w:jc w:val="center"/>
        </w:trPr>
        <w:tc>
          <w:tcPr>
            <w:tcW w:w="1838"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1436459"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Gadījumi, t.sk.</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116D4F33"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93</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29841918"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376</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4BC36A39"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355</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22CEED41"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370</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77709EFE"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163</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369061F2"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26</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5C0A5B80"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1383</w:t>
            </w:r>
          </w:p>
        </w:tc>
      </w:tr>
      <w:tr w:rsidR="00010A18" w:rsidRPr="00942754" w14:paraId="47255F62" w14:textId="77777777" w:rsidTr="0039218A">
        <w:trPr>
          <w:trHeight w:val="300"/>
          <w:jc w:val="center"/>
        </w:trPr>
        <w:tc>
          <w:tcPr>
            <w:tcW w:w="1838"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8B56E52"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F3</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3355EB66"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20</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023476F5"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89</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31C452BF"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123</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53A736A4"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136</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50E80679"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77</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704D2213"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10</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5A21361A"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455</w:t>
            </w:r>
          </w:p>
        </w:tc>
      </w:tr>
      <w:tr w:rsidR="00010A18" w:rsidRPr="00942754" w14:paraId="184F2A92" w14:textId="77777777" w:rsidTr="0039218A">
        <w:trPr>
          <w:trHeight w:val="300"/>
          <w:jc w:val="center"/>
        </w:trPr>
        <w:tc>
          <w:tcPr>
            <w:tcW w:w="1838"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FC90791"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F4</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5E344521"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4</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164CDBC8"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31</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1D984480"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58</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7588A8DB"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78</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16C2C8E8"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49</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49A21CC2"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11</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6B362C52"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r w:rsidRPr="00942754">
              <w:rPr>
                <w:rFonts w:ascii="Times New Roman" w:eastAsia="Times New Roman" w:hAnsi="Times New Roman" w:cs="Times New Roman"/>
                <w:sz w:val="24"/>
                <w:szCs w:val="24"/>
                <w:lang w:eastAsia="lv-LV"/>
              </w:rPr>
              <w:t>231</w:t>
            </w:r>
          </w:p>
        </w:tc>
      </w:tr>
      <w:tr w:rsidR="00010A18" w:rsidRPr="00942754" w14:paraId="4FEF848D" w14:textId="77777777" w:rsidTr="0039218A">
        <w:trPr>
          <w:trHeight w:val="300"/>
          <w:jc w:val="center"/>
        </w:trPr>
        <w:tc>
          <w:tcPr>
            <w:tcW w:w="1838"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3020E25B" w14:textId="77777777" w:rsidR="00010A18" w:rsidRPr="00942754" w:rsidRDefault="00010A18" w:rsidP="0065597C">
            <w:pPr>
              <w:suppressAutoHyphens/>
              <w:autoSpaceDN w:val="0"/>
              <w:spacing w:after="0" w:line="240" w:lineRule="auto"/>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Kopā F3 un F4</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78988330"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24</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0DEDC93E"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120</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764E0C4A"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181</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2B3A58A3"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214</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78673276"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126</w:t>
            </w:r>
          </w:p>
        </w:tc>
        <w:tc>
          <w:tcPr>
            <w:tcW w:w="992" w:type="dxa"/>
            <w:tcBorders>
              <w:bottom w:val="single" w:sz="4" w:space="0" w:color="000000"/>
              <w:right w:val="single" w:sz="4" w:space="0" w:color="000000"/>
            </w:tcBorders>
            <w:noWrap/>
            <w:tcMar>
              <w:top w:w="0" w:type="dxa"/>
              <w:left w:w="108" w:type="dxa"/>
              <w:bottom w:w="0" w:type="dxa"/>
              <w:right w:w="108" w:type="dxa"/>
            </w:tcMar>
            <w:vAlign w:val="bottom"/>
          </w:tcPr>
          <w:p w14:paraId="2A07E37C"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21</w:t>
            </w:r>
          </w:p>
        </w:tc>
        <w:tc>
          <w:tcPr>
            <w:tcW w:w="993" w:type="dxa"/>
            <w:tcBorders>
              <w:bottom w:val="single" w:sz="4" w:space="0" w:color="000000"/>
              <w:right w:val="single" w:sz="4" w:space="0" w:color="000000"/>
            </w:tcBorders>
            <w:noWrap/>
            <w:tcMar>
              <w:top w:w="0" w:type="dxa"/>
              <w:left w:w="108" w:type="dxa"/>
              <w:bottom w:w="0" w:type="dxa"/>
              <w:right w:w="108" w:type="dxa"/>
            </w:tcMar>
            <w:vAlign w:val="bottom"/>
          </w:tcPr>
          <w:p w14:paraId="0BAEE763" w14:textId="77777777" w:rsidR="00010A18" w:rsidRPr="00942754" w:rsidRDefault="00010A18" w:rsidP="0065597C">
            <w:pPr>
              <w:suppressAutoHyphens/>
              <w:autoSpaceDN w:val="0"/>
              <w:spacing w:after="0" w:line="240" w:lineRule="auto"/>
              <w:jc w:val="right"/>
              <w:textAlignment w:val="baseline"/>
              <w:rPr>
                <w:rFonts w:ascii="Times New Roman" w:eastAsia="Times New Roman" w:hAnsi="Times New Roman" w:cs="Times New Roman"/>
                <w:b/>
                <w:bCs/>
                <w:sz w:val="24"/>
                <w:szCs w:val="24"/>
                <w:lang w:eastAsia="lv-LV"/>
              </w:rPr>
            </w:pPr>
            <w:r w:rsidRPr="00942754">
              <w:rPr>
                <w:rFonts w:ascii="Times New Roman" w:eastAsia="Times New Roman" w:hAnsi="Times New Roman" w:cs="Times New Roman"/>
                <w:b/>
                <w:bCs/>
                <w:sz w:val="24"/>
                <w:szCs w:val="24"/>
                <w:lang w:eastAsia="lv-LV"/>
              </w:rPr>
              <w:t>686</w:t>
            </w:r>
          </w:p>
        </w:tc>
      </w:tr>
    </w:tbl>
    <w:p w14:paraId="6162CFCF" w14:textId="77777777" w:rsidR="00010A18" w:rsidRPr="00942754" w:rsidRDefault="00010A18" w:rsidP="00A937D8">
      <w:pPr>
        <w:widowControl w:val="0"/>
        <w:spacing w:after="120" w:line="240" w:lineRule="auto"/>
        <w:ind w:firstLine="709"/>
        <w:contextualSpacing/>
        <w:jc w:val="both"/>
        <w:rPr>
          <w:rFonts w:ascii="Times New Roman" w:hAnsi="Times New Roman" w:cs="Times New Roman"/>
          <w:sz w:val="24"/>
          <w:szCs w:val="24"/>
        </w:rPr>
      </w:pPr>
    </w:p>
    <w:p w14:paraId="068E5FE2" w14:textId="157E9857" w:rsidR="00955BDE" w:rsidRPr="00942754" w:rsidRDefault="00174607" w:rsidP="00955BDE">
      <w:pPr>
        <w:jc w:val="both"/>
        <w:rPr>
          <w:rFonts w:ascii="Times New Roman" w:hAnsi="Times New Roman" w:cs="Times New Roman"/>
          <w:i/>
          <w:sz w:val="20"/>
          <w:szCs w:val="20"/>
        </w:rPr>
      </w:pPr>
      <w:r w:rsidRPr="00942754">
        <w:rPr>
          <w:rFonts w:ascii="Times New Roman" w:hAnsi="Times New Roman" w:cs="Times New Roman"/>
          <w:i/>
          <w:sz w:val="20"/>
          <w:szCs w:val="20"/>
        </w:rPr>
        <w:t>A</w:t>
      </w:r>
      <w:r w:rsidR="00955BDE" w:rsidRPr="00942754">
        <w:rPr>
          <w:rFonts w:ascii="Times New Roman" w:hAnsi="Times New Roman" w:cs="Times New Roman"/>
          <w:i/>
          <w:sz w:val="20"/>
          <w:szCs w:val="20"/>
        </w:rPr>
        <w:t>vots: SPKC</w:t>
      </w:r>
      <w:r w:rsidR="00955BDE" w:rsidRPr="00942754">
        <w:rPr>
          <w:rFonts w:ascii="Times New Roman" w:hAnsi="Times New Roman" w:cs="Times New Roman"/>
          <w:i/>
          <w:sz w:val="20"/>
          <w:szCs w:val="20"/>
          <w:vertAlign w:val="superscript"/>
        </w:rPr>
        <w:footnoteReference w:id="26"/>
      </w:r>
    </w:p>
    <w:p w14:paraId="5BF6A317" w14:textId="3909006A" w:rsidR="00942754" w:rsidRPr="00942754" w:rsidRDefault="00942754" w:rsidP="00942754">
      <w:pPr>
        <w:widowControl w:val="0"/>
        <w:spacing w:after="120"/>
        <w:ind w:firstLine="851"/>
        <w:contextualSpacing/>
        <w:jc w:val="both"/>
        <w:rPr>
          <w:rFonts w:ascii="Times New Roman" w:hAnsi="Times New Roman" w:cs="Times New Roman"/>
          <w:sz w:val="24"/>
          <w:szCs w:val="24"/>
        </w:rPr>
      </w:pPr>
      <w:r w:rsidRPr="00942754">
        <w:rPr>
          <w:rFonts w:ascii="Times New Roman" w:hAnsi="Times New Roman" w:cs="Times New Roman"/>
          <w:sz w:val="24"/>
          <w:szCs w:val="24"/>
        </w:rPr>
        <w:t>Analizējot nāves iemeslus pēc mirušo vecuma, vecuma grupās no 50-54 gadiem un 55- 59 gadiem viens no biežākajiem nāves cēloņiem ir VHC. 2015.gadā 73% mirušo bija vecumā no 0 līdz 64 gadiem (2013. gadā -  73%; 2014. gadā -  70%)</w:t>
      </w:r>
      <w:r w:rsidRPr="00942754">
        <w:rPr>
          <w:rStyle w:val="FootnoteReference"/>
          <w:rFonts w:ascii="Times New Roman" w:hAnsi="Times New Roman" w:cs="Times New Roman"/>
          <w:sz w:val="24"/>
          <w:szCs w:val="24"/>
        </w:rPr>
        <w:footnoteReference w:id="27"/>
      </w:r>
      <w:r w:rsidRPr="00942754">
        <w:rPr>
          <w:rFonts w:ascii="Times New Roman" w:hAnsi="Times New Roman" w:cs="Times New Roman"/>
          <w:sz w:val="24"/>
          <w:szCs w:val="24"/>
        </w:rPr>
        <w:t xml:space="preserve">. </w:t>
      </w:r>
    </w:p>
    <w:p w14:paraId="234E6FFC" w14:textId="77777777" w:rsidR="00FF2D0B" w:rsidRDefault="00FF2D0B" w:rsidP="00337B24">
      <w:pPr>
        <w:spacing w:after="0"/>
        <w:ind w:firstLine="720"/>
        <w:jc w:val="right"/>
        <w:rPr>
          <w:rFonts w:ascii="Times New Roman" w:hAnsi="Times New Roman" w:cs="Times New Roman"/>
          <w:i/>
          <w:sz w:val="24"/>
          <w:szCs w:val="24"/>
        </w:rPr>
      </w:pPr>
    </w:p>
    <w:p w14:paraId="2F040746" w14:textId="77777777" w:rsidR="00FF2D0B" w:rsidRDefault="00FF2D0B" w:rsidP="00337B24">
      <w:pPr>
        <w:spacing w:after="0"/>
        <w:ind w:firstLine="720"/>
        <w:jc w:val="right"/>
        <w:rPr>
          <w:rFonts w:ascii="Times New Roman" w:hAnsi="Times New Roman" w:cs="Times New Roman"/>
          <w:i/>
          <w:sz w:val="24"/>
          <w:szCs w:val="24"/>
        </w:rPr>
      </w:pPr>
    </w:p>
    <w:p w14:paraId="5A7557EE" w14:textId="4062F2A9" w:rsidR="00010A18" w:rsidRPr="00942754" w:rsidRDefault="00CF5363" w:rsidP="00337B24">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7</w:t>
      </w:r>
      <w:r w:rsidR="00010A18" w:rsidRPr="00942754">
        <w:rPr>
          <w:rFonts w:ascii="Times New Roman" w:hAnsi="Times New Roman" w:cs="Times New Roman"/>
          <w:i/>
          <w:sz w:val="24"/>
          <w:szCs w:val="24"/>
        </w:rPr>
        <w:t>.attēls</w:t>
      </w:r>
    </w:p>
    <w:p w14:paraId="6166992D" w14:textId="11BD50D6" w:rsidR="00010A18" w:rsidRPr="00942754" w:rsidRDefault="00010A18" w:rsidP="0039218A">
      <w:pPr>
        <w:spacing w:after="0" w:line="240" w:lineRule="auto"/>
        <w:ind w:firstLine="720"/>
        <w:jc w:val="center"/>
        <w:rPr>
          <w:rFonts w:ascii="Times New Roman" w:hAnsi="Times New Roman" w:cs="Times New Roman"/>
          <w:b/>
          <w:sz w:val="24"/>
          <w:szCs w:val="24"/>
        </w:rPr>
      </w:pPr>
      <w:r w:rsidRPr="00942754">
        <w:rPr>
          <w:rFonts w:ascii="Times New Roman" w:hAnsi="Times New Roman" w:cs="Times New Roman"/>
          <w:b/>
          <w:sz w:val="24"/>
          <w:szCs w:val="24"/>
        </w:rPr>
        <w:t xml:space="preserve">Priekšlaicīgi mirušo skaits no </w:t>
      </w:r>
      <w:r w:rsidR="0073684D" w:rsidRPr="00942754">
        <w:rPr>
          <w:rFonts w:ascii="Times New Roman" w:hAnsi="Times New Roman" w:cs="Times New Roman"/>
          <w:b/>
          <w:sz w:val="24"/>
          <w:szCs w:val="24"/>
        </w:rPr>
        <w:t>VHC</w:t>
      </w:r>
      <w:r w:rsidRPr="00942754">
        <w:rPr>
          <w:rFonts w:ascii="Times New Roman" w:hAnsi="Times New Roman" w:cs="Times New Roman"/>
          <w:b/>
          <w:sz w:val="24"/>
          <w:szCs w:val="24"/>
        </w:rPr>
        <w:t xml:space="preserve"> pa vecumgrupām, 2015. gads</w:t>
      </w:r>
    </w:p>
    <w:p w14:paraId="2EF5266D" w14:textId="28563146" w:rsidR="00010A18" w:rsidRPr="006213DE" w:rsidRDefault="00010A18" w:rsidP="00A937D8">
      <w:pPr>
        <w:widowControl w:val="0"/>
        <w:spacing w:after="120" w:line="240" w:lineRule="auto"/>
        <w:ind w:firstLine="709"/>
        <w:contextualSpacing/>
        <w:jc w:val="both"/>
        <w:rPr>
          <w:rFonts w:ascii="Times New Roman" w:hAnsi="Times New Roman"/>
          <w:sz w:val="24"/>
          <w:highlight w:val="yellow"/>
        </w:rPr>
      </w:pPr>
    </w:p>
    <w:p w14:paraId="0DAD0866" w14:textId="41DC15F4" w:rsidR="00010A18" w:rsidRPr="006213DE" w:rsidRDefault="00EA0B40" w:rsidP="00A937D8">
      <w:pPr>
        <w:widowControl w:val="0"/>
        <w:spacing w:after="120" w:line="240" w:lineRule="auto"/>
        <w:ind w:firstLine="709"/>
        <w:contextualSpacing/>
        <w:jc w:val="both"/>
        <w:rPr>
          <w:rFonts w:ascii="Times New Roman" w:hAnsi="Times New Roman"/>
          <w:sz w:val="24"/>
          <w:highlight w:val="yellow"/>
        </w:rPr>
      </w:pPr>
      <w:r w:rsidRPr="006213DE">
        <w:rPr>
          <w:noProof/>
          <w:highlight w:val="yellow"/>
          <w:lang w:eastAsia="lv-LV"/>
        </w:rPr>
        <w:drawing>
          <wp:inline distT="0" distB="0" distL="0" distR="0" wp14:anchorId="3342FD65" wp14:editId="31747926">
            <wp:extent cx="5324475" cy="3362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B10297" w14:textId="77777777" w:rsidR="00010A18" w:rsidRPr="006213DE" w:rsidRDefault="00010A18" w:rsidP="00337B24">
      <w:pPr>
        <w:widowControl w:val="0"/>
        <w:spacing w:after="120"/>
        <w:ind w:firstLine="709"/>
        <w:contextualSpacing/>
        <w:jc w:val="both"/>
        <w:rPr>
          <w:rFonts w:ascii="Times New Roman" w:hAnsi="Times New Roman"/>
          <w:sz w:val="24"/>
          <w:highlight w:val="yellow"/>
        </w:rPr>
      </w:pPr>
    </w:p>
    <w:p w14:paraId="21FDC60D" w14:textId="49FA9F8B" w:rsidR="00942754" w:rsidRPr="00942754" w:rsidRDefault="00942754" w:rsidP="00942754">
      <w:pPr>
        <w:shd w:val="clear" w:color="auto" w:fill="FFFFFF"/>
        <w:suppressAutoHyphens/>
        <w:autoSpaceDN w:val="0"/>
        <w:spacing w:after="0"/>
        <w:ind w:firstLine="567"/>
        <w:jc w:val="both"/>
        <w:textAlignment w:val="baseline"/>
        <w:rPr>
          <w:rFonts w:ascii="Times New Roman" w:hAnsi="Times New Roman" w:cs="Times New Roman"/>
          <w:sz w:val="24"/>
          <w:szCs w:val="24"/>
        </w:rPr>
      </w:pPr>
      <w:r w:rsidRPr="00942754">
        <w:rPr>
          <w:rFonts w:ascii="Times New Roman" w:hAnsi="Times New Roman" w:cs="Times New Roman"/>
          <w:sz w:val="24"/>
          <w:szCs w:val="24"/>
        </w:rPr>
        <w:t>Izvērtējot ārstēšanas ietekmi uz VHC izplatību, tajā skaitā ar tiešās iedarbības jaunajiem medikamentiem (</w:t>
      </w:r>
      <w:r w:rsidRPr="006213DE">
        <w:rPr>
          <w:rFonts w:ascii="Times New Roman" w:hAnsi="Times New Roman"/>
          <w:i/>
          <w:sz w:val="24"/>
        </w:rPr>
        <w:t>New direct-acting antivirals DAAs</w:t>
      </w:r>
      <w:r w:rsidRPr="00942754">
        <w:rPr>
          <w:rFonts w:ascii="Times New Roman" w:hAnsi="Times New Roman" w:cs="Times New Roman"/>
          <w:sz w:val="24"/>
          <w:szCs w:val="24"/>
        </w:rPr>
        <w:t>), pētījumi tika veikti riska uzvedības grupās (narkotiku lietotāji; vīrieši, kuriem ir dzimumsakari ar vīriešiem; pacienti ar HIV un VHC koinfekciju)</w:t>
      </w:r>
      <w:r w:rsidRPr="00942754">
        <w:rPr>
          <w:rStyle w:val="FootnoteReference"/>
          <w:rFonts w:ascii="Times New Roman" w:hAnsi="Times New Roman" w:cs="Times New Roman"/>
          <w:sz w:val="20"/>
          <w:szCs w:val="20"/>
        </w:rPr>
        <w:footnoteReference w:id="28"/>
      </w:r>
      <w:r w:rsidRPr="00942754">
        <w:rPr>
          <w:rFonts w:ascii="Times New Roman" w:hAnsi="Times New Roman" w:cs="Times New Roman"/>
          <w:sz w:val="24"/>
          <w:szCs w:val="24"/>
        </w:rPr>
        <w:t>. Pētījumos iegūtie rezultāti pierāda, ka ārstēšana samazina infekcijas izplatību pat riska grupās. Līdz ar to</w:t>
      </w:r>
      <w:r>
        <w:rPr>
          <w:rFonts w:ascii="Times New Roman" w:hAnsi="Times New Roman" w:cs="Times New Roman"/>
          <w:sz w:val="24"/>
          <w:szCs w:val="24"/>
        </w:rPr>
        <w:t>,</w:t>
      </w:r>
      <w:r w:rsidRPr="00942754">
        <w:rPr>
          <w:rFonts w:ascii="Times New Roman" w:hAnsi="Times New Roman" w:cs="Times New Roman"/>
          <w:sz w:val="24"/>
          <w:szCs w:val="24"/>
        </w:rPr>
        <w:t xml:space="preserve"> VHC ārstēšana samazina VHC izplatību arī kopējā populācijā.</w:t>
      </w:r>
    </w:p>
    <w:p w14:paraId="1FA39C4B" w14:textId="4E05D497" w:rsidR="00942754" w:rsidRPr="00942754" w:rsidRDefault="00942754" w:rsidP="00942754">
      <w:pPr>
        <w:widowControl w:val="0"/>
        <w:spacing w:after="120"/>
        <w:ind w:firstLine="709"/>
        <w:contextualSpacing/>
        <w:jc w:val="both"/>
        <w:rPr>
          <w:rFonts w:ascii="Times New Roman" w:hAnsi="Times New Roman" w:cs="Times New Roman"/>
          <w:sz w:val="24"/>
          <w:szCs w:val="24"/>
        </w:rPr>
      </w:pPr>
      <w:r w:rsidRPr="00942754">
        <w:rPr>
          <w:rFonts w:ascii="Times New Roman" w:hAnsi="Times New Roman" w:cs="Times New Roman"/>
          <w:sz w:val="24"/>
          <w:szCs w:val="24"/>
        </w:rPr>
        <w:t>Saskaņā ar CDA noteikto un</w:t>
      </w:r>
      <w:r>
        <w:rPr>
          <w:rFonts w:ascii="Times New Roman" w:hAnsi="Times New Roman" w:cs="Times New Roman"/>
          <w:sz w:val="24"/>
          <w:szCs w:val="24"/>
        </w:rPr>
        <w:t xml:space="preserve"> Rīgas A</w:t>
      </w:r>
      <w:r w:rsidRPr="00942754">
        <w:rPr>
          <w:rFonts w:ascii="Times New Roman" w:hAnsi="Times New Roman" w:cs="Times New Roman"/>
          <w:sz w:val="24"/>
          <w:szCs w:val="24"/>
        </w:rPr>
        <w:t>ustrumu klīniskās universitātes slimnīcas speciālistu</w:t>
      </w:r>
      <w:r w:rsidRPr="00942754">
        <w:rPr>
          <w:rFonts w:ascii="Times New Roman" w:hAnsi="Times New Roman" w:cs="Times New Roman"/>
          <w:sz w:val="20"/>
          <w:szCs w:val="20"/>
          <w:vertAlign w:val="superscript"/>
        </w:rPr>
        <w:footnoteReference w:id="29"/>
      </w:r>
      <w:r w:rsidRPr="00942754">
        <w:rPr>
          <w:rFonts w:ascii="Times New Roman" w:hAnsi="Times New Roman" w:cs="Times New Roman"/>
          <w:sz w:val="24"/>
          <w:szCs w:val="24"/>
        </w:rPr>
        <w:t xml:space="preserve"> sniegto informāciju, ir aprēķinātas VHC izplatības prognozes līdz 2030.gadam (par inficēšanos ar VHC, mirstību no VHC un ar VHC saistīto smagu formu izplatību), ja pacientu ārstēšanai vairāk pielieto efektīvākus medikamentus:</w:t>
      </w:r>
    </w:p>
    <w:p w14:paraId="62AFAC3B" w14:textId="2A0A2A08" w:rsidR="00942754" w:rsidRPr="00942754" w:rsidRDefault="00942754" w:rsidP="00942754">
      <w:pPr>
        <w:pStyle w:val="ListParagraph"/>
        <w:numPr>
          <w:ilvl w:val="0"/>
          <w:numId w:val="58"/>
        </w:numPr>
        <w:spacing w:after="0"/>
        <w:ind w:left="0" w:right="85" w:firstLine="0"/>
        <w:jc w:val="both"/>
        <w:rPr>
          <w:rFonts w:ascii="Times New Roman" w:eastAsiaTheme="minorHAnsi" w:hAnsi="Times New Roman"/>
          <w:sz w:val="24"/>
          <w:szCs w:val="24"/>
          <w:lang w:val="lv-LV"/>
        </w:rPr>
      </w:pPr>
      <w:r>
        <w:rPr>
          <w:rFonts w:ascii="Times New Roman" w:eastAsiaTheme="minorHAnsi" w:hAnsi="Times New Roman"/>
          <w:sz w:val="24"/>
          <w:szCs w:val="24"/>
          <w:lang w:val="lv-LV"/>
        </w:rPr>
        <w:t>Viena</w:t>
      </w:r>
      <w:r w:rsidRPr="00942754">
        <w:rPr>
          <w:rFonts w:ascii="Times New Roman" w:eastAsiaTheme="minorHAnsi" w:hAnsi="Times New Roman"/>
          <w:sz w:val="24"/>
          <w:szCs w:val="24"/>
          <w:lang w:val="lv-LV"/>
        </w:rPr>
        <w:t xml:space="preserve"> gada periodā ārstējot VHC pacientus, kuriem ir noteikta 3. vai 4. pakāpes aknu fibroze, ar inovatīviem tiešās darbības pretvīrusu līdzekļiem, tiek nodrošināts, ka:</w:t>
      </w:r>
    </w:p>
    <w:p w14:paraId="086F3C1D"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t xml:space="preserve"> </w:t>
      </w: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mirstība no VHC samazinās par 2%;</w:t>
      </w:r>
    </w:p>
    <w:p w14:paraId="2E61CE7F"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t xml:space="preserve"> </w:t>
      </w: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pacientu skaits ar VHC izraisītu aknu vēzi samazinās par 2%;</w:t>
      </w:r>
    </w:p>
    <w:p w14:paraId="793BAD2F"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t xml:space="preserve"> </w:t>
      </w: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dekompensētas cirozes pacientu skaits samazinās par 2% ;</w:t>
      </w:r>
    </w:p>
    <w:p w14:paraId="016FD61F"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t xml:space="preserve"> </w:t>
      </w: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kopējais ar VHC inficēto pacientu skaits samazinās par 1%.</w:t>
      </w:r>
    </w:p>
    <w:p w14:paraId="3A76020F" w14:textId="77777777" w:rsidR="00942754" w:rsidRPr="00942754" w:rsidRDefault="00942754" w:rsidP="00942754">
      <w:pPr>
        <w:pStyle w:val="ListParagraph"/>
        <w:numPr>
          <w:ilvl w:val="0"/>
          <w:numId w:val="58"/>
        </w:numPr>
        <w:spacing w:after="0"/>
        <w:ind w:left="0" w:right="85" w:firstLine="0"/>
        <w:jc w:val="both"/>
        <w:rPr>
          <w:rFonts w:ascii="Times New Roman" w:eastAsiaTheme="minorHAnsi" w:hAnsi="Times New Roman"/>
          <w:sz w:val="24"/>
          <w:szCs w:val="24"/>
          <w:lang w:val="lv-LV"/>
        </w:rPr>
      </w:pPr>
      <w:r w:rsidRPr="00942754">
        <w:rPr>
          <w:rFonts w:ascii="Times New Roman" w:eastAsiaTheme="minorHAnsi" w:hAnsi="Times New Roman"/>
          <w:sz w:val="24"/>
          <w:szCs w:val="24"/>
          <w:lang w:val="lv-LV"/>
        </w:rPr>
        <w:lastRenderedPageBreak/>
        <w:t>Uzsākot visu 1. genotipa pacientu ārstēšanu ar inovatīviem medikamentiem ar efektivitāti virs 90% un perspektīvā šādi ārstējot arī visus 3. genotipa pacientus, tiek nodrošināts, ka:</w:t>
      </w:r>
    </w:p>
    <w:p w14:paraId="5C39C607"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mirstība no VHC samazinās par 11%;</w:t>
      </w:r>
    </w:p>
    <w:p w14:paraId="2F6ED1E9"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pacientu skaits ar VHC izraisītu aknu vēzi samazinās par 11%;</w:t>
      </w:r>
    </w:p>
    <w:p w14:paraId="4977A98A" w14:textId="77777777" w:rsidR="00942754" w:rsidRPr="00942754" w:rsidRDefault="00942754" w:rsidP="00942754">
      <w:pPr>
        <w:spacing w:after="0"/>
        <w:ind w:left="993" w:right="85" w:hanging="283"/>
        <w:jc w:val="both"/>
        <w:rPr>
          <w:rFonts w:ascii="Times New Roman" w:hAnsi="Times New Roman" w:cs="Times New Roman"/>
          <w:sz w:val="24"/>
          <w:szCs w:val="24"/>
        </w:rPr>
      </w:pPr>
      <w:r w:rsidRPr="00942754">
        <w:rPr>
          <w:rFonts w:ascii="Times New Roman" w:hAnsi="Times New Roman" w:cs="Times New Roman"/>
          <w:sz w:val="24"/>
          <w:szCs w:val="24"/>
        </w:rPr>
        <w:sym w:font="Symbol" w:char="F0B7"/>
      </w:r>
      <w:r w:rsidRPr="00942754">
        <w:rPr>
          <w:rFonts w:ascii="Times New Roman" w:hAnsi="Times New Roman" w:cs="Times New Roman"/>
          <w:sz w:val="24"/>
          <w:szCs w:val="24"/>
        </w:rPr>
        <w:t xml:space="preserve"> dekompensētas cirozes pacientu skaits samazinās par 12%;</w:t>
      </w:r>
    </w:p>
    <w:p w14:paraId="0EB0016E" w14:textId="19EE97E9" w:rsidR="00942754" w:rsidRPr="00942754" w:rsidRDefault="00942754" w:rsidP="00942754">
      <w:pPr>
        <w:spacing w:after="0"/>
        <w:ind w:left="993" w:right="85" w:hanging="283"/>
        <w:jc w:val="both"/>
        <w:rPr>
          <w:rFonts w:ascii="Times New Roman" w:hAnsi="Times New Roman"/>
          <w:sz w:val="24"/>
        </w:rPr>
      </w:pPr>
      <w:r w:rsidRPr="00942754">
        <w:rPr>
          <w:rFonts w:ascii="Times New Roman" w:hAnsi="Times New Roman"/>
          <w:bCs/>
          <w:sz w:val="24"/>
          <w:szCs w:val="24"/>
        </w:rPr>
        <w:sym w:font="Symbol" w:char="F0B7"/>
      </w:r>
      <w:r w:rsidRPr="00942754">
        <w:rPr>
          <w:rFonts w:ascii="Times New Roman" w:hAnsi="Times New Roman"/>
          <w:bCs/>
          <w:sz w:val="24"/>
          <w:szCs w:val="24"/>
        </w:rPr>
        <w:t xml:space="preserve"> kopējais ar VHC inficēto pacientu skaits samazinās par 7% </w:t>
      </w:r>
      <w:r w:rsidRPr="00942754">
        <w:rPr>
          <w:rFonts w:ascii="Times New Roman" w:hAnsi="Times New Roman"/>
          <w:sz w:val="24"/>
        </w:rPr>
        <w:t>.</w:t>
      </w:r>
    </w:p>
    <w:p w14:paraId="71468C99" w14:textId="77777777" w:rsidR="00942754" w:rsidRPr="006213DE" w:rsidRDefault="00942754" w:rsidP="006213DE">
      <w:pPr>
        <w:spacing w:after="0"/>
        <w:ind w:left="993" w:right="85" w:hanging="283"/>
        <w:jc w:val="both"/>
        <w:rPr>
          <w:rFonts w:ascii="Times New Roman" w:hAnsi="Times New Roman"/>
          <w:sz w:val="24"/>
          <w:highlight w:val="yellow"/>
        </w:rPr>
      </w:pPr>
    </w:p>
    <w:p w14:paraId="05F67C6B" w14:textId="77777777" w:rsidR="00942754" w:rsidRPr="00942754" w:rsidRDefault="00942754" w:rsidP="009B6C00">
      <w:pPr>
        <w:widowControl w:val="0"/>
        <w:spacing w:after="120"/>
        <w:ind w:firstLine="709"/>
        <w:contextualSpacing/>
        <w:jc w:val="both"/>
        <w:rPr>
          <w:rFonts w:ascii="Times New Roman" w:hAnsi="Times New Roman" w:cs="Times New Roman"/>
          <w:sz w:val="24"/>
          <w:szCs w:val="24"/>
        </w:rPr>
      </w:pPr>
      <w:r w:rsidRPr="00942754">
        <w:rPr>
          <w:rFonts w:ascii="Times New Roman" w:hAnsi="Times New Roman" w:cs="Times New Roman"/>
          <w:sz w:val="24"/>
          <w:szCs w:val="24"/>
        </w:rPr>
        <w:t>Ņemot vērā augsto VHC izplatību sabiedrībā, VHC lēno slimības gaitu un starptautisko pieredzi, kā arī Latvijas infektologu un hepatologu ieteikumus, ārstēšanai no VHC ir noteiktas prioritārās pacientu grupas. Veselības ministrijas izveidotās ekspertu darba grupas rekomendācijas nosaka, ka ārstēšanai no VHC prioritārās pacientu grupas ir pacienti ar VHC F3/F4 un aknu cirozes stadijā, pacienti pirms un pēc orgānu transplantācijas,  nieru mazspējas pacienti, kuriem veic hemodialīzi. Atsaucoties uz klīnisko pētījumu rezultātiem, kas pierāda, ka VHC F3/F4 stadijā pielietojot interferonu saturošās ārstēšanas shēmas, tiek nodrošināta izārstēšana tikai 70% gadījumos un mazāk, bet izvēloties šo pacientu terapijā izmantot tiešās iedarbības interferonu nesaturošos līdzekļus, tiek nodrošināta izārstēšana no VHC 95% gadījumos un vairāk,  kā arī ņemot vērā to, ka interferonu saturošās terapijas ilgums ir garāks (24 nedēļas un ilgāk) nekā ārstēšanas kurss ar tiešās iedarbības pretvīrusa līdzekļiem (8-12 nedēļas), kā arī, izvērtējot abu ārstēšanas shēmu ietekmi uz komplikāciju veidošanos un risku nepabeigt ārstēšanas kursu zāļu radīto blakņu dēļ, minētā ekspertu grupa rekomendē VHC ārstēšanai pamatā izmantot zāļu shēmas, kas satur tiešās darbības interferonu nesaturošus preparātus. Izvērtējot augstāk minēto medikamentu cenas, ārstēšanas rezultātus, ārstēšanas kursa ilgumu, kā arī cilvēka darbaspējas terapijas laikā, interferonu nesaturošie medikamenti tiek atzīti par izmaksu efektīvākiem.</w:t>
      </w:r>
    </w:p>
    <w:p w14:paraId="5BD5E672" w14:textId="77777777" w:rsidR="00942754" w:rsidRDefault="00942754" w:rsidP="00A937D8">
      <w:pPr>
        <w:spacing w:after="0" w:line="240" w:lineRule="auto"/>
        <w:ind w:firstLine="720"/>
        <w:jc w:val="right"/>
        <w:rPr>
          <w:rFonts w:ascii="Times New Roman" w:hAnsi="Times New Roman" w:cs="Times New Roman"/>
          <w:i/>
          <w:sz w:val="24"/>
          <w:szCs w:val="24"/>
        </w:rPr>
      </w:pPr>
    </w:p>
    <w:p w14:paraId="51A752D7" w14:textId="67B2A665" w:rsidR="00A937D8" w:rsidRPr="003B6DC4" w:rsidRDefault="004A0888" w:rsidP="00A937D8">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6</w:t>
      </w:r>
      <w:r w:rsidR="00A937D8" w:rsidRPr="003B6DC4">
        <w:rPr>
          <w:rFonts w:ascii="Times New Roman" w:hAnsi="Times New Roman" w:cs="Times New Roman"/>
          <w:i/>
          <w:sz w:val="24"/>
          <w:szCs w:val="24"/>
        </w:rPr>
        <w:t>.tabula</w:t>
      </w:r>
    </w:p>
    <w:p w14:paraId="1B21D13B" w14:textId="2F666CAF" w:rsidR="00A937D8" w:rsidRPr="003B6DC4" w:rsidRDefault="00A937D8" w:rsidP="00A937D8">
      <w:pPr>
        <w:spacing w:after="0" w:line="240" w:lineRule="auto"/>
        <w:ind w:firstLine="720"/>
        <w:jc w:val="center"/>
        <w:rPr>
          <w:rFonts w:ascii="Times New Roman" w:hAnsi="Times New Roman" w:cs="Times New Roman"/>
          <w:b/>
          <w:sz w:val="24"/>
          <w:szCs w:val="24"/>
        </w:rPr>
      </w:pPr>
      <w:r w:rsidRPr="003B6DC4">
        <w:rPr>
          <w:rFonts w:ascii="Times New Roman" w:hAnsi="Times New Roman" w:cs="Times New Roman"/>
          <w:b/>
          <w:sz w:val="24"/>
          <w:szCs w:val="24"/>
        </w:rPr>
        <w:t xml:space="preserve">Plānotais </w:t>
      </w:r>
      <w:r>
        <w:rPr>
          <w:rFonts w:ascii="Times New Roman" w:hAnsi="Times New Roman" w:cs="Times New Roman"/>
          <w:b/>
          <w:sz w:val="24"/>
          <w:szCs w:val="24"/>
        </w:rPr>
        <w:t xml:space="preserve">valsts </w:t>
      </w:r>
      <w:r w:rsidR="007D78AA">
        <w:rPr>
          <w:rFonts w:ascii="Times New Roman" w:hAnsi="Times New Roman" w:cs="Times New Roman"/>
          <w:b/>
          <w:sz w:val="24"/>
          <w:szCs w:val="24"/>
        </w:rPr>
        <w:t xml:space="preserve">kompensējamo </w:t>
      </w:r>
      <w:r>
        <w:rPr>
          <w:rFonts w:ascii="Times New Roman" w:hAnsi="Times New Roman" w:cs="Times New Roman"/>
          <w:b/>
          <w:sz w:val="24"/>
          <w:szCs w:val="24"/>
        </w:rPr>
        <w:t>medikamentu</w:t>
      </w:r>
      <w:r w:rsidR="007D78AA">
        <w:rPr>
          <w:rFonts w:ascii="Times New Roman" w:hAnsi="Times New Roman" w:cs="Times New Roman"/>
          <w:b/>
          <w:sz w:val="24"/>
          <w:szCs w:val="24"/>
        </w:rPr>
        <w:t xml:space="preserve"> izlietojums</w:t>
      </w:r>
      <w:r>
        <w:rPr>
          <w:rFonts w:ascii="Times New Roman" w:hAnsi="Times New Roman" w:cs="Times New Roman"/>
          <w:b/>
          <w:sz w:val="24"/>
          <w:szCs w:val="24"/>
        </w:rPr>
        <w:t xml:space="preserve"> </w:t>
      </w:r>
      <w:r w:rsidR="0073684D">
        <w:rPr>
          <w:rFonts w:ascii="Times New Roman" w:hAnsi="Times New Roman" w:cs="Times New Roman"/>
          <w:b/>
          <w:sz w:val="24"/>
          <w:szCs w:val="24"/>
        </w:rPr>
        <w:t>VHC</w:t>
      </w:r>
      <w:r w:rsidR="007D78AA" w:rsidRPr="003B6DC4">
        <w:rPr>
          <w:rFonts w:ascii="Times New Roman" w:hAnsi="Times New Roman" w:cs="Times New Roman"/>
          <w:b/>
          <w:sz w:val="24"/>
          <w:szCs w:val="24"/>
        </w:rPr>
        <w:t xml:space="preserve"> </w:t>
      </w:r>
      <w:r w:rsidR="007D78AA">
        <w:rPr>
          <w:rFonts w:ascii="Times New Roman" w:hAnsi="Times New Roman" w:cs="Times New Roman"/>
          <w:b/>
          <w:sz w:val="24"/>
          <w:szCs w:val="24"/>
        </w:rPr>
        <w:t>ārstēšanai</w:t>
      </w:r>
      <w:r w:rsidRPr="003B6DC4">
        <w:rPr>
          <w:rFonts w:ascii="Times New Roman" w:hAnsi="Times New Roman" w:cs="Times New Roman"/>
          <w:b/>
          <w:sz w:val="24"/>
          <w:szCs w:val="24"/>
        </w:rPr>
        <w:t xml:space="preserve"> </w:t>
      </w:r>
    </w:p>
    <w:p w14:paraId="7B649714" w14:textId="77777777" w:rsidR="00A937D8" w:rsidRPr="003B6DC4" w:rsidRDefault="00A937D8" w:rsidP="00A937D8">
      <w:pPr>
        <w:spacing w:after="0" w:line="240" w:lineRule="auto"/>
        <w:ind w:firstLine="720"/>
        <w:jc w:val="center"/>
        <w:rPr>
          <w:rFonts w:ascii="Times New Roman" w:hAnsi="Times New Roman" w:cs="Times New Roman"/>
          <w:b/>
          <w:sz w:val="24"/>
          <w:szCs w:val="24"/>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1134"/>
        <w:gridCol w:w="1559"/>
        <w:gridCol w:w="1417"/>
        <w:gridCol w:w="1285"/>
        <w:gridCol w:w="1272"/>
        <w:gridCol w:w="1272"/>
        <w:gridCol w:w="1272"/>
      </w:tblGrid>
      <w:tr w:rsidR="006213DE" w:rsidRPr="004A68D5" w14:paraId="518F5E8B" w14:textId="77777777" w:rsidTr="00724895">
        <w:trPr>
          <w:cantSplit/>
          <w:trHeight w:val="1656"/>
          <w:jc w:val="center"/>
        </w:trPr>
        <w:tc>
          <w:tcPr>
            <w:tcW w:w="1579" w:type="dxa"/>
            <w:shd w:val="clear" w:color="000000" w:fill="E36C0A"/>
            <w:vAlign w:val="center"/>
            <w:hideMark/>
          </w:tcPr>
          <w:p w14:paraId="07D5ADD6" w14:textId="77777777" w:rsidR="006213DE" w:rsidRPr="004A68D5" w:rsidRDefault="006213DE" w:rsidP="006213DE">
            <w:pPr>
              <w:spacing w:after="0" w:line="240" w:lineRule="auto"/>
              <w:rPr>
                <w:rFonts w:ascii="Times New Roman" w:eastAsia="Times New Roman" w:hAnsi="Times New Roman" w:cs="Times New Roman"/>
                <w:b/>
                <w:bCs/>
                <w:sz w:val="20"/>
                <w:szCs w:val="20"/>
                <w:lang w:eastAsia="lv-LV"/>
              </w:rPr>
            </w:pPr>
          </w:p>
        </w:tc>
        <w:tc>
          <w:tcPr>
            <w:tcW w:w="1134" w:type="dxa"/>
            <w:shd w:val="clear" w:color="000000" w:fill="E36C0A"/>
            <w:textDirection w:val="btLr"/>
            <w:vAlign w:val="center"/>
            <w:hideMark/>
          </w:tcPr>
          <w:p w14:paraId="2B7A9827" w14:textId="77777777" w:rsidR="006213DE"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Vienas ārstēš</w:t>
            </w:r>
            <w:r>
              <w:rPr>
                <w:rFonts w:ascii="Times New Roman" w:eastAsia="Times New Roman" w:hAnsi="Times New Roman" w:cs="Times New Roman"/>
                <w:b/>
                <w:bCs/>
                <w:sz w:val="20"/>
                <w:szCs w:val="20"/>
                <w:lang w:eastAsia="lv-LV"/>
              </w:rPr>
              <w:t>anas vidējās</w:t>
            </w:r>
          </w:p>
          <w:p w14:paraId="192BD426" w14:textId="77777777" w:rsidR="006213DE"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izmaksas</w:t>
            </w:r>
          </w:p>
          <w:p w14:paraId="41767E1C" w14:textId="77777777" w:rsidR="006213DE" w:rsidRPr="004A68D5"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p>
        </w:tc>
        <w:tc>
          <w:tcPr>
            <w:tcW w:w="2976" w:type="dxa"/>
            <w:gridSpan w:val="2"/>
            <w:shd w:val="clear" w:color="000000" w:fill="E36C0A"/>
            <w:textDirection w:val="btLr"/>
            <w:vAlign w:val="center"/>
            <w:hideMark/>
          </w:tcPr>
          <w:p w14:paraId="79D0DCDF" w14:textId="77777777" w:rsidR="006213DE" w:rsidRPr="004A68D5"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 xml:space="preserve">Plānotais finansējums </w:t>
            </w:r>
          </w:p>
        </w:tc>
        <w:tc>
          <w:tcPr>
            <w:tcW w:w="1285" w:type="dxa"/>
            <w:shd w:val="clear" w:color="000000" w:fill="E36C0A"/>
            <w:textDirection w:val="btLr"/>
            <w:vAlign w:val="center"/>
            <w:hideMark/>
          </w:tcPr>
          <w:p w14:paraId="5CB65C02" w14:textId="77777777" w:rsidR="006213DE" w:rsidRPr="004A68D5"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Papildus </w:t>
            </w:r>
            <w:r w:rsidRPr="004A68D5">
              <w:rPr>
                <w:rFonts w:ascii="Times New Roman" w:eastAsia="Times New Roman" w:hAnsi="Times New Roman" w:cs="Times New Roman"/>
                <w:b/>
                <w:bCs/>
                <w:sz w:val="20"/>
                <w:szCs w:val="20"/>
                <w:lang w:eastAsia="lv-LV"/>
              </w:rPr>
              <w:t>finansēj</w:t>
            </w:r>
            <w:r>
              <w:rPr>
                <w:rFonts w:ascii="Times New Roman" w:eastAsia="Times New Roman" w:hAnsi="Times New Roman" w:cs="Times New Roman"/>
                <w:b/>
                <w:bCs/>
                <w:sz w:val="20"/>
                <w:szCs w:val="20"/>
                <w:lang w:eastAsia="lv-LV"/>
              </w:rPr>
              <w:t>ums</w:t>
            </w:r>
            <w:r w:rsidRPr="004A68D5">
              <w:rPr>
                <w:rFonts w:ascii="Times New Roman" w:eastAsia="Times New Roman" w:hAnsi="Times New Roman" w:cs="Times New Roman"/>
                <w:b/>
                <w:bCs/>
                <w:sz w:val="20"/>
                <w:szCs w:val="20"/>
                <w:lang w:eastAsia="lv-LV"/>
              </w:rPr>
              <w:t xml:space="preserve"> </w:t>
            </w:r>
          </w:p>
        </w:tc>
        <w:tc>
          <w:tcPr>
            <w:tcW w:w="2544" w:type="dxa"/>
            <w:gridSpan w:val="2"/>
            <w:shd w:val="clear" w:color="000000" w:fill="E36C0A"/>
            <w:textDirection w:val="btLr"/>
            <w:vAlign w:val="center"/>
          </w:tcPr>
          <w:p w14:paraId="5AF4A273" w14:textId="77777777" w:rsidR="006213DE" w:rsidRPr="004A68D5"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 xml:space="preserve">Plānotais </w:t>
            </w:r>
            <w:r>
              <w:rPr>
                <w:rFonts w:ascii="Times New Roman" w:eastAsia="Times New Roman" w:hAnsi="Times New Roman" w:cs="Times New Roman"/>
                <w:b/>
                <w:bCs/>
                <w:sz w:val="20"/>
                <w:szCs w:val="20"/>
                <w:lang w:eastAsia="lv-LV"/>
              </w:rPr>
              <w:t>pakalpojumu</w:t>
            </w:r>
            <w:r w:rsidRPr="004A68D5">
              <w:rPr>
                <w:rFonts w:ascii="Times New Roman" w:eastAsia="Times New Roman" w:hAnsi="Times New Roman" w:cs="Times New Roman"/>
                <w:b/>
                <w:bCs/>
                <w:sz w:val="20"/>
                <w:szCs w:val="20"/>
                <w:lang w:eastAsia="lv-LV"/>
              </w:rPr>
              <w:t xml:space="preserve"> skaits </w:t>
            </w:r>
          </w:p>
        </w:tc>
        <w:tc>
          <w:tcPr>
            <w:tcW w:w="1272" w:type="dxa"/>
            <w:shd w:val="clear" w:color="000000" w:fill="E36C0A"/>
            <w:textDirection w:val="btLr"/>
            <w:vAlign w:val="center"/>
            <w:hideMark/>
          </w:tcPr>
          <w:p w14:paraId="7608FAED" w14:textId="77777777" w:rsidR="006213DE" w:rsidRPr="004A68D5" w:rsidRDefault="006213DE" w:rsidP="00956798">
            <w:pPr>
              <w:spacing w:after="0" w:line="240" w:lineRule="auto"/>
              <w:ind w:left="113" w:right="113"/>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Plānotais pa</w:t>
            </w:r>
            <w:r>
              <w:rPr>
                <w:rFonts w:ascii="Times New Roman" w:eastAsia="Times New Roman" w:hAnsi="Times New Roman" w:cs="Times New Roman"/>
                <w:b/>
                <w:bCs/>
                <w:sz w:val="20"/>
                <w:szCs w:val="20"/>
                <w:lang w:eastAsia="lv-LV"/>
              </w:rPr>
              <w:t>kalpojumu</w:t>
            </w:r>
            <w:r w:rsidRPr="004A68D5">
              <w:rPr>
                <w:rFonts w:ascii="Times New Roman" w:eastAsia="Times New Roman" w:hAnsi="Times New Roman" w:cs="Times New Roman"/>
                <w:b/>
                <w:bCs/>
                <w:sz w:val="20"/>
                <w:szCs w:val="20"/>
                <w:lang w:eastAsia="lv-LV"/>
              </w:rPr>
              <w:t xml:space="preserve"> skaits pēc finansējuma piešķīruma</w:t>
            </w:r>
          </w:p>
        </w:tc>
      </w:tr>
      <w:tr w:rsidR="006213DE" w:rsidRPr="004A68D5" w14:paraId="3DEE33E5" w14:textId="77777777" w:rsidTr="00724895">
        <w:trPr>
          <w:trHeight w:val="640"/>
          <w:jc w:val="center"/>
        </w:trPr>
        <w:tc>
          <w:tcPr>
            <w:tcW w:w="1579" w:type="dxa"/>
            <w:shd w:val="clear" w:color="auto" w:fill="FABF8F" w:themeFill="accent6" w:themeFillTint="99"/>
            <w:vAlign w:val="center"/>
          </w:tcPr>
          <w:p w14:paraId="607AEB53" w14:textId="77777777" w:rsidR="006213DE" w:rsidRPr="004A68D5" w:rsidRDefault="006213DE" w:rsidP="00956798">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66A2C5C3" w14:textId="77777777" w:rsidR="006213DE" w:rsidRDefault="006213DE" w:rsidP="00956798">
            <w:pPr>
              <w:spacing w:after="0" w:line="240" w:lineRule="auto"/>
              <w:jc w:val="center"/>
              <w:rPr>
                <w:rFonts w:ascii="Times New Roman" w:eastAsia="Times New Roman" w:hAnsi="Times New Roman" w:cs="Times New Roman"/>
                <w:i/>
                <w:iCs/>
                <w:sz w:val="20"/>
                <w:szCs w:val="20"/>
                <w:lang w:eastAsia="lv-LV"/>
              </w:rPr>
            </w:pPr>
          </w:p>
          <w:p w14:paraId="0D89B84A" w14:textId="77777777" w:rsidR="006213DE" w:rsidRPr="004A68D5" w:rsidRDefault="006213DE" w:rsidP="0095679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i/>
                <w:iCs/>
                <w:sz w:val="20"/>
                <w:szCs w:val="20"/>
                <w:lang w:eastAsia="lv-LV"/>
              </w:rPr>
              <w:t>(</w:t>
            </w:r>
            <w:r w:rsidRPr="004A68D5">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776F9851" w14:textId="77777777" w:rsidR="006213DE" w:rsidRDefault="006213DE" w:rsidP="00956798">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2016</w:t>
            </w:r>
          </w:p>
          <w:p w14:paraId="0F33466D" w14:textId="77777777" w:rsidR="006213DE" w:rsidRPr="002B342D" w:rsidRDefault="006213DE" w:rsidP="00956798">
            <w:pPr>
              <w:spacing w:after="0" w:line="240" w:lineRule="auto"/>
              <w:jc w:val="center"/>
              <w:rPr>
                <w:rFonts w:ascii="Times New Roman" w:eastAsia="Times New Roman" w:hAnsi="Times New Roman" w:cs="Times New Roman"/>
                <w:bCs/>
                <w:sz w:val="20"/>
                <w:szCs w:val="20"/>
                <w:lang w:eastAsia="lv-LV"/>
              </w:rPr>
            </w:pPr>
            <w:r w:rsidRPr="002B342D">
              <w:rPr>
                <w:rFonts w:ascii="Times New Roman" w:eastAsia="Times New Roman" w:hAnsi="Times New Roman" w:cs="Times New Roman"/>
                <w:bCs/>
                <w:i/>
                <w:iCs/>
                <w:sz w:val="20"/>
                <w:szCs w:val="20"/>
                <w:lang w:eastAsia="lv-LV"/>
              </w:rPr>
              <w:t>(euro)</w:t>
            </w:r>
          </w:p>
        </w:tc>
        <w:tc>
          <w:tcPr>
            <w:tcW w:w="1417" w:type="dxa"/>
            <w:shd w:val="clear" w:color="auto" w:fill="FABF8F" w:themeFill="accent6" w:themeFillTint="99"/>
            <w:vAlign w:val="center"/>
          </w:tcPr>
          <w:p w14:paraId="3D2185C3" w14:textId="77777777" w:rsidR="006213DE" w:rsidRDefault="006213DE" w:rsidP="00956798">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p w14:paraId="4A154C3A" w14:textId="77777777" w:rsidR="006213DE" w:rsidRPr="002B342D" w:rsidRDefault="006213DE" w:rsidP="00956798">
            <w:pPr>
              <w:spacing w:after="0" w:line="240" w:lineRule="auto"/>
              <w:jc w:val="center"/>
              <w:rPr>
                <w:rFonts w:ascii="Times New Roman" w:eastAsia="Times New Roman" w:hAnsi="Times New Roman" w:cs="Times New Roman"/>
                <w:bCs/>
                <w:sz w:val="20"/>
                <w:szCs w:val="20"/>
                <w:lang w:eastAsia="lv-LV"/>
              </w:rPr>
            </w:pPr>
            <w:r w:rsidRPr="002B342D">
              <w:rPr>
                <w:rFonts w:ascii="Times New Roman" w:eastAsia="Times New Roman" w:hAnsi="Times New Roman" w:cs="Times New Roman"/>
                <w:bCs/>
                <w:i/>
                <w:iCs/>
                <w:sz w:val="20"/>
                <w:szCs w:val="20"/>
                <w:lang w:eastAsia="lv-LV"/>
              </w:rPr>
              <w:t>(euro)</w:t>
            </w:r>
          </w:p>
        </w:tc>
        <w:tc>
          <w:tcPr>
            <w:tcW w:w="1285" w:type="dxa"/>
            <w:shd w:val="clear" w:color="auto" w:fill="FABF8F" w:themeFill="accent6" w:themeFillTint="99"/>
            <w:vAlign w:val="center"/>
          </w:tcPr>
          <w:p w14:paraId="2E1A245D" w14:textId="77777777" w:rsidR="006213DE" w:rsidRDefault="006213DE" w:rsidP="00956798">
            <w:pPr>
              <w:spacing w:after="0" w:line="240" w:lineRule="auto"/>
              <w:jc w:val="center"/>
              <w:rPr>
                <w:rFonts w:ascii="Times New Roman" w:eastAsia="Times New Roman" w:hAnsi="Times New Roman" w:cs="Times New Roman"/>
                <w:bCs/>
                <w:i/>
                <w:iCs/>
                <w:sz w:val="20"/>
                <w:szCs w:val="20"/>
                <w:lang w:eastAsia="lv-LV"/>
              </w:rPr>
            </w:pPr>
          </w:p>
          <w:p w14:paraId="3BF1CEB7" w14:textId="77777777" w:rsidR="006213DE" w:rsidRPr="0066058E" w:rsidRDefault="006213DE" w:rsidP="00956798">
            <w:pPr>
              <w:spacing w:after="0" w:line="240" w:lineRule="auto"/>
              <w:jc w:val="center"/>
              <w:rPr>
                <w:rFonts w:ascii="Times New Roman" w:eastAsia="Times New Roman" w:hAnsi="Times New Roman" w:cs="Times New Roman"/>
                <w:bCs/>
                <w:i/>
                <w:iCs/>
                <w:sz w:val="20"/>
                <w:szCs w:val="20"/>
                <w:lang w:eastAsia="lv-LV"/>
              </w:rPr>
            </w:pPr>
            <w:r w:rsidRPr="002B342D">
              <w:rPr>
                <w:rFonts w:ascii="Times New Roman" w:eastAsia="Times New Roman" w:hAnsi="Times New Roman" w:cs="Times New Roman"/>
                <w:bCs/>
                <w:i/>
                <w:iCs/>
                <w:sz w:val="20"/>
                <w:szCs w:val="20"/>
                <w:lang w:eastAsia="lv-LV"/>
              </w:rPr>
              <w:t>(euro)</w:t>
            </w:r>
          </w:p>
        </w:tc>
        <w:tc>
          <w:tcPr>
            <w:tcW w:w="1272" w:type="dxa"/>
            <w:shd w:val="clear" w:color="auto" w:fill="FABF8F" w:themeFill="accent6" w:themeFillTint="99"/>
            <w:vAlign w:val="center"/>
          </w:tcPr>
          <w:p w14:paraId="46940E88" w14:textId="77777777" w:rsidR="006213DE" w:rsidRPr="004A68D5" w:rsidRDefault="006213DE" w:rsidP="00956798">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2016</w:t>
            </w:r>
          </w:p>
        </w:tc>
        <w:tc>
          <w:tcPr>
            <w:tcW w:w="1272" w:type="dxa"/>
            <w:shd w:val="clear" w:color="auto" w:fill="FABF8F" w:themeFill="accent6" w:themeFillTint="99"/>
            <w:vAlign w:val="center"/>
          </w:tcPr>
          <w:p w14:paraId="38FE5F42" w14:textId="77777777" w:rsidR="006213DE" w:rsidRPr="004A68D5" w:rsidRDefault="006213DE" w:rsidP="00956798">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11993761" w14:textId="77777777" w:rsidR="006213DE" w:rsidRPr="004A68D5" w:rsidRDefault="006213DE" w:rsidP="00956798">
            <w:pPr>
              <w:spacing w:after="0" w:line="240" w:lineRule="auto"/>
              <w:jc w:val="center"/>
              <w:rPr>
                <w:rFonts w:ascii="Times New Roman" w:eastAsia="Times New Roman" w:hAnsi="Times New Roman" w:cs="Times New Roman"/>
                <w:b/>
                <w:bCs/>
                <w:sz w:val="20"/>
                <w:szCs w:val="20"/>
                <w:lang w:eastAsia="lv-LV"/>
              </w:rPr>
            </w:pPr>
            <w:r w:rsidRPr="004A68D5">
              <w:rPr>
                <w:rFonts w:ascii="Times New Roman" w:eastAsia="Times New Roman" w:hAnsi="Times New Roman" w:cs="Times New Roman"/>
                <w:b/>
                <w:bCs/>
                <w:sz w:val="20"/>
                <w:szCs w:val="20"/>
                <w:lang w:eastAsia="lv-LV"/>
              </w:rPr>
              <w:t>2017</w:t>
            </w:r>
          </w:p>
        </w:tc>
      </w:tr>
      <w:tr w:rsidR="006213DE" w:rsidRPr="004A68D5" w14:paraId="79A6D7D2" w14:textId="77777777" w:rsidTr="00724895">
        <w:trPr>
          <w:trHeight w:val="525"/>
          <w:jc w:val="center"/>
        </w:trPr>
        <w:tc>
          <w:tcPr>
            <w:tcW w:w="1579" w:type="dxa"/>
            <w:vAlign w:val="bottom"/>
            <w:hideMark/>
          </w:tcPr>
          <w:p w14:paraId="7C8052C1" w14:textId="77777777" w:rsidR="006213DE" w:rsidRPr="004A68D5" w:rsidRDefault="006213DE" w:rsidP="009567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Kompensējamie medikamenti C hepatīta ārstēšanai</w:t>
            </w:r>
          </w:p>
        </w:tc>
        <w:tc>
          <w:tcPr>
            <w:tcW w:w="1134" w:type="dxa"/>
            <w:shd w:val="clear" w:color="auto" w:fill="auto"/>
            <w:noWrap/>
            <w:vAlign w:val="bottom"/>
          </w:tcPr>
          <w:p w14:paraId="61F3BC62" w14:textId="77777777" w:rsidR="006213DE" w:rsidRPr="004A68D5" w:rsidRDefault="006213DE" w:rsidP="003921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26 842</w:t>
            </w:r>
          </w:p>
        </w:tc>
        <w:tc>
          <w:tcPr>
            <w:tcW w:w="1559" w:type="dxa"/>
            <w:shd w:val="clear" w:color="auto" w:fill="auto"/>
            <w:noWrap/>
            <w:vAlign w:val="bottom"/>
          </w:tcPr>
          <w:p w14:paraId="5E8EE89F" w14:textId="77777777" w:rsidR="006213DE" w:rsidRPr="004A68D5" w:rsidRDefault="006213DE" w:rsidP="009567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6 600 000</w:t>
            </w:r>
          </w:p>
        </w:tc>
        <w:tc>
          <w:tcPr>
            <w:tcW w:w="1417" w:type="dxa"/>
            <w:shd w:val="clear" w:color="auto" w:fill="auto"/>
            <w:noWrap/>
            <w:vAlign w:val="bottom"/>
          </w:tcPr>
          <w:p w14:paraId="2B7F009E" w14:textId="77777777" w:rsidR="006213DE" w:rsidRPr="004A68D5" w:rsidRDefault="006213DE" w:rsidP="009567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5 100 000*</w:t>
            </w:r>
          </w:p>
        </w:tc>
        <w:tc>
          <w:tcPr>
            <w:tcW w:w="1285" w:type="dxa"/>
            <w:shd w:val="clear" w:color="auto" w:fill="auto"/>
            <w:noWrap/>
            <w:vAlign w:val="bottom"/>
          </w:tcPr>
          <w:p w14:paraId="4247739B" w14:textId="77777777" w:rsidR="006213DE" w:rsidRPr="004A68D5" w:rsidRDefault="006213DE" w:rsidP="00956798">
            <w:pPr>
              <w:spacing w:after="0" w:line="240" w:lineRule="auto"/>
              <w:jc w:val="center"/>
              <w:rPr>
                <w:rFonts w:ascii="Times New Roman" w:eastAsia="Times New Roman" w:hAnsi="Times New Roman" w:cs="Times New Roman"/>
                <w:sz w:val="20"/>
                <w:szCs w:val="20"/>
                <w:lang w:eastAsia="lv-LV"/>
              </w:rPr>
            </w:pPr>
            <w:r w:rsidRPr="0039218A">
              <w:rPr>
                <w:rFonts w:ascii="Times New Roman" w:eastAsia="Times New Roman" w:hAnsi="Times New Roman" w:cs="Times New Roman"/>
                <w:sz w:val="20"/>
                <w:szCs w:val="20"/>
                <w:lang w:eastAsia="lv-LV"/>
              </w:rPr>
              <w:t>5 462 883</w:t>
            </w:r>
          </w:p>
        </w:tc>
        <w:tc>
          <w:tcPr>
            <w:tcW w:w="1272" w:type="dxa"/>
            <w:shd w:val="clear" w:color="auto" w:fill="auto"/>
            <w:vAlign w:val="bottom"/>
          </w:tcPr>
          <w:p w14:paraId="4A2AE2B7" w14:textId="77777777" w:rsidR="006213DE" w:rsidRPr="00A84E8A" w:rsidRDefault="006213DE" w:rsidP="00956798">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228</w:t>
            </w:r>
          </w:p>
        </w:tc>
        <w:tc>
          <w:tcPr>
            <w:tcW w:w="1272" w:type="dxa"/>
            <w:vAlign w:val="bottom"/>
          </w:tcPr>
          <w:p w14:paraId="6A48656A" w14:textId="77777777" w:rsidR="006213DE" w:rsidRPr="00A84E8A" w:rsidRDefault="006213DE" w:rsidP="00956798">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190</w:t>
            </w:r>
          </w:p>
        </w:tc>
        <w:tc>
          <w:tcPr>
            <w:tcW w:w="1272" w:type="dxa"/>
            <w:noWrap/>
            <w:vAlign w:val="bottom"/>
          </w:tcPr>
          <w:p w14:paraId="766772AA" w14:textId="77777777" w:rsidR="006213DE" w:rsidRPr="00A84E8A" w:rsidRDefault="006213DE" w:rsidP="00956798">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393</w:t>
            </w:r>
          </w:p>
        </w:tc>
      </w:tr>
    </w:tbl>
    <w:p w14:paraId="47B231CA" w14:textId="4F91FBBE" w:rsidR="0039218A" w:rsidRPr="006213DE" w:rsidRDefault="008B2F87" w:rsidP="00A937D8">
      <w:pPr>
        <w:ind w:firstLine="360"/>
        <w:jc w:val="both"/>
        <w:rPr>
          <w:rFonts w:ascii="Times New Roman" w:hAnsi="Times New Roman"/>
          <w:i/>
          <w:color w:val="000000"/>
          <w:sz w:val="20"/>
          <w:shd w:val="clear" w:color="auto" w:fill="FFFFFF"/>
        </w:rPr>
      </w:pPr>
      <w:r w:rsidRPr="00956798">
        <w:rPr>
          <w:rFonts w:ascii="Times New Roman" w:hAnsi="Times New Roman" w:cs="Times New Roman"/>
          <w:bCs/>
          <w:i/>
          <w:color w:val="000000"/>
          <w:sz w:val="24"/>
          <w:szCs w:val="24"/>
          <w:shd w:val="clear" w:color="auto" w:fill="FFFFFF"/>
        </w:rPr>
        <w:t>*</w:t>
      </w:r>
      <w:r w:rsidR="00956798" w:rsidRPr="00956798">
        <w:rPr>
          <w:rFonts w:ascii="Times New Roman" w:hAnsi="Times New Roman" w:cs="Times New Roman"/>
          <w:bCs/>
          <w:i/>
          <w:color w:val="000000"/>
          <w:sz w:val="24"/>
          <w:szCs w:val="24"/>
          <w:shd w:val="clear" w:color="auto" w:fill="FFFFFF"/>
        </w:rPr>
        <w:t xml:space="preserve"> </w:t>
      </w:r>
      <w:r w:rsidR="00956798" w:rsidRPr="006213DE">
        <w:rPr>
          <w:rFonts w:ascii="Times New Roman" w:hAnsi="Times New Roman"/>
          <w:i/>
          <w:color w:val="000000"/>
          <w:sz w:val="20"/>
          <w:shd w:val="clear" w:color="auto" w:fill="FFFFFF"/>
        </w:rPr>
        <w:t xml:space="preserve">Atbilstoši Ministru kabineta 2015.gada 8.decembra noteikumu Nr.706 “Grozījumi Ministru kabineta 2006. gada 31. oktobra noteikumos Nr. 899 “Ambulatorajai ārstēšanai paredzēto zāļu un medicīnisko ierīču iegādes izdevumu kompensācijas kārtība”” anotācijā norādītajam, finansējums </w:t>
      </w:r>
      <w:r w:rsidR="0073684D" w:rsidRPr="006213DE">
        <w:rPr>
          <w:rFonts w:ascii="Times New Roman" w:hAnsi="Times New Roman"/>
          <w:i/>
          <w:color w:val="000000"/>
          <w:sz w:val="20"/>
          <w:shd w:val="clear" w:color="auto" w:fill="FFFFFF"/>
        </w:rPr>
        <w:t>VHC</w:t>
      </w:r>
      <w:r w:rsidR="00956798" w:rsidRPr="006213DE">
        <w:rPr>
          <w:rFonts w:ascii="Times New Roman" w:hAnsi="Times New Roman"/>
          <w:i/>
          <w:color w:val="000000"/>
          <w:sz w:val="20"/>
          <w:shd w:val="clear" w:color="auto" w:fill="FFFFFF"/>
        </w:rPr>
        <w:t xml:space="preserve"> jaunās paaudzes terapijas nodrošināšanai 2017.gadā piešķirts par 1 486 168 euro mazākā apmērā nekā 2016.gadā.</w:t>
      </w:r>
    </w:p>
    <w:p w14:paraId="1DC61DF9" w14:textId="15A9902E" w:rsidR="005429E2" w:rsidRPr="006C68C7" w:rsidRDefault="00956798" w:rsidP="00807345">
      <w:pPr>
        <w:pStyle w:val="FootnoteText"/>
        <w:spacing w:after="120" w:line="276" w:lineRule="auto"/>
        <w:ind w:firstLine="709"/>
        <w:jc w:val="both"/>
        <w:rPr>
          <w:rFonts w:ascii="Times New Roman" w:hAnsi="Times New Roman" w:cs="Times New Roman"/>
          <w:sz w:val="24"/>
          <w:szCs w:val="24"/>
        </w:rPr>
      </w:pPr>
      <w:r w:rsidRPr="00D367E4">
        <w:rPr>
          <w:rFonts w:ascii="Times New Roman" w:hAnsi="Times New Roman" w:cs="Times New Roman"/>
          <w:bCs/>
          <w:sz w:val="24"/>
          <w:szCs w:val="24"/>
          <w:shd w:val="clear" w:color="auto" w:fill="FFFFFF"/>
        </w:rPr>
        <w:lastRenderedPageBreak/>
        <w:t xml:space="preserve">Līdz ar to nepieciešams turpināt iesākto reformu </w:t>
      </w:r>
      <w:r w:rsidR="006E5564" w:rsidRPr="00D367E4">
        <w:rPr>
          <w:rFonts w:ascii="Times New Roman" w:hAnsi="Times New Roman" w:cs="Times New Roman"/>
          <w:bCs/>
          <w:sz w:val="24"/>
          <w:szCs w:val="24"/>
          <w:shd w:val="clear" w:color="auto" w:fill="FFFFFF"/>
        </w:rPr>
        <w:t>VHC</w:t>
      </w:r>
      <w:r w:rsidRPr="00D367E4">
        <w:rPr>
          <w:rFonts w:ascii="Times New Roman" w:hAnsi="Times New Roman" w:cs="Times New Roman"/>
          <w:bCs/>
          <w:sz w:val="24"/>
          <w:szCs w:val="24"/>
          <w:shd w:val="clear" w:color="auto" w:fill="FFFFFF"/>
        </w:rPr>
        <w:t xml:space="preserve"> ārstēšanā, nodrošinot </w:t>
      </w:r>
      <w:r w:rsidR="007C2B0B" w:rsidRPr="00D367E4">
        <w:rPr>
          <w:rFonts w:ascii="Times New Roman" w:hAnsi="Times New Roman" w:cs="Times New Roman"/>
          <w:sz w:val="24"/>
          <w:szCs w:val="24"/>
        </w:rPr>
        <w:t xml:space="preserve">tiešās darbības interferonu </w:t>
      </w:r>
      <w:r w:rsidR="006A0F64" w:rsidRPr="00D5520B">
        <w:rPr>
          <w:rFonts w:ascii="Times New Roman" w:hAnsi="Times New Roman" w:cs="Times New Roman"/>
          <w:sz w:val="24"/>
          <w:szCs w:val="24"/>
        </w:rPr>
        <w:t>nesaturošo</w:t>
      </w:r>
      <w:r w:rsidR="007C2B0B" w:rsidRPr="00D367E4">
        <w:rPr>
          <w:rFonts w:ascii="Times New Roman" w:hAnsi="Times New Roman" w:cs="Times New Roman"/>
          <w:sz w:val="24"/>
          <w:szCs w:val="24"/>
        </w:rPr>
        <w:t xml:space="preserve"> preparātu pieejamību pacientiem lielākā apjomā. </w:t>
      </w:r>
      <w:r w:rsidR="00FE5F7F" w:rsidRPr="00D367E4">
        <w:rPr>
          <w:rFonts w:ascii="Times New Roman" w:hAnsi="Times New Roman" w:cs="Times New Roman"/>
          <w:sz w:val="24"/>
          <w:szCs w:val="24"/>
        </w:rPr>
        <w:t xml:space="preserve">Nodrošinot papildus terapiju 203 pacientiem, papildus tiks ārstēti 30% no </w:t>
      </w:r>
      <w:r w:rsidR="006E5564" w:rsidRPr="00D367E4">
        <w:rPr>
          <w:rFonts w:ascii="Times New Roman" w:hAnsi="Times New Roman" w:cs="Times New Roman"/>
          <w:sz w:val="24"/>
          <w:szCs w:val="24"/>
        </w:rPr>
        <w:t>VHC</w:t>
      </w:r>
      <w:r w:rsidR="00FE5F7F" w:rsidRPr="00D367E4">
        <w:rPr>
          <w:rFonts w:ascii="Times New Roman" w:hAnsi="Times New Roman" w:cs="Times New Roman"/>
          <w:sz w:val="24"/>
          <w:szCs w:val="24"/>
        </w:rPr>
        <w:t xml:space="preserve"> F3-F4 stadijā</w:t>
      </w:r>
      <w:r w:rsidR="009B6C00">
        <w:rPr>
          <w:rFonts w:ascii="Times New Roman" w:hAnsi="Times New Roman" w:cs="Times New Roman"/>
          <w:sz w:val="24"/>
          <w:szCs w:val="24"/>
        </w:rPr>
        <w:t xml:space="preserve"> fiksētajiem</w:t>
      </w:r>
      <w:r w:rsidR="00FE5F7F" w:rsidRPr="00D367E4">
        <w:rPr>
          <w:rFonts w:ascii="Times New Roman" w:hAnsi="Times New Roman" w:cs="Times New Roman"/>
          <w:sz w:val="24"/>
          <w:szCs w:val="24"/>
        </w:rPr>
        <w:t xml:space="preserve"> 2015.un 2016.gada pacientiem, kopā ar esošo finansējumu, nodrošinot 57% pacientu ārstēšanu.</w:t>
      </w:r>
      <w:r w:rsidR="00957715" w:rsidRPr="00D367E4">
        <w:rPr>
          <w:rFonts w:ascii="Times New Roman" w:hAnsi="Times New Roman" w:cs="Times New Roman"/>
          <w:sz w:val="24"/>
          <w:szCs w:val="24"/>
        </w:rPr>
        <w:t xml:space="preserve"> Atbilstoši Rīgas Austrumu klīniskās universitātes slimnīcas speciālistu sniegtajai informācijai, tādējādi mirstība no </w:t>
      </w:r>
      <w:r w:rsidR="006E5564" w:rsidRPr="00D367E4">
        <w:rPr>
          <w:rFonts w:ascii="Times New Roman" w:hAnsi="Times New Roman" w:cs="Times New Roman"/>
          <w:sz w:val="24"/>
          <w:szCs w:val="24"/>
        </w:rPr>
        <w:t>VHC</w:t>
      </w:r>
      <w:r w:rsidR="00957715" w:rsidRPr="00D367E4">
        <w:rPr>
          <w:rFonts w:ascii="Times New Roman" w:hAnsi="Times New Roman" w:cs="Times New Roman"/>
          <w:sz w:val="24"/>
          <w:szCs w:val="24"/>
        </w:rPr>
        <w:t xml:space="preserve"> tiks samazināta par 8%</w:t>
      </w:r>
      <w:r w:rsidR="005E28A3" w:rsidRPr="00D367E4">
        <w:rPr>
          <w:rFonts w:ascii="Times New Roman" w:hAnsi="Times New Roman" w:cs="Times New Roman"/>
          <w:sz w:val="24"/>
          <w:szCs w:val="24"/>
        </w:rPr>
        <w:t xml:space="preserve"> jeb 11 pacientiem</w:t>
      </w:r>
      <w:r w:rsidR="00957715" w:rsidRPr="00D367E4">
        <w:rPr>
          <w:rFonts w:ascii="Times New Roman" w:hAnsi="Times New Roman" w:cs="Times New Roman"/>
          <w:sz w:val="24"/>
          <w:szCs w:val="24"/>
        </w:rPr>
        <w:t>, savukārt kopējais inficēto skaits samazinātos par 4%</w:t>
      </w:r>
      <w:r w:rsidR="00114788" w:rsidRPr="00D367E4">
        <w:rPr>
          <w:rFonts w:ascii="Times New Roman" w:hAnsi="Times New Roman" w:cs="Times New Roman"/>
          <w:sz w:val="24"/>
          <w:szCs w:val="24"/>
        </w:rPr>
        <w:t xml:space="preserve"> jeb </w:t>
      </w:r>
      <w:r w:rsidR="00F22611" w:rsidRPr="00D367E4">
        <w:rPr>
          <w:rFonts w:ascii="Times New Roman" w:hAnsi="Times New Roman" w:cs="Times New Roman"/>
          <w:sz w:val="24"/>
          <w:szCs w:val="24"/>
        </w:rPr>
        <w:t>1 600</w:t>
      </w:r>
      <w:r w:rsidR="00114788" w:rsidRPr="00D367E4">
        <w:rPr>
          <w:rFonts w:ascii="Times New Roman" w:hAnsi="Times New Roman" w:cs="Times New Roman"/>
          <w:sz w:val="24"/>
          <w:szCs w:val="24"/>
        </w:rPr>
        <w:t xml:space="preserve"> inficētajiem</w:t>
      </w:r>
      <w:r w:rsidR="005E28A3" w:rsidRPr="00D367E4">
        <w:rPr>
          <w:rFonts w:ascii="Times New Roman" w:hAnsi="Times New Roman" w:cs="Times New Roman"/>
          <w:sz w:val="24"/>
          <w:szCs w:val="24"/>
        </w:rPr>
        <w:t>, mirstību samazinot vēl par 117 pacientiem</w:t>
      </w:r>
      <w:r w:rsidR="00114788" w:rsidRPr="00D367E4">
        <w:rPr>
          <w:rFonts w:ascii="Times New Roman" w:hAnsi="Times New Roman" w:cs="Times New Roman"/>
          <w:sz w:val="24"/>
          <w:szCs w:val="24"/>
        </w:rPr>
        <w:t>.</w:t>
      </w:r>
      <w:r w:rsidR="005429E2" w:rsidRPr="00D367E4">
        <w:rPr>
          <w:rFonts w:ascii="Times New Roman" w:hAnsi="Times New Roman" w:cs="Times New Roman"/>
          <w:sz w:val="24"/>
          <w:szCs w:val="24"/>
        </w:rPr>
        <w:t xml:space="preserve"> </w:t>
      </w:r>
      <w:r w:rsidR="00EE379D" w:rsidRPr="00D367E4">
        <w:rPr>
          <w:rFonts w:ascii="Times New Roman" w:hAnsi="Times New Roman" w:cs="Times New Roman"/>
          <w:sz w:val="24"/>
          <w:szCs w:val="24"/>
        </w:rPr>
        <w:t>A</w:t>
      </w:r>
      <w:r w:rsidR="005429E2" w:rsidRPr="00D367E4">
        <w:rPr>
          <w:rFonts w:ascii="Times New Roman" w:hAnsi="Times New Roman" w:cs="Times New Roman"/>
          <w:sz w:val="24"/>
          <w:szCs w:val="24"/>
        </w:rPr>
        <w:t xml:space="preserve">tbilstoši </w:t>
      </w:r>
      <w:r w:rsidR="004A0888" w:rsidRPr="00D367E4">
        <w:rPr>
          <w:rFonts w:ascii="Times New Roman" w:hAnsi="Times New Roman" w:cs="Times New Roman"/>
          <w:sz w:val="24"/>
          <w:szCs w:val="24"/>
        </w:rPr>
        <w:t>5</w:t>
      </w:r>
      <w:r w:rsidR="005429E2" w:rsidRPr="00D367E4">
        <w:rPr>
          <w:rFonts w:ascii="Times New Roman" w:hAnsi="Times New Roman" w:cs="Times New Roman"/>
          <w:sz w:val="24"/>
          <w:szCs w:val="24"/>
        </w:rPr>
        <w:t xml:space="preserve">.tabulā norādītajam, 50% no </w:t>
      </w:r>
      <w:r w:rsidR="006E5564" w:rsidRPr="00D367E4">
        <w:rPr>
          <w:rFonts w:ascii="Times New Roman" w:hAnsi="Times New Roman" w:cs="Times New Roman"/>
          <w:sz w:val="24"/>
          <w:szCs w:val="24"/>
        </w:rPr>
        <w:t>VHC</w:t>
      </w:r>
      <w:r w:rsidR="005429E2" w:rsidRPr="00D367E4">
        <w:rPr>
          <w:rFonts w:ascii="Times New Roman" w:hAnsi="Times New Roman" w:cs="Times New Roman"/>
          <w:sz w:val="24"/>
          <w:szCs w:val="24"/>
        </w:rPr>
        <w:t xml:space="preserve"> </w:t>
      </w:r>
      <w:r w:rsidR="005429E2" w:rsidRPr="009B6C00">
        <w:rPr>
          <w:rFonts w:ascii="Times New Roman" w:hAnsi="Times New Roman" w:cs="Times New Roman"/>
          <w:sz w:val="24"/>
          <w:szCs w:val="24"/>
        </w:rPr>
        <w:t>pacientiem ir F3-F4 stadijā</w:t>
      </w:r>
      <w:r w:rsidR="00EE379D" w:rsidRPr="009B6C00">
        <w:rPr>
          <w:rFonts w:ascii="Times New Roman" w:hAnsi="Times New Roman" w:cs="Times New Roman"/>
          <w:sz w:val="24"/>
          <w:szCs w:val="24"/>
        </w:rPr>
        <w:t>, kas potenciāli ir darbnespējīgi iedzīvotāji. Tādējādi, veicot ārstēšanu F3-F4 stadijas pacientiem, tie tiek atgriezti darba tirgū, sniedzot ieguldījumu</w:t>
      </w:r>
      <w:r w:rsidR="006E5564" w:rsidRPr="009B6C00">
        <w:rPr>
          <w:rFonts w:ascii="Times New Roman" w:hAnsi="Times New Roman" w:cs="Times New Roman"/>
          <w:sz w:val="24"/>
          <w:szCs w:val="24"/>
        </w:rPr>
        <w:t xml:space="preserve"> </w:t>
      </w:r>
      <w:r w:rsidR="006E5564" w:rsidRPr="008603A3">
        <w:rPr>
          <w:rFonts w:ascii="Times New Roman" w:hAnsi="Times New Roman" w:cs="Times New Roman"/>
          <w:sz w:val="24"/>
          <w:szCs w:val="24"/>
        </w:rPr>
        <w:t>kopējā valsts tautsaimniecībā</w:t>
      </w:r>
      <w:r w:rsidR="00EE379D" w:rsidRPr="008603A3">
        <w:rPr>
          <w:rFonts w:ascii="Times New Roman" w:hAnsi="Times New Roman" w:cs="Times New Roman"/>
          <w:sz w:val="24"/>
          <w:szCs w:val="24"/>
        </w:rPr>
        <w:t xml:space="preserve"> </w:t>
      </w:r>
      <w:r w:rsidR="00EE379D" w:rsidRPr="008603A3">
        <w:rPr>
          <w:rFonts w:ascii="Times New Roman" w:hAnsi="Times New Roman"/>
          <w:sz w:val="24"/>
        </w:rPr>
        <w:t xml:space="preserve">vismaz </w:t>
      </w:r>
      <w:r w:rsidR="005E28A3" w:rsidRPr="008603A3">
        <w:rPr>
          <w:rFonts w:ascii="Times New Roman" w:hAnsi="Times New Roman"/>
          <w:sz w:val="24"/>
        </w:rPr>
        <w:t>64</w:t>
      </w:r>
      <w:r w:rsidR="00C910D0" w:rsidRPr="008603A3">
        <w:rPr>
          <w:rFonts w:ascii="Times New Roman" w:hAnsi="Times New Roman"/>
          <w:sz w:val="24"/>
        </w:rPr>
        <w:t xml:space="preserve"> </w:t>
      </w:r>
      <w:r w:rsidR="00EE379D" w:rsidRPr="008603A3">
        <w:rPr>
          <w:rFonts w:ascii="Times New Roman" w:hAnsi="Times New Roman"/>
          <w:sz w:val="24"/>
        </w:rPr>
        <w:t xml:space="preserve">miljonu apmērā, ņemot vērā, ka viena iedzīvotāja dzīvības cena </w:t>
      </w:r>
      <w:r w:rsidR="004E5D17" w:rsidRPr="008603A3">
        <w:rPr>
          <w:rFonts w:ascii="Times New Roman" w:hAnsi="Times New Roman"/>
          <w:sz w:val="24"/>
        </w:rPr>
        <w:t xml:space="preserve">ir </w:t>
      </w:r>
      <w:r w:rsidR="00EE379D" w:rsidRPr="008603A3">
        <w:rPr>
          <w:rFonts w:ascii="Times New Roman" w:hAnsi="Times New Roman"/>
          <w:sz w:val="24"/>
        </w:rPr>
        <w:t xml:space="preserve">500 000 </w:t>
      </w:r>
      <w:r w:rsidR="00EE379D" w:rsidRPr="008603A3">
        <w:rPr>
          <w:rFonts w:ascii="Times New Roman" w:hAnsi="Times New Roman"/>
          <w:i/>
          <w:sz w:val="24"/>
        </w:rPr>
        <w:t>euro</w:t>
      </w:r>
      <w:r w:rsidR="00EE379D" w:rsidRPr="008603A3">
        <w:rPr>
          <w:rStyle w:val="FootnoteReference"/>
          <w:rFonts w:ascii="Times New Roman" w:hAnsi="Times New Roman"/>
          <w:i/>
          <w:sz w:val="24"/>
        </w:rPr>
        <w:footnoteReference w:id="30"/>
      </w:r>
      <w:r w:rsidR="006C68C7" w:rsidRPr="008603A3">
        <w:rPr>
          <w:rFonts w:ascii="Times New Roman" w:hAnsi="Times New Roman" w:cs="Times New Roman"/>
          <w:sz w:val="24"/>
          <w:szCs w:val="24"/>
        </w:rPr>
        <w:t xml:space="preserve">, kā arī </w:t>
      </w:r>
      <w:r w:rsidR="003D6DE9" w:rsidRPr="008603A3">
        <w:rPr>
          <w:rFonts w:ascii="Times New Roman" w:hAnsi="Times New Roman"/>
          <w:sz w:val="24"/>
        </w:rPr>
        <w:t>vismaz 17,7 miljonu apmērā, ņemot vērā, ka PZMG tiek samazināti par 1 433 gadiem atbilstoši mirušo prognozējamai vecuma struktūrai.</w:t>
      </w:r>
      <w:r w:rsidR="003F791A" w:rsidRPr="008603A3">
        <w:rPr>
          <w:rFonts w:ascii="Times New Roman" w:hAnsi="Times New Roman"/>
          <w:sz w:val="24"/>
        </w:rPr>
        <w:t xml:space="preserve"> Reforma VHC pacientu ārstēšanai tiks turpināta arī 2018. un 2019.gadā</w:t>
      </w:r>
      <w:r w:rsidR="00194FBC" w:rsidRPr="008603A3">
        <w:rPr>
          <w:rFonts w:ascii="Times New Roman" w:hAnsi="Times New Roman"/>
          <w:sz w:val="24"/>
        </w:rPr>
        <w:t>, pēc reģistrēto F3-F4 stadijas pacientu izārstēšanas, papildus ārstējot F2 stadijas pacientus.</w:t>
      </w:r>
    </w:p>
    <w:p w14:paraId="7DFA7B4B" w14:textId="77777777" w:rsidR="009B6C00" w:rsidRPr="00D367E4" w:rsidRDefault="009B6C00" w:rsidP="006213DE">
      <w:pPr>
        <w:pStyle w:val="FootnoteText"/>
        <w:ind w:firstLine="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56798" w:rsidRPr="009B6C00" w14:paraId="1427668D" w14:textId="77777777" w:rsidTr="00956798">
        <w:tc>
          <w:tcPr>
            <w:tcW w:w="9350" w:type="dxa"/>
          </w:tcPr>
          <w:p w14:paraId="153CF7BF" w14:textId="2963DF88" w:rsidR="00D367E4" w:rsidRPr="009B6C00" w:rsidRDefault="00D367E4" w:rsidP="009B6C00">
            <w:pPr>
              <w:spacing w:after="120" w:line="276" w:lineRule="auto"/>
              <w:ind w:firstLine="709"/>
              <w:jc w:val="both"/>
              <w:rPr>
                <w:rFonts w:ascii="Times New Roman" w:hAnsi="Times New Roman"/>
                <w:b/>
                <w:sz w:val="24"/>
                <w:szCs w:val="24"/>
              </w:rPr>
            </w:pPr>
            <w:r w:rsidRPr="009B6C00">
              <w:rPr>
                <w:rFonts w:ascii="Times New Roman" w:hAnsi="Times New Roman"/>
                <w:b/>
                <w:sz w:val="24"/>
                <w:szCs w:val="24"/>
              </w:rPr>
              <w:t xml:space="preserve">Reformas mērķis ir ieguldot papildus valsts līdzekļus turpināt iesākto </w:t>
            </w:r>
            <w:r w:rsidR="009B6C00" w:rsidRPr="009B6C00">
              <w:rPr>
                <w:rFonts w:ascii="Times New Roman" w:hAnsi="Times New Roman"/>
                <w:b/>
                <w:sz w:val="24"/>
                <w:szCs w:val="24"/>
              </w:rPr>
              <w:t>reformu</w:t>
            </w:r>
            <w:r w:rsidRPr="009B6C00">
              <w:rPr>
                <w:rFonts w:ascii="Times New Roman" w:hAnsi="Times New Roman"/>
                <w:b/>
                <w:sz w:val="24"/>
                <w:szCs w:val="24"/>
              </w:rPr>
              <w:t xml:space="preserve"> </w:t>
            </w:r>
            <w:r w:rsidR="009B6C00" w:rsidRPr="009B6C00">
              <w:rPr>
                <w:rFonts w:ascii="Times New Roman" w:hAnsi="Times New Roman"/>
                <w:b/>
                <w:sz w:val="24"/>
                <w:szCs w:val="24"/>
              </w:rPr>
              <w:t xml:space="preserve">medikamentu pieejamības nodrošināšanā un vienlaikus arī </w:t>
            </w:r>
            <w:r w:rsidRPr="009B6C00">
              <w:rPr>
                <w:rFonts w:ascii="Times New Roman" w:hAnsi="Times New Roman"/>
                <w:b/>
                <w:sz w:val="24"/>
                <w:szCs w:val="24"/>
              </w:rPr>
              <w:t>epidemioloģiskās situācijas uzlabošanā valstī, strukturāli mainot pieeju VHC pacientu aprūpei un ārstēšanas organiz</w:t>
            </w:r>
            <w:r w:rsidR="009B6C00" w:rsidRPr="009B6C00">
              <w:rPr>
                <w:rFonts w:ascii="Times New Roman" w:hAnsi="Times New Roman"/>
                <w:b/>
                <w:sz w:val="24"/>
                <w:szCs w:val="24"/>
              </w:rPr>
              <w:t xml:space="preserve">ācijai un rezultātā </w:t>
            </w:r>
            <w:r w:rsidRPr="009B6C00">
              <w:rPr>
                <w:rFonts w:ascii="Times New Roman" w:hAnsi="Times New Roman"/>
                <w:b/>
                <w:sz w:val="24"/>
                <w:szCs w:val="24"/>
              </w:rPr>
              <w:t xml:space="preserve">uzlabojot pamatā darbspējīgā vecuma iedzīvotāju dzīves kvalitāti un  darbspēju, saņemot ieguvumus tautsaimniecībā </w:t>
            </w:r>
            <w:r w:rsidR="004E5D17" w:rsidRPr="009B6C00">
              <w:rPr>
                <w:rFonts w:ascii="Times New Roman" w:hAnsi="Times New Roman"/>
                <w:b/>
                <w:sz w:val="24"/>
                <w:szCs w:val="24"/>
              </w:rPr>
              <w:t>vismaz 64 miljonu apmērā</w:t>
            </w:r>
            <w:r w:rsidR="006C68C7">
              <w:rPr>
                <w:rFonts w:ascii="Times New Roman" w:hAnsi="Times New Roman"/>
                <w:b/>
                <w:sz w:val="24"/>
                <w:szCs w:val="24"/>
              </w:rPr>
              <w:t>, mazinoties mirstībai</w:t>
            </w:r>
            <w:r w:rsidR="004E5D17" w:rsidRPr="009B6C00">
              <w:rPr>
                <w:rFonts w:ascii="Times New Roman" w:hAnsi="Times New Roman"/>
                <w:b/>
                <w:sz w:val="24"/>
                <w:szCs w:val="24"/>
              </w:rPr>
              <w:t xml:space="preserve"> un vismaz 17,7 miljonu apmērā, ņemot vērā, ka PZMG tiek samazināti par 1 433 gadiem atbilstoši mirušo </w:t>
            </w:r>
            <w:r w:rsidR="009B6C00" w:rsidRPr="009B6C00">
              <w:rPr>
                <w:rFonts w:ascii="Times New Roman" w:hAnsi="Times New Roman"/>
                <w:b/>
                <w:sz w:val="24"/>
                <w:szCs w:val="24"/>
              </w:rPr>
              <w:t>prognozējamai vecuma struktūrai.</w:t>
            </w:r>
          </w:p>
          <w:p w14:paraId="5EF90984" w14:textId="77777777" w:rsidR="00D367E4" w:rsidRPr="009B6C00" w:rsidRDefault="00D367E4" w:rsidP="009B6C00">
            <w:pPr>
              <w:spacing w:after="120" w:line="276" w:lineRule="auto"/>
              <w:jc w:val="both"/>
              <w:rPr>
                <w:rFonts w:ascii="Times New Roman" w:hAnsi="Times New Roman"/>
                <w:b/>
                <w:sz w:val="24"/>
                <w:szCs w:val="24"/>
              </w:rPr>
            </w:pPr>
            <w:r w:rsidRPr="009B6C00">
              <w:rPr>
                <w:rFonts w:ascii="Times New Roman" w:hAnsi="Times New Roman"/>
                <w:b/>
                <w:sz w:val="24"/>
                <w:szCs w:val="24"/>
              </w:rPr>
              <w:t>Indikatīvie rādītāji:</w:t>
            </w:r>
          </w:p>
          <w:p w14:paraId="25775D47" w14:textId="2E88BF6D" w:rsidR="00956798" w:rsidRDefault="009B6C00" w:rsidP="00793C28">
            <w:pPr>
              <w:pStyle w:val="ListParagraph"/>
              <w:numPr>
                <w:ilvl w:val="0"/>
                <w:numId w:val="56"/>
              </w:numPr>
              <w:spacing w:after="120" w:line="276" w:lineRule="auto"/>
              <w:jc w:val="both"/>
              <w:rPr>
                <w:rFonts w:ascii="Times New Roman" w:hAnsi="Times New Roman"/>
                <w:b/>
                <w:sz w:val="24"/>
                <w:szCs w:val="24"/>
              </w:rPr>
            </w:pPr>
            <w:r w:rsidRPr="00793C28">
              <w:rPr>
                <w:rFonts w:ascii="Times New Roman" w:hAnsi="Times New Roman"/>
                <w:b/>
                <w:sz w:val="24"/>
                <w:szCs w:val="24"/>
              </w:rPr>
              <w:t xml:space="preserve">Papildus </w:t>
            </w:r>
            <w:r w:rsidR="00793C28" w:rsidRPr="00793C28">
              <w:rPr>
                <w:rFonts w:ascii="Times New Roman" w:hAnsi="Times New Roman"/>
                <w:b/>
                <w:sz w:val="24"/>
                <w:szCs w:val="24"/>
              </w:rPr>
              <w:t xml:space="preserve">tiek ārstēti 203 pacienti jeb </w:t>
            </w:r>
            <w:r w:rsidRPr="00793C28">
              <w:rPr>
                <w:rFonts w:ascii="Times New Roman" w:hAnsi="Times New Roman"/>
                <w:b/>
                <w:sz w:val="24"/>
                <w:szCs w:val="24"/>
              </w:rPr>
              <w:t xml:space="preserve">30% no VHC F3-F4 </w:t>
            </w:r>
            <w:r w:rsidR="00793C28" w:rsidRPr="00793C28">
              <w:rPr>
                <w:rFonts w:ascii="Times New Roman" w:hAnsi="Times New Roman"/>
                <w:b/>
                <w:sz w:val="24"/>
                <w:szCs w:val="24"/>
              </w:rPr>
              <w:t xml:space="preserve">aknu bojājuma </w:t>
            </w:r>
            <w:r w:rsidRPr="00793C28">
              <w:rPr>
                <w:rFonts w:ascii="Times New Roman" w:hAnsi="Times New Roman"/>
                <w:b/>
                <w:sz w:val="24"/>
                <w:szCs w:val="24"/>
              </w:rPr>
              <w:t>stadijā</w:t>
            </w:r>
            <w:r w:rsidR="001E6002">
              <w:rPr>
                <w:rFonts w:ascii="Times New Roman" w:hAnsi="Times New Roman"/>
                <w:b/>
                <w:sz w:val="24"/>
                <w:szCs w:val="24"/>
              </w:rPr>
              <w:t xml:space="preserve"> esošajiem </w:t>
            </w:r>
            <w:r w:rsidR="00793C28" w:rsidRPr="00793C28">
              <w:rPr>
                <w:rFonts w:ascii="Times New Roman" w:hAnsi="Times New Roman"/>
                <w:b/>
                <w:sz w:val="24"/>
                <w:szCs w:val="24"/>
              </w:rPr>
              <w:t xml:space="preserve">pacientiem </w:t>
            </w:r>
          </w:p>
          <w:p w14:paraId="046431AC" w14:textId="77777777" w:rsidR="00793C28" w:rsidRDefault="00793C28" w:rsidP="00793C28">
            <w:pPr>
              <w:pStyle w:val="ListParagraph"/>
              <w:numPr>
                <w:ilvl w:val="0"/>
                <w:numId w:val="56"/>
              </w:numPr>
              <w:spacing w:after="120" w:line="276" w:lineRule="auto"/>
              <w:jc w:val="both"/>
              <w:rPr>
                <w:rFonts w:ascii="Times New Roman" w:hAnsi="Times New Roman"/>
                <w:b/>
                <w:sz w:val="24"/>
                <w:szCs w:val="24"/>
              </w:rPr>
            </w:pPr>
            <w:r w:rsidRPr="00793C28">
              <w:rPr>
                <w:rFonts w:ascii="Times New Roman" w:hAnsi="Times New Roman"/>
                <w:b/>
                <w:sz w:val="24"/>
                <w:szCs w:val="24"/>
              </w:rPr>
              <w:t>Mirstība no VHC tiks samazināta par 8%</w:t>
            </w:r>
          </w:p>
          <w:p w14:paraId="13BB5137" w14:textId="00BA1D6B" w:rsidR="00793C28" w:rsidRPr="00793C28" w:rsidRDefault="00793C28" w:rsidP="006213DE">
            <w:pPr>
              <w:pStyle w:val="ListParagraph"/>
              <w:numPr>
                <w:ilvl w:val="0"/>
                <w:numId w:val="56"/>
              </w:numPr>
              <w:spacing w:after="120" w:line="276" w:lineRule="auto"/>
              <w:jc w:val="both"/>
              <w:rPr>
                <w:rFonts w:ascii="Times New Roman" w:hAnsi="Times New Roman"/>
                <w:b/>
                <w:sz w:val="24"/>
                <w:szCs w:val="24"/>
              </w:rPr>
            </w:pPr>
            <w:r w:rsidRPr="00793C28">
              <w:rPr>
                <w:rFonts w:ascii="Times New Roman" w:hAnsi="Times New Roman"/>
                <w:b/>
                <w:sz w:val="24"/>
                <w:szCs w:val="24"/>
              </w:rPr>
              <w:t>Kopējais inficēto skaits samazinātos par 4% jeb 1 600 inficētajiem</w:t>
            </w:r>
          </w:p>
        </w:tc>
      </w:tr>
    </w:tbl>
    <w:p w14:paraId="10448A55" w14:textId="77777777" w:rsidR="00464BD8" w:rsidRDefault="00464BD8" w:rsidP="007C2B0B">
      <w:pPr>
        <w:ind w:firstLine="709"/>
        <w:jc w:val="both"/>
        <w:rPr>
          <w:rFonts w:ascii="Times New Roman" w:hAnsi="Times New Roman" w:cs="Times New Roman"/>
          <w:bCs/>
          <w:color w:val="000000"/>
          <w:sz w:val="24"/>
          <w:szCs w:val="24"/>
          <w:shd w:val="clear" w:color="auto" w:fill="FFFFFF"/>
        </w:rPr>
      </w:pPr>
    </w:p>
    <w:p w14:paraId="5A24C7D3" w14:textId="776C494A" w:rsidR="00A937D8" w:rsidRPr="00E0415F" w:rsidRDefault="008B2F87" w:rsidP="007C2B0B">
      <w:pPr>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Ņemot vērā esošās tendences kompensējamo zāļu sistēmā, </w:t>
      </w:r>
      <w:r w:rsidR="00A937D8">
        <w:rPr>
          <w:rFonts w:ascii="Times New Roman" w:hAnsi="Times New Roman" w:cs="Times New Roman"/>
          <w:bCs/>
          <w:color w:val="000000"/>
          <w:sz w:val="24"/>
          <w:szCs w:val="24"/>
          <w:shd w:val="clear" w:color="auto" w:fill="FFFFFF"/>
        </w:rPr>
        <w:t xml:space="preserve">bez papildus finansējuma piešķiršanas </w:t>
      </w:r>
      <w:r w:rsidRPr="008B2F87">
        <w:rPr>
          <w:rFonts w:ascii="Times New Roman" w:hAnsi="Times New Roman" w:cs="Times New Roman"/>
          <w:bCs/>
          <w:color w:val="000000"/>
          <w:sz w:val="24"/>
          <w:szCs w:val="24"/>
          <w:shd w:val="clear" w:color="auto" w:fill="FFFFFF"/>
        </w:rPr>
        <w:t xml:space="preserve">2017.gadā </w:t>
      </w:r>
      <w:r w:rsidR="00A937D8">
        <w:rPr>
          <w:rFonts w:ascii="Times New Roman" w:hAnsi="Times New Roman" w:cs="Times New Roman"/>
          <w:bCs/>
          <w:color w:val="000000"/>
          <w:sz w:val="24"/>
          <w:szCs w:val="24"/>
          <w:shd w:val="clear" w:color="auto" w:fill="FFFFFF"/>
        </w:rPr>
        <w:t>būs nepieciešam</w:t>
      </w:r>
      <w:r>
        <w:rPr>
          <w:rFonts w:ascii="Times New Roman" w:hAnsi="Times New Roman" w:cs="Times New Roman"/>
          <w:bCs/>
          <w:color w:val="000000"/>
          <w:sz w:val="24"/>
          <w:szCs w:val="24"/>
          <w:shd w:val="clear" w:color="auto" w:fill="FFFFFF"/>
        </w:rPr>
        <w:t>a</w:t>
      </w:r>
      <w:r w:rsidR="00A937D8">
        <w:rPr>
          <w:rFonts w:ascii="Times New Roman" w:hAnsi="Times New Roman" w:cs="Times New Roman"/>
          <w:bCs/>
          <w:color w:val="000000"/>
          <w:sz w:val="24"/>
          <w:szCs w:val="24"/>
          <w:shd w:val="clear" w:color="auto" w:fill="FFFFFF"/>
        </w:rPr>
        <w:t xml:space="preserve"> </w:t>
      </w:r>
      <w:r w:rsidRPr="008B2F87">
        <w:rPr>
          <w:rFonts w:ascii="Times New Roman" w:hAnsi="Times New Roman" w:cs="Times New Roman"/>
          <w:bCs/>
          <w:color w:val="000000"/>
          <w:sz w:val="24"/>
          <w:szCs w:val="24"/>
          <w:shd w:val="clear" w:color="auto" w:fill="FFFFFF"/>
        </w:rPr>
        <w:t>kompensējamo medik</w:t>
      </w:r>
      <w:r>
        <w:rPr>
          <w:rFonts w:ascii="Times New Roman" w:hAnsi="Times New Roman" w:cs="Times New Roman"/>
          <w:bCs/>
          <w:color w:val="000000"/>
          <w:sz w:val="24"/>
          <w:szCs w:val="24"/>
          <w:shd w:val="clear" w:color="auto" w:fill="FFFFFF"/>
        </w:rPr>
        <w:t xml:space="preserve">amentu sistēmas pārskatīšana, </w:t>
      </w:r>
      <w:r w:rsidR="00A937D8">
        <w:rPr>
          <w:rFonts w:ascii="Times New Roman" w:hAnsi="Times New Roman" w:cs="Times New Roman"/>
          <w:bCs/>
          <w:color w:val="000000"/>
          <w:sz w:val="24"/>
          <w:szCs w:val="24"/>
          <w:shd w:val="clear" w:color="auto" w:fill="FFFFFF"/>
        </w:rPr>
        <w:t>samazin</w:t>
      </w:r>
      <w:r>
        <w:rPr>
          <w:rFonts w:ascii="Times New Roman" w:hAnsi="Times New Roman" w:cs="Times New Roman"/>
          <w:bCs/>
          <w:color w:val="000000"/>
          <w:sz w:val="24"/>
          <w:szCs w:val="24"/>
          <w:shd w:val="clear" w:color="auto" w:fill="FFFFFF"/>
        </w:rPr>
        <w:t>o</w:t>
      </w:r>
      <w:r w:rsidR="00A937D8">
        <w:rPr>
          <w:rFonts w:ascii="Times New Roman" w:hAnsi="Times New Roman" w:cs="Times New Roman"/>
          <w:bCs/>
          <w:color w:val="000000"/>
          <w:sz w:val="24"/>
          <w:szCs w:val="24"/>
          <w:shd w:val="clear" w:color="auto" w:fill="FFFFFF"/>
        </w:rPr>
        <w:t>t valsts apmaksāto medikamentu grozu.</w:t>
      </w:r>
    </w:p>
    <w:p w14:paraId="58A00F5D" w14:textId="77777777" w:rsidR="00464BD8" w:rsidRPr="003B6DC4" w:rsidRDefault="00464BD8" w:rsidP="00464BD8">
      <w:pPr>
        <w:pStyle w:val="Heading1"/>
        <w:spacing w:after="200"/>
        <w:ind w:left="35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3. </w:t>
      </w:r>
      <w:r w:rsidRPr="003B6DC4">
        <w:rPr>
          <w:rFonts w:ascii="Times New Roman" w:hAnsi="Times New Roman" w:cs="Times New Roman"/>
          <w:b/>
          <w:color w:val="auto"/>
          <w:sz w:val="28"/>
          <w:szCs w:val="28"/>
        </w:rPr>
        <w:t>Turpmākā rīcība reformu īstenošanā</w:t>
      </w:r>
    </w:p>
    <w:p w14:paraId="0F7A5B20" w14:textId="77777777" w:rsidR="00464BD8" w:rsidRPr="006213DE" w:rsidRDefault="00464BD8" w:rsidP="00464BD8">
      <w:pPr>
        <w:ind w:firstLine="709"/>
        <w:jc w:val="both"/>
        <w:rPr>
          <w:rFonts w:ascii="Times New Roman" w:hAnsi="Times New Roman"/>
          <w:sz w:val="24"/>
        </w:rPr>
      </w:pPr>
      <w:r w:rsidRPr="006213DE">
        <w:rPr>
          <w:rFonts w:ascii="Times New Roman" w:hAnsi="Times New Roman"/>
          <w:sz w:val="24"/>
        </w:rPr>
        <w:t xml:space="preserve">Laika posmā no 2013.gada līdz 2015.gadam Veselības ministrijas budžeta izdevumi pieauga par 57 miljoniem </w:t>
      </w:r>
      <w:r w:rsidRPr="006213DE">
        <w:rPr>
          <w:rFonts w:ascii="Times New Roman" w:hAnsi="Times New Roman"/>
          <w:i/>
          <w:sz w:val="24"/>
        </w:rPr>
        <w:t>euro</w:t>
      </w:r>
      <w:r w:rsidRPr="006213DE">
        <w:rPr>
          <w:rFonts w:ascii="Times New Roman" w:hAnsi="Times New Roman"/>
          <w:sz w:val="24"/>
        </w:rPr>
        <w:t xml:space="preserve">. Tajā pašā laikā potenciāli zaudētie mūža gadi 2015.gadā samazinājās līdz 88 191 (5 541 uz tūkst. iedzīvotājiem), salīdzinot ar 96 670 (5 924 uz tūkst. </w:t>
      </w:r>
      <w:r w:rsidRPr="006213DE">
        <w:rPr>
          <w:rFonts w:ascii="Times New Roman" w:hAnsi="Times New Roman"/>
          <w:sz w:val="24"/>
        </w:rPr>
        <w:lastRenderedPageBreak/>
        <w:t xml:space="preserve">iedzīvotājiem) 2013.gadā. Līdz ar to 1 miljona ieguldījums veselības aprūpē ir devis 148 potenciāli zaudēto mūža gadu samazinājumu, kopumā tautsaimniecībai ietaupot 104 miljonus </w:t>
      </w:r>
      <w:r w:rsidRPr="006213DE">
        <w:rPr>
          <w:rFonts w:ascii="Times New Roman" w:hAnsi="Times New Roman"/>
          <w:i/>
          <w:sz w:val="24"/>
        </w:rPr>
        <w:t>euro</w:t>
      </w:r>
      <w:r w:rsidRPr="006213DE">
        <w:rPr>
          <w:rFonts w:ascii="Times New Roman" w:hAnsi="Times New Roman"/>
          <w:sz w:val="24"/>
        </w:rPr>
        <w:t>. Veicot turpmākus ieguldījumus veselības nozares reformu procesā, sagaidāms arī turpmāks ieguvums tautsaimniecības izaugsmē, kas tiks monitorēts.</w:t>
      </w:r>
    </w:p>
    <w:p w14:paraId="4D47C656" w14:textId="3A04F6FA" w:rsidR="007D6645" w:rsidRDefault="00464BD8" w:rsidP="00194926">
      <w:pPr>
        <w:shd w:val="clear" w:color="auto" w:fill="FFFFFF"/>
        <w:ind w:firstLine="709"/>
        <w:jc w:val="both"/>
        <w:rPr>
          <w:rFonts w:ascii="Times New Roman" w:hAnsi="Times New Roman"/>
          <w:i/>
          <w:sz w:val="24"/>
        </w:rPr>
      </w:pPr>
      <w:r w:rsidRPr="006213DE">
        <w:rPr>
          <w:rFonts w:ascii="Times New Roman" w:hAnsi="Times New Roman"/>
          <w:color w:val="212121"/>
          <w:sz w:val="24"/>
        </w:rPr>
        <w:t>Prognozējot potenciāli atgūtos (nezaudētos) mūža gadus gadījumā, ja ieguldījumi netiek veikti, domājams, ka pakāpeniski uzlabojoties iedzīvotāju veselībpratībai un ņemot vērā nelielos uzlabojumus iepriekšējos periodos, kā arī uzlabojoties ārstniecības procesa koordinācijai t.sk. e-veselības ieviešanas rezultātā, sagaidāma esošās situācijas neliela uzlabošanās, vienlaikus saglabājoties pieejamības problēmām it īpaši sociāli neaizsargātiem, kuri pie ārsta vērsīsies novēloti</w:t>
      </w:r>
      <w:r w:rsidR="00CA1B5E">
        <w:rPr>
          <w:rFonts w:ascii="Times New Roman" w:hAnsi="Times New Roman" w:cs="Times New Roman"/>
          <w:color w:val="212121"/>
          <w:sz w:val="24"/>
        </w:rPr>
        <w:t>.</w:t>
      </w:r>
      <w:r w:rsidRPr="00D5520B">
        <w:rPr>
          <w:rFonts w:ascii="Times New Roman" w:hAnsi="Times New Roman" w:cs="Times New Roman"/>
          <w:color w:val="212121"/>
          <w:sz w:val="24"/>
        </w:rPr>
        <w:t xml:space="preserve"> </w:t>
      </w:r>
      <w:r w:rsidR="00CA1B5E">
        <w:rPr>
          <w:rFonts w:ascii="Times New Roman" w:hAnsi="Times New Roman" w:cs="Times New Roman"/>
          <w:color w:val="212121"/>
          <w:sz w:val="24"/>
        </w:rPr>
        <w:t>G</w:t>
      </w:r>
      <w:r w:rsidRPr="00D5520B">
        <w:rPr>
          <w:rFonts w:ascii="Times New Roman" w:hAnsi="Times New Roman" w:cs="Times New Roman"/>
          <w:color w:val="212121"/>
          <w:sz w:val="24"/>
        </w:rPr>
        <w:t>ala</w:t>
      </w:r>
      <w:r w:rsidRPr="006213DE">
        <w:rPr>
          <w:rFonts w:ascii="Times New Roman" w:hAnsi="Times New Roman"/>
          <w:color w:val="212121"/>
          <w:sz w:val="24"/>
        </w:rPr>
        <w:t xml:space="preserve"> rezultātā</w:t>
      </w:r>
      <w:r w:rsidRPr="00D5520B">
        <w:rPr>
          <w:rFonts w:ascii="Times New Roman" w:hAnsi="Times New Roman" w:cs="Times New Roman"/>
          <w:color w:val="212121"/>
          <w:sz w:val="24"/>
        </w:rPr>
        <w:t xml:space="preserve"> </w:t>
      </w:r>
      <w:r w:rsidR="00CA1B5E">
        <w:rPr>
          <w:rFonts w:ascii="Times New Roman" w:hAnsi="Times New Roman" w:cs="Times New Roman"/>
          <w:color w:val="212121"/>
          <w:sz w:val="24"/>
        </w:rPr>
        <w:t>minētie faktori</w:t>
      </w:r>
      <w:r w:rsidRPr="006213DE">
        <w:rPr>
          <w:rFonts w:ascii="Times New Roman" w:hAnsi="Times New Roman"/>
          <w:color w:val="212121"/>
          <w:sz w:val="24"/>
        </w:rPr>
        <w:t xml:space="preserve"> datos atspoguļosies kā mirstības saglabāšanās vai pat neliela palielināšanās vecuma grupā līdz 65 gadiem un PZMG skaita minimāla lejupslīde vai pat </w:t>
      </w:r>
      <w:r w:rsidR="005423DB">
        <w:rPr>
          <w:rFonts w:ascii="Times New Roman" w:hAnsi="Times New Roman"/>
          <w:color w:val="212121"/>
          <w:sz w:val="24"/>
        </w:rPr>
        <w:t>stagnēšana (skat.</w:t>
      </w:r>
      <w:r w:rsidR="00CF5363">
        <w:rPr>
          <w:rFonts w:ascii="Times New Roman" w:hAnsi="Times New Roman"/>
          <w:color w:val="212121"/>
          <w:sz w:val="24"/>
        </w:rPr>
        <w:t>8</w:t>
      </w:r>
      <w:r w:rsidR="005423DB">
        <w:rPr>
          <w:rFonts w:ascii="Times New Roman" w:hAnsi="Times New Roman"/>
          <w:color w:val="212121"/>
          <w:sz w:val="24"/>
        </w:rPr>
        <w:t>.attēlu).</w:t>
      </w:r>
      <w:r w:rsidR="00194926">
        <w:rPr>
          <w:rFonts w:ascii="Times New Roman" w:hAnsi="Times New Roman"/>
          <w:i/>
          <w:sz w:val="24"/>
        </w:rPr>
        <w:t xml:space="preserve"> </w:t>
      </w:r>
    </w:p>
    <w:p w14:paraId="68E29FFF" w14:textId="3101E543" w:rsidR="00464BD8" w:rsidRPr="006213DE" w:rsidRDefault="00CF5363" w:rsidP="00464BD8">
      <w:pPr>
        <w:jc w:val="right"/>
        <w:rPr>
          <w:rFonts w:ascii="Times New Roman" w:hAnsi="Times New Roman"/>
          <w:i/>
          <w:sz w:val="24"/>
        </w:rPr>
      </w:pPr>
      <w:r>
        <w:rPr>
          <w:rFonts w:ascii="Times New Roman" w:hAnsi="Times New Roman"/>
          <w:i/>
          <w:sz w:val="24"/>
        </w:rPr>
        <w:t>8</w:t>
      </w:r>
      <w:r w:rsidR="00464BD8" w:rsidRPr="006213DE">
        <w:rPr>
          <w:rFonts w:ascii="Times New Roman" w:hAnsi="Times New Roman"/>
          <w:i/>
          <w:sz w:val="24"/>
        </w:rPr>
        <w:t>.attēls</w:t>
      </w:r>
    </w:p>
    <w:p w14:paraId="5920ED40" w14:textId="77777777" w:rsidR="00464BD8" w:rsidRPr="006213DE" w:rsidRDefault="00464BD8" w:rsidP="00464BD8">
      <w:pPr>
        <w:jc w:val="center"/>
        <w:rPr>
          <w:rFonts w:ascii="Times New Roman" w:hAnsi="Times New Roman"/>
          <w:b/>
          <w:sz w:val="24"/>
        </w:rPr>
      </w:pPr>
      <w:r w:rsidRPr="006213DE">
        <w:rPr>
          <w:rFonts w:ascii="Times New Roman" w:hAnsi="Times New Roman"/>
          <w:b/>
          <w:sz w:val="24"/>
        </w:rPr>
        <w:t>Potenciāli zaudēto mūža gadu prognoze, ja ieguldījumi netiek veikti</w:t>
      </w:r>
    </w:p>
    <w:p w14:paraId="53BC0A05" w14:textId="77777777" w:rsidR="00464BD8" w:rsidRPr="00D5520B" w:rsidRDefault="00464BD8" w:rsidP="00464BD8">
      <w:pPr>
        <w:jc w:val="center"/>
        <w:rPr>
          <w:rFonts w:ascii="Times New Roman" w:hAnsi="Times New Roman" w:cs="Times New Roman"/>
          <w:sz w:val="24"/>
        </w:rPr>
      </w:pPr>
      <w:r w:rsidRPr="00D5520B">
        <w:rPr>
          <w:rFonts w:ascii="Times New Roman" w:hAnsi="Times New Roman" w:cs="Times New Roman"/>
          <w:noProof/>
          <w:lang w:eastAsia="lv-LV"/>
        </w:rPr>
        <w:drawing>
          <wp:inline distT="0" distB="0" distL="0" distR="0" wp14:anchorId="6FD93B6E" wp14:editId="5655F5EC">
            <wp:extent cx="5991225" cy="2543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5FF40D" w14:textId="77777777" w:rsidR="00464BD8" w:rsidRPr="006213DE" w:rsidRDefault="00464BD8" w:rsidP="00464BD8">
      <w:pPr>
        <w:jc w:val="both"/>
        <w:rPr>
          <w:rFonts w:ascii="Times New Roman" w:hAnsi="Times New Roman"/>
          <w:i/>
          <w:sz w:val="20"/>
        </w:rPr>
      </w:pPr>
      <w:r w:rsidRPr="006213DE">
        <w:rPr>
          <w:rFonts w:ascii="Times New Roman" w:hAnsi="Times New Roman"/>
          <w:i/>
          <w:sz w:val="20"/>
        </w:rPr>
        <w:t>Avots: SPKC</w:t>
      </w:r>
    </w:p>
    <w:p w14:paraId="2D2272BC" w14:textId="53CB3923" w:rsidR="00464BD8" w:rsidRPr="006213DE" w:rsidRDefault="00464BD8" w:rsidP="00464BD8">
      <w:pPr>
        <w:shd w:val="clear" w:color="auto" w:fill="FFFFFF"/>
        <w:ind w:firstLine="720"/>
        <w:jc w:val="both"/>
        <w:rPr>
          <w:rFonts w:ascii="Times New Roman" w:hAnsi="Times New Roman"/>
          <w:color w:val="212121"/>
          <w:sz w:val="24"/>
        </w:rPr>
      </w:pPr>
      <w:r w:rsidRPr="00D5520B">
        <w:rPr>
          <w:rFonts w:ascii="Times New Roman" w:hAnsi="Times New Roman" w:cs="Times New Roman"/>
          <w:color w:val="212121"/>
          <w:sz w:val="24"/>
        </w:rPr>
        <w:t xml:space="preserve">Veicot </w:t>
      </w:r>
      <w:r w:rsidR="00CA1B5E">
        <w:rPr>
          <w:rFonts w:ascii="Times New Roman" w:hAnsi="Times New Roman" w:cs="Times New Roman"/>
          <w:color w:val="212121"/>
          <w:sz w:val="24"/>
        </w:rPr>
        <w:t xml:space="preserve">ziņojumā minētās </w:t>
      </w:r>
      <w:r w:rsidRPr="00D5520B">
        <w:rPr>
          <w:rFonts w:ascii="Times New Roman" w:hAnsi="Times New Roman" w:cs="Times New Roman"/>
          <w:color w:val="212121"/>
          <w:sz w:val="24"/>
        </w:rPr>
        <w:t xml:space="preserve">reformas, </w:t>
      </w:r>
      <w:r w:rsidR="00CA1B5E">
        <w:rPr>
          <w:rFonts w:ascii="Times New Roman" w:hAnsi="Times New Roman" w:cs="Times New Roman"/>
          <w:color w:val="212121"/>
          <w:sz w:val="24"/>
        </w:rPr>
        <w:t xml:space="preserve">palielinot pieejamību valsts apmaksātiem ambulatorās veselības aprūpes pakalpojumiem un palielinot VHC </w:t>
      </w:r>
      <w:r w:rsidR="00CA1B5E" w:rsidRPr="00CA1B5E">
        <w:rPr>
          <w:rFonts w:ascii="Times New Roman" w:hAnsi="Times New Roman" w:cs="Times New Roman"/>
          <w:color w:val="212121"/>
          <w:sz w:val="24"/>
        </w:rPr>
        <w:t xml:space="preserve">pacientu </w:t>
      </w:r>
      <w:r w:rsidR="00CA1B5E" w:rsidRPr="00CA1B5E">
        <w:rPr>
          <w:rFonts w:ascii="Times New Roman" w:hAnsi="Times New Roman" w:cs="Times New Roman"/>
          <w:sz w:val="24"/>
          <w:szCs w:val="24"/>
        </w:rPr>
        <w:t>F3-F4 stadijā ārstēšanas apjomu</w:t>
      </w:r>
      <w:r w:rsidRPr="006213DE">
        <w:rPr>
          <w:rFonts w:ascii="Times New Roman" w:hAnsi="Times New Roman"/>
          <w:sz w:val="24"/>
        </w:rPr>
        <w:t>,</w:t>
      </w:r>
      <w:r w:rsidRPr="006213DE">
        <w:rPr>
          <w:rFonts w:ascii="Times New Roman" w:hAnsi="Times New Roman"/>
          <w:b/>
          <w:sz w:val="24"/>
        </w:rPr>
        <w:t xml:space="preserve"> </w:t>
      </w:r>
      <w:r w:rsidRPr="006213DE">
        <w:rPr>
          <w:rFonts w:ascii="Times New Roman" w:hAnsi="Times New Roman"/>
          <w:color w:val="212121"/>
          <w:sz w:val="24"/>
        </w:rPr>
        <w:t xml:space="preserve">samazināsies Potenciāli zaudēto mūža gadu skaits, jo palielināsies iedzīvotāju dzīvildze un samazināsies priekšlaikus mirušo skaits (skat. </w:t>
      </w:r>
      <w:r w:rsidR="00CF5363">
        <w:rPr>
          <w:rFonts w:ascii="Times New Roman" w:hAnsi="Times New Roman"/>
          <w:color w:val="212121"/>
          <w:sz w:val="24"/>
        </w:rPr>
        <w:t>9</w:t>
      </w:r>
      <w:r w:rsidRPr="006213DE">
        <w:rPr>
          <w:rFonts w:ascii="Times New Roman" w:hAnsi="Times New Roman"/>
          <w:color w:val="212121"/>
          <w:sz w:val="24"/>
        </w:rPr>
        <w:t>.attēlu).</w:t>
      </w:r>
    </w:p>
    <w:p w14:paraId="1D98723C" w14:textId="6F658073" w:rsidR="00464BD8" w:rsidRPr="006213DE" w:rsidRDefault="00CF5363" w:rsidP="00464BD8">
      <w:pPr>
        <w:jc w:val="right"/>
        <w:rPr>
          <w:rFonts w:ascii="Times New Roman" w:hAnsi="Times New Roman"/>
          <w:i/>
          <w:sz w:val="24"/>
        </w:rPr>
      </w:pPr>
      <w:r>
        <w:rPr>
          <w:rFonts w:ascii="Times New Roman" w:hAnsi="Times New Roman"/>
          <w:i/>
          <w:sz w:val="24"/>
        </w:rPr>
        <w:t>9</w:t>
      </w:r>
      <w:r w:rsidR="00464BD8" w:rsidRPr="006213DE">
        <w:rPr>
          <w:rFonts w:ascii="Times New Roman" w:hAnsi="Times New Roman"/>
          <w:i/>
          <w:sz w:val="24"/>
        </w:rPr>
        <w:t>.attēls</w:t>
      </w:r>
    </w:p>
    <w:p w14:paraId="7C633CC3" w14:textId="77777777" w:rsidR="00464BD8" w:rsidRPr="006213DE" w:rsidRDefault="00464BD8" w:rsidP="00464BD8">
      <w:pPr>
        <w:jc w:val="center"/>
        <w:rPr>
          <w:rFonts w:ascii="Times New Roman" w:hAnsi="Times New Roman"/>
          <w:b/>
          <w:sz w:val="24"/>
        </w:rPr>
      </w:pPr>
      <w:r w:rsidRPr="006213DE">
        <w:rPr>
          <w:rFonts w:ascii="Times New Roman" w:hAnsi="Times New Roman"/>
          <w:b/>
          <w:sz w:val="24"/>
        </w:rPr>
        <w:t>Potenciāli zaudēto mūža gadu prognoze, ja ieguldījumi tiek veikti</w:t>
      </w:r>
    </w:p>
    <w:p w14:paraId="3D9C9538" w14:textId="1EBBEB6A" w:rsidR="00464BD8" w:rsidRPr="00D5520B" w:rsidRDefault="00FA6571" w:rsidP="00464BD8">
      <w:pPr>
        <w:jc w:val="center"/>
        <w:rPr>
          <w:rFonts w:ascii="Times New Roman" w:hAnsi="Times New Roman" w:cs="Times New Roman"/>
          <w:sz w:val="24"/>
        </w:rPr>
      </w:pPr>
      <w:r>
        <w:rPr>
          <w:noProof/>
          <w:lang w:eastAsia="lv-LV"/>
        </w:rPr>
        <w:lastRenderedPageBreak/>
        <w:drawing>
          <wp:inline distT="0" distB="0" distL="0" distR="0" wp14:anchorId="2A430013" wp14:editId="6766A614">
            <wp:extent cx="5495925" cy="2705100"/>
            <wp:effectExtent l="0" t="0" r="0" b="0"/>
            <wp:docPr id="12" name="Chart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F48A09" w14:textId="77777777" w:rsidR="00464BD8" w:rsidRPr="006213DE" w:rsidRDefault="00464BD8" w:rsidP="00464BD8">
      <w:pPr>
        <w:jc w:val="both"/>
        <w:rPr>
          <w:rFonts w:ascii="Times New Roman" w:hAnsi="Times New Roman"/>
          <w:sz w:val="24"/>
        </w:rPr>
      </w:pPr>
      <w:r w:rsidRPr="006213DE">
        <w:rPr>
          <w:rFonts w:ascii="Times New Roman" w:hAnsi="Times New Roman"/>
          <w:i/>
          <w:sz w:val="20"/>
        </w:rPr>
        <w:t>Avots: SPKC</w:t>
      </w:r>
    </w:p>
    <w:p w14:paraId="68F3DDEE" w14:textId="77777777" w:rsidR="00FA6571" w:rsidRDefault="00FA6571" w:rsidP="00464BD8">
      <w:pPr>
        <w:shd w:val="clear" w:color="auto" w:fill="FFFFFF"/>
        <w:ind w:firstLine="720"/>
        <w:jc w:val="both"/>
        <w:rPr>
          <w:rFonts w:ascii="Times New Roman" w:hAnsi="Times New Roman" w:cs="Times New Roman"/>
          <w:color w:val="000000" w:themeColor="text1"/>
          <w:sz w:val="24"/>
        </w:rPr>
      </w:pPr>
    </w:p>
    <w:p w14:paraId="3A02FDB2" w14:textId="5862FF95" w:rsidR="00FB1992" w:rsidRDefault="00F40B5F" w:rsidP="00464BD8">
      <w:pPr>
        <w:shd w:val="clear" w:color="auto" w:fill="FFFFFF"/>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Tāpat reformu rezultātā uzlabosies </w:t>
      </w:r>
      <w:r w:rsidR="001A6661">
        <w:rPr>
          <w:rFonts w:ascii="Times New Roman" w:hAnsi="Times New Roman" w:cs="Times New Roman"/>
          <w:color w:val="000000" w:themeColor="text1"/>
          <w:sz w:val="24"/>
        </w:rPr>
        <w:t xml:space="preserve">iedzīvotāju pieejamība veselības aprūpes pakalpojumiem, galvenokārt zemākajā ienākumu kvintilē (skat. </w:t>
      </w:r>
      <w:r w:rsidR="00CF5363">
        <w:rPr>
          <w:rFonts w:ascii="Times New Roman" w:hAnsi="Times New Roman" w:cs="Times New Roman"/>
          <w:color w:val="000000" w:themeColor="text1"/>
          <w:sz w:val="24"/>
        </w:rPr>
        <w:t>10</w:t>
      </w:r>
      <w:r w:rsidR="001A6661">
        <w:rPr>
          <w:rFonts w:ascii="Times New Roman" w:hAnsi="Times New Roman" w:cs="Times New Roman"/>
          <w:color w:val="000000" w:themeColor="text1"/>
          <w:sz w:val="24"/>
        </w:rPr>
        <w:t>.attēlu) un samazināsies iedzīvotāju tiešie maksājumi par veselības aprūpes pakalpojumiem. Minētajos rādītājos Latvija pārliecinoši ir vien</w:t>
      </w:r>
      <w:r w:rsidR="003F1724">
        <w:rPr>
          <w:rFonts w:ascii="Times New Roman" w:hAnsi="Times New Roman" w:cs="Times New Roman"/>
          <w:color w:val="000000" w:themeColor="text1"/>
          <w:sz w:val="24"/>
        </w:rPr>
        <w:t>ā</w:t>
      </w:r>
      <w:r w:rsidR="001A6661">
        <w:rPr>
          <w:rFonts w:ascii="Times New Roman" w:hAnsi="Times New Roman" w:cs="Times New Roman"/>
          <w:color w:val="000000" w:themeColor="text1"/>
          <w:sz w:val="24"/>
        </w:rPr>
        <w:t xml:space="preserve"> sliktākajām situācijām Eiropas Savienībā uz ko atkārtoti norāda arī Eiropas Komisija.</w:t>
      </w:r>
    </w:p>
    <w:p w14:paraId="1FCB5AC0" w14:textId="709834F6" w:rsidR="00F40B5F" w:rsidRPr="00D5520B" w:rsidRDefault="00CF5363" w:rsidP="00F40B5F">
      <w:pPr>
        <w:jc w:val="right"/>
        <w:rPr>
          <w:rFonts w:ascii="Times New Roman" w:hAnsi="Times New Roman" w:cs="Times New Roman"/>
          <w:i/>
          <w:sz w:val="24"/>
        </w:rPr>
      </w:pPr>
      <w:r>
        <w:rPr>
          <w:rFonts w:ascii="Times New Roman" w:hAnsi="Times New Roman" w:cs="Times New Roman"/>
          <w:i/>
          <w:sz w:val="24"/>
        </w:rPr>
        <w:t>10</w:t>
      </w:r>
      <w:r w:rsidR="00F40B5F" w:rsidRPr="00D5520B">
        <w:rPr>
          <w:rFonts w:ascii="Times New Roman" w:hAnsi="Times New Roman" w:cs="Times New Roman"/>
          <w:i/>
          <w:sz w:val="24"/>
        </w:rPr>
        <w:t>.attēls</w:t>
      </w:r>
    </w:p>
    <w:p w14:paraId="57653D5B" w14:textId="77777777" w:rsidR="00F40B5F" w:rsidRPr="00D5520B" w:rsidRDefault="00364FF4" w:rsidP="00F40B5F">
      <w:pPr>
        <w:jc w:val="center"/>
        <w:rPr>
          <w:rFonts w:ascii="Times New Roman" w:hAnsi="Times New Roman" w:cs="Times New Roman"/>
          <w:b/>
          <w:sz w:val="24"/>
        </w:rPr>
      </w:pPr>
      <w:r>
        <w:rPr>
          <w:rFonts w:ascii="Times New Roman" w:hAnsi="Times New Roman" w:cs="Times New Roman"/>
          <w:b/>
          <w:sz w:val="24"/>
        </w:rPr>
        <w:t>I</w:t>
      </w:r>
      <w:r w:rsidRPr="00364FF4">
        <w:rPr>
          <w:rFonts w:ascii="Times New Roman" w:hAnsi="Times New Roman" w:cs="Times New Roman"/>
          <w:b/>
          <w:sz w:val="24"/>
        </w:rPr>
        <w:t>edzīvotāju vērtējums veselības aprūpes pieejamības ierobežojumiem finansiālu, ģeogrāfisku vai gaidīšanas iemeslu dēļ (ziņotās neapmierinātās vajadzības)</w:t>
      </w:r>
      <w:r w:rsidR="005002BF">
        <w:rPr>
          <w:rFonts w:ascii="Times New Roman" w:hAnsi="Times New Roman" w:cs="Times New Roman"/>
          <w:b/>
          <w:sz w:val="24"/>
        </w:rPr>
        <w:t>, %</w:t>
      </w:r>
    </w:p>
    <w:p w14:paraId="61EFC272" w14:textId="77777777" w:rsidR="00DA3071" w:rsidRDefault="00DA3071" w:rsidP="00DA3071">
      <w:pPr>
        <w:shd w:val="clear" w:color="auto" w:fill="FFFFFF"/>
        <w:jc w:val="center"/>
        <w:rPr>
          <w:rFonts w:ascii="Times New Roman" w:hAnsi="Times New Roman" w:cs="Times New Roman"/>
          <w:color w:val="000000" w:themeColor="text1"/>
          <w:sz w:val="24"/>
        </w:rPr>
      </w:pPr>
      <w:r>
        <w:rPr>
          <w:noProof/>
          <w:lang w:eastAsia="lv-LV"/>
        </w:rPr>
        <w:lastRenderedPageBreak/>
        <w:drawing>
          <wp:inline distT="0" distB="0" distL="0" distR="0" wp14:anchorId="0BDE34CE" wp14:editId="669C8658">
            <wp:extent cx="59436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0368F4" w14:textId="77777777" w:rsidR="00F40B5F" w:rsidRPr="00F40B5F" w:rsidRDefault="00F40B5F" w:rsidP="00F40B5F">
      <w:pPr>
        <w:jc w:val="both"/>
        <w:rPr>
          <w:rFonts w:ascii="Times New Roman" w:hAnsi="Times New Roman" w:cs="Times New Roman"/>
          <w:i/>
          <w:sz w:val="20"/>
        </w:rPr>
      </w:pPr>
      <w:r w:rsidRPr="00F40B5F">
        <w:rPr>
          <w:rFonts w:ascii="Times New Roman" w:hAnsi="Times New Roman" w:cs="Times New Roman"/>
          <w:i/>
          <w:sz w:val="20"/>
        </w:rPr>
        <w:t xml:space="preserve">Avots: SPKC </w:t>
      </w:r>
    </w:p>
    <w:p w14:paraId="0E9DD2C4" w14:textId="5A4C948F" w:rsidR="00464BD8" w:rsidRDefault="00464BD8" w:rsidP="00AD3930">
      <w:pPr>
        <w:shd w:val="clear" w:color="auto" w:fill="FFFFFF"/>
        <w:ind w:firstLine="720"/>
        <w:jc w:val="both"/>
        <w:rPr>
          <w:rFonts w:ascii="Times New Roman" w:eastAsia="Times New Roman" w:hAnsi="Times New Roman" w:cs="Times New Roman"/>
          <w:color w:val="000000" w:themeColor="text1"/>
          <w:sz w:val="24"/>
          <w:szCs w:val="24"/>
          <w:lang w:eastAsia="lv-LV"/>
        </w:rPr>
      </w:pPr>
      <w:r w:rsidRPr="006213DE">
        <w:rPr>
          <w:rFonts w:ascii="Times New Roman" w:hAnsi="Times New Roman"/>
          <w:color w:val="000000" w:themeColor="text1"/>
          <w:sz w:val="24"/>
        </w:rPr>
        <w:t>Līdz ar to reformu sekmīgai turpināšanai</w:t>
      </w:r>
      <w:r w:rsidR="005002BF">
        <w:rPr>
          <w:rFonts w:ascii="Times New Roman" w:hAnsi="Times New Roman" w:cs="Times New Roman"/>
          <w:color w:val="000000" w:themeColor="text1"/>
          <w:sz w:val="24"/>
        </w:rPr>
        <w:t xml:space="preserve"> ambulatoro pakalpojumu pieejamības jomā un iedzīvotāju tiešo maksājumu samazināšanā, kā arī </w:t>
      </w:r>
      <w:r w:rsidR="00194FBC" w:rsidRPr="00194FBC">
        <w:rPr>
          <w:rFonts w:ascii="Times New Roman" w:hAnsi="Times New Roman" w:cs="Times New Roman"/>
          <w:color w:val="000000" w:themeColor="text1"/>
          <w:sz w:val="24"/>
        </w:rPr>
        <w:t>valsts kompensējamo medikamentu nodrošinājumam VHC pacientiem F3-F4 stadijā</w:t>
      </w:r>
      <w:r w:rsidRPr="006213DE">
        <w:rPr>
          <w:rFonts w:ascii="Times New Roman" w:hAnsi="Times New Roman"/>
          <w:color w:val="000000" w:themeColor="text1"/>
          <w:sz w:val="24"/>
        </w:rPr>
        <w:t xml:space="preserve"> saskaņā ar SVP noteikto, nepieciešams 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w:t>
      </w:r>
      <w:r w:rsidR="005002BF">
        <w:rPr>
          <w:rFonts w:ascii="Times New Roman" w:hAnsi="Times New Roman" w:cs="Times New Roman"/>
          <w:color w:val="000000" w:themeColor="text1"/>
          <w:sz w:val="24"/>
        </w:rPr>
        <w:t>22 062</w:t>
      </w:r>
      <w:r w:rsidR="008F5B22">
        <w:rPr>
          <w:rFonts w:ascii="Times New Roman" w:hAnsi="Times New Roman" w:cs="Times New Roman"/>
          <w:color w:val="000000" w:themeColor="text1"/>
          <w:sz w:val="24"/>
        </w:rPr>
        <w:t> </w:t>
      </w:r>
      <w:r w:rsidR="005002BF">
        <w:rPr>
          <w:rFonts w:ascii="Times New Roman" w:hAnsi="Times New Roman" w:cs="Times New Roman"/>
          <w:color w:val="000000" w:themeColor="text1"/>
          <w:sz w:val="24"/>
        </w:rPr>
        <w:t>190</w:t>
      </w:r>
      <w:r w:rsidR="008F5B22">
        <w:rPr>
          <w:rFonts w:ascii="Times New Roman" w:hAnsi="Times New Roman"/>
          <w:color w:val="000000" w:themeColor="text1"/>
          <w:sz w:val="24"/>
        </w:rPr>
        <w:t> </w:t>
      </w:r>
      <w:r w:rsidRPr="006213DE">
        <w:rPr>
          <w:rFonts w:ascii="Times New Roman" w:hAnsi="Times New Roman"/>
          <w:i/>
          <w:color w:val="000000" w:themeColor="text1"/>
          <w:sz w:val="24"/>
        </w:rPr>
        <w:t>euro</w:t>
      </w:r>
      <w:r w:rsidRPr="006213DE">
        <w:rPr>
          <w:rFonts w:ascii="Times New Roman" w:hAnsi="Times New Roman"/>
          <w:color w:val="000000" w:themeColor="text1"/>
          <w:sz w:val="24"/>
        </w:rPr>
        <w:t xml:space="preserve"> apmērā veselības aprūpes sistēmas reformas pasākumu īstenošanai 2017.gadā</w:t>
      </w:r>
      <w:r w:rsidRPr="006213DE">
        <w:rPr>
          <w:rStyle w:val="FootnoteReference"/>
          <w:rFonts w:ascii="Times New Roman" w:hAnsi="Times New Roman"/>
          <w:color w:val="000000" w:themeColor="text1"/>
          <w:sz w:val="24"/>
        </w:rPr>
        <w:t xml:space="preserve"> </w:t>
      </w:r>
      <w:r w:rsidRPr="006213DE">
        <w:rPr>
          <w:rStyle w:val="FootnoteReference"/>
          <w:rFonts w:ascii="Times New Roman" w:hAnsi="Times New Roman"/>
          <w:color w:val="000000" w:themeColor="text1"/>
          <w:sz w:val="24"/>
        </w:rPr>
        <w:footnoteReference w:id="31"/>
      </w:r>
      <w:r w:rsidRPr="006213DE">
        <w:rPr>
          <w:rFonts w:ascii="Times New Roman" w:hAnsi="Times New Roman"/>
          <w:color w:val="000000" w:themeColor="text1"/>
          <w:sz w:val="24"/>
        </w:rPr>
        <w:t>.</w:t>
      </w:r>
    </w:p>
    <w:p w14:paraId="54AFB704" w14:textId="77777777" w:rsidR="00464BD8" w:rsidRDefault="00464BD8" w:rsidP="00AD3930">
      <w:pPr>
        <w:shd w:val="clear" w:color="auto" w:fill="FFFFFF"/>
        <w:ind w:firstLine="720"/>
        <w:jc w:val="both"/>
        <w:rPr>
          <w:rFonts w:ascii="Times New Roman" w:eastAsia="Times New Roman" w:hAnsi="Times New Roman" w:cs="Times New Roman"/>
          <w:color w:val="000000" w:themeColor="text1"/>
          <w:sz w:val="24"/>
          <w:szCs w:val="24"/>
          <w:lang w:eastAsia="lv-LV"/>
        </w:rPr>
      </w:pPr>
    </w:p>
    <w:p w14:paraId="57835090" w14:textId="77777777" w:rsidR="00343E8A" w:rsidRPr="00CD0464" w:rsidRDefault="00343E8A" w:rsidP="00343E8A">
      <w:pPr>
        <w:ind w:right="-766"/>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Veselības ministre</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Anda Čakša</w:t>
      </w:r>
    </w:p>
    <w:p w14:paraId="63B68977" w14:textId="77777777" w:rsidR="00343E8A" w:rsidRPr="00CD0464" w:rsidRDefault="00343E8A" w:rsidP="00343E8A">
      <w:pPr>
        <w:ind w:right="-766"/>
        <w:rPr>
          <w:rFonts w:ascii="Times New Roman" w:eastAsia="Times New Roman" w:hAnsi="Times New Roman" w:cs="Times New Roman"/>
          <w:sz w:val="28"/>
          <w:szCs w:val="28"/>
        </w:rPr>
      </w:pPr>
    </w:p>
    <w:p w14:paraId="6CC47C4F" w14:textId="77777777" w:rsidR="00343E8A" w:rsidRPr="00CD0464" w:rsidRDefault="00343E8A" w:rsidP="00343E8A">
      <w:pPr>
        <w:tabs>
          <w:tab w:val="left" w:pos="7088"/>
          <w:tab w:val="right" w:pos="9072"/>
        </w:tabs>
        <w:ind w:right="-766"/>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Iesniedzējs: Veselības ministre</w:t>
      </w:r>
      <w:r w:rsidRPr="00CD0464">
        <w:rPr>
          <w:rFonts w:ascii="Times New Roman" w:eastAsia="Times New Roman" w:hAnsi="Times New Roman" w:cs="Times New Roman"/>
          <w:sz w:val="28"/>
          <w:szCs w:val="28"/>
        </w:rPr>
        <w:tab/>
        <w:t xml:space="preserve">  Anda Čakša</w:t>
      </w:r>
    </w:p>
    <w:p w14:paraId="48E1D9FC" w14:textId="77777777" w:rsidR="00343E8A" w:rsidRPr="00CD0464" w:rsidRDefault="00343E8A" w:rsidP="00343E8A">
      <w:pPr>
        <w:tabs>
          <w:tab w:val="left" w:pos="7088"/>
          <w:tab w:val="right" w:pos="9072"/>
        </w:tabs>
        <w:ind w:right="-766"/>
        <w:rPr>
          <w:rFonts w:ascii="Times New Roman" w:eastAsia="Times New Roman" w:hAnsi="Times New Roman" w:cs="Times New Roman"/>
          <w:sz w:val="28"/>
          <w:szCs w:val="28"/>
        </w:rPr>
      </w:pPr>
    </w:p>
    <w:p w14:paraId="1B7478FB" w14:textId="77777777" w:rsidR="00343E8A" w:rsidRPr="00CD0464" w:rsidRDefault="00343E8A" w:rsidP="00343E8A">
      <w:pPr>
        <w:ind w:right="-1"/>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 xml:space="preserve">Vīza: Valsts sekretārs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Kārlis Ketners   </w:t>
      </w:r>
      <w:bookmarkStart w:id="1" w:name="_GoBack"/>
      <w:bookmarkEnd w:id="1"/>
    </w:p>
    <w:sectPr w:rsidR="00343E8A" w:rsidRPr="00CD0464" w:rsidSect="00DA4A2F">
      <w:headerReference w:type="default" r:id="rId18"/>
      <w:footerReference w:type="defaul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E436" w14:textId="77777777" w:rsidR="00FA6571" w:rsidRDefault="00FA6571" w:rsidP="00742970">
      <w:pPr>
        <w:spacing w:after="0" w:line="240" w:lineRule="auto"/>
      </w:pPr>
      <w:r>
        <w:separator/>
      </w:r>
    </w:p>
  </w:endnote>
  <w:endnote w:type="continuationSeparator" w:id="0">
    <w:p w14:paraId="235C1396" w14:textId="77777777" w:rsidR="00FA6571" w:rsidRDefault="00FA6571" w:rsidP="00742970">
      <w:pPr>
        <w:spacing w:after="0" w:line="240" w:lineRule="auto"/>
      </w:pPr>
      <w:r>
        <w:continuationSeparator/>
      </w:r>
    </w:p>
  </w:endnote>
  <w:endnote w:type="continuationNotice" w:id="1">
    <w:p w14:paraId="19CE21B5" w14:textId="77777777" w:rsidR="00FA6571" w:rsidRDefault="00FA6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125D" w14:textId="716E43D4" w:rsidR="00FA6571" w:rsidRPr="00ED2403" w:rsidRDefault="00FA6571">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8603A3">
      <w:rPr>
        <w:rFonts w:ascii="Times New Roman" w:hAnsi="Times New Roman" w:cs="Times New Roman"/>
        <w:sz w:val="20"/>
        <w:szCs w:val="20"/>
      </w:rPr>
      <w:t>0702</w:t>
    </w:r>
    <w:r>
      <w:rPr>
        <w:rFonts w:ascii="Times New Roman" w:hAnsi="Times New Roman" w:cs="Times New Roman"/>
        <w:sz w:val="20"/>
        <w:szCs w:val="20"/>
      </w:rPr>
      <w:t>17</w:t>
    </w:r>
    <w:r w:rsidRPr="00FB42B8">
      <w:rPr>
        <w:rFonts w:ascii="Times New Roman" w:hAnsi="Times New Roman" w:cs="Times New Roman"/>
        <w:sz w:val="20"/>
        <w:szCs w:val="20"/>
      </w:rPr>
      <w:t>_</w:t>
    </w:r>
    <w:r>
      <w:rPr>
        <w:rFonts w:ascii="Times New Roman" w:hAnsi="Times New Roman" w:cs="Times New Roman"/>
        <w:sz w:val="20"/>
        <w:szCs w:val="20"/>
      </w:rPr>
      <w:t>22</w:t>
    </w:r>
    <w:r w:rsidRPr="00FB42B8">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127C" w14:textId="11DFB689" w:rsidR="00FA6571" w:rsidRPr="003071C3" w:rsidRDefault="00FA6571">
    <w:pPr>
      <w:pStyle w:val="Footer"/>
      <w:rPr>
        <w:rFonts w:ascii="Times New Roman" w:hAnsi="Times New Roman" w:cs="Times New Roman"/>
        <w:sz w:val="20"/>
        <w:szCs w:val="20"/>
      </w:rPr>
    </w:pPr>
    <w:r w:rsidRPr="003071C3">
      <w:rPr>
        <w:rFonts w:ascii="Times New Roman" w:hAnsi="Times New Roman" w:cs="Times New Roman"/>
        <w:sz w:val="20"/>
        <w:szCs w:val="20"/>
      </w:rPr>
      <w:t>VMzino_</w:t>
    </w:r>
    <w:r w:rsidR="008603A3">
      <w:rPr>
        <w:rFonts w:ascii="Times New Roman" w:hAnsi="Times New Roman" w:cs="Times New Roman"/>
        <w:sz w:val="20"/>
        <w:szCs w:val="20"/>
      </w:rPr>
      <w:t>0702</w:t>
    </w:r>
    <w:r w:rsidRPr="003071C3">
      <w:rPr>
        <w:rFonts w:ascii="Times New Roman" w:hAnsi="Times New Roman" w:cs="Times New Roman"/>
        <w:sz w:val="20"/>
        <w:szCs w:val="20"/>
      </w:rPr>
      <w:t>1</w:t>
    </w:r>
    <w:r>
      <w:rPr>
        <w:rFonts w:ascii="Times New Roman" w:hAnsi="Times New Roman" w:cs="Times New Roman"/>
        <w:sz w:val="20"/>
        <w:szCs w:val="20"/>
      </w:rPr>
      <w:t>7_22</w:t>
    </w:r>
    <w:r w:rsidRPr="003071C3">
      <w:rPr>
        <w:rFonts w:ascii="Times New Roman" w:hAnsi="Times New Roman" w:cs="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7C34" w14:textId="77777777" w:rsidR="00FA6571" w:rsidRDefault="00FA6571" w:rsidP="00742970">
      <w:pPr>
        <w:spacing w:after="0" w:line="240" w:lineRule="auto"/>
      </w:pPr>
      <w:r>
        <w:separator/>
      </w:r>
    </w:p>
  </w:footnote>
  <w:footnote w:type="continuationSeparator" w:id="0">
    <w:p w14:paraId="5B2CD81A" w14:textId="77777777" w:rsidR="00FA6571" w:rsidRDefault="00FA6571" w:rsidP="00742970">
      <w:pPr>
        <w:spacing w:after="0" w:line="240" w:lineRule="auto"/>
      </w:pPr>
      <w:r>
        <w:continuationSeparator/>
      </w:r>
    </w:p>
  </w:footnote>
  <w:footnote w:type="continuationNotice" w:id="1">
    <w:p w14:paraId="47C44B37" w14:textId="77777777" w:rsidR="00FA6571" w:rsidRDefault="00FA6571">
      <w:pPr>
        <w:spacing w:after="0" w:line="240" w:lineRule="auto"/>
      </w:pPr>
    </w:p>
  </w:footnote>
  <w:footnote w:id="2">
    <w:p w14:paraId="7A45B8D4" w14:textId="77777777" w:rsidR="00FA6571" w:rsidRPr="00787F5A" w:rsidRDefault="00FA6571" w:rsidP="004622DA">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Eiropas Savienības Padomes ieteikumi par Latvijas 2016. gada valsts reformu programmu un ar ko sniedz Padomes atzinumu par Latvijas 2016. gada stabilitātes programmu (5)</w:t>
      </w:r>
    </w:p>
  </w:footnote>
  <w:footnote w:id="3">
    <w:p w14:paraId="7D0F3717" w14:textId="1BF4386A" w:rsidR="00FA6571" w:rsidRPr="00617636" w:rsidRDefault="00FA6571" w:rsidP="00617636">
      <w:pPr>
        <w:pStyle w:val="FootnoteText"/>
        <w:jc w:val="both"/>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Padomes ieteikums (2016. gada 12. jūlijs) par Latvijas 2016. gada valsts reformu programmu un ar ko sniedz Padomes atzinumu par </w:t>
      </w:r>
      <w:r w:rsidRPr="00617636">
        <w:rPr>
          <w:rFonts w:ascii="Times New Roman" w:hAnsi="Times New Roman" w:cs="Times New Roman"/>
          <w:sz w:val="18"/>
          <w:szCs w:val="18"/>
        </w:rPr>
        <w:t>Latvijas 2016. gada stabilitātes programmu</w:t>
      </w:r>
    </w:p>
  </w:footnote>
  <w:footnote w:id="4">
    <w:p w14:paraId="5D3FE5BD" w14:textId="1E0DC852" w:rsidR="00FA6571" w:rsidRPr="00617636" w:rsidRDefault="00FA6571" w:rsidP="00617636">
      <w:pPr>
        <w:shd w:val="clear" w:color="auto" w:fill="FFFFFF"/>
        <w:spacing w:after="0" w:line="103" w:lineRule="atLeast"/>
        <w:jc w:val="both"/>
        <w:rPr>
          <w:rFonts w:ascii="Times New Roman" w:eastAsia="Times New Roman" w:hAnsi="Times New Roman" w:cs="Times New Roman"/>
          <w:color w:val="414142"/>
          <w:sz w:val="18"/>
          <w:szCs w:val="18"/>
          <w:lang w:eastAsia="lv-LV"/>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r w:rsidRPr="00617636">
        <w:rPr>
          <w:rFonts w:ascii="Times New Roman" w:eastAsia="Times New Roman" w:hAnsi="Times New Roman" w:cs="Times New Roman"/>
          <w:color w:val="414142"/>
          <w:sz w:val="18"/>
          <w:szCs w:val="18"/>
          <w:lang w:eastAsia="lv-LV"/>
        </w:rPr>
        <w:t xml:space="preserve">Sabiedrības veselības pamatnostādnes 2014.-2020.gadam (MK rīkojums Nr. 589 14.10.2014) ir vidēja termiņa </w:t>
      </w:r>
      <w:r>
        <w:rPr>
          <w:rFonts w:ascii="Times New Roman" w:eastAsia="Times New Roman" w:hAnsi="Times New Roman" w:cs="Times New Roman"/>
          <w:color w:val="414142"/>
          <w:sz w:val="18"/>
          <w:szCs w:val="18"/>
          <w:lang w:eastAsia="lv-LV"/>
        </w:rPr>
        <w:t>attīstīb</w:t>
      </w:r>
      <w:r w:rsidRPr="00617636">
        <w:rPr>
          <w:rFonts w:ascii="Times New Roman" w:eastAsia="Times New Roman" w:hAnsi="Times New Roman" w:cs="Times New Roman"/>
          <w:color w:val="414142"/>
          <w:sz w:val="18"/>
          <w:szCs w:val="18"/>
          <w:lang w:eastAsia="lv-LV"/>
        </w:rPr>
        <w:t>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5">
    <w:p w14:paraId="59A0D07C" w14:textId="1516369A" w:rsidR="00FA6571" w:rsidRPr="00617636" w:rsidRDefault="00FA6571" w:rsidP="00617636">
      <w:pPr>
        <w:pStyle w:val="FootnoteText"/>
        <w:jc w:val="both"/>
        <w:rPr>
          <w:rFonts w:ascii="Times New Roman" w:hAnsi="Times New Roman" w:cs="Times New Roman"/>
          <w:sz w:val="18"/>
          <w:szCs w:val="18"/>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bookmarkStart w:id="0" w:name="_ftn1"/>
      <w:r w:rsidRPr="00617636">
        <w:rPr>
          <w:rFonts w:ascii="Times New Roman" w:hAnsi="Times New Roman" w:cs="Times New Roman"/>
          <w:color w:val="000000"/>
          <w:sz w:val="18"/>
          <w:szCs w:val="18"/>
        </w:rPr>
        <w:t>V</w:t>
      </w:r>
      <w:bookmarkEnd w:id="0"/>
      <w:r w:rsidRPr="00617636">
        <w:rPr>
          <w:rFonts w:ascii="Times New Roman" w:hAnsi="Times New Roman" w:cs="Times New Roman"/>
          <w:color w:val="000000"/>
          <w:sz w:val="18"/>
          <w:szCs w:val="18"/>
        </w:rPr>
        <w:t>eselīgi no</w:t>
      </w:r>
      <w:r>
        <w:rPr>
          <w:rFonts w:ascii="Times New Roman" w:hAnsi="Times New Roman" w:cs="Times New Roman"/>
          <w:color w:val="000000"/>
          <w:sz w:val="18"/>
          <w:szCs w:val="18"/>
        </w:rPr>
        <w:t xml:space="preserve">dzīvotie mūža gadi ir laiks, kurus cilvēks </w:t>
      </w:r>
      <w:r w:rsidRPr="00617636">
        <w:rPr>
          <w:rFonts w:ascii="Times New Roman" w:hAnsi="Times New Roman" w:cs="Times New Roman"/>
          <w:color w:val="000000"/>
          <w:sz w:val="18"/>
          <w:szCs w:val="18"/>
        </w:rPr>
        <w:t>prognozējami var nodzīvot bez slimībām un invaliditātes jeb aktivitātes ierobežojumiem.</w:t>
      </w:r>
    </w:p>
  </w:footnote>
  <w:footnote w:id="6">
    <w:p w14:paraId="37899ECA" w14:textId="626AC19D" w:rsidR="00FA6571" w:rsidRPr="00B95678" w:rsidRDefault="00FA6571" w:rsidP="00B95678">
      <w:pPr>
        <w:spacing w:after="0" w:line="103" w:lineRule="atLeast"/>
        <w:jc w:val="both"/>
        <w:rPr>
          <w:rFonts w:ascii="Times New Roman" w:hAnsi="Times New Roman" w:cs="Times New Roman"/>
          <w:color w:val="000000" w:themeColor="text1"/>
          <w:sz w:val="18"/>
          <w:szCs w:val="18"/>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r w:rsidRPr="00617636">
        <w:rPr>
          <w:rFonts w:ascii="Times New Roman" w:hAnsi="Times New Roman" w:cs="Times New Roman"/>
          <w:color w:val="000000" w:themeColor="text1"/>
          <w:sz w:val="18"/>
          <w:szCs w:val="18"/>
        </w:rPr>
        <w:t xml:space="preserve">Potenciāli zaudētie mūža gadi – </w:t>
      </w:r>
      <w:r w:rsidRPr="00617636">
        <w:rPr>
          <w:rFonts w:ascii="Times New Roman" w:eastAsia="Calibri" w:hAnsi="Times New Roman" w:cs="Times New Roman"/>
          <w:color w:val="000000" w:themeColor="text1"/>
          <w:sz w:val="18"/>
          <w:szCs w:val="18"/>
          <w:lang w:eastAsia="lv-LV"/>
        </w:rPr>
        <w:t>gadi, kurus cilvēks būtu nodzīvojis līdz noteiktam vecumam (LV lietotais slieksnis līdz 64 gadiem), ja nebūtu nomiris. Jo agrākā vecumā iedzīvotāji mirst, jo lielāks ir potenciāli zaudēto mūža gadu skaits.</w:t>
      </w:r>
    </w:p>
  </w:footnote>
  <w:footnote w:id="7">
    <w:p w14:paraId="00263830" w14:textId="2DC6D42D" w:rsidR="00FA6571" w:rsidRPr="00B95678" w:rsidRDefault="00FA6571">
      <w:pPr>
        <w:pStyle w:val="FootnoteText"/>
        <w:rPr>
          <w:rFonts w:ascii="Times New Roman" w:hAnsi="Times New Roman" w:cs="Times New Roman"/>
          <w:sz w:val="18"/>
          <w:szCs w:val="18"/>
        </w:rPr>
      </w:pPr>
      <w:r w:rsidRPr="00B95678">
        <w:rPr>
          <w:rStyle w:val="FootnoteReference"/>
          <w:rFonts w:ascii="Times New Roman" w:hAnsi="Times New Roman" w:cs="Times New Roman"/>
          <w:sz w:val="18"/>
          <w:szCs w:val="18"/>
        </w:rPr>
        <w:footnoteRef/>
      </w:r>
      <w:r w:rsidRPr="00B95678">
        <w:rPr>
          <w:rFonts w:ascii="Times New Roman" w:hAnsi="Times New Roman" w:cs="Times New Roman"/>
          <w:sz w:val="18"/>
          <w:szCs w:val="18"/>
        </w:rPr>
        <w:t xml:space="preserve"> Slimību profilakses un kontroles centra (turpmāk – SPKC) aprēķini</w:t>
      </w:r>
    </w:p>
  </w:footnote>
  <w:footnote w:id="8">
    <w:p w14:paraId="6268E9B8" w14:textId="1C404CBA" w:rsidR="00FA6571" w:rsidRPr="00787F5A" w:rsidRDefault="00FA6571" w:rsidP="000E3FC0">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Pr>
          <w:rFonts w:ascii="Times New Roman" w:hAnsi="Times New Roman" w:cs="Times New Roman"/>
          <w:sz w:val="18"/>
          <w:szCs w:val="18"/>
        </w:rPr>
        <w:t>A</w:t>
      </w:r>
      <w:r w:rsidRPr="00787F5A">
        <w:rPr>
          <w:rFonts w:ascii="Times New Roman" w:hAnsi="Times New Roman" w:cs="Times New Roman"/>
          <w:sz w:val="18"/>
          <w:szCs w:val="18"/>
        </w:rPr>
        <w:t>vots: Centrālā statistikas pārvalde</w:t>
      </w:r>
    </w:p>
  </w:footnote>
  <w:footnote w:id="9">
    <w:p w14:paraId="6DDB1188" w14:textId="6ADD7618" w:rsidR="00FA6571" w:rsidRPr="00787F5A" w:rsidRDefault="00FA6571" w:rsidP="000E3FC0">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Pr>
          <w:rFonts w:ascii="Times New Roman" w:hAnsi="Times New Roman" w:cs="Times New Roman"/>
          <w:sz w:val="18"/>
          <w:szCs w:val="18"/>
        </w:rPr>
        <w:t>A</w:t>
      </w:r>
      <w:r w:rsidRPr="00787F5A">
        <w:rPr>
          <w:rFonts w:ascii="Times New Roman" w:hAnsi="Times New Roman" w:cs="Times New Roman"/>
          <w:sz w:val="18"/>
          <w:szCs w:val="18"/>
        </w:rPr>
        <w:t xml:space="preserve">vots: </w:t>
      </w:r>
      <w:r>
        <w:rPr>
          <w:rFonts w:ascii="Times New Roman" w:hAnsi="Times New Roman" w:cs="Times New Roman"/>
          <w:sz w:val="18"/>
          <w:szCs w:val="18"/>
        </w:rPr>
        <w:t>SPKC</w:t>
      </w:r>
    </w:p>
  </w:footnote>
  <w:footnote w:id="10">
    <w:p w14:paraId="62EA68E0" w14:textId="7B50982C" w:rsidR="00FA6571" w:rsidRPr="00787F5A" w:rsidRDefault="00FA6571" w:rsidP="001E043E">
      <w:pPr>
        <w:pStyle w:val="NormalWeb"/>
        <w:shd w:val="clear" w:color="auto" w:fill="FFFFFF"/>
        <w:spacing w:before="0" w:beforeAutospacing="0" w:after="0" w:afterAutospacing="0"/>
        <w:jc w:val="both"/>
        <w:rPr>
          <w:bCs/>
          <w:color w:val="000000" w:themeColor="text1"/>
          <w:sz w:val="18"/>
          <w:szCs w:val="18"/>
        </w:rPr>
      </w:pPr>
      <w:r w:rsidRPr="00787F5A">
        <w:rPr>
          <w:rStyle w:val="FootnoteReference"/>
          <w:sz w:val="18"/>
          <w:szCs w:val="18"/>
        </w:rPr>
        <w:footnoteRef/>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(6-7.lpp.)</w:t>
      </w:r>
    </w:p>
  </w:footnote>
  <w:footnote w:id="11">
    <w:p w14:paraId="6492E027" w14:textId="4CD1F2C6" w:rsidR="00FA6571" w:rsidRPr="00787F5A" w:rsidRDefault="00FA6571">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Eiropas Savienības Padomes ieteikumi par Latvijas 2016. gada valsts reformu programmu un ar ko sniedz Padomes atzinumu par Latvijas 2016. gada stabilitātes programmu (10)</w:t>
      </w:r>
    </w:p>
  </w:footnote>
  <w:footnote w:id="12">
    <w:p w14:paraId="1CD6B713" w14:textId="3835A002" w:rsidR="00FA6571" w:rsidRPr="00787F5A" w:rsidRDefault="00FA6571" w:rsidP="003F357D">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Pr>
          <w:rFonts w:ascii="Times New Roman" w:hAnsi="Times New Roman" w:cs="Times New Roman"/>
          <w:sz w:val="18"/>
          <w:szCs w:val="18"/>
          <w:lang w:val="en-GB"/>
        </w:rPr>
        <w:t>Eiropas komisijas</w:t>
      </w:r>
      <w:r w:rsidRPr="00787F5A">
        <w:rPr>
          <w:rFonts w:ascii="Times New Roman" w:hAnsi="Times New Roman" w:cs="Times New Roman"/>
          <w:sz w:val="18"/>
          <w:szCs w:val="18"/>
          <w:lang w:val="en-GB"/>
        </w:rPr>
        <w:t xml:space="preserve"> </w:t>
      </w:r>
      <w:r w:rsidRPr="00787F5A">
        <w:rPr>
          <w:rFonts w:ascii="Times New Roman" w:hAnsi="Times New Roman" w:cs="Times New Roman"/>
          <w:sz w:val="18"/>
          <w:szCs w:val="18"/>
        </w:rPr>
        <w:t>2016.gada ziņojums par Latviju</w:t>
      </w:r>
    </w:p>
  </w:footnote>
  <w:footnote w:id="13">
    <w:p w14:paraId="1270C8E4" w14:textId="096D13D3" w:rsidR="00FA6571" w:rsidRPr="00787F5A" w:rsidRDefault="00FA6571" w:rsidP="003F357D">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Pr>
          <w:rFonts w:ascii="Times New Roman" w:hAnsi="Times New Roman" w:cs="Times New Roman"/>
          <w:sz w:val="18"/>
          <w:szCs w:val="18"/>
          <w:lang w:val="en-GB"/>
        </w:rPr>
        <w:t>Eiropas komisijas</w:t>
      </w:r>
      <w:r w:rsidRPr="00787F5A">
        <w:rPr>
          <w:rFonts w:ascii="Times New Roman" w:hAnsi="Times New Roman" w:cs="Times New Roman"/>
          <w:sz w:val="18"/>
          <w:szCs w:val="18"/>
          <w:lang w:val="en-GB"/>
        </w:rPr>
        <w:t xml:space="preserve"> </w:t>
      </w:r>
      <w:r w:rsidRPr="00787F5A">
        <w:rPr>
          <w:rFonts w:ascii="Times New Roman" w:hAnsi="Times New Roman" w:cs="Times New Roman"/>
          <w:sz w:val="18"/>
          <w:szCs w:val="18"/>
        </w:rPr>
        <w:t>2016.gada ziņojums par Latviju</w:t>
      </w:r>
    </w:p>
  </w:footnote>
  <w:footnote w:id="14">
    <w:p w14:paraId="0BD78063" w14:textId="77777777" w:rsidR="00FA6571" w:rsidRPr="00787F5A" w:rsidRDefault="00FA6571" w:rsidP="003F357D">
      <w:pPr>
        <w:pStyle w:val="FootnoteText"/>
        <w:jc w:val="both"/>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Avots: Eiropas Komisija  (calculations on impact of mortality on labour force size, measured as the number of potential working life years per birth cohort, standardised for population size and age cohort mix, based on Eurostat, 2013 figures.)</w:t>
      </w:r>
    </w:p>
  </w:footnote>
  <w:footnote w:id="15">
    <w:p w14:paraId="7A4D82AB" w14:textId="77777777" w:rsidR="00FA6571" w:rsidRPr="00787F5A" w:rsidRDefault="00FA6571" w:rsidP="001715C8">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M. Štāle, J.Skrule „Latvijas iedzīvotāju veselība”, analītisks ziņojums, SPKC 2012</w:t>
      </w:r>
    </w:p>
  </w:footnote>
  <w:footnote w:id="16">
    <w:p w14:paraId="4F041106" w14:textId="77777777" w:rsidR="00FA6571" w:rsidRPr="00787F5A" w:rsidRDefault="00FA6571" w:rsidP="001E043E">
      <w:pPr>
        <w:pStyle w:val="FootnoteText"/>
        <w:rPr>
          <w:sz w:val="18"/>
          <w:szCs w:val="18"/>
        </w:rPr>
      </w:pPr>
      <w:r w:rsidRPr="00787F5A">
        <w:rPr>
          <w:rStyle w:val="FootnoteReference"/>
          <w:sz w:val="18"/>
          <w:szCs w:val="18"/>
        </w:rPr>
        <w:footnoteRef/>
      </w:r>
      <w:r w:rsidRPr="00787F5A">
        <w:rPr>
          <w:sz w:val="18"/>
          <w:szCs w:val="18"/>
        </w:rPr>
        <w:t xml:space="preserve"> </w:t>
      </w:r>
      <w:r w:rsidRPr="00787F5A">
        <w:rPr>
          <w:rFonts w:ascii="Times New Roman" w:eastAsia="Times New Roman" w:hAnsi="Times New Roman" w:cs="Times New Roman"/>
          <w:color w:val="414142"/>
          <w:sz w:val="18"/>
          <w:szCs w:val="18"/>
          <w:lang w:eastAsia="lv-LV"/>
        </w:rPr>
        <w:t>Sabiedrības veselības pamatnostādnes 2014.-2020.gadam (MK rīkojums Nr. 589 14.10.2014) kopsavilkums</w:t>
      </w:r>
    </w:p>
  </w:footnote>
  <w:footnote w:id="17">
    <w:p w14:paraId="679476B5" w14:textId="6E47731D" w:rsidR="00FA6571" w:rsidRPr="00787F5A" w:rsidRDefault="00FA6571" w:rsidP="002B5B37">
      <w:pPr>
        <w:pStyle w:val="NormalWeb"/>
        <w:shd w:val="clear" w:color="auto" w:fill="FFFFFF"/>
        <w:spacing w:before="0" w:beforeAutospacing="0" w:after="0" w:afterAutospacing="0"/>
        <w:jc w:val="both"/>
        <w:rPr>
          <w:bCs/>
          <w:color w:val="000000" w:themeColor="text1"/>
          <w:sz w:val="18"/>
          <w:szCs w:val="18"/>
        </w:rPr>
      </w:pPr>
      <w:r w:rsidRPr="00787F5A">
        <w:rPr>
          <w:rStyle w:val="FootnoteReference"/>
          <w:sz w:val="18"/>
          <w:szCs w:val="18"/>
        </w:rPr>
        <w:footnoteRef/>
      </w:r>
      <w:r w:rsidRPr="00787F5A">
        <w:rPr>
          <w:sz w:val="18"/>
          <w:szCs w:val="18"/>
        </w:rPr>
        <w:t xml:space="preserve"> </w:t>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(6.lpp.)</w:t>
      </w:r>
    </w:p>
  </w:footnote>
  <w:footnote w:id="18">
    <w:p w14:paraId="1C4BE0A0" w14:textId="34140CB3" w:rsidR="00FA6571" w:rsidRPr="00787F5A" w:rsidRDefault="00FA6571">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bCs/>
          <w:color w:val="000000" w:themeColor="text1"/>
          <w:sz w:val="18"/>
          <w:szCs w:val="18"/>
        </w:rPr>
        <w:t xml:space="preserve">Ministru kabineta rīkojums Nr.589 </w:t>
      </w:r>
      <w:r w:rsidRPr="00787F5A">
        <w:rPr>
          <w:rFonts w:ascii="Times New Roman" w:hAnsi="Times New Roman" w:cs="Times New Roman"/>
          <w:color w:val="000000" w:themeColor="text1"/>
          <w:sz w:val="18"/>
          <w:szCs w:val="18"/>
        </w:rPr>
        <w:t>2014.gada 14.oktobrī (prot. Nr.51 53.§) “</w:t>
      </w:r>
      <w:r w:rsidRPr="00787F5A">
        <w:rPr>
          <w:rFonts w:ascii="Times New Roman" w:hAnsi="Times New Roman" w:cs="Times New Roman"/>
          <w:color w:val="000000" w:themeColor="text1"/>
          <w:sz w:val="18"/>
          <w:szCs w:val="18"/>
          <w:lang w:bidi="en-US"/>
        </w:rPr>
        <w:t>Sabiedrības veselības pamatnostādnes 2014-2020” (83.lpp.)</w:t>
      </w:r>
    </w:p>
  </w:footnote>
  <w:footnote w:id="19">
    <w:p w14:paraId="01FF0263" w14:textId="383C6FF8" w:rsidR="00FA6571" w:rsidRPr="00787F5A" w:rsidRDefault="00FA6571" w:rsidP="006213DE">
      <w:pPr>
        <w:pStyle w:val="NormalWeb"/>
        <w:shd w:val="clear" w:color="auto" w:fill="FFFFFF"/>
        <w:spacing w:before="0" w:beforeAutospacing="0" w:after="0" w:afterAutospacing="0"/>
        <w:jc w:val="both"/>
        <w:rPr>
          <w:sz w:val="18"/>
          <w:szCs w:val="18"/>
        </w:rPr>
      </w:pPr>
      <w:r w:rsidRPr="00787F5A">
        <w:rPr>
          <w:rStyle w:val="FootnoteReference"/>
          <w:sz w:val="18"/>
          <w:szCs w:val="18"/>
        </w:rPr>
        <w:footnoteRef/>
      </w:r>
      <w:r w:rsidRPr="00787F5A">
        <w:rPr>
          <w:sz w:val="18"/>
          <w:szCs w:val="18"/>
        </w:rPr>
        <w:t xml:space="preserve"> </w:t>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(6.-7.lpp.)</w:t>
      </w:r>
    </w:p>
  </w:footnote>
  <w:footnote w:id="20">
    <w:p w14:paraId="2F0B4D7B" w14:textId="77777777" w:rsidR="00FA6571" w:rsidRPr="005E30C5" w:rsidRDefault="00FA6571" w:rsidP="00A937D8">
      <w:pPr>
        <w:pStyle w:val="FootnoteText"/>
        <w:jc w:val="both"/>
        <w:rPr>
          <w:rFonts w:ascii="Times New Roman" w:hAnsi="Times New Roman" w:cs="Times New Roman"/>
          <w:sz w:val="18"/>
          <w:szCs w:val="18"/>
        </w:rPr>
      </w:pPr>
      <w:r w:rsidRPr="004C1238">
        <w:rPr>
          <w:rStyle w:val="FootnoteReference"/>
          <w:rFonts w:ascii="Times New Roman" w:hAnsi="Times New Roman" w:cs="Times New Roman"/>
          <w:sz w:val="18"/>
          <w:szCs w:val="18"/>
        </w:rPr>
        <w:footnoteRef/>
      </w:r>
      <w:r w:rsidRPr="004C1238">
        <w:rPr>
          <w:rFonts w:ascii="Times New Roman" w:hAnsi="Times New Roman" w:cs="Times New Roman"/>
          <w:sz w:val="18"/>
          <w:szCs w:val="18"/>
        </w:rPr>
        <w:t xml:space="preserve"> Tiek novērtēta kopējā intervences ietekme, ņemot vērā ambulatoro pakalpojumu dažādību un to ietekmi uz dažādām saslimšanas diagnozēm</w:t>
      </w:r>
    </w:p>
  </w:footnote>
  <w:footnote w:id="21">
    <w:p w14:paraId="253571A7" w14:textId="3F6F5CF5" w:rsidR="00FA6571" w:rsidRPr="006213DE" w:rsidRDefault="00FA6571">
      <w:pPr>
        <w:pStyle w:val="FootnoteText"/>
        <w:rPr>
          <w:rFonts w:ascii="Times New Roman" w:hAnsi="Times New Roman"/>
        </w:rPr>
      </w:pPr>
      <w:r w:rsidRPr="006213DE">
        <w:rPr>
          <w:rStyle w:val="FootnoteReference"/>
          <w:rFonts w:ascii="Times New Roman" w:hAnsi="Times New Roman"/>
          <w:sz w:val="18"/>
        </w:rPr>
        <w:footnoteRef/>
      </w:r>
      <w:r w:rsidRPr="006213DE">
        <w:rPr>
          <w:rFonts w:ascii="Times New Roman" w:hAnsi="Times New Roman"/>
        </w:rPr>
        <w:t xml:space="preserve"> Avots: PVO</w:t>
      </w:r>
    </w:p>
  </w:footnote>
  <w:footnote w:id="22">
    <w:p w14:paraId="616C435E" w14:textId="06679B23" w:rsidR="00FA6571" w:rsidRPr="005423DB" w:rsidRDefault="00FA6571">
      <w:pPr>
        <w:pStyle w:val="FootnoteText"/>
        <w:rPr>
          <w:rFonts w:ascii="Times New Roman" w:hAnsi="Times New Roman" w:cs="Times New Roman"/>
          <w:sz w:val="18"/>
          <w:szCs w:val="18"/>
        </w:rPr>
      </w:pPr>
      <w:r w:rsidRPr="005423DB">
        <w:rPr>
          <w:rStyle w:val="FootnoteReference"/>
          <w:rFonts w:ascii="Times New Roman" w:hAnsi="Times New Roman" w:cs="Times New Roman"/>
          <w:sz w:val="18"/>
          <w:szCs w:val="18"/>
        </w:rPr>
        <w:footnoteRef/>
      </w:r>
      <w:r w:rsidRPr="005423DB">
        <w:rPr>
          <w:rFonts w:ascii="Times New Roman" w:hAnsi="Times New Roman" w:cs="Times New Roman"/>
          <w:sz w:val="18"/>
          <w:szCs w:val="18"/>
        </w:rPr>
        <w:t xml:space="preserve"> http://ec.europa.eu/eurostat/tgm/table.do?tab=table&amp;init=1&amp;language=en&amp;pcode=tespm110&amp;plugin=1</w:t>
      </w:r>
    </w:p>
  </w:footnote>
  <w:footnote w:id="23">
    <w:p w14:paraId="014D6961" w14:textId="77777777" w:rsidR="00FA6571" w:rsidRDefault="00FA6571" w:rsidP="00FB6020">
      <w:pPr>
        <w:pStyle w:val="Heading1"/>
        <w:shd w:val="clear" w:color="auto" w:fill="FFFFFF"/>
        <w:spacing w:before="0"/>
        <w:textAlignment w:val="baseline"/>
      </w:pPr>
      <w:r w:rsidRPr="0039218A">
        <w:rPr>
          <w:rStyle w:val="FootnoteReference"/>
          <w:rFonts w:ascii="Times New Roman" w:hAnsi="Times New Roman" w:cs="Times New Roman"/>
          <w:sz w:val="18"/>
          <w:szCs w:val="18"/>
        </w:rPr>
        <w:footnoteRef/>
      </w:r>
      <w:r w:rsidRPr="0039218A">
        <w:rPr>
          <w:rFonts w:ascii="Times New Roman" w:hAnsi="Times New Roman" w:cs="Times New Roman"/>
          <w:sz w:val="18"/>
          <w:szCs w:val="18"/>
        </w:rPr>
        <w:t xml:space="preserve"> </w:t>
      </w:r>
      <w:r w:rsidRPr="0039218A">
        <w:rPr>
          <w:rFonts w:ascii="Times New Roman" w:hAnsi="Times New Roman" w:cs="Times New Roman"/>
          <w:color w:val="333333"/>
          <w:sz w:val="18"/>
          <w:szCs w:val="18"/>
        </w:rPr>
        <w:t>Global health sector strategy on viral hepatitis 2016-2021</w:t>
      </w:r>
    </w:p>
  </w:footnote>
  <w:footnote w:id="24">
    <w:p w14:paraId="11D05AC0" w14:textId="77777777" w:rsidR="00FA6571" w:rsidRPr="00F676C2" w:rsidRDefault="00FA6571" w:rsidP="00FB6020">
      <w:pPr>
        <w:pStyle w:val="FootnoteText"/>
        <w:rPr>
          <w:rFonts w:ascii="Times New Roman" w:hAnsi="Times New Roman" w:cs="Times New Roman"/>
          <w:sz w:val="18"/>
          <w:szCs w:val="18"/>
        </w:rPr>
      </w:pPr>
      <w:r w:rsidRPr="00F676C2">
        <w:rPr>
          <w:rStyle w:val="FootnoteReference"/>
          <w:rFonts w:ascii="Times New Roman" w:hAnsi="Times New Roman" w:cs="Times New Roman"/>
          <w:sz w:val="18"/>
          <w:szCs w:val="18"/>
        </w:rPr>
        <w:footnoteRef/>
      </w:r>
      <w:r w:rsidRPr="00F676C2">
        <w:rPr>
          <w:rFonts w:ascii="Times New Roman" w:hAnsi="Times New Roman" w:cs="Times New Roman"/>
          <w:sz w:val="18"/>
          <w:szCs w:val="18"/>
        </w:rPr>
        <w:t xml:space="preserve"> ASV bāzēts sabiedrības veselības pētījumu uzņēmums, kura pamatdarbības jomas ir epidemioloģija un slimību izplatības modelēšana</w:t>
      </w:r>
      <w:r>
        <w:rPr>
          <w:rFonts w:ascii="Times New Roman" w:hAnsi="Times New Roman" w:cs="Times New Roman"/>
          <w:sz w:val="18"/>
          <w:szCs w:val="18"/>
        </w:rPr>
        <w:t xml:space="preserve">, tai skaitā slimību ekonomiskās ietekmes analīze. </w:t>
      </w:r>
      <w:r w:rsidRPr="00F676C2">
        <w:rPr>
          <w:rFonts w:ascii="Times New Roman" w:hAnsi="Times New Roman" w:cs="Times New Roman"/>
          <w:sz w:val="18"/>
          <w:szCs w:val="18"/>
        </w:rPr>
        <w:t>http://centerforda.com/about_us.htm</w:t>
      </w:r>
    </w:p>
  </w:footnote>
  <w:footnote w:id="25">
    <w:p w14:paraId="1DDC38F9" w14:textId="7BBC40CA" w:rsidR="00FA6571" w:rsidRPr="0043129A" w:rsidRDefault="00FA6571" w:rsidP="00955BDE">
      <w:pPr>
        <w:pStyle w:val="FootnoteText"/>
        <w:rPr>
          <w:rFonts w:ascii="Times New Roman" w:hAnsi="Times New Roman" w:cs="Times New Roman"/>
          <w:sz w:val="18"/>
          <w:szCs w:val="18"/>
        </w:rPr>
      </w:pPr>
      <w:r w:rsidRPr="0043129A">
        <w:rPr>
          <w:rStyle w:val="FootnoteReference"/>
          <w:rFonts w:ascii="Times New Roman" w:hAnsi="Times New Roman" w:cs="Times New Roman"/>
          <w:sz w:val="18"/>
          <w:szCs w:val="18"/>
        </w:rPr>
        <w:footnoteRef/>
      </w:r>
      <w:r w:rsidRPr="0043129A">
        <w:rPr>
          <w:rFonts w:ascii="Times New Roman" w:hAnsi="Times New Roman" w:cs="Times New Roman"/>
          <w:sz w:val="18"/>
          <w:szCs w:val="18"/>
        </w:rPr>
        <w:t xml:space="preserve"> Avots SPK</w:t>
      </w:r>
      <w:r>
        <w:rPr>
          <w:rFonts w:ascii="Times New Roman" w:hAnsi="Times New Roman" w:cs="Times New Roman"/>
          <w:sz w:val="18"/>
          <w:szCs w:val="18"/>
        </w:rPr>
        <w:t>C</w:t>
      </w:r>
      <w:r w:rsidRPr="0043129A">
        <w:rPr>
          <w:rFonts w:ascii="Times New Roman" w:hAnsi="Times New Roman" w:cs="Times New Roman"/>
          <w:sz w:val="18"/>
          <w:szCs w:val="18"/>
        </w:rPr>
        <w:t xml:space="preserve"> infekcijas slimību uzraudzības un monitoringa sistēmas VISUMS (apkopo informāciju par jaunatklātiem VHC infekcijas gadījumiem)</w:t>
      </w:r>
    </w:p>
    <w:p w14:paraId="24825CE9" w14:textId="77777777" w:rsidR="00FA6571" w:rsidRPr="006213DE" w:rsidRDefault="00FA6571" w:rsidP="00955BDE">
      <w:pPr>
        <w:pStyle w:val="FootnoteText"/>
      </w:pPr>
    </w:p>
  </w:footnote>
  <w:footnote w:id="26">
    <w:p w14:paraId="5549CD02" w14:textId="77777777" w:rsidR="00FA6571" w:rsidRPr="0043129A" w:rsidRDefault="00FA6571" w:rsidP="00955BDE">
      <w:pPr>
        <w:pStyle w:val="FootnoteText"/>
        <w:rPr>
          <w:rFonts w:ascii="Times New Roman" w:hAnsi="Times New Roman" w:cs="Times New Roman"/>
          <w:sz w:val="18"/>
          <w:szCs w:val="18"/>
        </w:rPr>
      </w:pPr>
      <w:r w:rsidRPr="0043129A">
        <w:rPr>
          <w:rStyle w:val="FootnoteReference"/>
          <w:rFonts w:ascii="Times New Roman" w:hAnsi="Times New Roman" w:cs="Times New Roman"/>
          <w:sz w:val="18"/>
          <w:szCs w:val="18"/>
        </w:rPr>
        <w:footnoteRef/>
      </w:r>
      <w:r w:rsidRPr="0043129A">
        <w:rPr>
          <w:rFonts w:ascii="Times New Roman" w:hAnsi="Times New Roman" w:cs="Times New Roman"/>
          <w:sz w:val="18"/>
          <w:szCs w:val="18"/>
        </w:rPr>
        <w:t xml:space="preserve"> Avots SPKC VHC pacientu reģistrs (apkopo informāciju par VHC pacientiem, kas vērsušies pie ārsta)</w:t>
      </w:r>
    </w:p>
  </w:footnote>
  <w:footnote w:id="27">
    <w:p w14:paraId="7468D844" w14:textId="77777777" w:rsidR="00FA6571" w:rsidRPr="006213DE" w:rsidRDefault="00FA6571" w:rsidP="00942754">
      <w:pPr>
        <w:pStyle w:val="FootnoteText"/>
        <w:rPr>
          <w:rFonts w:ascii="Times New Roman" w:hAnsi="Times New Roman"/>
          <w:sz w:val="18"/>
        </w:rPr>
      </w:pPr>
      <w:r w:rsidRPr="006213DE">
        <w:rPr>
          <w:rStyle w:val="FootnoteReference"/>
          <w:rFonts w:ascii="Times New Roman" w:hAnsi="Times New Roman"/>
          <w:sz w:val="18"/>
        </w:rPr>
        <w:footnoteRef/>
      </w:r>
      <w:r w:rsidRPr="006213DE">
        <w:rPr>
          <w:rFonts w:ascii="Times New Roman" w:hAnsi="Times New Roman"/>
          <w:sz w:val="18"/>
        </w:rPr>
        <w:t xml:space="preserve"> </w:t>
      </w:r>
      <w:r w:rsidRPr="00942754">
        <w:rPr>
          <w:rFonts w:ascii="Times New Roman" w:hAnsi="Times New Roman"/>
          <w:sz w:val="18"/>
        </w:rPr>
        <w:t>SPKC Nāves cēloņu datubāze</w:t>
      </w:r>
    </w:p>
  </w:footnote>
  <w:footnote w:id="28">
    <w:p w14:paraId="11339AD3" w14:textId="77777777" w:rsidR="00FA6571" w:rsidRPr="0039218A" w:rsidRDefault="00FA6571" w:rsidP="00942754">
      <w:pPr>
        <w:pStyle w:val="FootnoteText"/>
        <w:rPr>
          <w:rFonts w:ascii="Times New Roman" w:hAnsi="Times New Roman" w:cs="Times New Roman"/>
          <w:sz w:val="18"/>
          <w:szCs w:val="18"/>
        </w:rPr>
      </w:pPr>
      <w:r w:rsidRPr="0039218A">
        <w:rPr>
          <w:rStyle w:val="FootnoteReference"/>
          <w:rFonts w:ascii="Times New Roman" w:hAnsi="Times New Roman" w:cs="Times New Roman"/>
          <w:sz w:val="18"/>
          <w:szCs w:val="18"/>
        </w:rPr>
        <w:footnoteRef/>
      </w:r>
      <w:r w:rsidRPr="0039218A">
        <w:rPr>
          <w:rFonts w:ascii="Times New Roman" w:hAnsi="Times New Roman" w:cs="Times New Roman"/>
          <w:sz w:val="18"/>
          <w:szCs w:val="18"/>
        </w:rPr>
        <w:t xml:space="preserve">http://cid.oxfordjournals.org/content/62/9/1072.full </w:t>
      </w:r>
    </w:p>
    <w:p w14:paraId="03C75D88" w14:textId="77777777" w:rsidR="00FA6571" w:rsidRPr="0039218A" w:rsidRDefault="00FA6571" w:rsidP="00942754">
      <w:pPr>
        <w:pStyle w:val="FootnoteText"/>
        <w:rPr>
          <w:rFonts w:ascii="Times New Roman" w:hAnsi="Times New Roman" w:cs="Times New Roman"/>
          <w:sz w:val="18"/>
          <w:szCs w:val="18"/>
        </w:rPr>
      </w:pPr>
      <w:r w:rsidRPr="0039218A">
        <w:rPr>
          <w:rFonts w:ascii="Times New Roman" w:hAnsi="Times New Roman" w:cs="Times New Roman"/>
          <w:sz w:val="18"/>
          <w:szCs w:val="18"/>
        </w:rPr>
        <w:t xml:space="preserve"> http://betablog.org/can-treatment-prevention-work-hepatitis-c/, https://www.ncbi.nlm.nih.gov/pubmed/26524330 , </w:t>
      </w:r>
    </w:p>
  </w:footnote>
  <w:footnote w:id="29">
    <w:p w14:paraId="125BEBD2" w14:textId="77777777" w:rsidR="00FA6571" w:rsidRPr="0039218A" w:rsidRDefault="00FA6571" w:rsidP="00942754">
      <w:pPr>
        <w:pStyle w:val="FootnoteText"/>
        <w:rPr>
          <w:rFonts w:ascii="Times New Roman" w:hAnsi="Times New Roman" w:cs="Times New Roman"/>
          <w:sz w:val="18"/>
          <w:szCs w:val="18"/>
        </w:rPr>
      </w:pPr>
      <w:r w:rsidRPr="0039218A">
        <w:rPr>
          <w:rStyle w:val="FootnoteReference"/>
          <w:rFonts w:ascii="Times New Roman" w:hAnsi="Times New Roman" w:cs="Times New Roman"/>
          <w:sz w:val="18"/>
          <w:szCs w:val="18"/>
        </w:rPr>
        <w:footnoteRef/>
      </w:r>
      <w:r w:rsidRPr="0039218A">
        <w:rPr>
          <w:rFonts w:ascii="Times New Roman" w:hAnsi="Times New Roman" w:cs="Times New Roman"/>
          <w:sz w:val="18"/>
          <w:szCs w:val="18"/>
        </w:rPr>
        <w:t xml:space="preserve"> I.Tolmane, A.Jēruma, B.Rozentāle, J.Storoženko RAKUS stacionārs “Latvijas Infektoloģijas centrs”</w:t>
      </w:r>
    </w:p>
  </w:footnote>
  <w:footnote w:id="30">
    <w:p w14:paraId="617C4070" w14:textId="7F0885B3" w:rsidR="00FA6571" w:rsidRPr="006213DE" w:rsidRDefault="00FA6571">
      <w:pPr>
        <w:pStyle w:val="FootnoteText"/>
        <w:rPr>
          <w:rFonts w:ascii="Times New Roman" w:hAnsi="Times New Roman"/>
          <w:sz w:val="18"/>
        </w:rPr>
      </w:pPr>
      <w:r w:rsidRPr="006213DE">
        <w:rPr>
          <w:rStyle w:val="FootnoteReference"/>
          <w:rFonts w:ascii="Times New Roman" w:hAnsi="Times New Roman"/>
          <w:sz w:val="18"/>
        </w:rPr>
        <w:footnoteRef/>
      </w:r>
      <w:r w:rsidRPr="006213DE">
        <w:rPr>
          <w:rFonts w:ascii="Times New Roman" w:hAnsi="Times New Roman"/>
          <w:sz w:val="18"/>
        </w:rPr>
        <w:t xml:space="preserve"> Ceļu satiksmes drošības direkcijas dati</w:t>
      </w:r>
    </w:p>
  </w:footnote>
  <w:footnote w:id="31">
    <w:p w14:paraId="4201FB3B" w14:textId="77777777" w:rsidR="00FA6571" w:rsidRPr="00AB740E" w:rsidRDefault="00FA6571" w:rsidP="00464BD8">
      <w:pPr>
        <w:pStyle w:val="FootnoteText"/>
        <w:rPr>
          <w:rFonts w:ascii="Times New Roman" w:hAnsi="Times New Roman" w:cs="Times New Roman"/>
          <w:sz w:val="18"/>
          <w:szCs w:val="18"/>
        </w:rPr>
      </w:pPr>
      <w:r w:rsidRPr="00AB740E">
        <w:rPr>
          <w:rStyle w:val="FootnoteReference"/>
          <w:rFonts w:ascii="Times New Roman" w:hAnsi="Times New Roman" w:cs="Times New Roman"/>
          <w:sz w:val="18"/>
          <w:szCs w:val="18"/>
        </w:rPr>
        <w:footnoteRef/>
      </w:r>
      <w:r w:rsidRPr="00AB740E">
        <w:rPr>
          <w:rFonts w:ascii="Times New Roman" w:hAnsi="Times New Roman" w:cs="Times New Roman"/>
          <w:sz w:val="18"/>
          <w:szCs w:val="18"/>
        </w:rPr>
        <w:t xml:space="preserve"> </w:t>
      </w:r>
      <w:r w:rsidRPr="00AB740E">
        <w:rPr>
          <w:rFonts w:ascii="Times New Roman" w:eastAsia="Times New Roman" w:hAnsi="Times New Roman" w:cs="Times New Roman"/>
          <w:color w:val="000000" w:themeColor="text1"/>
          <w:sz w:val="18"/>
          <w:szCs w:val="18"/>
          <w:lang w:eastAsia="lv-LV"/>
        </w:rPr>
        <w:t>Atbilstoši 2016.gada 30.augusta sēdes protokollēmuma Nr.43 23§ 2.punktā un likum</w:t>
      </w:r>
      <w:r>
        <w:rPr>
          <w:rFonts w:ascii="Times New Roman" w:eastAsia="Times New Roman" w:hAnsi="Times New Roman" w:cs="Times New Roman"/>
          <w:color w:val="000000" w:themeColor="text1"/>
          <w:sz w:val="18"/>
          <w:szCs w:val="18"/>
          <w:lang w:eastAsia="lv-LV"/>
        </w:rPr>
        <w:t>ā</w:t>
      </w:r>
      <w:r w:rsidRPr="00AB740E">
        <w:rPr>
          <w:rFonts w:ascii="Times New Roman" w:eastAsia="Times New Roman" w:hAnsi="Times New Roman" w:cs="Times New Roman"/>
          <w:color w:val="000000" w:themeColor="text1"/>
          <w:sz w:val="18"/>
          <w:szCs w:val="18"/>
          <w:lang w:eastAsia="lv-LV"/>
        </w:rPr>
        <w:t xml:space="preserve"> “Par valsts budžetu 2017.gadam” 56.pantā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1090549"/>
      <w:docPartObj>
        <w:docPartGallery w:val="Page Numbers (Top of Page)"/>
        <w:docPartUnique/>
      </w:docPartObj>
    </w:sdtPr>
    <w:sdtEndPr/>
    <w:sdtContent>
      <w:p w14:paraId="4D378B0C" w14:textId="6AE73B74" w:rsidR="00FA6571" w:rsidRPr="005423DB" w:rsidRDefault="00FA6571">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F861BD">
          <w:rPr>
            <w:rFonts w:ascii="Times New Roman" w:hAnsi="Times New Roman" w:cs="Times New Roman"/>
            <w:noProof/>
          </w:rPr>
          <w:t>24</w:t>
        </w:r>
        <w:r w:rsidRPr="005423DB">
          <w:rPr>
            <w:rFonts w:ascii="Times New Roman" w:hAnsi="Times New Roman" w:cs="Times New Roman"/>
          </w:rPr>
          <w:fldChar w:fldCharType="end"/>
        </w:r>
      </w:p>
    </w:sdtContent>
  </w:sdt>
  <w:p w14:paraId="6B700509" w14:textId="77777777" w:rsidR="00FA6571" w:rsidRDefault="00FA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3E"/>
    <w:multiLevelType w:val="hybridMultilevel"/>
    <w:tmpl w:val="BA5CF9E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D23578"/>
    <w:multiLevelType w:val="hybridMultilevel"/>
    <w:tmpl w:val="D31A3B1A"/>
    <w:lvl w:ilvl="0" w:tplc="E5B4DB80">
      <w:start w:val="1"/>
      <w:numFmt w:val="bullet"/>
      <w:lvlText w:val="•"/>
      <w:lvlJc w:val="left"/>
      <w:pPr>
        <w:tabs>
          <w:tab w:val="num" w:pos="720"/>
        </w:tabs>
        <w:ind w:left="720" w:hanging="360"/>
      </w:pPr>
      <w:rPr>
        <w:rFonts w:ascii="Arial" w:hAnsi="Arial" w:hint="default"/>
      </w:rPr>
    </w:lvl>
    <w:lvl w:ilvl="1" w:tplc="3B20B0A4" w:tentative="1">
      <w:start w:val="1"/>
      <w:numFmt w:val="bullet"/>
      <w:lvlText w:val="•"/>
      <w:lvlJc w:val="left"/>
      <w:pPr>
        <w:tabs>
          <w:tab w:val="num" w:pos="1440"/>
        </w:tabs>
        <w:ind w:left="1440" w:hanging="360"/>
      </w:pPr>
      <w:rPr>
        <w:rFonts w:ascii="Arial" w:hAnsi="Arial" w:hint="default"/>
      </w:rPr>
    </w:lvl>
    <w:lvl w:ilvl="2" w:tplc="14D69AC4" w:tentative="1">
      <w:start w:val="1"/>
      <w:numFmt w:val="bullet"/>
      <w:lvlText w:val="•"/>
      <w:lvlJc w:val="left"/>
      <w:pPr>
        <w:tabs>
          <w:tab w:val="num" w:pos="2160"/>
        </w:tabs>
        <w:ind w:left="2160" w:hanging="360"/>
      </w:pPr>
      <w:rPr>
        <w:rFonts w:ascii="Arial" w:hAnsi="Arial" w:hint="default"/>
      </w:rPr>
    </w:lvl>
    <w:lvl w:ilvl="3" w:tplc="D32828C4" w:tentative="1">
      <w:start w:val="1"/>
      <w:numFmt w:val="bullet"/>
      <w:lvlText w:val="•"/>
      <w:lvlJc w:val="left"/>
      <w:pPr>
        <w:tabs>
          <w:tab w:val="num" w:pos="2880"/>
        </w:tabs>
        <w:ind w:left="2880" w:hanging="360"/>
      </w:pPr>
      <w:rPr>
        <w:rFonts w:ascii="Arial" w:hAnsi="Arial" w:hint="default"/>
      </w:rPr>
    </w:lvl>
    <w:lvl w:ilvl="4" w:tplc="4896F650" w:tentative="1">
      <w:start w:val="1"/>
      <w:numFmt w:val="bullet"/>
      <w:lvlText w:val="•"/>
      <w:lvlJc w:val="left"/>
      <w:pPr>
        <w:tabs>
          <w:tab w:val="num" w:pos="3600"/>
        </w:tabs>
        <w:ind w:left="3600" w:hanging="360"/>
      </w:pPr>
      <w:rPr>
        <w:rFonts w:ascii="Arial" w:hAnsi="Arial" w:hint="default"/>
      </w:rPr>
    </w:lvl>
    <w:lvl w:ilvl="5" w:tplc="E21CEA46" w:tentative="1">
      <w:start w:val="1"/>
      <w:numFmt w:val="bullet"/>
      <w:lvlText w:val="•"/>
      <w:lvlJc w:val="left"/>
      <w:pPr>
        <w:tabs>
          <w:tab w:val="num" w:pos="4320"/>
        </w:tabs>
        <w:ind w:left="4320" w:hanging="360"/>
      </w:pPr>
      <w:rPr>
        <w:rFonts w:ascii="Arial" w:hAnsi="Arial" w:hint="default"/>
      </w:rPr>
    </w:lvl>
    <w:lvl w:ilvl="6" w:tplc="0AC0B0C0" w:tentative="1">
      <w:start w:val="1"/>
      <w:numFmt w:val="bullet"/>
      <w:lvlText w:val="•"/>
      <w:lvlJc w:val="left"/>
      <w:pPr>
        <w:tabs>
          <w:tab w:val="num" w:pos="5040"/>
        </w:tabs>
        <w:ind w:left="5040" w:hanging="360"/>
      </w:pPr>
      <w:rPr>
        <w:rFonts w:ascii="Arial" w:hAnsi="Arial" w:hint="default"/>
      </w:rPr>
    </w:lvl>
    <w:lvl w:ilvl="7" w:tplc="614E5FE2" w:tentative="1">
      <w:start w:val="1"/>
      <w:numFmt w:val="bullet"/>
      <w:lvlText w:val="•"/>
      <w:lvlJc w:val="left"/>
      <w:pPr>
        <w:tabs>
          <w:tab w:val="num" w:pos="5760"/>
        </w:tabs>
        <w:ind w:left="5760" w:hanging="360"/>
      </w:pPr>
      <w:rPr>
        <w:rFonts w:ascii="Arial" w:hAnsi="Arial" w:hint="default"/>
      </w:rPr>
    </w:lvl>
    <w:lvl w:ilvl="8" w:tplc="F83471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A0F01"/>
    <w:multiLevelType w:val="hybridMultilevel"/>
    <w:tmpl w:val="AE685D6E"/>
    <w:lvl w:ilvl="0" w:tplc="D832B6B4">
      <w:start w:val="1"/>
      <w:numFmt w:val="bullet"/>
      <w:lvlText w:val=""/>
      <w:lvlJc w:val="left"/>
      <w:pPr>
        <w:tabs>
          <w:tab w:val="num" w:pos="720"/>
        </w:tabs>
        <w:ind w:left="720" w:hanging="360"/>
      </w:pPr>
      <w:rPr>
        <w:rFonts w:ascii="Wingdings" w:hAnsi="Wingdings" w:hint="default"/>
      </w:rPr>
    </w:lvl>
    <w:lvl w:ilvl="1" w:tplc="9CC4AFFC" w:tentative="1">
      <w:start w:val="1"/>
      <w:numFmt w:val="bullet"/>
      <w:lvlText w:val=""/>
      <w:lvlJc w:val="left"/>
      <w:pPr>
        <w:tabs>
          <w:tab w:val="num" w:pos="1440"/>
        </w:tabs>
        <w:ind w:left="1440" w:hanging="360"/>
      </w:pPr>
      <w:rPr>
        <w:rFonts w:ascii="Wingdings" w:hAnsi="Wingdings" w:hint="default"/>
      </w:rPr>
    </w:lvl>
    <w:lvl w:ilvl="2" w:tplc="E8967E62" w:tentative="1">
      <w:start w:val="1"/>
      <w:numFmt w:val="bullet"/>
      <w:lvlText w:val=""/>
      <w:lvlJc w:val="left"/>
      <w:pPr>
        <w:tabs>
          <w:tab w:val="num" w:pos="2160"/>
        </w:tabs>
        <w:ind w:left="2160" w:hanging="360"/>
      </w:pPr>
      <w:rPr>
        <w:rFonts w:ascii="Wingdings" w:hAnsi="Wingdings" w:hint="default"/>
      </w:rPr>
    </w:lvl>
    <w:lvl w:ilvl="3" w:tplc="D8FCC232" w:tentative="1">
      <w:start w:val="1"/>
      <w:numFmt w:val="bullet"/>
      <w:lvlText w:val=""/>
      <w:lvlJc w:val="left"/>
      <w:pPr>
        <w:tabs>
          <w:tab w:val="num" w:pos="2880"/>
        </w:tabs>
        <w:ind w:left="2880" w:hanging="360"/>
      </w:pPr>
      <w:rPr>
        <w:rFonts w:ascii="Wingdings" w:hAnsi="Wingdings" w:hint="default"/>
      </w:rPr>
    </w:lvl>
    <w:lvl w:ilvl="4" w:tplc="75C445BC" w:tentative="1">
      <w:start w:val="1"/>
      <w:numFmt w:val="bullet"/>
      <w:lvlText w:val=""/>
      <w:lvlJc w:val="left"/>
      <w:pPr>
        <w:tabs>
          <w:tab w:val="num" w:pos="3600"/>
        </w:tabs>
        <w:ind w:left="3600" w:hanging="360"/>
      </w:pPr>
      <w:rPr>
        <w:rFonts w:ascii="Wingdings" w:hAnsi="Wingdings" w:hint="default"/>
      </w:rPr>
    </w:lvl>
    <w:lvl w:ilvl="5" w:tplc="ABEAAEE6" w:tentative="1">
      <w:start w:val="1"/>
      <w:numFmt w:val="bullet"/>
      <w:lvlText w:val=""/>
      <w:lvlJc w:val="left"/>
      <w:pPr>
        <w:tabs>
          <w:tab w:val="num" w:pos="4320"/>
        </w:tabs>
        <w:ind w:left="4320" w:hanging="360"/>
      </w:pPr>
      <w:rPr>
        <w:rFonts w:ascii="Wingdings" w:hAnsi="Wingdings" w:hint="default"/>
      </w:rPr>
    </w:lvl>
    <w:lvl w:ilvl="6" w:tplc="4D287B96" w:tentative="1">
      <w:start w:val="1"/>
      <w:numFmt w:val="bullet"/>
      <w:lvlText w:val=""/>
      <w:lvlJc w:val="left"/>
      <w:pPr>
        <w:tabs>
          <w:tab w:val="num" w:pos="5040"/>
        </w:tabs>
        <w:ind w:left="5040" w:hanging="360"/>
      </w:pPr>
      <w:rPr>
        <w:rFonts w:ascii="Wingdings" w:hAnsi="Wingdings" w:hint="default"/>
      </w:rPr>
    </w:lvl>
    <w:lvl w:ilvl="7" w:tplc="ADB814F2" w:tentative="1">
      <w:start w:val="1"/>
      <w:numFmt w:val="bullet"/>
      <w:lvlText w:val=""/>
      <w:lvlJc w:val="left"/>
      <w:pPr>
        <w:tabs>
          <w:tab w:val="num" w:pos="5760"/>
        </w:tabs>
        <w:ind w:left="5760" w:hanging="360"/>
      </w:pPr>
      <w:rPr>
        <w:rFonts w:ascii="Wingdings" w:hAnsi="Wingdings" w:hint="default"/>
      </w:rPr>
    </w:lvl>
    <w:lvl w:ilvl="8" w:tplc="FD1E31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224C9"/>
    <w:multiLevelType w:val="hybridMultilevel"/>
    <w:tmpl w:val="C58E8FC2"/>
    <w:lvl w:ilvl="0" w:tplc="76B21172">
      <w:start w:val="1"/>
      <w:numFmt w:val="bullet"/>
      <w:lvlText w:val="•"/>
      <w:lvlJc w:val="left"/>
      <w:pPr>
        <w:tabs>
          <w:tab w:val="num" w:pos="720"/>
        </w:tabs>
        <w:ind w:left="720" w:hanging="360"/>
      </w:pPr>
      <w:rPr>
        <w:rFonts w:ascii="Arial" w:hAnsi="Arial" w:hint="default"/>
      </w:rPr>
    </w:lvl>
    <w:lvl w:ilvl="1" w:tplc="A3F68672" w:tentative="1">
      <w:start w:val="1"/>
      <w:numFmt w:val="bullet"/>
      <w:lvlText w:val="•"/>
      <w:lvlJc w:val="left"/>
      <w:pPr>
        <w:tabs>
          <w:tab w:val="num" w:pos="1440"/>
        </w:tabs>
        <w:ind w:left="1440" w:hanging="360"/>
      </w:pPr>
      <w:rPr>
        <w:rFonts w:ascii="Arial" w:hAnsi="Arial" w:hint="default"/>
      </w:rPr>
    </w:lvl>
    <w:lvl w:ilvl="2" w:tplc="501A4DFE" w:tentative="1">
      <w:start w:val="1"/>
      <w:numFmt w:val="bullet"/>
      <w:lvlText w:val="•"/>
      <w:lvlJc w:val="left"/>
      <w:pPr>
        <w:tabs>
          <w:tab w:val="num" w:pos="2160"/>
        </w:tabs>
        <w:ind w:left="2160" w:hanging="360"/>
      </w:pPr>
      <w:rPr>
        <w:rFonts w:ascii="Arial" w:hAnsi="Arial" w:hint="default"/>
      </w:rPr>
    </w:lvl>
    <w:lvl w:ilvl="3" w:tplc="6642675A" w:tentative="1">
      <w:start w:val="1"/>
      <w:numFmt w:val="bullet"/>
      <w:lvlText w:val="•"/>
      <w:lvlJc w:val="left"/>
      <w:pPr>
        <w:tabs>
          <w:tab w:val="num" w:pos="2880"/>
        </w:tabs>
        <w:ind w:left="2880" w:hanging="360"/>
      </w:pPr>
      <w:rPr>
        <w:rFonts w:ascii="Arial" w:hAnsi="Arial" w:hint="default"/>
      </w:rPr>
    </w:lvl>
    <w:lvl w:ilvl="4" w:tplc="46E649DA" w:tentative="1">
      <w:start w:val="1"/>
      <w:numFmt w:val="bullet"/>
      <w:lvlText w:val="•"/>
      <w:lvlJc w:val="left"/>
      <w:pPr>
        <w:tabs>
          <w:tab w:val="num" w:pos="3600"/>
        </w:tabs>
        <w:ind w:left="3600" w:hanging="360"/>
      </w:pPr>
      <w:rPr>
        <w:rFonts w:ascii="Arial" w:hAnsi="Arial" w:hint="default"/>
      </w:rPr>
    </w:lvl>
    <w:lvl w:ilvl="5" w:tplc="8BACEBB8" w:tentative="1">
      <w:start w:val="1"/>
      <w:numFmt w:val="bullet"/>
      <w:lvlText w:val="•"/>
      <w:lvlJc w:val="left"/>
      <w:pPr>
        <w:tabs>
          <w:tab w:val="num" w:pos="4320"/>
        </w:tabs>
        <w:ind w:left="4320" w:hanging="360"/>
      </w:pPr>
      <w:rPr>
        <w:rFonts w:ascii="Arial" w:hAnsi="Arial" w:hint="default"/>
      </w:rPr>
    </w:lvl>
    <w:lvl w:ilvl="6" w:tplc="78C806B6" w:tentative="1">
      <w:start w:val="1"/>
      <w:numFmt w:val="bullet"/>
      <w:lvlText w:val="•"/>
      <w:lvlJc w:val="left"/>
      <w:pPr>
        <w:tabs>
          <w:tab w:val="num" w:pos="5040"/>
        </w:tabs>
        <w:ind w:left="5040" w:hanging="360"/>
      </w:pPr>
      <w:rPr>
        <w:rFonts w:ascii="Arial" w:hAnsi="Arial" w:hint="default"/>
      </w:rPr>
    </w:lvl>
    <w:lvl w:ilvl="7" w:tplc="B7B075B2" w:tentative="1">
      <w:start w:val="1"/>
      <w:numFmt w:val="bullet"/>
      <w:lvlText w:val="•"/>
      <w:lvlJc w:val="left"/>
      <w:pPr>
        <w:tabs>
          <w:tab w:val="num" w:pos="5760"/>
        </w:tabs>
        <w:ind w:left="5760" w:hanging="360"/>
      </w:pPr>
      <w:rPr>
        <w:rFonts w:ascii="Arial" w:hAnsi="Arial" w:hint="default"/>
      </w:rPr>
    </w:lvl>
    <w:lvl w:ilvl="8" w:tplc="CBE81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F4355"/>
    <w:multiLevelType w:val="hybridMultilevel"/>
    <w:tmpl w:val="75688892"/>
    <w:lvl w:ilvl="0" w:tplc="52C27720">
      <w:start w:val="418"/>
      <w:numFmt w:val="decimal"/>
      <w:lvlText w:val="%1"/>
      <w:lvlJc w:val="left"/>
      <w:pPr>
        <w:ind w:left="720" w:hanging="360"/>
      </w:pPr>
      <w:rPr>
        <w:rFonts w:eastAsia="Times New Roman" w:cs="Times New Roman" w:hint="default"/>
        <w:b/>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ECC60A3"/>
    <w:multiLevelType w:val="multilevel"/>
    <w:tmpl w:val="56DA4DC0"/>
    <w:lvl w:ilvl="0">
      <w:start w:val="2"/>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2243327"/>
    <w:multiLevelType w:val="hybridMultilevel"/>
    <w:tmpl w:val="0386A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209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73188"/>
    <w:multiLevelType w:val="hybridMultilevel"/>
    <w:tmpl w:val="EC1439AC"/>
    <w:lvl w:ilvl="0" w:tplc="DDD49338">
      <w:start w:val="1"/>
      <w:numFmt w:val="bullet"/>
      <w:lvlText w:val="•"/>
      <w:lvlJc w:val="left"/>
      <w:pPr>
        <w:tabs>
          <w:tab w:val="num" w:pos="720"/>
        </w:tabs>
        <w:ind w:left="720" w:hanging="360"/>
      </w:pPr>
      <w:rPr>
        <w:rFonts w:ascii="Arial" w:hAnsi="Arial" w:hint="default"/>
      </w:rPr>
    </w:lvl>
    <w:lvl w:ilvl="1" w:tplc="7632D808" w:tentative="1">
      <w:start w:val="1"/>
      <w:numFmt w:val="bullet"/>
      <w:lvlText w:val="•"/>
      <w:lvlJc w:val="left"/>
      <w:pPr>
        <w:tabs>
          <w:tab w:val="num" w:pos="1440"/>
        </w:tabs>
        <w:ind w:left="1440" w:hanging="360"/>
      </w:pPr>
      <w:rPr>
        <w:rFonts w:ascii="Arial" w:hAnsi="Arial" w:hint="default"/>
      </w:rPr>
    </w:lvl>
    <w:lvl w:ilvl="2" w:tplc="42644BCE" w:tentative="1">
      <w:start w:val="1"/>
      <w:numFmt w:val="bullet"/>
      <w:lvlText w:val="•"/>
      <w:lvlJc w:val="left"/>
      <w:pPr>
        <w:tabs>
          <w:tab w:val="num" w:pos="2160"/>
        </w:tabs>
        <w:ind w:left="2160" w:hanging="360"/>
      </w:pPr>
      <w:rPr>
        <w:rFonts w:ascii="Arial" w:hAnsi="Arial" w:hint="default"/>
      </w:rPr>
    </w:lvl>
    <w:lvl w:ilvl="3" w:tplc="83F0F8E6" w:tentative="1">
      <w:start w:val="1"/>
      <w:numFmt w:val="bullet"/>
      <w:lvlText w:val="•"/>
      <w:lvlJc w:val="left"/>
      <w:pPr>
        <w:tabs>
          <w:tab w:val="num" w:pos="2880"/>
        </w:tabs>
        <w:ind w:left="2880" w:hanging="360"/>
      </w:pPr>
      <w:rPr>
        <w:rFonts w:ascii="Arial" w:hAnsi="Arial" w:hint="default"/>
      </w:rPr>
    </w:lvl>
    <w:lvl w:ilvl="4" w:tplc="288C086C" w:tentative="1">
      <w:start w:val="1"/>
      <w:numFmt w:val="bullet"/>
      <w:lvlText w:val="•"/>
      <w:lvlJc w:val="left"/>
      <w:pPr>
        <w:tabs>
          <w:tab w:val="num" w:pos="3600"/>
        </w:tabs>
        <w:ind w:left="3600" w:hanging="360"/>
      </w:pPr>
      <w:rPr>
        <w:rFonts w:ascii="Arial" w:hAnsi="Arial" w:hint="default"/>
      </w:rPr>
    </w:lvl>
    <w:lvl w:ilvl="5" w:tplc="64849E3A" w:tentative="1">
      <w:start w:val="1"/>
      <w:numFmt w:val="bullet"/>
      <w:lvlText w:val="•"/>
      <w:lvlJc w:val="left"/>
      <w:pPr>
        <w:tabs>
          <w:tab w:val="num" w:pos="4320"/>
        </w:tabs>
        <w:ind w:left="4320" w:hanging="360"/>
      </w:pPr>
      <w:rPr>
        <w:rFonts w:ascii="Arial" w:hAnsi="Arial" w:hint="default"/>
      </w:rPr>
    </w:lvl>
    <w:lvl w:ilvl="6" w:tplc="BFF242C8" w:tentative="1">
      <w:start w:val="1"/>
      <w:numFmt w:val="bullet"/>
      <w:lvlText w:val="•"/>
      <w:lvlJc w:val="left"/>
      <w:pPr>
        <w:tabs>
          <w:tab w:val="num" w:pos="5040"/>
        </w:tabs>
        <w:ind w:left="5040" w:hanging="360"/>
      </w:pPr>
      <w:rPr>
        <w:rFonts w:ascii="Arial" w:hAnsi="Arial" w:hint="default"/>
      </w:rPr>
    </w:lvl>
    <w:lvl w:ilvl="7" w:tplc="7D3E54D2" w:tentative="1">
      <w:start w:val="1"/>
      <w:numFmt w:val="bullet"/>
      <w:lvlText w:val="•"/>
      <w:lvlJc w:val="left"/>
      <w:pPr>
        <w:tabs>
          <w:tab w:val="num" w:pos="5760"/>
        </w:tabs>
        <w:ind w:left="5760" w:hanging="360"/>
      </w:pPr>
      <w:rPr>
        <w:rFonts w:ascii="Arial" w:hAnsi="Arial" w:hint="default"/>
      </w:rPr>
    </w:lvl>
    <w:lvl w:ilvl="8" w:tplc="52143A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FB0999"/>
    <w:multiLevelType w:val="hybridMultilevel"/>
    <w:tmpl w:val="E2BE3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D1D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8D7"/>
    <w:multiLevelType w:val="hybridMultilevel"/>
    <w:tmpl w:val="493AA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1D6FBC"/>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A2A13"/>
    <w:multiLevelType w:val="hybridMultilevel"/>
    <w:tmpl w:val="F25AEC5A"/>
    <w:lvl w:ilvl="0" w:tplc="EEA24E16">
      <w:start w:val="12"/>
      <w:numFmt w:val="decimal"/>
      <w:lvlText w:val="%1"/>
      <w:lvlJc w:val="left"/>
      <w:pPr>
        <w:ind w:left="601" w:hanging="360"/>
      </w:pPr>
      <w:rPr>
        <w:rFonts w:hint="default"/>
      </w:rPr>
    </w:lvl>
    <w:lvl w:ilvl="1" w:tplc="04260019" w:tentative="1">
      <w:start w:val="1"/>
      <w:numFmt w:val="lowerLetter"/>
      <w:lvlText w:val="%2."/>
      <w:lvlJc w:val="left"/>
      <w:pPr>
        <w:ind w:left="1321" w:hanging="360"/>
      </w:pPr>
    </w:lvl>
    <w:lvl w:ilvl="2" w:tplc="0426001B" w:tentative="1">
      <w:start w:val="1"/>
      <w:numFmt w:val="lowerRoman"/>
      <w:lvlText w:val="%3."/>
      <w:lvlJc w:val="right"/>
      <w:pPr>
        <w:ind w:left="2041" w:hanging="180"/>
      </w:pPr>
    </w:lvl>
    <w:lvl w:ilvl="3" w:tplc="0426000F" w:tentative="1">
      <w:start w:val="1"/>
      <w:numFmt w:val="decimal"/>
      <w:lvlText w:val="%4."/>
      <w:lvlJc w:val="left"/>
      <w:pPr>
        <w:ind w:left="2761" w:hanging="360"/>
      </w:pPr>
    </w:lvl>
    <w:lvl w:ilvl="4" w:tplc="04260019" w:tentative="1">
      <w:start w:val="1"/>
      <w:numFmt w:val="lowerLetter"/>
      <w:lvlText w:val="%5."/>
      <w:lvlJc w:val="left"/>
      <w:pPr>
        <w:ind w:left="3481" w:hanging="360"/>
      </w:pPr>
    </w:lvl>
    <w:lvl w:ilvl="5" w:tplc="0426001B" w:tentative="1">
      <w:start w:val="1"/>
      <w:numFmt w:val="lowerRoman"/>
      <w:lvlText w:val="%6."/>
      <w:lvlJc w:val="right"/>
      <w:pPr>
        <w:ind w:left="4201" w:hanging="180"/>
      </w:pPr>
    </w:lvl>
    <w:lvl w:ilvl="6" w:tplc="0426000F" w:tentative="1">
      <w:start w:val="1"/>
      <w:numFmt w:val="decimal"/>
      <w:lvlText w:val="%7."/>
      <w:lvlJc w:val="left"/>
      <w:pPr>
        <w:ind w:left="4921" w:hanging="360"/>
      </w:pPr>
    </w:lvl>
    <w:lvl w:ilvl="7" w:tplc="04260019" w:tentative="1">
      <w:start w:val="1"/>
      <w:numFmt w:val="lowerLetter"/>
      <w:lvlText w:val="%8."/>
      <w:lvlJc w:val="left"/>
      <w:pPr>
        <w:ind w:left="5641" w:hanging="360"/>
      </w:pPr>
    </w:lvl>
    <w:lvl w:ilvl="8" w:tplc="0426001B" w:tentative="1">
      <w:start w:val="1"/>
      <w:numFmt w:val="lowerRoman"/>
      <w:lvlText w:val="%9."/>
      <w:lvlJc w:val="right"/>
      <w:pPr>
        <w:ind w:left="6361" w:hanging="180"/>
      </w:pPr>
    </w:lvl>
  </w:abstractNum>
  <w:abstractNum w:abstractNumId="14" w15:restartNumberingAfterBreak="0">
    <w:nsid w:val="22610D3E"/>
    <w:multiLevelType w:val="hybridMultilevel"/>
    <w:tmpl w:val="85CC6488"/>
    <w:lvl w:ilvl="0" w:tplc="4C9EAFCA">
      <w:start w:val="1"/>
      <w:numFmt w:val="decimal"/>
      <w:lvlText w:val="%1."/>
      <w:lvlJc w:val="right"/>
      <w:pPr>
        <w:ind w:left="1429"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504278C0">
      <w:start w:val="1"/>
      <w:numFmt w:val="decimal"/>
      <w:lvlText w:val="%6."/>
      <w:lvlJc w:val="right"/>
      <w:pPr>
        <w:ind w:left="4320" w:hanging="180"/>
      </w:pPr>
      <w:rPr>
        <w:rFonts w:cs="Times New Roman" w:hint="default"/>
        <w:sz w:val="24"/>
        <w:szCs w:val="24"/>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8980FF4"/>
    <w:multiLevelType w:val="hybridMultilevel"/>
    <w:tmpl w:val="DB68C4F8"/>
    <w:lvl w:ilvl="0" w:tplc="9EC2FB64">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6" w15:restartNumberingAfterBreak="0">
    <w:nsid w:val="2A2460F8"/>
    <w:multiLevelType w:val="hybridMultilevel"/>
    <w:tmpl w:val="70420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94F23"/>
    <w:multiLevelType w:val="hybridMultilevel"/>
    <w:tmpl w:val="FF28438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910381"/>
    <w:multiLevelType w:val="multilevel"/>
    <w:tmpl w:val="1DC69F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A02F71"/>
    <w:multiLevelType w:val="hybridMultilevel"/>
    <w:tmpl w:val="5D7AA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483B41"/>
    <w:multiLevelType w:val="multilevel"/>
    <w:tmpl w:val="D380758C"/>
    <w:lvl w:ilvl="0">
      <w:start w:val="2"/>
      <w:numFmt w:val="decimal"/>
      <w:lvlText w:val="%1."/>
      <w:lvlJc w:val="left"/>
      <w:pPr>
        <w:ind w:left="380" w:hanging="3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32F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587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6663B"/>
    <w:multiLevelType w:val="hybridMultilevel"/>
    <w:tmpl w:val="7D882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034876"/>
    <w:multiLevelType w:val="hybridMultilevel"/>
    <w:tmpl w:val="A672F398"/>
    <w:lvl w:ilvl="0" w:tplc="6BB20BC2">
      <w:start w:val="1"/>
      <w:numFmt w:val="decimal"/>
      <w:lvlText w:val="%1."/>
      <w:lvlJc w:val="left"/>
      <w:pPr>
        <w:ind w:left="720" w:hanging="360"/>
      </w:pPr>
      <w:rPr>
        <w:rFonts w:asciiTheme="majorHAnsi" w:hAnsiTheme="majorHAnsi" w:cstheme="majorBidi"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0A4D6F"/>
    <w:multiLevelType w:val="multilevel"/>
    <w:tmpl w:val="6708184C"/>
    <w:lvl w:ilvl="0">
      <w:start w:val="1"/>
      <w:numFmt w:val="decimal"/>
      <w:lvlText w:val="%1."/>
      <w:lvlJc w:val="left"/>
      <w:pPr>
        <w:ind w:left="720" w:hanging="360"/>
      </w:pPr>
      <w:rPr>
        <w:rFonts w:asciiTheme="majorHAnsi" w:hAnsiTheme="majorHAnsi" w:cstheme="majorBidi"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3B561F92"/>
    <w:multiLevelType w:val="hybridMultilevel"/>
    <w:tmpl w:val="24C85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1E6049"/>
    <w:multiLevelType w:val="hybridMultilevel"/>
    <w:tmpl w:val="3E26BD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1BE6395"/>
    <w:multiLevelType w:val="hybridMultilevel"/>
    <w:tmpl w:val="30627B8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0" w15:restartNumberingAfterBreak="0">
    <w:nsid w:val="43334578"/>
    <w:multiLevelType w:val="hybridMultilevel"/>
    <w:tmpl w:val="F13E6C60"/>
    <w:lvl w:ilvl="0" w:tplc="658C235C">
      <w:start w:val="3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2429B9"/>
    <w:multiLevelType w:val="hybridMultilevel"/>
    <w:tmpl w:val="9EF81C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17718D"/>
    <w:multiLevelType w:val="hybridMultilevel"/>
    <w:tmpl w:val="EC344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035A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496396"/>
    <w:multiLevelType w:val="multilevel"/>
    <w:tmpl w:val="4846F7A6"/>
    <w:lvl w:ilvl="0">
      <w:start w:val="1"/>
      <w:numFmt w:val="decimal"/>
      <w:lvlText w:val="%1."/>
      <w:lvlJc w:val="left"/>
      <w:pPr>
        <w:ind w:left="1788" w:hanging="360"/>
      </w:pPr>
      <w:rPr>
        <w:rFonts w:hint="default"/>
        <w:b w:val="0"/>
        <w:bCs w:val="0"/>
        <w:sz w:val="24"/>
        <w:szCs w:val="32"/>
      </w:rPr>
    </w:lvl>
    <w:lvl w:ilvl="1">
      <w:start w:val="1"/>
      <w:numFmt w:val="decimal"/>
      <w:lvlText w:val="%1.%2."/>
      <w:lvlJc w:val="left"/>
      <w:pPr>
        <w:ind w:left="2002" w:hanging="432"/>
      </w:pPr>
      <w:rPr>
        <w:b w:val="0"/>
        <w:bCs w:val="0"/>
      </w:rPr>
    </w:lvl>
    <w:lvl w:ilvl="2">
      <w:start w:val="1"/>
      <w:numFmt w:val="decimal"/>
      <w:lvlText w:val="%1.%2.%3."/>
      <w:lvlJc w:val="left"/>
      <w:pPr>
        <w:ind w:left="2652" w:hanging="504"/>
      </w:pPr>
    </w:lvl>
    <w:lvl w:ilvl="3">
      <w:start w:val="1"/>
      <w:numFmt w:val="decimal"/>
      <w:lvlText w:val="%1.%2.%3.%4."/>
      <w:lvlJc w:val="left"/>
      <w:pPr>
        <w:ind w:left="3156" w:hanging="648"/>
      </w:pPr>
    </w:lvl>
    <w:lvl w:ilvl="4">
      <w:start w:val="1"/>
      <w:numFmt w:val="decimal"/>
      <w:lvlText w:val="%1.%2.%3.%4.%5."/>
      <w:lvlJc w:val="left"/>
      <w:pPr>
        <w:ind w:left="3660" w:hanging="792"/>
      </w:pPr>
    </w:lvl>
    <w:lvl w:ilvl="5">
      <w:start w:val="1"/>
      <w:numFmt w:val="decimal"/>
      <w:lvlText w:val="%1.%2.%3.%4.%5.%6."/>
      <w:lvlJc w:val="left"/>
      <w:pPr>
        <w:ind w:left="4164" w:hanging="936"/>
      </w:pPr>
    </w:lvl>
    <w:lvl w:ilvl="6">
      <w:start w:val="1"/>
      <w:numFmt w:val="decimal"/>
      <w:lvlText w:val="%1.%2.%3.%4.%5.%6.%7."/>
      <w:lvlJc w:val="left"/>
      <w:pPr>
        <w:ind w:left="4668" w:hanging="1080"/>
      </w:pPr>
    </w:lvl>
    <w:lvl w:ilvl="7">
      <w:start w:val="1"/>
      <w:numFmt w:val="decimal"/>
      <w:lvlText w:val="%1.%2.%3.%4.%5.%6.%7.%8."/>
      <w:lvlJc w:val="left"/>
      <w:pPr>
        <w:ind w:left="5172" w:hanging="1224"/>
      </w:pPr>
    </w:lvl>
    <w:lvl w:ilvl="8">
      <w:start w:val="1"/>
      <w:numFmt w:val="decimal"/>
      <w:lvlText w:val="%1.%2.%3.%4.%5.%6.%7.%8.%9."/>
      <w:lvlJc w:val="left"/>
      <w:pPr>
        <w:ind w:left="5748" w:hanging="1440"/>
      </w:pPr>
    </w:lvl>
  </w:abstractNum>
  <w:abstractNum w:abstractNumId="35" w15:restartNumberingAfterBreak="0">
    <w:nsid w:val="50905F00"/>
    <w:multiLevelType w:val="hybridMultilevel"/>
    <w:tmpl w:val="B554CAF6"/>
    <w:lvl w:ilvl="0" w:tplc="DC2636B2">
      <w:start w:val="1"/>
      <w:numFmt w:val="bullet"/>
      <w:lvlText w:val="•"/>
      <w:lvlJc w:val="left"/>
      <w:pPr>
        <w:tabs>
          <w:tab w:val="num" w:pos="720"/>
        </w:tabs>
        <w:ind w:left="720" w:hanging="360"/>
      </w:pPr>
      <w:rPr>
        <w:rFonts w:ascii="Arial" w:hAnsi="Arial" w:hint="default"/>
      </w:rPr>
    </w:lvl>
    <w:lvl w:ilvl="1" w:tplc="BAFE3F5C" w:tentative="1">
      <w:start w:val="1"/>
      <w:numFmt w:val="bullet"/>
      <w:lvlText w:val="•"/>
      <w:lvlJc w:val="left"/>
      <w:pPr>
        <w:tabs>
          <w:tab w:val="num" w:pos="1440"/>
        </w:tabs>
        <w:ind w:left="1440" w:hanging="360"/>
      </w:pPr>
      <w:rPr>
        <w:rFonts w:ascii="Arial" w:hAnsi="Arial" w:hint="default"/>
      </w:rPr>
    </w:lvl>
    <w:lvl w:ilvl="2" w:tplc="3ED02838" w:tentative="1">
      <w:start w:val="1"/>
      <w:numFmt w:val="bullet"/>
      <w:lvlText w:val="•"/>
      <w:lvlJc w:val="left"/>
      <w:pPr>
        <w:tabs>
          <w:tab w:val="num" w:pos="2160"/>
        </w:tabs>
        <w:ind w:left="2160" w:hanging="360"/>
      </w:pPr>
      <w:rPr>
        <w:rFonts w:ascii="Arial" w:hAnsi="Arial" w:hint="default"/>
      </w:rPr>
    </w:lvl>
    <w:lvl w:ilvl="3" w:tplc="471C810A" w:tentative="1">
      <w:start w:val="1"/>
      <w:numFmt w:val="bullet"/>
      <w:lvlText w:val="•"/>
      <w:lvlJc w:val="left"/>
      <w:pPr>
        <w:tabs>
          <w:tab w:val="num" w:pos="2880"/>
        </w:tabs>
        <w:ind w:left="2880" w:hanging="360"/>
      </w:pPr>
      <w:rPr>
        <w:rFonts w:ascii="Arial" w:hAnsi="Arial" w:hint="default"/>
      </w:rPr>
    </w:lvl>
    <w:lvl w:ilvl="4" w:tplc="E0C8E8DE" w:tentative="1">
      <w:start w:val="1"/>
      <w:numFmt w:val="bullet"/>
      <w:lvlText w:val="•"/>
      <w:lvlJc w:val="left"/>
      <w:pPr>
        <w:tabs>
          <w:tab w:val="num" w:pos="3600"/>
        </w:tabs>
        <w:ind w:left="3600" w:hanging="360"/>
      </w:pPr>
      <w:rPr>
        <w:rFonts w:ascii="Arial" w:hAnsi="Arial" w:hint="default"/>
      </w:rPr>
    </w:lvl>
    <w:lvl w:ilvl="5" w:tplc="53F06E8E" w:tentative="1">
      <w:start w:val="1"/>
      <w:numFmt w:val="bullet"/>
      <w:lvlText w:val="•"/>
      <w:lvlJc w:val="left"/>
      <w:pPr>
        <w:tabs>
          <w:tab w:val="num" w:pos="4320"/>
        </w:tabs>
        <w:ind w:left="4320" w:hanging="360"/>
      </w:pPr>
      <w:rPr>
        <w:rFonts w:ascii="Arial" w:hAnsi="Arial" w:hint="default"/>
      </w:rPr>
    </w:lvl>
    <w:lvl w:ilvl="6" w:tplc="A3A8D2B4" w:tentative="1">
      <w:start w:val="1"/>
      <w:numFmt w:val="bullet"/>
      <w:lvlText w:val="•"/>
      <w:lvlJc w:val="left"/>
      <w:pPr>
        <w:tabs>
          <w:tab w:val="num" w:pos="5040"/>
        </w:tabs>
        <w:ind w:left="5040" w:hanging="360"/>
      </w:pPr>
      <w:rPr>
        <w:rFonts w:ascii="Arial" w:hAnsi="Arial" w:hint="default"/>
      </w:rPr>
    </w:lvl>
    <w:lvl w:ilvl="7" w:tplc="E15C1076" w:tentative="1">
      <w:start w:val="1"/>
      <w:numFmt w:val="bullet"/>
      <w:lvlText w:val="•"/>
      <w:lvlJc w:val="left"/>
      <w:pPr>
        <w:tabs>
          <w:tab w:val="num" w:pos="5760"/>
        </w:tabs>
        <w:ind w:left="5760" w:hanging="360"/>
      </w:pPr>
      <w:rPr>
        <w:rFonts w:ascii="Arial" w:hAnsi="Arial" w:hint="default"/>
      </w:rPr>
    </w:lvl>
    <w:lvl w:ilvl="8" w:tplc="0110108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515A41"/>
    <w:multiLevelType w:val="hybridMultilevel"/>
    <w:tmpl w:val="6D0CF918"/>
    <w:lvl w:ilvl="0" w:tplc="B9463874">
      <w:start w:val="1"/>
      <w:numFmt w:val="bullet"/>
      <w:lvlText w:val="•"/>
      <w:lvlJc w:val="left"/>
      <w:pPr>
        <w:tabs>
          <w:tab w:val="num" w:pos="720"/>
        </w:tabs>
        <w:ind w:left="720" w:hanging="360"/>
      </w:pPr>
      <w:rPr>
        <w:rFonts w:ascii="Arial" w:hAnsi="Arial" w:hint="default"/>
      </w:rPr>
    </w:lvl>
    <w:lvl w:ilvl="1" w:tplc="12E41CE4" w:tentative="1">
      <w:start w:val="1"/>
      <w:numFmt w:val="bullet"/>
      <w:lvlText w:val="•"/>
      <w:lvlJc w:val="left"/>
      <w:pPr>
        <w:tabs>
          <w:tab w:val="num" w:pos="1440"/>
        </w:tabs>
        <w:ind w:left="1440" w:hanging="360"/>
      </w:pPr>
      <w:rPr>
        <w:rFonts w:ascii="Arial" w:hAnsi="Arial" w:hint="default"/>
      </w:rPr>
    </w:lvl>
    <w:lvl w:ilvl="2" w:tplc="DF5EC3B8" w:tentative="1">
      <w:start w:val="1"/>
      <w:numFmt w:val="bullet"/>
      <w:lvlText w:val="•"/>
      <w:lvlJc w:val="left"/>
      <w:pPr>
        <w:tabs>
          <w:tab w:val="num" w:pos="2160"/>
        </w:tabs>
        <w:ind w:left="2160" w:hanging="360"/>
      </w:pPr>
      <w:rPr>
        <w:rFonts w:ascii="Arial" w:hAnsi="Arial" w:hint="default"/>
      </w:rPr>
    </w:lvl>
    <w:lvl w:ilvl="3" w:tplc="0C846FBC" w:tentative="1">
      <w:start w:val="1"/>
      <w:numFmt w:val="bullet"/>
      <w:lvlText w:val="•"/>
      <w:lvlJc w:val="left"/>
      <w:pPr>
        <w:tabs>
          <w:tab w:val="num" w:pos="2880"/>
        </w:tabs>
        <w:ind w:left="2880" w:hanging="360"/>
      </w:pPr>
      <w:rPr>
        <w:rFonts w:ascii="Arial" w:hAnsi="Arial" w:hint="default"/>
      </w:rPr>
    </w:lvl>
    <w:lvl w:ilvl="4" w:tplc="EC7E2924" w:tentative="1">
      <w:start w:val="1"/>
      <w:numFmt w:val="bullet"/>
      <w:lvlText w:val="•"/>
      <w:lvlJc w:val="left"/>
      <w:pPr>
        <w:tabs>
          <w:tab w:val="num" w:pos="3600"/>
        </w:tabs>
        <w:ind w:left="3600" w:hanging="360"/>
      </w:pPr>
      <w:rPr>
        <w:rFonts w:ascii="Arial" w:hAnsi="Arial" w:hint="default"/>
      </w:rPr>
    </w:lvl>
    <w:lvl w:ilvl="5" w:tplc="A4ACFC56" w:tentative="1">
      <w:start w:val="1"/>
      <w:numFmt w:val="bullet"/>
      <w:lvlText w:val="•"/>
      <w:lvlJc w:val="left"/>
      <w:pPr>
        <w:tabs>
          <w:tab w:val="num" w:pos="4320"/>
        </w:tabs>
        <w:ind w:left="4320" w:hanging="360"/>
      </w:pPr>
      <w:rPr>
        <w:rFonts w:ascii="Arial" w:hAnsi="Arial" w:hint="default"/>
      </w:rPr>
    </w:lvl>
    <w:lvl w:ilvl="6" w:tplc="F7064848" w:tentative="1">
      <w:start w:val="1"/>
      <w:numFmt w:val="bullet"/>
      <w:lvlText w:val="•"/>
      <w:lvlJc w:val="left"/>
      <w:pPr>
        <w:tabs>
          <w:tab w:val="num" w:pos="5040"/>
        </w:tabs>
        <w:ind w:left="5040" w:hanging="360"/>
      </w:pPr>
      <w:rPr>
        <w:rFonts w:ascii="Arial" w:hAnsi="Arial" w:hint="default"/>
      </w:rPr>
    </w:lvl>
    <w:lvl w:ilvl="7" w:tplc="51B05A1A" w:tentative="1">
      <w:start w:val="1"/>
      <w:numFmt w:val="bullet"/>
      <w:lvlText w:val="•"/>
      <w:lvlJc w:val="left"/>
      <w:pPr>
        <w:tabs>
          <w:tab w:val="num" w:pos="5760"/>
        </w:tabs>
        <w:ind w:left="5760" w:hanging="360"/>
      </w:pPr>
      <w:rPr>
        <w:rFonts w:ascii="Arial" w:hAnsi="Arial" w:hint="default"/>
      </w:rPr>
    </w:lvl>
    <w:lvl w:ilvl="8" w:tplc="F0269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AD7B37"/>
    <w:multiLevelType w:val="multilevel"/>
    <w:tmpl w:val="91701C5C"/>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A4C6BC4"/>
    <w:multiLevelType w:val="hybridMultilevel"/>
    <w:tmpl w:val="399442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BE23519"/>
    <w:multiLevelType w:val="hybridMultilevel"/>
    <w:tmpl w:val="3CA4B034"/>
    <w:lvl w:ilvl="0" w:tplc="04260001">
      <w:start w:val="1"/>
      <w:numFmt w:val="bullet"/>
      <w:lvlText w:val=""/>
      <w:lvlJc w:val="left"/>
      <w:pPr>
        <w:ind w:left="720" w:hanging="360"/>
      </w:pPr>
      <w:rPr>
        <w:rFonts w:ascii="Symbol" w:hAnsi="Symbol" w:hint="default"/>
      </w:rPr>
    </w:lvl>
    <w:lvl w:ilvl="1" w:tplc="2CDEB130">
      <w:numFmt w:val="bullet"/>
      <w:lvlText w:val="-"/>
      <w:lvlJc w:val="left"/>
      <w:pPr>
        <w:ind w:left="2010" w:hanging="93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ED48E0"/>
    <w:multiLevelType w:val="hybridMultilevel"/>
    <w:tmpl w:val="C9EA9A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E0A03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5640A8"/>
    <w:multiLevelType w:val="hybridMultilevel"/>
    <w:tmpl w:val="C520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100214"/>
    <w:multiLevelType w:val="hybridMultilevel"/>
    <w:tmpl w:val="DB68E47C"/>
    <w:lvl w:ilvl="0" w:tplc="C3E6F3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619726B5"/>
    <w:multiLevelType w:val="hybridMultilevel"/>
    <w:tmpl w:val="680E4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1CA59F4"/>
    <w:multiLevelType w:val="hybridMultilevel"/>
    <w:tmpl w:val="0E0E9CEE"/>
    <w:lvl w:ilvl="0" w:tplc="A16E6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62FB7894"/>
    <w:multiLevelType w:val="multilevel"/>
    <w:tmpl w:val="5A90C6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3726DE"/>
    <w:multiLevelType w:val="hybridMultilevel"/>
    <w:tmpl w:val="BD3AE518"/>
    <w:lvl w:ilvl="0" w:tplc="7F7AFB54">
      <w:start w:val="1"/>
      <w:numFmt w:val="bullet"/>
      <w:lvlText w:val="•"/>
      <w:lvlJc w:val="left"/>
      <w:pPr>
        <w:tabs>
          <w:tab w:val="num" w:pos="720"/>
        </w:tabs>
        <w:ind w:left="720" w:hanging="360"/>
      </w:pPr>
      <w:rPr>
        <w:rFonts w:ascii="Arial" w:hAnsi="Arial" w:hint="default"/>
      </w:rPr>
    </w:lvl>
    <w:lvl w:ilvl="1" w:tplc="6B0AD61C" w:tentative="1">
      <w:start w:val="1"/>
      <w:numFmt w:val="bullet"/>
      <w:lvlText w:val="•"/>
      <w:lvlJc w:val="left"/>
      <w:pPr>
        <w:tabs>
          <w:tab w:val="num" w:pos="1440"/>
        </w:tabs>
        <w:ind w:left="1440" w:hanging="360"/>
      </w:pPr>
      <w:rPr>
        <w:rFonts w:ascii="Arial" w:hAnsi="Arial" w:hint="default"/>
      </w:rPr>
    </w:lvl>
    <w:lvl w:ilvl="2" w:tplc="7C646860" w:tentative="1">
      <w:start w:val="1"/>
      <w:numFmt w:val="bullet"/>
      <w:lvlText w:val="•"/>
      <w:lvlJc w:val="left"/>
      <w:pPr>
        <w:tabs>
          <w:tab w:val="num" w:pos="2160"/>
        </w:tabs>
        <w:ind w:left="2160" w:hanging="360"/>
      </w:pPr>
      <w:rPr>
        <w:rFonts w:ascii="Arial" w:hAnsi="Arial" w:hint="default"/>
      </w:rPr>
    </w:lvl>
    <w:lvl w:ilvl="3" w:tplc="92B82940" w:tentative="1">
      <w:start w:val="1"/>
      <w:numFmt w:val="bullet"/>
      <w:lvlText w:val="•"/>
      <w:lvlJc w:val="left"/>
      <w:pPr>
        <w:tabs>
          <w:tab w:val="num" w:pos="2880"/>
        </w:tabs>
        <w:ind w:left="2880" w:hanging="360"/>
      </w:pPr>
      <w:rPr>
        <w:rFonts w:ascii="Arial" w:hAnsi="Arial" w:hint="default"/>
      </w:rPr>
    </w:lvl>
    <w:lvl w:ilvl="4" w:tplc="CFD2380C" w:tentative="1">
      <w:start w:val="1"/>
      <w:numFmt w:val="bullet"/>
      <w:lvlText w:val="•"/>
      <w:lvlJc w:val="left"/>
      <w:pPr>
        <w:tabs>
          <w:tab w:val="num" w:pos="3600"/>
        </w:tabs>
        <w:ind w:left="3600" w:hanging="360"/>
      </w:pPr>
      <w:rPr>
        <w:rFonts w:ascii="Arial" w:hAnsi="Arial" w:hint="default"/>
      </w:rPr>
    </w:lvl>
    <w:lvl w:ilvl="5" w:tplc="ADA05616" w:tentative="1">
      <w:start w:val="1"/>
      <w:numFmt w:val="bullet"/>
      <w:lvlText w:val="•"/>
      <w:lvlJc w:val="left"/>
      <w:pPr>
        <w:tabs>
          <w:tab w:val="num" w:pos="4320"/>
        </w:tabs>
        <w:ind w:left="4320" w:hanging="360"/>
      </w:pPr>
      <w:rPr>
        <w:rFonts w:ascii="Arial" w:hAnsi="Arial" w:hint="default"/>
      </w:rPr>
    </w:lvl>
    <w:lvl w:ilvl="6" w:tplc="22F45DE2" w:tentative="1">
      <w:start w:val="1"/>
      <w:numFmt w:val="bullet"/>
      <w:lvlText w:val="•"/>
      <w:lvlJc w:val="left"/>
      <w:pPr>
        <w:tabs>
          <w:tab w:val="num" w:pos="5040"/>
        </w:tabs>
        <w:ind w:left="5040" w:hanging="360"/>
      </w:pPr>
      <w:rPr>
        <w:rFonts w:ascii="Arial" w:hAnsi="Arial" w:hint="default"/>
      </w:rPr>
    </w:lvl>
    <w:lvl w:ilvl="7" w:tplc="1FC42330" w:tentative="1">
      <w:start w:val="1"/>
      <w:numFmt w:val="bullet"/>
      <w:lvlText w:val="•"/>
      <w:lvlJc w:val="left"/>
      <w:pPr>
        <w:tabs>
          <w:tab w:val="num" w:pos="5760"/>
        </w:tabs>
        <w:ind w:left="5760" w:hanging="360"/>
      </w:pPr>
      <w:rPr>
        <w:rFonts w:ascii="Arial" w:hAnsi="Arial" w:hint="default"/>
      </w:rPr>
    </w:lvl>
    <w:lvl w:ilvl="8" w:tplc="4A82F0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DB74390"/>
    <w:multiLevelType w:val="hybridMultilevel"/>
    <w:tmpl w:val="7978953A"/>
    <w:lvl w:ilvl="0" w:tplc="5F362BC2">
      <w:start w:val="1"/>
      <w:numFmt w:val="bullet"/>
      <w:lvlText w:val=""/>
      <w:lvlJc w:val="left"/>
      <w:pPr>
        <w:ind w:left="720" w:hanging="360"/>
      </w:pPr>
      <w:rPr>
        <w:rFonts w:ascii="Symbol" w:hAnsi="Symbol" w:hint="default"/>
      </w:rPr>
    </w:lvl>
    <w:lvl w:ilvl="1" w:tplc="21BC7E8E" w:tentative="1">
      <w:start w:val="1"/>
      <w:numFmt w:val="bullet"/>
      <w:lvlText w:val="o"/>
      <w:lvlJc w:val="left"/>
      <w:pPr>
        <w:ind w:left="1440" w:hanging="360"/>
      </w:pPr>
      <w:rPr>
        <w:rFonts w:ascii="Courier New" w:hAnsi="Courier New" w:cs="Courier New" w:hint="default"/>
      </w:rPr>
    </w:lvl>
    <w:lvl w:ilvl="2" w:tplc="851CF28E" w:tentative="1">
      <w:start w:val="1"/>
      <w:numFmt w:val="bullet"/>
      <w:lvlText w:val=""/>
      <w:lvlJc w:val="left"/>
      <w:pPr>
        <w:ind w:left="2160" w:hanging="360"/>
      </w:pPr>
      <w:rPr>
        <w:rFonts w:ascii="Wingdings" w:hAnsi="Wingdings" w:hint="default"/>
      </w:rPr>
    </w:lvl>
    <w:lvl w:ilvl="3" w:tplc="F4CCBDF8" w:tentative="1">
      <w:start w:val="1"/>
      <w:numFmt w:val="bullet"/>
      <w:lvlText w:val=""/>
      <w:lvlJc w:val="left"/>
      <w:pPr>
        <w:ind w:left="2880" w:hanging="360"/>
      </w:pPr>
      <w:rPr>
        <w:rFonts w:ascii="Symbol" w:hAnsi="Symbol" w:hint="default"/>
      </w:rPr>
    </w:lvl>
    <w:lvl w:ilvl="4" w:tplc="83ACBF14" w:tentative="1">
      <w:start w:val="1"/>
      <w:numFmt w:val="bullet"/>
      <w:lvlText w:val="o"/>
      <w:lvlJc w:val="left"/>
      <w:pPr>
        <w:ind w:left="3600" w:hanging="360"/>
      </w:pPr>
      <w:rPr>
        <w:rFonts w:ascii="Courier New" w:hAnsi="Courier New" w:cs="Courier New" w:hint="default"/>
      </w:rPr>
    </w:lvl>
    <w:lvl w:ilvl="5" w:tplc="E1B0D72C" w:tentative="1">
      <w:start w:val="1"/>
      <w:numFmt w:val="bullet"/>
      <w:lvlText w:val=""/>
      <w:lvlJc w:val="left"/>
      <w:pPr>
        <w:ind w:left="4320" w:hanging="360"/>
      </w:pPr>
      <w:rPr>
        <w:rFonts w:ascii="Wingdings" w:hAnsi="Wingdings" w:hint="default"/>
      </w:rPr>
    </w:lvl>
    <w:lvl w:ilvl="6" w:tplc="69881024" w:tentative="1">
      <w:start w:val="1"/>
      <w:numFmt w:val="bullet"/>
      <w:lvlText w:val=""/>
      <w:lvlJc w:val="left"/>
      <w:pPr>
        <w:ind w:left="5040" w:hanging="360"/>
      </w:pPr>
      <w:rPr>
        <w:rFonts w:ascii="Symbol" w:hAnsi="Symbol" w:hint="default"/>
      </w:rPr>
    </w:lvl>
    <w:lvl w:ilvl="7" w:tplc="9C7CD508" w:tentative="1">
      <w:start w:val="1"/>
      <w:numFmt w:val="bullet"/>
      <w:lvlText w:val="o"/>
      <w:lvlJc w:val="left"/>
      <w:pPr>
        <w:ind w:left="5760" w:hanging="360"/>
      </w:pPr>
      <w:rPr>
        <w:rFonts w:ascii="Courier New" w:hAnsi="Courier New" w:cs="Courier New" w:hint="default"/>
      </w:rPr>
    </w:lvl>
    <w:lvl w:ilvl="8" w:tplc="0CB6DE16" w:tentative="1">
      <w:start w:val="1"/>
      <w:numFmt w:val="bullet"/>
      <w:lvlText w:val=""/>
      <w:lvlJc w:val="left"/>
      <w:pPr>
        <w:ind w:left="6480" w:hanging="360"/>
      </w:pPr>
      <w:rPr>
        <w:rFonts w:ascii="Wingdings" w:hAnsi="Wingdings" w:hint="default"/>
      </w:rPr>
    </w:lvl>
  </w:abstractNum>
  <w:abstractNum w:abstractNumId="50"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711D2552"/>
    <w:multiLevelType w:val="hybridMultilevel"/>
    <w:tmpl w:val="F6EC6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2741A28"/>
    <w:multiLevelType w:val="hybridMultilevel"/>
    <w:tmpl w:val="4008C6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2B83E8B"/>
    <w:multiLevelType w:val="hybridMultilevel"/>
    <w:tmpl w:val="1B669C4A"/>
    <w:lvl w:ilvl="0" w:tplc="2B9C4B5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4DB4393"/>
    <w:multiLevelType w:val="hybridMultilevel"/>
    <w:tmpl w:val="12CA2C0E"/>
    <w:lvl w:ilvl="0" w:tplc="E606FE3C">
      <w:start w:val="34"/>
      <w:numFmt w:val="decimal"/>
      <w:lvlText w:val="%1"/>
      <w:lvlJc w:val="left"/>
      <w:pPr>
        <w:ind w:left="601" w:hanging="360"/>
      </w:pPr>
      <w:rPr>
        <w:rFonts w:hint="default"/>
      </w:rPr>
    </w:lvl>
    <w:lvl w:ilvl="1" w:tplc="04260019" w:tentative="1">
      <w:start w:val="1"/>
      <w:numFmt w:val="lowerLetter"/>
      <w:lvlText w:val="%2."/>
      <w:lvlJc w:val="left"/>
      <w:pPr>
        <w:ind w:left="1321" w:hanging="360"/>
      </w:pPr>
    </w:lvl>
    <w:lvl w:ilvl="2" w:tplc="0426001B" w:tentative="1">
      <w:start w:val="1"/>
      <w:numFmt w:val="lowerRoman"/>
      <w:lvlText w:val="%3."/>
      <w:lvlJc w:val="right"/>
      <w:pPr>
        <w:ind w:left="2041" w:hanging="180"/>
      </w:pPr>
    </w:lvl>
    <w:lvl w:ilvl="3" w:tplc="0426000F" w:tentative="1">
      <w:start w:val="1"/>
      <w:numFmt w:val="decimal"/>
      <w:lvlText w:val="%4."/>
      <w:lvlJc w:val="left"/>
      <w:pPr>
        <w:ind w:left="2761" w:hanging="360"/>
      </w:pPr>
    </w:lvl>
    <w:lvl w:ilvl="4" w:tplc="04260019" w:tentative="1">
      <w:start w:val="1"/>
      <w:numFmt w:val="lowerLetter"/>
      <w:lvlText w:val="%5."/>
      <w:lvlJc w:val="left"/>
      <w:pPr>
        <w:ind w:left="3481" w:hanging="360"/>
      </w:pPr>
    </w:lvl>
    <w:lvl w:ilvl="5" w:tplc="0426001B" w:tentative="1">
      <w:start w:val="1"/>
      <w:numFmt w:val="lowerRoman"/>
      <w:lvlText w:val="%6."/>
      <w:lvlJc w:val="right"/>
      <w:pPr>
        <w:ind w:left="4201" w:hanging="180"/>
      </w:pPr>
    </w:lvl>
    <w:lvl w:ilvl="6" w:tplc="0426000F" w:tentative="1">
      <w:start w:val="1"/>
      <w:numFmt w:val="decimal"/>
      <w:lvlText w:val="%7."/>
      <w:lvlJc w:val="left"/>
      <w:pPr>
        <w:ind w:left="4921" w:hanging="360"/>
      </w:pPr>
    </w:lvl>
    <w:lvl w:ilvl="7" w:tplc="04260019" w:tentative="1">
      <w:start w:val="1"/>
      <w:numFmt w:val="lowerLetter"/>
      <w:lvlText w:val="%8."/>
      <w:lvlJc w:val="left"/>
      <w:pPr>
        <w:ind w:left="5641" w:hanging="360"/>
      </w:pPr>
    </w:lvl>
    <w:lvl w:ilvl="8" w:tplc="0426001B" w:tentative="1">
      <w:start w:val="1"/>
      <w:numFmt w:val="lowerRoman"/>
      <w:lvlText w:val="%9."/>
      <w:lvlJc w:val="right"/>
      <w:pPr>
        <w:ind w:left="6361" w:hanging="180"/>
      </w:pPr>
    </w:lvl>
  </w:abstractNum>
  <w:abstractNum w:abstractNumId="55" w15:restartNumberingAfterBreak="0">
    <w:nsid w:val="75022399"/>
    <w:multiLevelType w:val="hybridMultilevel"/>
    <w:tmpl w:val="BC44F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7F67687"/>
    <w:multiLevelType w:val="multilevel"/>
    <w:tmpl w:val="2F34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E236EF"/>
    <w:multiLevelType w:val="hybridMultilevel"/>
    <w:tmpl w:val="480082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8" w15:restartNumberingAfterBreak="0">
    <w:nsid w:val="7F2D33D3"/>
    <w:multiLevelType w:val="hybridMultilevel"/>
    <w:tmpl w:val="B8C8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58"/>
  </w:num>
  <w:num w:numId="3">
    <w:abstractNumId w:val="31"/>
  </w:num>
  <w:num w:numId="4">
    <w:abstractNumId w:val="16"/>
  </w:num>
  <w:num w:numId="5">
    <w:abstractNumId w:val="39"/>
  </w:num>
  <w:num w:numId="6">
    <w:abstractNumId w:val="29"/>
  </w:num>
  <w:num w:numId="7">
    <w:abstractNumId w:val="28"/>
  </w:num>
  <w:num w:numId="8">
    <w:abstractNumId w:val="57"/>
  </w:num>
  <w:num w:numId="9">
    <w:abstractNumId w:val="9"/>
  </w:num>
  <w:num w:numId="10">
    <w:abstractNumId w:val="4"/>
  </w:num>
  <w:num w:numId="11">
    <w:abstractNumId w:val="43"/>
  </w:num>
  <w:num w:numId="12">
    <w:abstractNumId w:val="24"/>
  </w:num>
  <w:num w:numId="13">
    <w:abstractNumId w:val="13"/>
  </w:num>
  <w:num w:numId="14">
    <w:abstractNumId w:val="34"/>
  </w:num>
  <w:num w:numId="15">
    <w:abstractNumId w:val="36"/>
  </w:num>
  <w:num w:numId="16">
    <w:abstractNumId w:val="1"/>
  </w:num>
  <w:num w:numId="17">
    <w:abstractNumId w:val="35"/>
  </w:num>
  <w:num w:numId="18">
    <w:abstractNumId w:val="3"/>
  </w:num>
  <w:num w:numId="19">
    <w:abstractNumId w:val="48"/>
  </w:num>
  <w:num w:numId="20">
    <w:abstractNumId w:val="14"/>
  </w:num>
  <w:num w:numId="21">
    <w:abstractNumId w:val="46"/>
  </w:num>
  <w:num w:numId="22">
    <w:abstractNumId w:val="25"/>
  </w:num>
  <w:num w:numId="23">
    <w:abstractNumId w:val="26"/>
  </w:num>
  <w:num w:numId="24">
    <w:abstractNumId w:val="19"/>
  </w:num>
  <w:num w:numId="25">
    <w:abstractNumId w:val="32"/>
  </w:num>
  <w:num w:numId="26">
    <w:abstractNumId w:val="30"/>
  </w:num>
  <w:num w:numId="27">
    <w:abstractNumId w:val="10"/>
  </w:num>
  <w:num w:numId="28">
    <w:abstractNumId w:val="41"/>
  </w:num>
  <w:num w:numId="29">
    <w:abstractNumId w:val="7"/>
  </w:num>
  <w:num w:numId="30">
    <w:abstractNumId w:val="33"/>
  </w:num>
  <w:num w:numId="31">
    <w:abstractNumId w:val="12"/>
  </w:num>
  <w:num w:numId="32">
    <w:abstractNumId w:val="23"/>
  </w:num>
  <w:num w:numId="33">
    <w:abstractNumId w:val="22"/>
  </w:num>
  <w:num w:numId="34">
    <w:abstractNumId w:val="40"/>
  </w:num>
  <w:num w:numId="35">
    <w:abstractNumId w:val="37"/>
  </w:num>
  <w:num w:numId="36">
    <w:abstractNumId w:val="50"/>
  </w:num>
  <w:num w:numId="37">
    <w:abstractNumId w:val="51"/>
  </w:num>
  <w:num w:numId="38">
    <w:abstractNumId w:val="6"/>
  </w:num>
  <w:num w:numId="39">
    <w:abstractNumId w:val="27"/>
  </w:num>
  <w:num w:numId="40">
    <w:abstractNumId w:val="42"/>
  </w:num>
  <w:num w:numId="41">
    <w:abstractNumId w:val="18"/>
  </w:num>
  <w:num w:numId="42">
    <w:abstractNumId w:val="20"/>
  </w:num>
  <w:num w:numId="43">
    <w:abstractNumId w:val="21"/>
  </w:num>
  <w:num w:numId="44">
    <w:abstractNumId w:val="47"/>
  </w:num>
  <w:num w:numId="45">
    <w:abstractNumId w:val="56"/>
  </w:num>
  <w:num w:numId="46">
    <w:abstractNumId w:val="8"/>
  </w:num>
  <w:num w:numId="47">
    <w:abstractNumId w:val="44"/>
  </w:num>
  <w:num w:numId="48">
    <w:abstractNumId w:val="55"/>
  </w:num>
  <w:num w:numId="49">
    <w:abstractNumId w:val="5"/>
  </w:num>
  <w:num w:numId="50">
    <w:abstractNumId w:val="0"/>
  </w:num>
  <w:num w:numId="51">
    <w:abstractNumId w:val="49"/>
  </w:num>
  <w:num w:numId="52">
    <w:abstractNumId w:val="53"/>
  </w:num>
  <w:num w:numId="53">
    <w:abstractNumId w:val="2"/>
  </w:num>
  <w:num w:numId="54">
    <w:abstractNumId w:val="11"/>
  </w:num>
  <w:num w:numId="55">
    <w:abstractNumId w:val="52"/>
  </w:num>
  <w:num w:numId="56">
    <w:abstractNumId w:val="38"/>
  </w:num>
  <w:num w:numId="57">
    <w:abstractNumId w:val="54"/>
  </w:num>
  <w:num w:numId="58">
    <w:abstractNumId w:val="15"/>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A18"/>
    <w:rsid w:val="00010B16"/>
    <w:rsid w:val="00011826"/>
    <w:rsid w:val="0001297D"/>
    <w:rsid w:val="00013560"/>
    <w:rsid w:val="00014B3F"/>
    <w:rsid w:val="000224B6"/>
    <w:rsid w:val="0002467D"/>
    <w:rsid w:val="00026B33"/>
    <w:rsid w:val="00026C21"/>
    <w:rsid w:val="00031C57"/>
    <w:rsid w:val="00032EE2"/>
    <w:rsid w:val="00033628"/>
    <w:rsid w:val="00035846"/>
    <w:rsid w:val="00040C38"/>
    <w:rsid w:val="00042ACB"/>
    <w:rsid w:val="000444B0"/>
    <w:rsid w:val="00045FB3"/>
    <w:rsid w:val="00046AAF"/>
    <w:rsid w:val="0005043F"/>
    <w:rsid w:val="00050ED4"/>
    <w:rsid w:val="0005280E"/>
    <w:rsid w:val="00052B54"/>
    <w:rsid w:val="00052B6D"/>
    <w:rsid w:val="00052D53"/>
    <w:rsid w:val="00056617"/>
    <w:rsid w:val="00056AB6"/>
    <w:rsid w:val="0006051B"/>
    <w:rsid w:val="0006091E"/>
    <w:rsid w:val="00060FB6"/>
    <w:rsid w:val="00067527"/>
    <w:rsid w:val="00067FF0"/>
    <w:rsid w:val="000707FF"/>
    <w:rsid w:val="0007279D"/>
    <w:rsid w:val="0007302B"/>
    <w:rsid w:val="00073902"/>
    <w:rsid w:val="00073A85"/>
    <w:rsid w:val="00077F89"/>
    <w:rsid w:val="0008420B"/>
    <w:rsid w:val="00090820"/>
    <w:rsid w:val="000924CD"/>
    <w:rsid w:val="00096930"/>
    <w:rsid w:val="000A0426"/>
    <w:rsid w:val="000A0E74"/>
    <w:rsid w:val="000A0EEB"/>
    <w:rsid w:val="000A3D98"/>
    <w:rsid w:val="000A4EFD"/>
    <w:rsid w:val="000B2EAB"/>
    <w:rsid w:val="000B5110"/>
    <w:rsid w:val="000C23EA"/>
    <w:rsid w:val="000D12D8"/>
    <w:rsid w:val="000D3974"/>
    <w:rsid w:val="000E289A"/>
    <w:rsid w:val="000E38A3"/>
    <w:rsid w:val="000E3DDC"/>
    <w:rsid w:val="000E3FC0"/>
    <w:rsid w:val="000E5CC0"/>
    <w:rsid w:val="000E643F"/>
    <w:rsid w:val="000E6CE9"/>
    <w:rsid w:val="000F1FE7"/>
    <w:rsid w:val="000F22AC"/>
    <w:rsid w:val="000F3CEF"/>
    <w:rsid w:val="000F4B32"/>
    <w:rsid w:val="0010247D"/>
    <w:rsid w:val="001051B9"/>
    <w:rsid w:val="0010546C"/>
    <w:rsid w:val="00107173"/>
    <w:rsid w:val="00107905"/>
    <w:rsid w:val="001113E5"/>
    <w:rsid w:val="00113AEA"/>
    <w:rsid w:val="001146CB"/>
    <w:rsid w:val="00114788"/>
    <w:rsid w:val="00114CF3"/>
    <w:rsid w:val="00115899"/>
    <w:rsid w:val="00115990"/>
    <w:rsid w:val="001168E6"/>
    <w:rsid w:val="00117E61"/>
    <w:rsid w:val="00121874"/>
    <w:rsid w:val="00121AC9"/>
    <w:rsid w:val="00140338"/>
    <w:rsid w:val="00140933"/>
    <w:rsid w:val="00144087"/>
    <w:rsid w:val="001506A7"/>
    <w:rsid w:val="0015101B"/>
    <w:rsid w:val="001542DA"/>
    <w:rsid w:val="00156A31"/>
    <w:rsid w:val="00157915"/>
    <w:rsid w:val="00160316"/>
    <w:rsid w:val="00162B6E"/>
    <w:rsid w:val="00163075"/>
    <w:rsid w:val="001630C6"/>
    <w:rsid w:val="001715C8"/>
    <w:rsid w:val="00174607"/>
    <w:rsid w:val="0017650D"/>
    <w:rsid w:val="00176637"/>
    <w:rsid w:val="00177B31"/>
    <w:rsid w:val="00177C7E"/>
    <w:rsid w:val="00177F3B"/>
    <w:rsid w:val="001805A5"/>
    <w:rsid w:val="001807C9"/>
    <w:rsid w:val="00180838"/>
    <w:rsid w:val="00181979"/>
    <w:rsid w:val="001825E4"/>
    <w:rsid w:val="00182F34"/>
    <w:rsid w:val="00183547"/>
    <w:rsid w:val="00183E50"/>
    <w:rsid w:val="00184AD4"/>
    <w:rsid w:val="00190B3E"/>
    <w:rsid w:val="00191301"/>
    <w:rsid w:val="0019180B"/>
    <w:rsid w:val="00191AD4"/>
    <w:rsid w:val="00194926"/>
    <w:rsid w:val="00194FBC"/>
    <w:rsid w:val="00196761"/>
    <w:rsid w:val="001A6661"/>
    <w:rsid w:val="001A7B79"/>
    <w:rsid w:val="001B246E"/>
    <w:rsid w:val="001B3D8E"/>
    <w:rsid w:val="001B5B49"/>
    <w:rsid w:val="001C5B74"/>
    <w:rsid w:val="001D3685"/>
    <w:rsid w:val="001D52F1"/>
    <w:rsid w:val="001E043E"/>
    <w:rsid w:val="001E4D0A"/>
    <w:rsid w:val="001E6002"/>
    <w:rsid w:val="001F289F"/>
    <w:rsid w:val="001F331F"/>
    <w:rsid w:val="002025E5"/>
    <w:rsid w:val="002077AA"/>
    <w:rsid w:val="00207D51"/>
    <w:rsid w:val="00212ECB"/>
    <w:rsid w:val="002134DA"/>
    <w:rsid w:val="00217405"/>
    <w:rsid w:val="00217A33"/>
    <w:rsid w:val="00220A1B"/>
    <w:rsid w:val="00221DA8"/>
    <w:rsid w:val="00223616"/>
    <w:rsid w:val="00230E6B"/>
    <w:rsid w:val="00234B48"/>
    <w:rsid w:val="0023660B"/>
    <w:rsid w:val="002370DE"/>
    <w:rsid w:val="00240E30"/>
    <w:rsid w:val="002415BF"/>
    <w:rsid w:val="00243B92"/>
    <w:rsid w:val="00245344"/>
    <w:rsid w:val="00246D9F"/>
    <w:rsid w:val="002518FC"/>
    <w:rsid w:val="00251B35"/>
    <w:rsid w:val="00252681"/>
    <w:rsid w:val="0025333C"/>
    <w:rsid w:val="00253AAC"/>
    <w:rsid w:val="002615BC"/>
    <w:rsid w:val="0026171C"/>
    <w:rsid w:val="00261765"/>
    <w:rsid w:val="00263AFA"/>
    <w:rsid w:val="00263CF1"/>
    <w:rsid w:val="002663FD"/>
    <w:rsid w:val="00267D0F"/>
    <w:rsid w:val="00271B3A"/>
    <w:rsid w:val="0027251E"/>
    <w:rsid w:val="00274CA2"/>
    <w:rsid w:val="002826C6"/>
    <w:rsid w:val="0028586A"/>
    <w:rsid w:val="00291D09"/>
    <w:rsid w:val="00291F04"/>
    <w:rsid w:val="002954E0"/>
    <w:rsid w:val="002A3E00"/>
    <w:rsid w:val="002A4355"/>
    <w:rsid w:val="002A442F"/>
    <w:rsid w:val="002A6111"/>
    <w:rsid w:val="002A7813"/>
    <w:rsid w:val="002B0D40"/>
    <w:rsid w:val="002B2539"/>
    <w:rsid w:val="002B342D"/>
    <w:rsid w:val="002B3745"/>
    <w:rsid w:val="002B501C"/>
    <w:rsid w:val="002B55E6"/>
    <w:rsid w:val="002B58AD"/>
    <w:rsid w:val="002B5B37"/>
    <w:rsid w:val="002B64E7"/>
    <w:rsid w:val="002B76B0"/>
    <w:rsid w:val="002C37BB"/>
    <w:rsid w:val="002C3AFB"/>
    <w:rsid w:val="002C5096"/>
    <w:rsid w:val="002C756C"/>
    <w:rsid w:val="002D2D71"/>
    <w:rsid w:val="002D6C55"/>
    <w:rsid w:val="002D703E"/>
    <w:rsid w:val="002F3C81"/>
    <w:rsid w:val="002F56D9"/>
    <w:rsid w:val="002F704B"/>
    <w:rsid w:val="002F7E15"/>
    <w:rsid w:val="00303706"/>
    <w:rsid w:val="00305C5A"/>
    <w:rsid w:val="003071C3"/>
    <w:rsid w:val="00310016"/>
    <w:rsid w:val="00312DA7"/>
    <w:rsid w:val="003136B2"/>
    <w:rsid w:val="003140AA"/>
    <w:rsid w:val="00320295"/>
    <w:rsid w:val="003206E7"/>
    <w:rsid w:val="003226DC"/>
    <w:rsid w:val="003314E3"/>
    <w:rsid w:val="00334308"/>
    <w:rsid w:val="0033486B"/>
    <w:rsid w:val="0033571A"/>
    <w:rsid w:val="0033574C"/>
    <w:rsid w:val="003357CF"/>
    <w:rsid w:val="0033675C"/>
    <w:rsid w:val="00337B24"/>
    <w:rsid w:val="00343E8A"/>
    <w:rsid w:val="00350DED"/>
    <w:rsid w:val="00352524"/>
    <w:rsid w:val="0035679C"/>
    <w:rsid w:val="00364C21"/>
    <w:rsid w:val="00364FF4"/>
    <w:rsid w:val="00367A10"/>
    <w:rsid w:val="003730EA"/>
    <w:rsid w:val="003739A2"/>
    <w:rsid w:val="0037755C"/>
    <w:rsid w:val="003804E4"/>
    <w:rsid w:val="00380602"/>
    <w:rsid w:val="003825C6"/>
    <w:rsid w:val="00391D0D"/>
    <w:rsid w:val="00391FE2"/>
    <w:rsid w:val="0039218A"/>
    <w:rsid w:val="00392495"/>
    <w:rsid w:val="003956BE"/>
    <w:rsid w:val="00397905"/>
    <w:rsid w:val="003A1660"/>
    <w:rsid w:val="003A2CC3"/>
    <w:rsid w:val="003B1B5C"/>
    <w:rsid w:val="003B21C2"/>
    <w:rsid w:val="003B2B44"/>
    <w:rsid w:val="003B3629"/>
    <w:rsid w:val="003B46CA"/>
    <w:rsid w:val="003B6D2C"/>
    <w:rsid w:val="003B6DC4"/>
    <w:rsid w:val="003C2151"/>
    <w:rsid w:val="003C56D8"/>
    <w:rsid w:val="003C72B6"/>
    <w:rsid w:val="003D2069"/>
    <w:rsid w:val="003D25FD"/>
    <w:rsid w:val="003D6DE9"/>
    <w:rsid w:val="003D7D19"/>
    <w:rsid w:val="003E0CAE"/>
    <w:rsid w:val="003E1FF2"/>
    <w:rsid w:val="003E2C8D"/>
    <w:rsid w:val="003E6124"/>
    <w:rsid w:val="003F1724"/>
    <w:rsid w:val="003F1C46"/>
    <w:rsid w:val="003F33C9"/>
    <w:rsid w:val="003F357D"/>
    <w:rsid w:val="003F6184"/>
    <w:rsid w:val="003F791A"/>
    <w:rsid w:val="0040099D"/>
    <w:rsid w:val="004018CD"/>
    <w:rsid w:val="004023DC"/>
    <w:rsid w:val="0040419E"/>
    <w:rsid w:val="004046B9"/>
    <w:rsid w:val="00404A4D"/>
    <w:rsid w:val="00406CF9"/>
    <w:rsid w:val="004109FB"/>
    <w:rsid w:val="0041332F"/>
    <w:rsid w:val="00413F59"/>
    <w:rsid w:val="00420971"/>
    <w:rsid w:val="00421E82"/>
    <w:rsid w:val="0042410D"/>
    <w:rsid w:val="0042696A"/>
    <w:rsid w:val="00426BC0"/>
    <w:rsid w:val="00426C19"/>
    <w:rsid w:val="00427EC0"/>
    <w:rsid w:val="00430247"/>
    <w:rsid w:val="0043129A"/>
    <w:rsid w:val="004352E6"/>
    <w:rsid w:val="00441933"/>
    <w:rsid w:val="00446E82"/>
    <w:rsid w:val="00447BC4"/>
    <w:rsid w:val="00453519"/>
    <w:rsid w:val="00455CB3"/>
    <w:rsid w:val="00460358"/>
    <w:rsid w:val="004622DA"/>
    <w:rsid w:val="00463077"/>
    <w:rsid w:val="004633CF"/>
    <w:rsid w:val="00464353"/>
    <w:rsid w:val="004644AC"/>
    <w:rsid w:val="00464BD8"/>
    <w:rsid w:val="00467BEC"/>
    <w:rsid w:val="00470DA6"/>
    <w:rsid w:val="00472FE4"/>
    <w:rsid w:val="00473D36"/>
    <w:rsid w:val="00474DA8"/>
    <w:rsid w:val="00476BE2"/>
    <w:rsid w:val="00477BAB"/>
    <w:rsid w:val="00477F74"/>
    <w:rsid w:val="00482199"/>
    <w:rsid w:val="00483621"/>
    <w:rsid w:val="00484131"/>
    <w:rsid w:val="00484E58"/>
    <w:rsid w:val="004924C5"/>
    <w:rsid w:val="0049316C"/>
    <w:rsid w:val="00494136"/>
    <w:rsid w:val="00494BC5"/>
    <w:rsid w:val="004956A8"/>
    <w:rsid w:val="00495C91"/>
    <w:rsid w:val="004A0888"/>
    <w:rsid w:val="004A20C3"/>
    <w:rsid w:val="004A3CE4"/>
    <w:rsid w:val="004A5103"/>
    <w:rsid w:val="004A5DEF"/>
    <w:rsid w:val="004A68D5"/>
    <w:rsid w:val="004B0AD6"/>
    <w:rsid w:val="004B140B"/>
    <w:rsid w:val="004B3E85"/>
    <w:rsid w:val="004B51FA"/>
    <w:rsid w:val="004B5790"/>
    <w:rsid w:val="004B7A09"/>
    <w:rsid w:val="004B7FB0"/>
    <w:rsid w:val="004C09BE"/>
    <w:rsid w:val="004C1238"/>
    <w:rsid w:val="004C1683"/>
    <w:rsid w:val="004C3680"/>
    <w:rsid w:val="004C3A75"/>
    <w:rsid w:val="004C4287"/>
    <w:rsid w:val="004C4A3A"/>
    <w:rsid w:val="004C4F7F"/>
    <w:rsid w:val="004C582C"/>
    <w:rsid w:val="004C7343"/>
    <w:rsid w:val="004D045B"/>
    <w:rsid w:val="004D142A"/>
    <w:rsid w:val="004D20B8"/>
    <w:rsid w:val="004D344B"/>
    <w:rsid w:val="004D490F"/>
    <w:rsid w:val="004D510C"/>
    <w:rsid w:val="004D5A60"/>
    <w:rsid w:val="004D610A"/>
    <w:rsid w:val="004D68BE"/>
    <w:rsid w:val="004E056A"/>
    <w:rsid w:val="004E1623"/>
    <w:rsid w:val="004E470B"/>
    <w:rsid w:val="004E5D17"/>
    <w:rsid w:val="004E74EB"/>
    <w:rsid w:val="004E76F4"/>
    <w:rsid w:val="004F1302"/>
    <w:rsid w:val="004F32D2"/>
    <w:rsid w:val="004F413C"/>
    <w:rsid w:val="004F48F4"/>
    <w:rsid w:val="005002BF"/>
    <w:rsid w:val="00502CE5"/>
    <w:rsid w:val="00502FB4"/>
    <w:rsid w:val="00504EF9"/>
    <w:rsid w:val="005057AE"/>
    <w:rsid w:val="00507FCD"/>
    <w:rsid w:val="005128DA"/>
    <w:rsid w:val="00512FC3"/>
    <w:rsid w:val="00513084"/>
    <w:rsid w:val="00514827"/>
    <w:rsid w:val="00515040"/>
    <w:rsid w:val="00516DF4"/>
    <w:rsid w:val="0052426D"/>
    <w:rsid w:val="005321E1"/>
    <w:rsid w:val="005347BD"/>
    <w:rsid w:val="00535B4B"/>
    <w:rsid w:val="00540B01"/>
    <w:rsid w:val="005423DB"/>
    <w:rsid w:val="005429E2"/>
    <w:rsid w:val="00544472"/>
    <w:rsid w:val="00545AA6"/>
    <w:rsid w:val="005477AF"/>
    <w:rsid w:val="00547802"/>
    <w:rsid w:val="00552B74"/>
    <w:rsid w:val="00552DD4"/>
    <w:rsid w:val="00555B66"/>
    <w:rsid w:val="00557384"/>
    <w:rsid w:val="00563332"/>
    <w:rsid w:val="00570AFD"/>
    <w:rsid w:val="00570E37"/>
    <w:rsid w:val="00571884"/>
    <w:rsid w:val="005723C3"/>
    <w:rsid w:val="00573493"/>
    <w:rsid w:val="00574860"/>
    <w:rsid w:val="00577BE2"/>
    <w:rsid w:val="0058284D"/>
    <w:rsid w:val="00584553"/>
    <w:rsid w:val="00592212"/>
    <w:rsid w:val="00592833"/>
    <w:rsid w:val="00592BEC"/>
    <w:rsid w:val="0059581C"/>
    <w:rsid w:val="00596684"/>
    <w:rsid w:val="005A329D"/>
    <w:rsid w:val="005A4215"/>
    <w:rsid w:val="005A5B75"/>
    <w:rsid w:val="005A7B7D"/>
    <w:rsid w:val="005B039A"/>
    <w:rsid w:val="005B4179"/>
    <w:rsid w:val="005B5190"/>
    <w:rsid w:val="005B605F"/>
    <w:rsid w:val="005C0E93"/>
    <w:rsid w:val="005C3470"/>
    <w:rsid w:val="005C391F"/>
    <w:rsid w:val="005C63F8"/>
    <w:rsid w:val="005C6DEC"/>
    <w:rsid w:val="005C6EB9"/>
    <w:rsid w:val="005D255B"/>
    <w:rsid w:val="005D2D9A"/>
    <w:rsid w:val="005D5E8E"/>
    <w:rsid w:val="005E1632"/>
    <w:rsid w:val="005E1867"/>
    <w:rsid w:val="005E1B42"/>
    <w:rsid w:val="005E28A3"/>
    <w:rsid w:val="005E30C5"/>
    <w:rsid w:val="005E4EF7"/>
    <w:rsid w:val="005E680B"/>
    <w:rsid w:val="005F2991"/>
    <w:rsid w:val="005F2DEA"/>
    <w:rsid w:val="005F3677"/>
    <w:rsid w:val="005F58F7"/>
    <w:rsid w:val="00601E1A"/>
    <w:rsid w:val="0060611D"/>
    <w:rsid w:val="00607F0A"/>
    <w:rsid w:val="00612493"/>
    <w:rsid w:val="006134C6"/>
    <w:rsid w:val="00613835"/>
    <w:rsid w:val="00617636"/>
    <w:rsid w:val="00617D72"/>
    <w:rsid w:val="006213DE"/>
    <w:rsid w:val="00622D1E"/>
    <w:rsid w:val="00622DF5"/>
    <w:rsid w:val="006240D2"/>
    <w:rsid w:val="00630AB7"/>
    <w:rsid w:val="00631FCF"/>
    <w:rsid w:val="00632759"/>
    <w:rsid w:val="006328F9"/>
    <w:rsid w:val="00632B23"/>
    <w:rsid w:val="00633A54"/>
    <w:rsid w:val="00633EA3"/>
    <w:rsid w:val="00635FD9"/>
    <w:rsid w:val="006370C8"/>
    <w:rsid w:val="00644AC6"/>
    <w:rsid w:val="00647770"/>
    <w:rsid w:val="00647EBC"/>
    <w:rsid w:val="0065366C"/>
    <w:rsid w:val="00653D1C"/>
    <w:rsid w:val="0065597C"/>
    <w:rsid w:val="00656208"/>
    <w:rsid w:val="0065623E"/>
    <w:rsid w:val="006565E4"/>
    <w:rsid w:val="006576D1"/>
    <w:rsid w:val="0066058E"/>
    <w:rsid w:val="00662B24"/>
    <w:rsid w:val="006654CF"/>
    <w:rsid w:val="006670B4"/>
    <w:rsid w:val="00667376"/>
    <w:rsid w:val="00672728"/>
    <w:rsid w:val="006779AC"/>
    <w:rsid w:val="006804F3"/>
    <w:rsid w:val="00681B7B"/>
    <w:rsid w:val="00681DBC"/>
    <w:rsid w:val="006822C7"/>
    <w:rsid w:val="0068241D"/>
    <w:rsid w:val="00684B02"/>
    <w:rsid w:val="0068674A"/>
    <w:rsid w:val="006956E4"/>
    <w:rsid w:val="006A0F64"/>
    <w:rsid w:val="006A1047"/>
    <w:rsid w:val="006A1185"/>
    <w:rsid w:val="006A17B5"/>
    <w:rsid w:val="006A251C"/>
    <w:rsid w:val="006A3A29"/>
    <w:rsid w:val="006A4046"/>
    <w:rsid w:val="006A5379"/>
    <w:rsid w:val="006A5996"/>
    <w:rsid w:val="006A5E19"/>
    <w:rsid w:val="006B097E"/>
    <w:rsid w:val="006B4AE2"/>
    <w:rsid w:val="006B5B61"/>
    <w:rsid w:val="006C073F"/>
    <w:rsid w:val="006C1A18"/>
    <w:rsid w:val="006C3AD0"/>
    <w:rsid w:val="006C3C5F"/>
    <w:rsid w:val="006C67FF"/>
    <w:rsid w:val="006C68C7"/>
    <w:rsid w:val="006D076E"/>
    <w:rsid w:val="006D262F"/>
    <w:rsid w:val="006D5454"/>
    <w:rsid w:val="006D7E41"/>
    <w:rsid w:val="006E0B19"/>
    <w:rsid w:val="006E1FFA"/>
    <w:rsid w:val="006E24D5"/>
    <w:rsid w:val="006E4B90"/>
    <w:rsid w:val="006E5357"/>
    <w:rsid w:val="006E5564"/>
    <w:rsid w:val="006E62E7"/>
    <w:rsid w:val="006F2E02"/>
    <w:rsid w:val="006F3F45"/>
    <w:rsid w:val="006F684D"/>
    <w:rsid w:val="00703CB6"/>
    <w:rsid w:val="0070423D"/>
    <w:rsid w:val="00713C58"/>
    <w:rsid w:val="00713D1C"/>
    <w:rsid w:val="00717A49"/>
    <w:rsid w:val="00721B4B"/>
    <w:rsid w:val="007233E7"/>
    <w:rsid w:val="007242E8"/>
    <w:rsid w:val="00724895"/>
    <w:rsid w:val="00726DAA"/>
    <w:rsid w:val="007321E1"/>
    <w:rsid w:val="007325B7"/>
    <w:rsid w:val="0073300C"/>
    <w:rsid w:val="00733E86"/>
    <w:rsid w:val="0073684D"/>
    <w:rsid w:val="00742970"/>
    <w:rsid w:val="00745B7D"/>
    <w:rsid w:val="00752027"/>
    <w:rsid w:val="00755627"/>
    <w:rsid w:val="00757AA0"/>
    <w:rsid w:val="007600FA"/>
    <w:rsid w:val="007608DE"/>
    <w:rsid w:val="0076109C"/>
    <w:rsid w:val="00762749"/>
    <w:rsid w:val="00763B98"/>
    <w:rsid w:val="007649C4"/>
    <w:rsid w:val="00765E41"/>
    <w:rsid w:val="00767A7E"/>
    <w:rsid w:val="00767D76"/>
    <w:rsid w:val="00775546"/>
    <w:rsid w:val="00775879"/>
    <w:rsid w:val="00776E10"/>
    <w:rsid w:val="00783A5F"/>
    <w:rsid w:val="007864F1"/>
    <w:rsid w:val="00787F5A"/>
    <w:rsid w:val="00793C28"/>
    <w:rsid w:val="00795F40"/>
    <w:rsid w:val="007A233D"/>
    <w:rsid w:val="007A2375"/>
    <w:rsid w:val="007A3FA0"/>
    <w:rsid w:val="007A54FF"/>
    <w:rsid w:val="007A623D"/>
    <w:rsid w:val="007A7BC7"/>
    <w:rsid w:val="007B00F9"/>
    <w:rsid w:val="007B3A84"/>
    <w:rsid w:val="007B414F"/>
    <w:rsid w:val="007C0EFC"/>
    <w:rsid w:val="007C1A3E"/>
    <w:rsid w:val="007C2B0B"/>
    <w:rsid w:val="007C5326"/>
    <w:rsid w:val="007D2B33"/>
    <w:rsid w:val="007D42B6"/>
    <w:rsid w:val="007D4E33"/>
    <w:rsid w:val="007D6645"/>
    <w:rsid w:val="007D6AB3"/>
    <w:rsid w:val="007D78AA"/>
    <w:rsid w:val="007E1F77"/>
    <w:rsid w:val="007E24E3"/>
    <w:rsid w:val="007E4EA9"/>
    <w:rsid w:val="007E5DF1"/>
    <w:rsid w:val="007E65EF"/>
    <w:rsid w:val="007E773B"/>
    <w:rsid w:val="007F392F"/>
    <w:rsid w:val="007F3A08"/>
    <w:rsid w:val="008039A0"/>
    <w:rsid w:val="00803E8E"/>
    <w:rsid w:val="008049DF"/>
    <w:rsid w:val="00807345"/>
    <w:rsid w:val="008108BD"/>
    <w:rsid w:val="00812F77"/>
    <w:rsid w:val="00813E96"/>
    <w:rsid w:val="008146D4"/>
    <w:rsid w:val="00820AB0"/>
    <w:rsid w:val="0082148A"/>
    <w:rsid w:val="00823491"/>
    <w:rsid w:val="00827001"/>
    <w:rsid w:val="00832E36"/>
    <w:rsid w:val="00833D61"/>
    <w:rsid w:val="008355F7"/>
    <w:rsid w:val="00842135"/>
    <w:rsid w:val="008465A1"/>
    <w:rsid w:val="00846CC9"/>
    <w:rsid w:val="00853DA3"/>
    <w:rsid w:val="008549EA"/>
    <w:rsid w:val="00854C6D"/>
    <w:rsid w:val="00856BA7"/>
    <w:rsid w:val="008603A3"/>
    <w:rsid w:val="008638F7"/>
    <w:rsid w:val="0086718D"/>
    <w:rsid w:val="008724B8"/>
    <w:rsid w:val="008727E2"/>
    <w:rsid w:val="0087312D"/>
    <w:rsid w:val="00880545"/>
    <w:rsid w:val="00886879"/>
    <w:rsid w:val="00886A9A"/>
    <w:rsid w:val="00886FB7"/>
    <w:rsid w:val="00887313"/>
    <w:rsid w:val="0089189F"/>
    <w:rsid w:val="008A00DF"/>
    <w:rsid w:val="008A0E37"/>
    <w:rsid w:val="008A2E40"/>
    <w:rsid w:val="008A3C65"/>
    <w:rsid w:val="008A7127"/>
    <w:rsid w:val="008B00E9"/>
    <w:rsid w:val="008B2424"/>
    <w:rsid w:val="008B2F87"/>
    <w:rsid w:val="008B592D"/>
    <w:rsid w:val="008B66C4"/>
    <w:rsid w:val="008C2A48"/>
    <w:rsid w:val="008C2D06"/>
    <w:rsid w:val="008C369D"/>
    <w:rsid w:val="008C3D4F"/>
    <w:rsid w:val="008C4E0C"/>
    <w:rsid w:val="008C5997"/>
    <w:rsid w:val="008C6BCD"/>
    <w:rsid w:val="008C7026"/>
    <w:rsid w:val="008D3F6D"/>
    <w:rsid w:val="008D4C07"/>
    <w:rsid w:val="008D6006"/>
    <w:rsid w:val="008D68F5"/>
    <w:rsid w:val="008E5730"/>
    <w:rsid w:val="008E62D4"/>
    <w:rsid w:val="008E64F7"/>
    <w:rsid w:val="008E7421"/>
    <w:rsid w:val="008E7E1A"/>
    <w:rsid w:val="008F5B22"/>
    <w:rsid w:val="008F6433"/>
    <w:rsid w:val="008F66FF"/>
    <w:rsid w:val="008F6821"/>
    <w:rsid w:val="008F6972"/>
    <w:rsid w:val="008F6DE4"/>
    <w:rsid w:val="008F7052"/>
    <w:rsid w:val="008F79F7"/>
    <w:rsid w:val="00900613"/>
    <w:rsid w:val="00902013"/>
    <w:rsid w:val="00902333"/>
    <w:rsid w:val="00903853"/>
    <w:rsid w:val="00904D11"/>
    <w:rsid w:val="00906F5B"/>
    <w:rsid w:val="0091204F"/>
    <w:rsid w:val="00912C0D"/>
    <w:rsid w:val="009160CC"/>
    <w:rsid w:val="00921B16"/>
    <w:rsid w:val="00921C55"/>
    <w:rsid w:val="00923892"/>
    <w:rsid w:val="00924AEC"/>
    <w:rsid w:val="0092509A"/>
    <w:rsid w:val="009267AC"/>
    <w:rsid w:val="009268C2"/>
    <w:rsid w:val="00926A2D"/>
    <w:rsid w:val="009328FC"/>
    <w:rsid w:val="00932FC7"/>
    <w:rsid w:val="00937641"/>
    <w:rsid w:val="00940D29"/>
    <w:rsid w:val="009424F3"/>
    <w:rsid w:val="00942754"/>
    <w:rsid w:val="00945071"/>
    <w:rsid w:val="009460BE"/>
    <w:rsid w:val="00950CD9"/>
    <w:rsid w:val="00951846"/>
    <w:rsid w:val="00951ADD"/>
    <w:rsid w:val="009531C7"/>
    <w:rsid w:val="0095350A"/>
    <w:rsid w:val="0095430E"/>
    <w:rsid w:val="00955BDE"/>
    <w:rsid w:val="00955DCC"/>
    <w:rsid w:val="0095650E"/>
    <w:rsid w:val="00956798"/>
    <w:rsid w:val="00957715"/>
    <w:rsid w:val="00960B8C"/>
    <w:rsid w:val="00960DF3"/>
    <w:rsid w:val="00964BD6"/>
    <w:rsid w:val="00964E40"/>
    <w:rsid w:val="00967C8A"/>
    <w:rsid w:val="00970158"/>
    <w:rsid w:val="009728FC"/>
    <w:rsid w:val="00974358"/>
    <w:rsid w:val="009749EF"/>
    <w:rsid w:val="00980C47"/>
    <w:rsid w:val="009815C5"/>
    <w:rsid w:val="00983A53"/>
    <w:rsid w:val="00984FF6"/>
    <w:rsid w:val="00986CBA"/>
    <w:rsid w:val="00990068"/>
    <w:rsid w:val="00990362"/>
    <w:rsid w:val="00990524"/>
    <w:rsid w:val="00992C9F"/>
    <w:rsid w:val="0099353C"/>
    <w:rsid w:val="00993659"/>
    <w:rsid w:val="009A0C5E"/>
    <w:rsid w:val="009A2716"/>
    <w:rsid w:val="009A4C2D"/>
    <w:rsid w:val="009A51B0"/>
    <w:rsid w:val="009A62D2"/>
    <w:rsid w:val="009A662B"/>
    <w:rsid w:val="009B193F"/>
    <w:rsid w:val="009B201B"/>
    <w:rsid w:val="009B4BBD"/>
    <w:rsid w:val="009B6C00"/>
    <w:rsid w:val="009C10D1"/>
    <w:rsid w:val="009C3EB7"/>
    <w:rsid w:val="009C545B"/>
    <w:rsid w:val="009D750D"/>
    <w:rsid w:val="009E031B"/>
    <w:rsid w:val="009E3A1D"/>
    <w:rsid w:val="009F1C10"/>
    <w:rsid w:val="009F350E"/>
    <w:rsid w:val="00A00655"/>
    <w:rsid w:val="00A00E52"/>
    <w:rsid w:val="00A016E0"/>
    <w:rsid w:val="00A02D3F"/>
    <w:rsid w:val="00A0553D"/>
    <w:rsid w:val="00A056F9"/>
    <w:rsid w:val="00A05C19"/>
    <w:rsid w:val="00A07829"/>
    <w:rsid w:val="00A12ADA"/>
    <w:rsid w:val="00A13426"/>
    <w:rsid w:val="00A17EEC"/>
    <w:rsid w:val="00A210D7"/>
    <w:rsid w:val="00A2162A"/>
    <w:rsid w:val="00A222A3"/>
    <w:rsid w:val="00A22B70"/>
    <w:rsid w:val="00A320D4"/>
    <w:rsid w:val="00A33AD1"/>
    <w:rsid w:val="00A36349"/>
    <w:rsid w:val="00A50AD4"/>
    <w:rsid w:val="00A54174"/>
    <w:rsid w:val="00A5570A"/>
    <w:rsid w:val="00A557BA"/>
    <w:rsid w:val="00A56226"/>
    <w:rsid w:val="00A62063"/>
    <w:rsid w:val="00A631F6"/>
    <w:rsid w:val="00A65DAF"/>
    <w:rsid w:val="00A70445"/>
    <w:rsid w:val="00A71851"/>
    <w:rsid w:val="00A7385A"/>
    <w:rsid w:val="00A75180"/>
    <w:rsid w:val="00A766B6"/>
    <w:rsid w:val="00A77DCA"/>
    <w:rsid w:val="00A81E84"/>
    <w:rsid w:val="00A84E8A"/>
    <w:rsid w:val="00A853FD"/>
    <w:rsid w:val="00A86179"/>
    <w:rsid w:val="00A937D8"/>
    <w:rsid w:val="00A94435"/>
    <w:rsid w:val="00A966D7"/>
    <w:rsid w:val="00AA157F"/>
    <w:rsid w:val="00AA2C47"/>
    <w:rsid w:val="00AA377A"/>
    <w:rsid w:val="00AA6BDD"/>
    <w:rsid w:val="00AA7E40"/>
    <w:rsid w:val="00AB1CF9"/>
    <w:rsid w:val="00AB2395"/>
    <w:rsid w:val="00AB4A24"/>
    <w:rsid w:val="00AB5A6B"/>
    <w:rsid w:val="00AB68E7"/>
    <w:rsid w:val="00AB740E"/>
    <w:rsid w:val="00AB761B"/>
    <w:rsid w:val="00AC1616"/>
    <w:rsid w:val="00AC1B42"/>
    <w:rsid w:val="00AC4BD8"/>
    <w:rsid w:val="00AC4D0C"/>
    <w:rsid w:val="00AC4E15"/>
    <w:rsid w:val="00AC620C"/>
    <w:rsid w:val="00AD00AE"/>
    <w:rsid w:val="00AD2E4B"/>
    <w:rsid w:val="00AD32B2"/>
    <w:rsid w:val="00AD348B"/>
    <w:rsid w:val="00AD3930"/>
    <w:rsid w:val="00AD3DF1"/>
    <w:rsid w:val="00AD40F5"/>
    <w:rsid w:val="00AD473A"/>
    <w:rsid w:val="00AD5028"/>
    <w:rsid w:val="00AD5E58"/>
    <w:rsid w:val="00AD69DC"/>
    <w:rsid w:val="00AE4086"/>
    <w:rsid w:val="00AE762E"/>
    <w:rsid w:val="00AF00F4"/>
    <w:rsid w:val="00AF121B"/>
    <w:rsid w:val="00AF2486"/>
    <w:rsid w:val="00AF41EC"/>
    <w:rsid w:val="00AF48F3"/>
    <w:rsid w:val="00AF6CBC"/>
    <w:rsid w:val="00AF6DC4"/>
    <w:rsid w:val="00AF6EF1"/>
    <w:rsid w:val="00AF7BC0"/>
    <w:rsid w:val="00B016E0"/>
    <w:rsid w:val="00B020C4"/>
    <w:rsid w:val="00B03485"/>
    <w:rsid w:val="00B06B43"/>
    <w:rsid w:val="00B06BD7"/>
    <w:rsid w:val="00B07B2E"/>
    <w:rsid w:val="00B10150"/>
    <w:rsid w:val="00B1185E"/>
    <w:rsid w:val="00B13B14"/>
    <w:rsid w:val="00B14D0D"/>
    <w:rsid w:val="00B15286"/>
    <w:rsid w:val="00B15C03"/>
    <w:rsid w:val="00B1685C"/>
    <w:rsid w:val="00B17626"/>
    <w:rsid w:val="00B22835"/>
    <w:rsid w:val="00B22E35"/>
    <w:rsid w:val="00B23EEF"/>
    <w:rsid w:val="00B24449"/>
    <w:rsid w:val="00B309D2"/>
    <w:rsid w:val="00B34F72"/>
    <w:rsid w:val="00B40BB9"/>
    <w:rsid w:val="00B40CF1"/>
    <w:rsid w:val="00B433A7"/>
    <w:rsid w:val="00B45666"/>
    <w:rsid w:val="00B5319D"/>
    <w:rsid w:val="00B55C3E"/>
    <w:rsid w:val="00B615BE"/>
    <w:rsid w:val="00B6457F"/>
    <w:rsid w:val="00B6475E"/>
    <w:rsid w:val="00B67D30"/>
    <w:rsid w:val="00B67FB6"/>
    <w:rsid w:val="00B70269"/>
    <w:rsid w:val="00B727A7"/>
    <w:rsid w:val="00B7398B"/>
    <w:rsid w:val="00B75E51"/>
    <w:rsid w:val="00B811EB"/>
    <w:rsid w:val="00B818E4"/>
    <w:rsid w:val="00B83946"/>
    <w:rsid w:val="00B83DF4"/>
    <w:rsid w:val="00B84CFC"/>
    <w:rsid w:val="00B86033"/>
    <w:rsid w:val="00B86C8F"/>
    <w:rsid w:val="00B952E2"/>
    <w:rsid w:val="00B95678"/>
    <w:rsid w:val="00B95DF0"/>
    <w:rsid w:val="00BA0264"/>
    <w:rsid w:val="00BA6772"/>
    <w:rsid w:val="00BA6F98"/>
    <w:rsid w:val="00BA749E"/>
    <w:rsid w:val="00BB3BBA"/>
    <w:rsid w:val="00BB77E5"/>
    <w:rsid w:val="00BB796A"/>
    <w:rsid w:val="00BB7B14"/>
    <w:rsid w:val="00BD4296"/>
    <w:rsid w:val="00BD510D"/>
    <w:rsid w:val="00BD53DE"/>
    <w:rsid w:val="00BD5FE2"/>
    <w:rsid w:val="00BD73D7"/>
    <w:rsid w:val="00BE1F7C"/>
    <w:rsid w:val="00BE4DFD"/>
    <w:rsid w:val="00BE6DA8"/>
    <w:rsid w:val="00BE7619"/>
    <w:rsid w:val="00BF15F3"/>
    <w:rsid w:val="00BF5649"/>
    <w:rsid w:val="00C01384"/>
    <w:rsid w:val="00C03CF5"/>
    <w:rsid w:val="00C047AB"/>
    <w:rsid w:val="00C06A0E"/>
    <w:rsid w:val="00C111BF"/>
    <w:rsid w:val="00C14920"/>
    <w:rsid w:val="00C169EE"/>
    <w:rsid w:val="00C17A96"/>
    <w:rsid w:val="00C26F51"/>
    <w:rsid w:val="00C27E21"/>
    <w:rsid w:val="00C27FD7"/>
    <w:rsid w:val="00C32A54"/>
    <w:rsid w:val="00C33F8B"/>
    <w:rsid w:val="00C37968"/>
    <w:rsid w:val="00C41337"/>
    <w:rsid w:val="00C41B58"/>
    <w:rsid w:val="00C432E5"/>
    <w:rsid w:val="00C44A12"/>
    <w:rsid w:val="00C503EC"/>
    <w:rsid w:val="00C55AE1"/>
    <w:rsid w:val="00C55BC3"/>
    <w:rsid w:val="00C56384"/>
    <w:rsid w:val="00C606E8"/>
    <w:rsid w:val="00C667AC"/>
    <w:rsid w:val="00C7165D"/>
    <w:rsid w:val="00C722FF"/>
    <w:rsid w:val="00C75E36"/>
    <w:rsid w:val="00C76818"/>
    <w:rsid w:val="00C77521"/>
    <w:rsid w:val="00C77E43"/>
    <w:rsid w:val="00C80F13"/>
    <w:rsid w:val="00C87ACD"/>
    <w:rsid w:val="00C910D0"/>
    <w:rsid w:val="00C91EB9"/>
    <w:rsid w:val="00C95176"/>
    <w:rsid w:val="00CA1B5E"/>
    <w:rsid w:val="00CA2DC8"/>
    <w:rsid w:val="00CA32FD"/>
    <w:rsid w:val="00CA3647"/>
    <w:rsid w:val="00CA6088"/>
    <w:rsid w:val="00CA7CD4"/>
    <w:rsid w:val="00CB074D"/>
    <w:rsid w:val="00CB24E5"/>
    <w:rsid w:val="00CB36E9"/>
    <w:rsid w:val="00CB5749"/>
    <w:rsid w:val="00CC63A7"/>
    <w:rsid w:val="00CD0464"/>
    <w:rsid w:val="00CD0FD4"/>
    <w:rsid w:val="00CD135E"/>
    <w:rsid w:val="00CD1D69"/>
    <w:rsid w:val="00CD71A2"/>
    <w:rsid w:val="00CE0D91"/>
    <w:rsid w:val="00CE5702"/>
    <w:rsid w:val="00CE635D"/>
    <w:rsid w:val="00CE729E"/>
    <w:rsid w:val="00CF02A5"/>
    <w:rsid w:val="00CF0744"/>
    <w:rsid w:val="00CF19D9"/>
    <w:rsid w:val="00CF1B26"/>
    <w:rsid w:val="00CF2D2F"/>
    <w:rsid w:val="00CF5363"/>
    <w:rsid w:val="00D00C17"/>
    <w:rsid w:val="00D0100E"/>
    <w:rsid w:val="00D04C43"/>
    <w:rsid w:val="00D07FF2"/>
    <w:rsid w:val="00D10269"/>
    <w:rsid w:val="00D122B7"/>
    <w:rsid w:val="00D1445F"/>
    <w:rsid w:val="00D17A02"/>
    <w:rsid w:val="00D20EEF"/>
    <w:rsid w:val="00D271CF"/>
    <w:rsid w:val="00D32D01"/>
    <w:rsid w:val="00D367E4"/>
    <w:rsid w:val="00D37078"/>
    <w:rsid w:val="00D4097D"/>
    <w:rsid w:val="00D43BCD"/>
    <w:rsid w:val="00D46321"/>
    <w:rsid w:val="00D47C2D"/>
    <w:rsid w:val="00D512C9"/>
    <w:rsid w:val="00D51DD4"/>
    <w:rsid w:val="00D52232"/>
    <w:rsid w:val="00D52EF8"/>
    <w:rsid w:val="00D53A76"/>
    <w:rsid w:val="00D5520B"/>
    <w:rsid w:val="00D60D1A"/>
    <w:rsid w:val="00D6429B"/>
    <w:rsid w:val="00D64D54"/>
    <w:rsid w:val="00D722B3"/>
    <w:rsid w:val="00D76538"/>
    <w:rsid w:val="00D76DF3"/>
    <w:rsid w:val="00D82070"/>
    <w:rsid w:val="00D8500F"/>
    <w:rsid w:val="00D869FC"/>
    <w:rsid w:val="00D915C9"/>
    <w:rsid w:val="00D91D58"/>
    <w:rsid w:val="00DA1CBD"/>
    <w:rsid w:val="00DA24DD"/>
    <w:rsid w:val="00DA3071"/>
    <w:rsid w:val="00DA4A2F"/>
    <w:rsid w:val="00DA743B"/>
    <w:rsid w:val="00DB01CF"/>
    <w:rsid w:val="00DB06C1"/>
    <w:rsid w:val="00DB3644"/>
    <w:rsid w:val="00DB73D6"/>
    <w:rsid w:val="00DC3900"/>
    <w:rsid w:val="00DC7C3F"/>
    <w:rsid w:val="00DD075F"/>
    <w:rsid w:val="00DD0FDB"/>
    <w:rsid w:val="00DD1628"/>
    <w:rsid w:val="00DD4CAB"/>
    <w:rsid w:val="00DD61AE"/>
    <w:rsid w:val="00DE7CB4"/>
    <w:rsid w:val="00E008CE"/>
    <w:rsid w:val="00E00914"/>
    <w:rsid w:val="00E01854"/>
    <w:rsid w:val="00E0415F"/>
    <w:rsid w:val="00E130C0"/>
    <w:rsid w:val="00E14251"/>
    <w:rsid w:val="00E14824"/>
    <w:rsid w:val="00E160C8"/>
    <w:rsid w:val="00E1655F"/>
    <w:rsid w:val="00E17347"/>
    <w:rsid w:val="00E211F4"/>
    <w:rsid w:val="00E21CE4"/>
    <w:rsid w:val="00E22252"/>
    <w:rsid w:val="00E2434A"/>
    <w:rsid w:val="00E24BA5"/>
    <w:rsid w:val="00E31C1D"/>
    <w:rsid w:val="00E3340B"/>
    <w:rsid w:val="00E37D25"/>
    <w:rsid w:val="00E37EA1"/>
    <w:rsid w:val="00E37EEB"/>
    <w:rsid w:val="00E458C2"/>
    <w:rsid w:val="00E520B7"/>
    <w:rsid w:val="00E5291E"/>
    <w:rsid w:val="00E5477F"/>
    <w:rsid w:val="00E54D8B"/>
    <w:rsid w:val="00E5798F"/>
    <w:rsid w:val="00E64403"/>
    <w:rsid w:val="00E64717"/>
    <w:rsid w:val="00E709F7"/>
    <w:rsid w:val="00E73234"/>
    <w:rsid w:val="00E749FC"/>
    <w:rsid w:val="00E74EC0"/>
    <w:rsid w:val="00E7677A"/>
    <w:rsid w:val="00E77DDE"/>
    <w:rsid w:val="00E81FA7"/>
    <w:rsid w:val="00E837EE"/>
    <w:rsid w:val="00E86842"/>
    <w:rsid w:val="00E86AEE"/>
    <w:rsid w:val="00E929D3"/>
    <w:rsid w:val="00E96106"/>
    <w:rsid w:val="00EA0B40"/>
    <w:rsid w:val="00EA3B7C"/>
    <w:rsid w:val="00EA3F63"/>
    <w:rsid w:val="00EA445A"/>
    <w:rsid w:val="00EA5298"/>
    <w:rsid w:val="00EA7B04"/>
    <w:rsid w:val="00EB32C9"/>
    <w:rsid w:val="00EB68D7"/>
    <w:rsid w:val="00EC04F5"/>
    <w:rsid w:val="00EC0899"/>
    <w:rsid w:val="00EC0AC6"/>
    <w:rsid w:val="00EC1BD2"/>
    <w:rsid w:val="00EC5675"/>
    <w:rsid w:val="00EC58CD"/>
    <w:rsid w:val="00EC6306"/>
    <w:rsid w:val="00EC70F3"/>
    <w:rsid w:val="00ED04CC"/>
    <w:rsid w:val="00ED2403"/>
    <w:rsid w:val="00ED27FE"/>
    <w:rsid w:val="00ED34F8"/>
    <w:rsid w:val="00ED5E7D"/>
    <w:rsid w:val="00EE379D"/>
    <w:rsid w:val="00EE5F59"/>
    <w:rsid w:val="00EE5FEC"/>
    <w:rsid w:val="00EE6583"/>
    <w:rsid w:val="00EF1644"/>
    <w:rsid w:val="00EF1D98"/>
    <w:rsid w:val="00EF2020"/>
    <w:rsid w:val="00EF3495"/>
    <w:rsid w:val="00EF47C0"/>
    <w:rsid w:val="00EF5320"/>
    <w:rsid w:val="00EF7AE4"/>
    <w:rsid w:val="00F00728"/>
    <w:rsid w:val="00F0099C"/>
    <w:rsid w:val="00F01784"/>
    <w:rsid w:val="00F03958"/>
    <w:rsid w:val="00F058E8"/>
    <w:rsid w:val="00F05C17"/>
    <w:rsid w:val="00F10418"/>
    <w:rsid w:val="00F16A9D"/>
    <w:rsid w:val="00F17D6C"/>
    <w:rsid w:val="00F20F78"/>
    <w:rsid w:val="00F21F83"/>
    <w:rsid w:val="00F22611"/>
    <w:rsid w:val="00F2558B"/>
    <w:rsid w:val="00F30523"/>
    <w:rsid w:val="00F31A99"/>
    <w:rsid w:val="00F346FC"/>
    <w:rsid w:val="00F35A99"/>
    <w:rsid w:val="00F40803"/>
    <w:rsid w:val="00F40B5F"/>
    <w:rsid w:val="00F413C0"/>
    <w:rsid w:val="00F43229"/>
    <w:rsid w:val="00F46247"/>
    <w:rsid w:val="00F50309"/>
    <w:rsid w:val="00F51E7C"/>
    <w:rsid w:val="00F538E2"/>
    <w:rsid w:val="00F53BBC"/>
    <w:rsid w:val="00F615C8"/>
    <w:rsid w:val="00F61CBF"/>
    <w:rsid w:val="00F634E5"/>
    <w:rsid w:val="00F64670"/>
    <w:rsid w:val="00F717FE"/>
    <w:rsid w:val="00F71FB0"/>
    <w:rsid w:val="00F7422A"/>
    <w:rsid w:val="00F750A2"/>
    <w:rsid w:val="00F75425"/>
    <w:rsid w:val="00F754B5"/>
    <w:rsid w:val="00F77541"/>
    <w:rsid w:val="00F80484"/>
    <w:rsid w:val="00F825A0"/>
    <w:rsid w:val="00F860CC"/>
    <w:rsid w:val="00F861BD"/>
    <w:rsid w:val="00F8744D"/>
    <w:rsid w:val="00F87A35"/>
    <w:rsid w:val="00F87E2E"/>
    <w:rsid w:val="00F90B4D"/>
    <w:rsid w:val="00F91701"/>
    <w:rsid w:val="00F965EA"/>
    <w:rsid w:val="00FA1D26"/>
    <w:rsid w:val="00FA247B"/>
    <w:rsid w:val="00FA302E"/>
    <w:rsid w:val="00FA34B0"/>
    <w:rsid w:val="00FA3D33"/>
    <w:rsid w:val="00FA4A73"/>
    <w:rsid w:val="00FA5885"/>
    <w:rsid w:val="00FA6571"/>
    <w:rsid w:val="00FA7950"/>
    <w:rsid w:val="00FA7A0E"/>
    <w:rsid w:val="00FA7D70"/>
    <w:rsid w:val="00FB0627"/>
    <w:rsid w:val="00FB1992"/>
    <w:rsid w:val="00FB42B8"/>
    <w:rsid w:val="00FB460C"/>
    <w:rsid w:val="00FB466F"/>
    <w:rsid w:val="00FB6020"/>
    <w:rsid w:val="00FC0A75"/>
    <w:rsid w:val="00FC1059"/>
    <w:rsid w:val="00FC235A"/>
    <w:rsid w:val="00FC5431"/>
    <w:rsid w:val="00FD136B"/>
    <w:rsid w:val="00FD3627"/>
    <w:rsid w:val="00FD7A96"/>
    <w:rsid w:val="00FE400C"/>
    <w:rsid w:val="00FE5F7F"/>
    <w:rsid w:val="00FE7002"/>
    <w:rsid w:val="00FE7DAA"/>
    <w:rsid w:val="00FF2D0B"/>
    <w:rsid w:val="00FF3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A7ACE"/>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798"/>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36"/>
      </w:numPr>
    </w:pPr>
  </w:style>
  <w:style w:type="paragraph" w:customStyle="1" w:styleId="2pakapesvirsraksts">
    <w:name w:val="2. pakapes virsraksts"/>
    <w:basedOn w:val="Normal"/>
    <w:rsid w:val="00BD53DE"/>
    <w:pPr>
      <w:numPr>
        <w:ilvl w:val="1"/>
        <w:numId w:val="36"/>
      </w:numPr>
      <w:ind w:left="547"/>
    </w:pPr>
  </w:style>
  <w:style w:type="paragraph" w:customStyle="1" w:styleId="3pakapesvirsraksts">
    <w:name w:val="3. pakapes virsraksts"/>
    <w:basedOn w:val="Normal"/>
    <w:rsid w:val="00BD53DE"/>
    <w:pPr>
      <w:numPr>
        <w:ilvl w:val="2"/>
        <w:numId w:val="36"/>
      </w:numPr>
    </w:pPr>
  </w:style>
  <w:style w:type="paragraph" w:customStyle="1" w:styleId="4pakapesvirsraksts">
    <w:name w:val="4. pakapes virsraksts"/>
    <w:basedOn w:val="Normal"/>
    <w:rsid w:val="00BD53DE"/>
    <w:pPr>
      <w:numPr>
        <w:ilvl w:val="3"/>
        <w:numId w:val="36"/>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Nepieejam&#299;bas%20att&#275;l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kasparans\Downloads\NHA%20indicato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kasparans\Downloads\Pieejam&#299;b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Grafiki_medikamentie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nozare.pri\vm\Redirect_profiles\VM_Kristina_bruvere\My%20Documents\ZIKS\ziks%20datu%20tabul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kasparans\Downloads\C_mirstib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PZMG!$A$150</c:f>
              <c:strCache>
                <c:ptCount val="1"/>
                <c:pt idx="0">
                  <c:v>Sievietes bez papildus finansējuma</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PZMG!$B$149:$L$149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PZMG!$B$150:$L$150</c:f>
              <c:numCache>
                <c:formatCode>General</c:formatCode>
                <c:ptCount val="11"/>
                <c:pt idx="0">
                  <c:v>32200.5</c:v>
                </c:pt>
                <c:pt idx="1">
                  <c:v>29996</c:v>
                </c:pt>
                <c:pt idx="2">
                  <c:v>27578.5</c:v>
                </c:pt>
                <c:pt idx="3">
                  <c:v>28365</c:v>
                </c:pt>
                <c:pt idx="4">
                  <c:v>25900.5</c:v>
                </c:pt>
                <c:pt idx="5">
                  <c:v>24419.5</c:v>
                </c:pt>
                <c:pt idx="6">
                  <c:v>24419.5</c:v>
                </c:pt>
                <c:pt idx="7">
                  <c:v>24419.5</c:v>
                </c:pt>
                <c:pt idx="8">
                  <c:v>23456</c:v>
                </c:pt>
                <c:pt idx="9">
                  <c:v>22478</c:v>
                </c:pt>
                <c:pt idx="10">
                  <c:v>21567</c:v>
                </c:pt>
              </c:numCache>
            </c:numRef>
          </c:val>
          <c:smooth val="0"/>
          <c:extLst>
            <c:ext xmlns:c16="http://schemas.microsoft.com/office/drawing/2014/chart" uri="{C3380CC4-5D6E-409C-BE32-E72D297353CC}">
              <c16:uniqueId val="{00000000-C9DC-4226-9638-96F81EED3BE8}"/>
            </c:ext>
          </c:extLst>
        </c:ser>
        <c:ser>
          <c:idx val="1"/>
          <c:order val="1"/>
          <c:tx>
            <c:strRef>
              <c:f>PZMG!$A$151</c:f>
              <c:strCache>
                <c:ptCount val="1"/>
                <c:pt idx="0">
                  <c:v>Vīrieši bez papildus finansējuma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PZMG!$B$149:$L$149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PZMG!$B$151:$L$151</c:f>
              <c:numCache>
                <c:formatCode>General</c:formatCode>
                <c:ptCount val="11"/>
                <c:pt idx="0">
                  <c:v>78904</c:v>
                </c:pt>
                <c:pt idx="1">
                  <c:v>73125</c:v>
                </c:pt>
                <c:pt idx="2">
                  <c:v>71225.5</c:v>
                </c:pt>
                <c:pt idx="3">
                  <c:v>68266</c:v>
                </c:pt>
                <c:pt idx="4">
                  <c:v>67473.5</c:v>
                </c:pt>
                <c:pt idx="5">
                  <c:v>63771.5</c:v>
                </c:pt>
                <c:pt idx="6">
                  <c:v>63771.5</c:v>
                </c:pt>
                <c:pt idx="7">
                  <c:v>63122</c:v>
                </c:pt>
                <c:pt idx="8">
                  <c:v>62887</c:v>
                </c:pt>
                <c:pt idx="9">
                  <c:v>62567</c:v>
                </c:pt>
                <c:pt idx="10">
                  <c:v>62346</c:v>
                </c:pt>
              </c:numCache>
            </c:numRef>
          </c:val>
          <c:smooth val="0"/>
          <c:extLst>
            <c:ext xmlns:c16="http://schemas.microsoft.com/office/drawing/2014/chart" uri="{C3380CC4-5D6E-409C-BE32-E72D297353CC}">
              <c16:uniqueId val="{00000001-C9DC-4226-9638-96F81EED3BE8}"/>
            </c:ext>
          </c:extLst>
        </c:ser>
        <c:ser>
          <c:idx val="2"/>
          <c:order val="2"/>
          <c:tx>
            <c:strRef>
              <c:f>PZMG!$A$152</c:f>
              <c:strCache>
                <c:ptCount val="1"/>
                <c:pt idx="0">
                  <c:v>Kopā bez papildus finansējuma</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PZMG!$B$149:$L$149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PZMG!$B$152:$L$152</c:f>
              <c:numCache>
                <c:formatCode>General</c:formatCode>
                <c:ptCount val="11"/>
                <c:pt idx="0">
                  <c:v>111104.5</c:v>
                </c:pt>
                <c:pt idx="1">
                  <c:v>103121</c:v>
                </c:pt>
                <c:pt idx="2">
                  <c:v>98804</c:v>
                </c:pt>
                <c:pt idx="3">
                  <c:v>96631</c:v>
                </c:pt>
                <c:pt idx="4">
                  <c:v>93374</c:v>
                </c:pt>
                <c:pt idx="5">
                  <c:v>88191</c:v>
                </c:pt>
                <c:pt idx="6">
                  <c:v>88191</c:v>
                </c:pt>
                <c:pt idx="7">
                  <c:v>87541.5</c:v>
                </c:pt>
                <c:pt idx="8">
                  <c:v>86343</c:v>
                </c:pt>
                <c:pt idx="9">
                  <c:v>85045</c:v>
                </c:pt>
                <c:pt idx="10">
                  <c:v>83913</c:v>
                </c:pt>
              </c:numCache>
            </c:numRef>
          </c:val>
          <c:smooth val="0"/>
          <c:extLst>
            <c:ext xmlns:c16="http://schemas.microsoft.com/office/drawing/2014/chart" uri="{C3380CC4-5D6E-409C-BE32-E72D297353CC}">
              <c16:uniqueId val="{00000002-C9DC-4226-9638-96F81EED3BE8}"/>
            </c:ext>
          </c:extLst>
        </c:ser>
        <c:dLbls>
          <c:dLblPos val="r"/>
          <c:showLegendKey val="0"/>
          <c:showVal val="1"/>
          <c:showCatName val="0"/>
          <c:showSerName val="0"/>
          <c:showPercent val="0"/>
          <c:showBubbleSize val="0"/>
        </c:dLbls>
        <c:smooth val="0"/>
        <c:axId val="560743728"/>
        <c:axId val="560742744"/>
      </c:lineChart>
      <c:catAx>
        <c:axId val="56074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742744"/>
        <c:crosses val="autoZero"/>
        <c:auto val="1"/>
        <c:lblAlgn val="ctr"/>
        <c:lblOffset val="100"/>
        <c:noMultiLvlLbl val="0"/>
      </c:catAx>
      <c:valAx>
        <c:axId val="5607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74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4.5484858621174407E-2"/>
          <c:y val="0.19101604830778676"/>
          <c:w val="0.80356511122941254"/>
          <c:h val="0.54502520206544181"/>
        </c:manualLayout>
      </c:layout>
      <c:lineChart>
        <c:grouping val="standard"/>
        <c:varyColors val="0"/>
        <c:ser>
          <c:idx val="2"/>
          <c:order val="0"/>
          <c:tx>
            <c:strRef>
              <c:f>Sheet1!$D$1</c:f>
              <c:strCache>
                <c:ptCount val="1"/>
                <c:pt idx="0">
                  <c:v>Zemākā kvintele</c:v>
                </c:pt>
              </c:strCache>
            </c:strRef>
          </c:tx>
          <c:spPr>
            <a:ln w="28575" cap="rnd">
              <a:noFill/>
              <a:round/>
            </a:ln>
            <a:effectLst/>
          </c:spPr>
          <c:marker>
            <c:symbol val="circle"/>
            <c:size val="7"/>
            <c:spPr>
              <a:solidFill>
                <a:schemeClr val="accent6">
                  <a:tint val="65000"/>
                </a:schemeClr>
              </a:solidFill>
              <a:ln w="9525">
                <a:solidFill>
                  <a:schemeClr val="accent6">
                    <a:tint val="65000"/>
                  </a:schemeClr>
                </a:solidFill>
              </a:ln>
              <a:effectLst/>
            </c:spPr>
          </c:marker>
          <c:dPt>
            <c:idx val="5"/>
            <c:marker>
              <c:symbol val="circle"/>
              <c:size val="7"/>
              <c:spPr>
                <a:solidFill>
                  <a:schemeClr val="accent6">
                    <a:tint val="65000"/>
                  </a:schemeClr>
                </a:solidFill>
                <a:ln w="9525">
                  <a:solidFill>
                    <a:schemeClr val="accent6">
                      <a:tint val="65000"/>
                    </a:schemeClr>
                  </a:solidFill>
                </a:ln>
                <a:effectLst/>
              </c:spPr>
            </c:marker>
            <c:bubble3D val="0"/>
            <c:extLst>
              <c:ext xmlns:c16="http://schemas.microsoft.com/office/drawing/2014/chart" uri="{C3380CC4-5D6E-409C-BE32-E72D297353CC}">
                <c16:uniqueId val="{00000000-16E9-4FCC-9085-F224290CCDED}"/>
              </c:ext>
            </c:extLst>
          </c:dPt>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Sheet1!$D$2:$D$34</c:f>
              <c:numCache>
                <c:formatCode>0.00</c:formatCode>
                <c:ptCount val="7"/>
                <c:pt idx="0">
                  <c:v>1.2</c:v>
                </c:pt>
                <c:pt idx="1">
                  <c:v>1.6</c:v>
                </c:pt>
                <c:pt idx="2">
                  <c:v>5.0999999999999996</c:v>
                </c:pt>
                <c:pt idx="3">
                  <c:v>9.6</c:v>
                </c:pt>
                <c:pt idx="4">
                  <c:v>12</c:v>
                </c:pt>
                <c:pt idx="5">
                  <c:v>23.6</c:v>
                </c:pt>
                <c:pt idx="6">
                  <c:v>13.6</c:v>
                </c:pt>
              </c:numCache>
            </c:numRef>
          </c:val>
          <c:smooth val="0"/>
          <c:extLst>
            <c:ext xmlns:c16="http://schemas.microsoft.com/office/drawing/2014/chart" uri="{C3380CC4-5D6E-409C-BE32-E72D297353CC}">
              <c16:uniqueId val="{00000001-16E9-4FCC-9085-F224290CCDED}"/>
            </c:ext>
          </c:extLst>
        </c:ser>
        <c:ser>
          <c:idx val="0"/>
          <c:order val="1"/>
          <c:tx>
            <c:strRef>
              <c:f>Sheet1!$B$1</c:f>
              <c:strCache>
                <c:ptCount val="1"/>
                <c:pt idx="0">
                  <c:v>Vidējā kvintele </c:v>
                </c:pt>
              </c:strCache>
            </c:strRef>
          </c:tx>
          <c:spPr>
            <a:ln w="28575" cap="rnd">
              <a:noFill/>
              <a:round/>
            </a:ln>
            <a:effectLst/>
          </c:spPr>
          <c:marker>
            <c:symbol val="circle"/>
            <c:size val="7"/>
            <c:spPr>
              <a:solidFill>
                <a:schemeClr val="accent6">
                  <a:shade val="65000"/>
                </a:schemeClr>
              </a:solidFill>
              <a:ln w="9525">
                <a:solidFill>
                  <a:schemeClr val="accent6">
                    <a:shade val="65000"/>
                  </a:schemeClr>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Sheet1!$B$2:$B$34</c:f>
              <c:numCache>
                <c:formatCode>0.00</c:formatCode>
                <c:ptCount val="7"/>
                <c:pt idx="0">
                  <c:v>0.8</c:v>
                </c:pt>
                <c:pt idx="1">
                  <c:v>0.9</c:v>
                </c:pt>
                <c:pt idx="2">
                  <c:v>3.55</c:v>
                </c:pt>
                <c:pt idx="3">
                  <c:v>6.6</c:v>
                </c:pt>
                <c:pt idx="4">
                  <c:v>10.35</c:v>
                </c:pt>
                <c:pt idx="5">
                  <c:v>16.149999999999999</c:v>
                </c:pt>
                <c:pt idx="6">
                  <c:v>9.65</c:v>
                </c:pt>
              </c:numCache>
            </c:numRef>
          </c:val>
          <c:smooth val="0"/>
          <c:extLst>
            <c:ext xmlns:c16="http://schemas.microsoft.com/office/drawing/2014/chart" uri="{C3380CC4-5D6E-409C-BE32-E72D297353CC}">
              <c16:uniqueId val="{00000002-16E9-4FCC-9085-F224290CCDED}"/>
            </c:ext>
          </c:extLst>
        </c:ser>
        <c:ser>
          <c:idx val="1"/>
          <c:order val="2"/>
          <c:tx>
            <c:strRef>
              <c:f>Sheet1!$C$1</c:f>
              <c:strCache>
                <c:ptCount val="1"/>
                <c:pt idx="0">
                  <c:v>Augstākā kvintele </c:v>
                </c:pt>
              </c:strCache>
            </c:strRef>
          </c:tx>
          <c:spPr>
            <a:ln w="28575" cap="rnd">
              <a:noFill/>
              <a:round/>
            </a:ln>
            <a:effectLst/>
          </c:spPr>
          <c:marker>
            <c:symbol val="circle"/>
            <c:size val="7"/>
            <c:spPr>
              <a:solidFill>
                <a:schemeClr val="accent6"/>
              </a:solidFill>
              <a:ln w="9525">
                <a:solidFill>
                  <a:schemeClr val="accent6"/>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Sheet1!$C$2:$C$34</c:f>
              <c:numCache>
                <c:formatCode>0.00</c:formatCode>
                <c:ptCount val="7"/>
                <c:pt idx="0">
                  <c:v>0.4</c:v>
                </c:pt>
                <c:pt idx="1">
                  <c:v>0.2</c:v>
                </c:pt>
                <c:pt idx="2">
                  <c:v>2</c:v>
                </c:pt>
                <c:pt idx="3">
                  <c:v>3.6</c:v>
                </c:pt>
                <c:pt idx="4">
                  <c:v>8.6999999999999993</c:v>
                </c:pt>
                <c:pt idx="5">
                  <c:v>8.6999999999999993</c:v>
                </c:pt>
                <c:pt idx="6">
                  <c:v>5.7</c:v>
                </c:pt>
              </c:numCache>
            </c:numRef>
          </c:val>
          <c:smooth val="0"/>
          <c:extLst>
            <c:ext xmlns:c16="http://schemas.microsoft.com/office/drawing/2014/chart" uri="{C3380CC4-5D6E-409C-BE32-E72D297353CC}">
              <c16:uniqueId val="{00000003-16E9-4FCC-9085-F224290CCDED}"/>
            </c:ext>
          </c:extLst>
        </c:ser>
        <c:dLbls>
          <c:showLegendKey val="0"/>
          <c:showVal val="0"/>
          <c:showCatName val="0"/>
          <c:showSerName val="0"/>
          <c:showPercent val="0"/>
          <c:showBubbleSize val="0"/>
        </c:dLbls>
        <c:hiLowLines>
          <c:spPr>
            <a:ln w="15875" cap="flat" cmpd="sng" algn="ctr">
              <a:solidFill>
                <a:schemeClr val="tx1">
                  <a:lumMod val="75000"/>
                  <a:lumOff val="25000"/>
                </a:schemeClr>
              </a:solidFill>
              <a:round/>
            </a:ln>
            <a:effectLst/>
          </c:spPr>
        </c:hiLowLines>
        <c:marker val="1"/>
        <c:smooth val="0"/>
        <c:axId val="1168037600"/>
        <c:axId val="1168016824"/>
      </c:lineChart>
      <c:catAx>
        <c:axId val="116803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16824"/>
        <c:crosses val="autoZero"/>
        <c:auto val="1"/>
        <c:lblAlgn val="ctr"/>
        <c:lblOffset val="100"/>
        <c:noMultiLvlLbl val="0"/>
      </c:catAx>
      <c:valAx>
        <c:axId val="1168016824"/>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37600"/>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sq" cmpd="sng" algn="ctr">
      <a:solidFill>
        <a:schemeClr val="tx1">
          <a:lumMod val="15000"/>
          <a:lumOff val="85000"/>
        </a:schemeClr>
      </a:solidFill>
      <a:miter lim="800000"/>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'[PZMG_prognoze (Autosaved).xlsx]PZMG'!$A$155</c:f>
              <c:strCache>
                <c:ptCount val="1"/>
                <c:pt idx="0">
                  <c:v>Kopā ar papildus finansējuma</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(Autosaved).xlsx]PZMG'!$B$154:$L$154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(Autosaved).xlsx]PZMG'!$B$155:$L$155</c:f>
              <c:numCache>
                <c:formatCode>General</c:formatCode>
                <c:ptCount val="11"/>
                <c:pt idx="0">
                  <c:v>32200.5</c:v>
                </c:pt>
                <c:pt idx="1">
                  <c:v>29996</c:v>
                </c:pt>
                <c:pt idx="2">
                  <c:v>27578.5</c:v>
                </c:pt>
                <c:pt idx="3">
                  <c:v>28365</c:v>
                </c:pt>
                <c:pt idx="4">
                  <c:v>25900.5</c:v>
                </c:pt>
                <c:pt idx="5">
                  <c:v>24419.5</c:v>
                </c:pt>
                <c:pt idx="6">
                  <c:v>24419.5</c:v>
                </c:pt>
                <c:pt idx="7">
                  <c:v>24246.7</c:v>
                </c:pt>
                <c:pt idx="8">
                  <c:v>23201.599999999999</c:v>
                </c:pt>
                <c:pt idx="9">
                  <c:v>21834.799999999999</c:v>
                </c:pt>
                <c:pt idx="10">
                  <c:v>20350.2</c:v>
                </c:pt>
              </c:numCache>
            </c:numRef>
          </c:val>
          <c:smooth val="0"/>
          <c:extLst>
            <c:ext xmlns:c16="http://schemas.microsoft.com/office/drawing/2014/chart" uri="{C3380CC4-5D6E-409C-BE32-E72D297353CC}">
              <c16:uniqueId val="{00000000-9583-45E1-97B3-EDC67C295E2F}"/>
            </c:ext>
          </c:extLst>
        </c:ser>
        <c:ser>
          <c:idx val="1"/>
          <c:order val="1"/>
          <c:tx>
            <c:strRef>
              <c:f>'[PZMG_prognoze (Autosaved).xlsx]PZMG'!$A$156</c:f>
              <c:strCache>
                <c:ptCount val="1"/>
                <c:pt idx="0">
                  <c:v>Sievietes ar papildus finansējuma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(Autosaved).xlsx]PZMG'!$B$154:$L$154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(Autosaved).xlsx]PZMG'!$B$156:$L$156</c:f>
              <c:numCache>
                <c:formatCode>General</c:formatCode>
                <c:ptCount val="11"/>
                <c:pt idx="0">
                  <c:v>78904</c:v>
                </c:pt>
                <c:pt idx="1">
                  <c:v>73125</c:v>
                </c:pt>
                <c:pt idx="2">
                  <c:v>71225.5</c:v>
                </c:pt>
                <c:pt idx="3">
                  <c:v>68266</c:v>
                </c:pt>
                <c:pt idx="4">
                  <c:v>67473.5</c:v>
                </c:pt>
                <c:pt idx="5">
                  <c:v>63771.5</c:v>
                </c:pt>
                <c:pt idx="6">
                  <c:v>63771.5</c:v>
                </c:pt>
                <c:pt idx="7">
                  <c:v>63078.8</c:v>
                </c:pt>
                <c:pt idx="8">
                  <c:v>62823.4</c:v>
                </c:pt>
                <c:pt idx="9">
                  <c:v>62406.2</c:v>
                </c:pt>
                <c:pt idx="10">
                  <c:v>62041.8</c:v>
                </c:pt>
              </c:numCache>
            </c:numRef>
          </c:val>
          <c:smooth val="0"/>
          <c:extLst>
            <c:ext xmlns:c16="http://schemas.microsoft.com/office/drawing/2014/chart" uri="{C3380CC4-5D6E-409C-BE32-E72D297353CC}">
              <c16:uniqueId val="{00000001-9583-45E1-97B3-EDC67C295E2F}"/>
            </c:ext>
          </c:extLst>
        </c:ser>
        <c:ser>
          <c:idx val="2"/>
          <c:order val="2"/>
          <c:tx>
            <c:strRef>
              <c:f>'[PZMG_prognoze (Autosaved).xlsx]PZMG'!$A$157</c:f>
              <c:strCache>
                <c:ptCount val="1"/>
                <c:pt idx="0">
                  <c:v>Vīrieši ar papildus finansējuma</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(Autosaved).xlsx]PZMG'!$B$154:$L$154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(Autosaved).xlsx]PZMG'!$B$157:$L$157</c:f>
              <c:numCache>
                <c:formatCode>General</c:formatCode>
                <c:ptCount val="11"/>
                <c:pt idx="0">
                  <c:v>111104.5</c:v>
                </c:pt>
                <c:pt idx="1">
                  <c:v>103121</c:v>
                </c:pt>
                <c:pt idx="2">
                  <c:v>98804</c:v>
                </c:pt>
                <c:pt idx="3">
                  <c:v>96631</c:v>
                </c:pt>
                <c:pt idx="4">
                  <c:v>93374</c:v>
                </c:pt>
                <c:pt idx="5">
                  <c:v>88191</c:v>
                </c:pt>
                <c:pt idx="6">
                  <c:v>88191</c:v>
                </c:pt>
                <c:pt idx="7">
                  <c:v>87325.5</c:v>
                </c:pt>
                <c:pt idx="8">
                  <c:v>86025</c:v>
                </c:pt>
                <c:pt idx="9">
                  <c:v>84241</c:v>
                </c:pt>
                <c:pt idx="10">
                  <c:v>82392</c:v>
                </c:pt>
              </c:numCache>
            </c:numRef>
          </c:val>
          <c:smooth val="0"/>
          <c:extLst>
            <c:ext xmlns:c16="http://schemas.microsoft.com/office/drawing/2014/chart" uri="{C3380CC4-5D6E-409C-BE32-E72D297353CC}">
              <c16:uniqueId val="{00000002-9583-45E1-97B3-EDC67C295E2F}"/>
            </c:ext>
          </c:extLst>
        </c:ser>
        <c:dLbls>
          <c:dLblPos val="r"/>
          <c:showLegendKey val="0"/>
          <c:showVal val="1"/>
          <c:showCatName val="0"/>
          <c:showSerName val="0"/>
          <c:showPercent val="0"/>
          <c:showBubbleSize val="0"/>
        </c:dLbls>
        <c:smooth val="0"/>
        <c:axId val="564950144"/>
        <c:axId val="564950472"/>
      </c:lineChart>
      <c:catAx>
        <c:axId val="5649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4950472"/>
        <c:crosses val="autoZero"/>
        <c:auto val="1"/>
        <c:lblAlgn val="ctr"/>
        <c:lblOffset val="100"/>
        <c:noMultiLvlLbl val="0"/>
      </c:catAx>
      <c:valAx>
        <c:axId val="56495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495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'[NHA indicators.xlsx]Table'!$J$4</c:f>
              <c:strCache>
                <c:ptCount val="1"/>
                <c:pt idx="0">
                  <c:v>Publiskā sektora izdevumi</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'[NHA indicators.xlsx]Table'!$K$3:$M$3</c:f>
              <c:numCache>
                <c:formatCode>General</c:formatCode>
                <c:ptCount val="3"/>
                <c:pt idx="0">
                  <c:v>2012</c:v>
                </c:pt>
                <c:pt idx="1">
                  <c:v>2013</c:v>
                </c:pt>
                <c:pt idx="2">
                  <c:v>2014</c:v>
                </c:pt>
              </c:numCache>
            </c:numRef>
          </c:cat>
          <c:val>
            <c:numRef>
              <c:f>'[NHA indicators.xlsx]Table'!$K$4:$M$4</c:f>
              <c:numCache>
                <c:formatCode>0%</c:formatCode>
                <c:ptCount val="3"/>
                <c:pt idx="0">
                  <c:v>0.60546487303564134</c:v>
                </c:pt>
                <c:pt idx="1">
                  <c:v>0.62438995734813962</c:v>
                </c:pt>
                <c:pt idx="2">
                  <c:v>0.63176765739093299</c:v>
                </c:pt>
              </c:numCache>
            </c:numRef>
          </c:val>
          <c:extLst>
            <c:ext xmlns:c16="http://schemas.microsoft.com/office/drawing/2014/chart" uri="{C3380CC4-5D6E-409C-BE32-E72D297353CC}">
              <c16:uniqueId val="{00000000-0C7F-4DAC-9CBA-6947BDC1063F}"/>
            </c:ext>
          </c:extLst>
        </c:ser>
        <c:ser>
          <c:idx val="1"/>
          <c:order val="1"/>
          <c:tx>
            <c:strRef>
              <c:f>'[NHA indicators.xlsx]Table'!$J$5</c:f>
              <c:strCache>
                <c:ptCount val="1"/>
                <c:pt idx="0">
                  <c:v>Privātā sektora izdevumi</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'[NHA indicators.xlsx]Table'!$K$3:$M$3</c:f>
              <c:numCache>
                <c:formatCode>General</c:formatCode>
                <c:ptCount val="3"/>
                <c:pt idx="0">
                  <c:v>2012</c:v>
                </c:pt>
                <c:pt idx="1">
                  <c:v>2013</c:v>
                </c:pt>
                <c:pt idx="2">
                  <c:v>2014</c:v>
                </c:pt>
              </c:numCache>
            </c:numRef>
          </c:cat>
          <c:val>
            <c:numRef>
              <c:f>'[NHA indicators.xlsx]Table'!$K$5:$M$5</c:f>
              <c:numCache>
                <c:formatCode>0%</c:formatCode>
                <c:ptCount val="3"/>
                <c:pt idx="0">
                  <c:v>0.39453512696435872</c:v>
                </c:pt>
                <c:pt idx="1">
                  <c:v>0.37561004265754971</c:v>
                </c:pt>
                <c:pt idx="2">
                  <c:v>0.36823234260906701</c:v>
                </c:pt>
              </c:numCache>
            </c:numRef>
          </c:val>
          <c:extLst>
            <c:ext xmlns:c16="http://schemas.microsoft.com/office/drawing/2014/chart" uri="{C3380CC4-5D6E-409C-BE32-E72D297353CC}">
              <c16:uniqueId val="{00000001-0C7F-4DAC-9CBA-6947BDC1063F}"/>
            </c:ext>
          </c:extLst>
        </c:ser>
        <c:dLbls>
          <c:showLegendKey val="0"/>
          <c:showVal val="0"/>
          <c:showCatName val="0"/>
          <c:showSerName val="0"/>
          <c:showPercent val="0"/>
          <c:showBubbleSize val="0"/>
        </c:dLbls>
        <c:gapWidth val="150"/>
        <c:overlap val="100"/>
        <c:axId val="404305456"/>
        <c:axId val="404303488"/>
      </c:barChart>
      <c:catAx>
        <c:axId val="40430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04303488"/>
        <c:crosses val="autoZero"/>
        <c:auto val="1"/>
        <c:lblAlgn val="ctr"/>
        <c:lblOffset val="100"/>
        <c:noMultiLvlLbl val="0"/>
      </c:catAx>
      <c:valAx>
        <c:axId val="40430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0430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0" i="0" baseline="0">
                <a:effectLst/>
                <a:latin typeface="Times New Roman" panose="02020603050405020304" pitchFamily="18" charset="0"/>
                <a:cs typeface="Times New Roman" panose="02020603050405020304" pitchFamily="18" charset="0"/>
              </a:rPr>
              <a:t>Veselības aprūpes finansiālu, rindu vai ģeogrāfisku  pieejamības ierobežojumu pašvērtējuma scenāriju prognoze, procentos</a:t>
            </a:r>
            <a:endParaRPr lang="lv-LV" sz="105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[Pieejamība.xlsx]Sheet0!$B$56</c:f>
              <c:strCache>
                <c:ptCount val="1"/>
                <c:pt idx="0">
                  <c:v>Attīstības tendence</c:v>
                </c:pt>
              </c:strCache>
            </c:strRef>
          </c:tx>
          <c:spPr>
            <a:ln w="28575" cap="rnd">
              <a:solidFill>
                <a:schemeClr val="accent6">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[Pieejamība.xlsx]Sheet0!$C$55:$T$55</c:f>
              <c:strCach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strCache>
            </c:strRef>
          </c:cat>
          <c:val>
            <c:numRef>
              <c:f>[Pieejamība.xlsx]Sheet0!$C$56:$T$56</c:f>
              <c:numCache>
                <c:formatCode>General</c:formatCode>
                <c:ptCount val="18"/>
                <c:pt idx="0">
                  <c:v>18.5</c:v>
                </c:pt>
                <c:pt idx="1">
                  <c:v>15</c:v>
                </c:pt>
                <c:pt idx="2">
                  <c:v>12.3</c:v>
                </c:pt>
                <c:pt idx="3">
                  <c:v>9.9</c:v>
                </c:pt>
                <c:pt idx="4">
                  <c:v>9.9</c:v>
                </c:pt>
                <c:pt idx="5">
                  <c:v>15.1</c:v>
                </c:pt>
                <c:pt idx="6">
                  <c:v>16.100000000000001</c:v>
                </c:pt>
                <c:pt idx="7">
                  <c:v>12.4</c:v>
                </c:pt>
                <c:pt idx="8">
                  <c:v>13.8</c:v>
                </c:pt>
                <c:pt idx="9">
                  <c:v>12.5</c:v>
                </c:pt>
                <c:pt idx="10">
                  <c:v>13</c:v>
                </c:pt>
                <c:pt idx="11">
                  <c:v>14</c:v>
                </c:pt>
                <c:pt idx="12">
                  <c:v>15</c:v>
                </c:pt>
                <c:pt idx="13">
                  <c:v>16</c:v>
                </c:pt>
                <c:pt idx="14">
                  <c:v>16.5</c:v>
                </c:pt>
                <c:pt idx="15">
                  <c:v>17</c:v>
                </c:pt>
                <c:pt idx="16">
                  <c:v>17.3</c:v>
                </c:pt>
                <c:pt idx="17">
                  <c:v>17.5</c:v>
                </c:pt>
              </c:numCache>
            </c:numRef>
          </c:val>
          <c:smooth val="0"/>
          <c:extLst>
            <c:ext xmlns:c16="http://schemas.microsoft.com/office/drawing/2014/chart" uri="{C3380CC4-5D6E-409C-BE32-E72D297353CC}">
              <c16:uniqueId val="{00000000-CD3D-49FD-A6F2-7B61362A9EA2}"/>
            </c:ext>
          </c:extLst>
        </c:ser>
        <c:ser>
          <c:idx val="1"/>
          <c:order val="1"/>
          <c:tx>
            <c:strRef>
              <c:f>[Pieejamība.xlsx]Sheet0!$B$57</c:f>
              <c:strCache>
                <c:ptCount val="1"/>
                <c:pt idx="0">
                  <c:v>Prognoze investējot pieejamībā</c:v>
                </c:pt>
              </c:strCache>
            </c:strRef>
          </c:tx>
          <c:spPr>
            <a:ln w="28575" cap="rnd">
              <a:solidFill>
                <a:schemeClr val="accent6">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[Pieejamība.xlsx]Sheet0!$C$55:$T$55</c:f>
              <c:strCach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strCache>
            </c:strRef>
          </c:cat>
          <c:val>
            <c:numRef>
              <c:f>[Pieejamība.xlsx]Sheet0!$C$57:$T$57</c:f>
              <c:numCache>
                <c:formatCode>General</c:formatCode>
                <c:ptCount val="18"/>
                <c:pt idx="13">
                  <c:v>15</c:v>
                </c:pt>
                <c:pt idx="14">
                  <c:v>13.5</c:v>
                </c:pt>
                <c:pt idx="15">
                  <c:v>12</c:v>
                </c:pt>
                <c:pt idx="16">
                  <c:v>10.7</c:v>
                </c:pt>
                <c:pt idx="17">
                  <c:v>9.8000000000000007</c:v>
                </c:pt>
              </c:numCache>
            </c:numRef>
          </c:val>
          <c:smooth val="0"/>
          <c:extLst>
            <c:ext xmlns:c16="http://schemas.microsoft.com/office/drawing/2014/chart" uri="{C3380CC4-5D6E-409C-BE32-E72D297353CC}">
              <c16:uniqueId val="{00000001-CD3D-49FD-A6F2-7B61362A9EA2}"/>
            </c:ext>
          </c:extLst>
        </c:ser>
        <c:dLbls>
          <c:dLblPos val="ctr"/>
          <c:showLegendKey val="0"/>
          <c:showVal val="1"/>
          <c:showCatName val="0"/>
          <c:showSerName val="0"/>
          <c:showPercent val="0"/>
          <c:showBubbleSize val="0"/>
        </c:dLbls>
        <c:smooth val="0"/>
        <c:axId val="1168013688"/>
        <c:axId val="1168021920"/>
      </c:lineChart>
      <c:catAx>
        <c:axId val="116801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21920"/>
        <c:crosses val="autoZero"/>
        <c:auto val="1"/>
        <c:lblAlgn val="ctr"/>
        <c:lblOffset val="100"/>
        <c:noMultiLvlLbl val="0"/>
      </c:catAx>
      <c:valAx>
        <c:axId val="11680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1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Sheet1!$E$4</c:f>
              <c:strCache>
                <c:ptCount val="1"/>
                <c:pt idx="0">
                  <c:v>Unikālo pacientu skaits, kuriem atprečoti kompensējamie medikamenti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Sheet1!$D$5:$D$9</c:f>
              <c:strCache>
                <c:ptCount val="5"/>
                <c:pt idx="0">
                  <c:v>2012</c:v>
                </c:pt>
                <c:pt idx="1">
                  <c:v>2013</c:v>
                </c:pt>
                <c:pt idx="2">
                  <c:v>2014</c:v>
                </c:pt>
                <c:pt idx="3">
                  <c:v>2015</c:v>
                </c:pt>
                <c:pt idx="4">
                  <c:v>2016 prognoze</c:v>
                </c:pt>
              </c:strCache>
            </c:strRef>
          </c:cat>
          <c:val>
            <c:numRef>
              <c:f>Sheet1!$E$5:$E$9</c:f>
              <c:numCache>
                <c:formatCode>General</c:formatCode>
                <c:ptCount val="5"/>
                <c:pt idx="0">
                  <c:v>559978</c:v>
                </c:pt>
                <c:pt idx="1">
                  <c:v>597472</c:v>
                </c:pt>
                <c:pt idx="2">
                  <c:v>626054</c:v>
                </c:pt>
                <c:pt idx="3">
                  <c:v>647911</c:v>
                </c:pt>
                <c:pt idx="4">
                  <c:v>660869</c:v>
                </c:pt>
              </c:numCache>
            </c:numRef>
          </c:val>
          <c:smooth val="0"/>
          <c:extLst>
            <c:ext xmlns:c16="http://schemas.microsoft.com/office/drawing/2014/chart" uri="{C3380CC4-5D6E-409C-BE32-E72D297353CC}">
              <c16:uniqueId val="{00000000-3E3F-4230-9E4C-D8274DCB9DEA}"/>
            </c:ext>
          </c:extLst>
        </c:ser>
        <c:dLbls>
          <c:showLegendKey val="0"/>
          <c:showVal val="0"/>
          <c:showCatName val="0"/>
          <c:showSerName val="0"/>
          <c:showPercent val="0"/>
          <c:showBubbleSize val="0"/>
        </c:dLbls>
        <c:smooth val="0"/>
        <c:axId val="346144448"/>
        <c:axId val="346144776"/>
      </c:lineChart>
      <c:catAx>
        <c:axId val="3461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346144776"/>
        <c:crosses val="autoZero"/>
        <c:auto val="1"/>
        <c:lblAlgn val="ctr"/>
        <c:lblOffset val="100"/>
        <c:noMultiLvlLbl val="0"/>
      </c:catAx>
      <c:valAx>
        <c:axId val="346144776"/>
        <c:scaling>
          <c:orientation val="minMax"/>
          <c:min val="54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34614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1"/>
          <c:order val="1"/>
          <c:tx>
            <c:strRef>
              <c:f>Sheet1!$J$64</c:f>
              <c:strCache>
                <c:ptCount val="1"/>
                <c:pt idx="0">
                  <c:v>zāļu kompensācijai piešķirtais valsts budžeta finansējums (milj. EUR)</c:v>
                </c:pt>
              </c:strCache>
            </c:strRef>
          </c:tx>
          <c:spPr>
            <a:ln w="28575" cap="rnd" cmpd="sng" algn="ctr">
              <a:solidFill>
                <a:schemeClr val="accent6">
                  <a:tint val="770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Sheet1!$K$62:$N$62</c:f>
              <c:numCache>
                <c:formatCode>General</c:formatCode>
                <c:ptCount val="4"/>
                <c:pt idx="0">
                  <c:v>2012</c:v>
                </c:pt>
                <c:pt idx="1">
                  <c:v>2013</c:v>
                </c:pt>
                <c:pt idx="2">
                  <c:v>2014</c:v>
                </c:pt>
                <c:pt idx="3">
                  <c:v>2015</c:v>
                </c:pt>
              </c:numCache>
            </c:numRef>
          </c:cat>
          <c:val>
            <c:numRef>
              <c:f>Sheet1!$K$64:$N$64</c:f>
              <c:numCache>
                <c:formatCode>General</c:formatCode>
                <c:ptCount val="4"/>
                <c:pt idx="0">
                  <c:v>115.03</c:v>
                </c:pt>
                <c:pt idx="1">
                  <c:v>117.41</c:v>
                </c:pt>
                <c:pt idx="2">
                  <c:v>118.49</c:v>
                </c:pt>
                <c:pt idx="3">
                  <c:v>122.49</c:v>
                </c:pt>
              </c:numCache>
            </c:numRef>
          </c:val>
          <c:smooth val="0"/>
          <c:extLst>
            <c:ext xmlns:c16="http://schemas.microsoft.com/office/drawing/2014/chart" uri="{C3380CC4-5D6E-409C-BE32-E72D297353CC}">
              <c16:uniqueId val="{00000000-9BC3-40AE-BDA2-A0BF2093697E}"/>
            </c:ext>
          </c:extLst>
        </c:ser>
        <c:dLbls>
          <c:showLegendKey val="0"/>
          <c:showVal val="0"/>
          <c:showCatName val="0"/>
          <c:showSerName val="0"/>
          <c:showPercent val="0"/>
          <c:showBubbleSize val="0"/>
        </c:dLbls>
        <c:marker val="1"/>
        <c:smooth val="0"/>
        <c:axId val="78383744"/>
        <c:axId val="80146816"/>
      </c:lineChart>
      <c:lineChart>
        <c:grouping val="standard"/>
        <c:varyColors val="0"/>
        <c:ser>
          <c:idx val="0"/>
          <c:order val="0"/>
          <c:tx>
            <c:strRef>
              <c:f>Sheet1!$J$63</c:f>
              <c:strCache>
                <c:ptCount val="1"/>
                <c:pt idx="0">
                  <c:v>zāļu kompensācijai piešķirtie līdzekļi uz vienu unikālo pacientu (EUR)</c:v>
                </c:pt>
              </c:strCache>
            </c:strRef>
          </c:tx>
          <c:spPr>
            <a:ln w="28575" cap="rnd" cmpd="sng" algn="ctr">
              <a:solidFill>
                <a:schemeClr val="accent6">
                  <a:shade val="760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Sheet1!$K$62:$N$62</c:f>
              <c:numCache>
                <c:formatCode>General</c:formatCode>
                <c:ptCount val="4"/>
                <c:pt idx="0">
                  <c:v>2012</c:v>
                </c:pt>
                <c:pt idx="1">
                  <c:v>2013</c:v>
                </c:pt>
                <c:pt idx="2">
                  <c:v>2014</c:v>
                </c:pt>
                <c:pt idx="3">
                  <c:v>2015</c:v>
                </c:pt>
              </c:numCache>
            </c:numRef>
          </c:cat>
          <c:val>
            <c:numRef>
              <c:f>Sheet1!$K$63:$N$63</c:f>
              <c:numCache>
                <c:formatCode>0.00</c:formatCode>
                <c:ptCount val="4"/>
                <c:pt idx="0">
                  <c:v>205.42</c:v>
                </c:pt>
                <c:pt idx="1">
                  <c:v>196.52</c:v>
                </c:pt>
                <c:pt idx="2">
                  <c:v>189.27</c:v>
                </c:pt>
                <c:pt idx="3">
                  <c:v>189.07</c:v>
                </c:pt>
              </c:numCache>
            </c:numRef>
          </c:val>
          <c:smooth val="0"/>
          <c:extLst>
            <c:ext xmlns:c16="http://schemas.microsoft.com/office/drawing/2014/chart" uri="{C3380CC4-5D6E-409C-BE32-E72D297353CC}">
              <c16:uniqueId val="{00000001-9BC3-40AE-BDA2-A0BF2093697E}"/>
            </c:ext>
          </c:extLst>
        </c:ser>
        <c:dLbls>
          <c:showLegendKey val="0"/>
          <c:showVal val="0"/>
          <c:showCatName val="0"/>
          <c:showSerName val="0"/>
          <c:showPercent val="0"/>
          <c:showBubbleSize val="0"/>
        </c:dLbls>
        <c:marker val="1"/>
        <c:smooth val="0"/>
        <c:axId val="80149888"/>
        <c:axId val="80148352"/>
      </c:lineChart>
      <c:catAx>
        <c:axId val="7838374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80146816"/>
        <c:crosses val="autoZero"/>
        <c:auto val="1"/>
        <c:lblAlgn val="ctr"/>
        <c:lblOffset val="100"/>
        <c:noMultiLvlLbl val="0"/>
      </c:catAx>
      <c:valAx>
        <c:axId val="801468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8383744"/>
        <c:crosses val="autoZero"/>
        <c:crossBetween val="between"/>
      </c:valAx>
      <c:valAx>
        <c:axId val="80148352"/>
        <c:scaling>
          <c:orientation val="minMax"/>
        </c:scaling>
        <c:delete val="0"/>
        <c:axPos val="r"/>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0149888"/>
        <c:crosses val="max"/>
        <c:crossBetween val="between"/>
      </c:valAx>
      <c:catAx>
        <c:axId val="80149888"/>
        <c:scaling>
          <c:orientation val="minMax"/>
        </c:scaling>
        <c:delete val="1"/>
        <c:axPos val="b"/>
        <c:numFmt formatCode="General" sourceLinked="1"/>
        <c:majorTickMark val="out"/>
        <c:minorTickMark val="none"/>
        <c:tickLblPos val="none"/>
        <c:crossAx val="80148352"/>
        <c:crosses val="autoZero"/>
        <c:auto val="1"/>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[C_mirstiba.xlsx]Sheet1!$D$4</c:f>
              <c:strCache>
                <c:ptCount val="1"/>
                <c:pt idx="0">
                  <c:v>Vīrieši, skaits</c:v>
                </c:pt>
              </c:strCache>
            </c:strRef>
          </c:tx>
          <c:spPr>
            <a:solidFill>
              <a:schemeClr val="accent6">
                <a:shade val="76000"/>
              </a:schemeClr>
            </a:solidFill>
            <a:ln>
              <a:noFill/>
            </a:ln>
            <a:effectLst/>
          </c:spPr>
          <c:invertIfNegative val="0"/>
          <c:dLbls>
            <c:dLbl>
              <c:idx val="1"/>
              <c:layout>
                <c:manualLayout>
                  <c:x val="0"/>
                  <c:y val="3.7771482530689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14-4BF2-B902-B065499CED0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[C_mirstiba.xlsx]Sheet1!$C$5:$C$15</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[C_mirstiba.xlsx]Sheet1!$D$5:$D$15</c:f>
              <c:numCache>
                <c:formatCode>General</c:formatCode>
                <c:ptCount val="11"/>
                <c:pt idx="0">
                  <c:v>0</c:v>
                </c:pt>
                <c:pt idx="1">
                  <c:v>0</c:v>
                </c:pt>
                <c:pt idx="2">
                  <c:v>0</c:v>
                </c:pt>
                <c:pt idx="3">
                  <c:v>5</c:v>
                </c:pt>
                <c:pt idx="4">
                  <c:v>5</c:v>
                </c:pt>
                <c:pt idx="5">
                  <c:v>7</c:v>
                </c:pt>
                <c:pt idx="6">
                  <c:v>12</c:v>
                </c:pt>
                <c:pt idx="7">
                  <c:v>14</c:v>
                </c:pt>
                <c:pt idx="8">
                  <c:v>18</c:v>
                </c:pt>
                <c:pt idx="9">
                  <c:v>4</c:v>
                </c:pt>
                <c:pt idx="10">
                  <c:v>13</c:v>
                </c:pt>
              </c:numCache>
            </c:numRef>
          </c:val>
          <c:extLst>
            <c:ext xmlns:c16="http://schemas.microsoft.com/office/drawing/2014/chart" uri="{C3380CC4-5D6E-409C-BE32-E72D297353CC}">
              <c16:uniqueId val="{00000001-A114-4BF2-B902-B065499CED0E}"/>
            </c:ext>
          </c:extLst>
        </c:ser>
        <c:ser>
          <c:idx val="1"/>
          <c:order val="1"/>
          <c:tx>
            <c:strRef>
              <c:f>[C_mirstiba.xlsx]Sheet1!$E$4</c:f>
              <c:strCache>
                <c:ptCount val="1"/>
                <c:pt idx="0">
                  <c:v>Sievietes, skaits</c:v>
                </c:pt>
              </c:strCache>
            </c:strRef>
          </c:tx>
          <c:spPr>
            <a:solidFill>
              <a:schemeClr val="accent6">
                <a:tint val="77000"/>
              </a:schemeClr>
            </a:solidFill>
            <a:ln>
              <a:noFill/>
            </a:ln>
            <a:effectLst/>
          </c:spPr>
          <c:invertIfNegative val="0"/>
          <c:dLbls>
            <c:dLbl>
              <c:idx val="1"/>
              <c:layout>
                <c:manualLayout>
                  <c:x val="2.3852116875372471E-3"/>
                  <c:y val="-3.3994334277620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14-4BF2-B902-B065499CED0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[C_mirstiba.xlsx]Sheet1!$C$5:$C$15</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[C_mirstiba.xlsx]Sheet1!$E$5:$E$15</c:f>
              <c:numCache>
                <c:formatCode>General</c:formatCode>
                <c:ptCount val="11"/>
                <c:pt idx="0">
                  <c:v>0</c:v>
                </c:pt>
                <c:pt idx="1">
                  <c:v>1</c:v>
                </c:pt>
                <c:pt idx="2">
                  <c:v>4</c:v>
                </c:pt>
                <c:pt idx="3">
                  <c:v>3</c:v>
                </c:pt>
                <c:pt idx="4">
                  <c:v>1</c:v>
                </c:pt>
                <c:pt idx="5">
                  <c:v>1</c:v>
                </c:pt>
                <c:pt idx="6">
                  <c:v>1</c:v>
                </c:pt>
                <c:pt idx="7">
                  <c:v>7</c:v>
                </c:pt>
                <c:pt idx="8">
                  <c:v>10</c:v>
                </c:pt>
                <c:pt idx="9">
                  <c:v>3</c:v>
                </c:pt>
                <c:pt idx="10">
                  <c:v>22</c:v>
                </c:pt>
              </c:numCache>
            </c:numRef>
          </c:val>
          <c:extLst>
            <c:ext xmlns:c16="http://schemas.microsoft.com/office/drawing/2014/chart" uri="{C3380CC4-5D6E-409C-BE32-E72D297353CC}">
              <c16:uniqueId val="{00000003-A114-4BF2-B902-B065499CED0E}"/>
            </c:ext>
          </c:extLst>
        </c:ser>
        <c:dLbls>
          <c:showLegendKey val="0"/>
          <c:showVal val="0"/>
          <c:showCatName val="0"/>
          <c:showSerName val="0"/>
          <c:showPercent val="0"/>
          <c:showBubbleSize val="0"/>
        </c:dLbls>
        <c:gapWidth val="150"/>
        <c:overlap val="100"/>
        <c:axId val="364693744"/>
        <c:axId val="364693088"/>
      </c:barChart>
      <c:catAx>
        <c:axId val="36469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4693088"/>
        <c:crosses val="autoZero"/>
        <c:auto val="1"/>
        <c:lblAlgn val="ctr"/>
        <c:lblOffset val="100"/>
        <c:noMultiLvlLbl val="0"/>
      </c:catAx>
      <c:valAx>
        <c:axId val="36469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469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PZMG!$A$81</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PZMG!$B$81:$L$81</c:f>
              <c:numCache>
                <c:formatCode>General</c:formatCode>
                <c:ptCount val="11"/>
                <c:pt idx="0">
                  <c:v>32200.5</c:v>
                </c:pt>
                <c:pt idx="1">
                  <c:v>29996</c:v>
                </c:pt>
                <c:pt idx="2">
                  <c:v>27578.5</c:v>
                </c:pt>
                <c:pt idx="3">
                  <c:v>28365</c:v>
                </c:pt>
                <c:pt idx="4">
                  <c:v>25900.5</c:v>
                </c:pt>
                <c:pt idx="5">
                  <c:v>24419.5</c:v>
                </c:pt>
                <c:pt idx="6">
                  <c:v>24419.5</c:v>
                </c:pt>
                <c:pt idx="7">
                  <c:v>24419.5</c:v>
                </c:pt>
                <c:pt idx="8">
                  <c:v>23456</c:v>
                </c:pt>
                <c:pt idx="9">
                  <c:v>22478</c:v>
                </c:pt>
                <c:pt idx="10">
                  <c:v>21567</c:v>
                </c:pt>
              </c:numCache>
            </c:numRef>
          </c:val>
          <c:smooth val="0"/>
          <c:extLst>
            <c:ext xmlns:c16="http://schemas.microsoft.com/office/drawing/2014/chart" uri="{C3380CC4-5D6E-409C-BE32-E72D297353CC}">
              <c16:uniqueId val="{00000000-A14F-4C6C-88E6-4E05DB88F7A4}"/>
            </c:ext>
          </c:extLst>
        </c:ser>
        <c:ser>
          <c:idx val="1"/>
          <c:order val="1"/>
          <c:tx>
            <c:strRef>
              <c:f>PZMG!$A$82</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PZMG!$B$82:$L$82</c:f>
              <c:numCache>
                <c:formatCode>General</c:formatCode>
                <c:ptCount val="11"/>
                <c:pt idx="0">
                  <c:v>78904</c:v>
                </c:pt>
                <c:pt idx="1">
                  <c:v>73125</c:v>
                </c:pt>
                <c:pt idx="2">
                  <c:v>71225.5</c:v>
                </c:pt>
                <c:pt idx="3">
                  <c:v>68266</c:v>
                </c:pt>
                <c:pt idx="4">
                  <c:v>67473.5</c:v>
                </c:pt>
                <c:pt idx="5">
                  <c:v>63771.5</c:v>
                </c:pt>
                <c:pt idx="6">
                  <c:v>63771.5</c:v>
                </c:pt>
                <c:pt idx="7">
                  <c:v>63122</c:v>
                </c:pt>
                <c:pt idx="8">
                  <c:v>62887</c:v>
                </c:pt>
                <c:pt idx="9">
                  <c:v>62567</c:v>
                </c:pt>
                <c:pt idx="10">
                  <c:v>62346</c:v>
                </c:pt>
              </c:numCache>
            </c:numRef>
          </c:val>
          <c:smooth val="0"/>
          <c:extLst>
            <c:ext xmlns:c16="http://schemas.microsoft.com/office/drawing/2014/chart" uri="{C3380CC4-5D6E-409C-BE32-E72D297353CC}">
              <c16:uniqueId val="{00000001-A14F-4C6C-88E6-4E05DB88F7A4}"/>
            </c:ext>
          </c:extLst>
        </c:ser>
        <c:ser>
          <c:idx val="2"/>
          <c:order val="2"/>
          <c:tx>
            <c:strRef>
              <c:f>PZMG!$A$83</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PZMG!$B$83:$L$83</c:f>
              <c:numCache>
                <c:formatCode>General</c:formatCode>
                <c:ptCount val="11"/>
                <c:pt idx="0">
                  <c:v>111104.5</c:v>
                </c:pt>
                <c:pt idx="1">
                  <c:v>103121</c:v>
                </c:pt>
                <c:pt idx="2">
                  <c:v>98804</c:v>
                </c:pt>
                <c:pt idx="3">
                  <c:v>96631</c:v>
                </c:pt>
                <c:pt idx="4">
                  <c:v>93374</c:v>
                </c:pt>
                <c:pt idx="5">
                  <c:v>88191</c:v>
                </c:pt>
                <c:pt idx="6">
                  <c:v>88191</c:v>
                </c:pt>
                <c:pt idx="7">
                  <c:v>87541.5</c:v>
                </c:pt>
                <c:pt idx="8">
                  <c:v>86343</c:v>
                </c:pt>
                <c:pt idx="9">
                  <c:v>85045</c:v>
                </c:pt>
                <c:pt idx="10">
                  <c:v>83913</c:v>
                </c:pt>
              </c:numCache>
            </c:numRef>
          </c:val>
          <c:smooth val="0"/>
          <c:extLst>
            <c:ext xmlns:c16="http://schemas.microsoft.com/office/drawing/2014/chart" uri="{C3380CC4-5D6E-409C-BE32-E72D297353CC}">
              <c16:uniqueId val="{00000002-A14F-4C6C-88E6-4E05DB88F7A4}"/>
            </c:ext>
          </c:extLst>
        </c:ser>
        <c:dLbls>
          <c:showLegendKey val="0"/>
          <c:showVal val="0"/>
          <c:showCatName val="0"/>
          <c:showSerName val="0"/>
          <c:showPercent val="0"/>
          <c:showBubbleSize val="0"/>
        </c:dLbls>
        <c:smooth val="0"/>
        <c:axId val="447348592"/>
        <c:axId val="447340392"/>
      </c:lineChart>
      <c:catAx>
        <c:axId val="44734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0392"/>
        <c:crosses val="autoZero"/>
        <c:auto val="1"/>
        <c:lblAlgn val="ctr"/>
        <c:lblOffset val="100"/>
        <c:noMultiLvlLbl val="0"/>
      </c:catAx>
      <c:valAx>
        <c:axId val="44734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'[PZMG_prognoze (Autosaved).xlsx]PZMG'!$A$100</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(Autosaved).xlsx]PZMG'!$B$100:$L$100</c:f>
              <c:numCache>
                <c:formatCode>General</c:formatCode>
                <c:ptCount val="11"/>
                <c:pt idx="0">
                  <c:v>32200.5</c:v>
                </c:pt>
                <c:pt idx="1">
                  <c:v>29996</c:v>
                </c:pt>
                <c:pt idx="2">
                  <c:v>27578.5</c:v>
                </c:pt>
                <c:pt idx="3">
                  <c:v>28365</c:v>
                </c:pt>
                <c:pt idx="4">
                  <c:v>25900.5</c:v>
                </c:pt>
                <c:pt idx="5">
                  <c:v>24419.5</c:v>
                </c:pt>
                <c:pt idx="6">
                  <c:v>24419.5</c:v>
                </c:pt>
                <c:pt idx="7">
                  <c:v>24019.699999999997</c:v>
                </c:pt>
                <c:pt idx="8">
                  <c:v>22747.599999999999</c:v>
                </c:pt>
                <c:pt idx="9">
                  <c:v>20955.800000000003</c:v>
                </c:pt>
                <c:pt idx="10">
                  <c:v>19049.199999999997</c:v>
                </c:pt>
              </c:numCache>
            </c:numRef>
          </c:val>
          <c:smooth val="0"/>
          <c:extLst>
            <c:ext xmlns:c16="http://schemas.microsoft.com/office/drawing/2014/chart" uri="{C3380CC4-5D6E-409C-BE32-E72D297353CC}">
              <c16:uniqueId val="{00000000-7EA9-4361-BD2A-433B94414A6B}"/>
            </c:ext>
          </c:extLst>
        </c:ser>
        <c:ser>
          <c:idx val="1"/>
          <c:order val="1"/>
          <c:tx>
            <c:strRef>
              <c:f>'[PZMG_prognoze (Autosaved).xlsx]PZMG'!$A$101</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(Autosaved).xlsx]PZMG'!$B$101:$L$101</c:f>
              <c:numCache>
                <c:formatCode>General</c:formatCode>
                <c:ptCount val="11"/>
                <c:pt idx="0">
                  <c:v>78904</c:v>
                </c:pt>
                <c:pt idx="1">
                  <c:v>73125</c:v>
                </c:pt>
                <c:pt idx="2">
                  <c:v>71225.5</c:v>
                </c:pt>
                <c:pt idx="3">
                  <c:v>68266</c:v>
                </c:pt>
                <c:pt idx="4">
                  <c:v>67473.5</c:v>
                </c:pt>
                <c:pt idx="5">
                  <c:v>63771.5</c:v>
                </c:pt>
                <c:pt idx="6">
                  <c:v>63771.5</c:v>
                </c:pt>
                <c:pt idx="7">
                  <c:v>62876.800000000003</c:v>
                </c:pt>
                <c:pt idx="8">
                  <c:v>62362.400000000001</c:v>
                </c:pt>
                <c:pt idx="9">
                  <c:v>61523.199999999997</c:v>
                </c:pt>
                <c:pt idx="10">
                  <c:v>60767.8</c:v>
                </c:pt>
              </c:numCache>
            </c:numRef>
          </c:val>
          <c:smooth val="0"/>
          <c:extLst>
            <c:ext xmlns:c16="http://schemas.microsoft.com/office/drawing/2014/chart" uri="{C3380CC4-5D6E-409C-BE32-E72D297353CC}">
              <c16:uniqueId val="{00000001-7EA9-4361-BD2A-433B94414A6B}"/>
            </c:ext>
          </c:extLst>
        </c:ser>
        <c:ser>
          <c:idx val="2"/>
          <c:order val="2"/>
          <c:tx>
            <c:strRef>
              <c:f>'[PZMG_prognoze (Autosaved).xlsx]PZMG'!$A$102</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 (Autosaved).xlsx]PZMG'!$B$95:$L$95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 (Autosaved).xlsx]PZMG'!$B$102:$L$102</c:f>
              <c:numCache>
                <c:formatCode>General</c:formatCode>
                <c:ptCount val="11"/>
                <c:pt idx="0">
                  <c:v>111104.5</c:v>
                </c:pt>
                <c:pt idx="1">
                  <c:v>103121</c:v>
                </c:pt>
                <c:pt idx="2">
                  <c:v>98804</c:v>
                </c:pt>
                <c:pt idx="3">
                  <c:v>96631</c:v>
                </c:pt>
                <c:pt idx="4">
                  <c:v>93374</c:v>
                </c:pt>
                <c:pt idx="5">
                  <c:v>88191</c:v>
                </c:pt>
                <c:pt idx="6">
                  <c:v>88191</c:v>
                </c:pt>
                <c:pt idx="7">
                  <c:v>86896.5</c:v>
                </c:pt>
                <c:pt idx="8">
                  <c:v>85110</c:v>
                </c:pt>
                <c:pt idx="9">
                  <c:v>82479</c:v>
                </c:pt>
                <c:pt idx="10">
                  <c:v>79817</c:v>
                </c:pt>
              </c:numCache>
            </c:numRef>
          </c:val>
          <c:smooth val="0"/>
          <c:extLst>
            <c:ext xmlns:c16="http://schemas.microsoft.com/office/drawing/2014/chart" uri="{C3380CC4-5D6E-409C-BE32-E72D297353CC}">
              <c16:uniqueId val="{00000002-7EA9-4361-BD2A-433B94414A6B}"/>
            </c:ext>
          </c:extLst>
        </c:ser>
        <c:dLbls>
          <c:dLblPos val="r"/>
          <c:showLegendKey val="0"/>
          <c:showVal val="1"/>
          <c:showCatName val="0"/>
          <c:showSerName val="0"/>
          <c:showPercent val="0"/>
          <c:showBubbleSize val="0"/>
        </c:dLbls>
        <c:smooth val="0"/>
        <c:axId val="458172336"/>
        <c:axId val="458179880"/>
      </c:lineChart>
      <c:catAx>
        <c:axId val="45817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8179880"/>
        <c:crosses val="autoZero"/>
        <c:auto val="1"/>
        <c:lblAlgn val="ctr"/>
        <c:lblOffset val="100"/>
        <c:noMultiLvlLbl val="0"/>
      </c:catAx>
      <c:valAx>
        <c:axId val="45817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817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 id="19">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5591-034A-4086-B89A-A7F65D70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30470</Words>
  <Characters>17368</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turpināšanu 2017.gadā”</vt:lpstr>
      <vt:lpstr>Informatīvais ziņojums “Par veselības reformas pasākumu īstenošanas turpināšanu 2017.gadā”</vt:lpstr>
    </vt:vector>
  </TitlesOfParts>
  <Company>Veselības ministrija</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2017.gadā”</dc:title>
  <dc:subject>Informatīvais ziņojums</dc:subject>
  <dc:creator>Āris Kasparans</dc:creator>
  <cp:keywords/>
  <dc:description>Āris Kasparāns_x000d_
Veselības ministrijas_x000d_
Resursu vadības departamenta direktors _x000d_
Tālr. Nr. 67876043_x000d_
Aris.Kasparans@vm.gov.lv</dc:description>
  <cp:lastModifiedBy>Inga Vinničenko</cp:lastModifiedBy>
  <cp:revision>2</cp:revision>
  <cp:lastPrinted>2017-01-20T09:51:00Z</cp:lastPrinted>
  <dcterms:created xsi:type="dcterms:W3CDTF">2017-02-07T15:44:00Z</dcterms:created>
  <dcterms:modified xsi:type="dcterms:W3CDTF">2017-02-07T15:44:00Z</dcterms:modified>
</cp:coreProperties>
</file>