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78682" w14:textId="77777777" w:rsidR="00941457" w:rsidRPr="00E47318" w:rsidRDefault="00941457" w:rsidP="00941457">
      <w:pPr>
        <w:widowControl w:val="0"/>
        <w:spacing w:after="0" w:line="240" w:lineRule="auto"/>
        <w:jc w:val="center"/>
        <w:rPr>
          <w:rFonts w:ascii="Times New Roman" w:hAnsi="Times New Roman"/>
          <w:b/>
          <w:sz w:val="32"/>
          <w:szCs w:val="28"/>
        </w:rPr>
      </w:pPr>
      <w:r w:rsidRPr="00E47318">
        <w:rPr>
          <w:rFonts w:ascii="Times New Roman" w:hAnsi="Times New Roman"/>
          <w:b/>
          <w:sz w:val="32"/>
          <w:szCs w:val="28"/>
        </w:rPr>
        <w:t>Veselības ministrija</w:t>
      </w:r>
    </w:p>
    <w:p w14:paraId="7D3006A9" w14:textId="77777777" w:rsidR="00941457" w:rsidRPr="00E47318" w:rsidRDefault="00941457" w:rsidP="00941457">
      <w:pPr>
        <w:widowControl w:val="0"/>
        <w:spacing w:after="0" w:line="240" w:lineRule="auto"/>
        <w:jc w:val="center"/>
        <w:rPr>
          <w:rFonts w:ascii="Times New Roman" w:hAnsi="Times New Roman"/>
          <w:b/>
          <w:sz w:val="32"/>
          <w:szCs w:val="28"/>
        </w:rPr>
      </w:pPr>
    </w:p>
    <w:p w14:paraId="367C6EA4" w14:textId="77777777" w:rsidR="00941457" w:rsidRPr="00E47318" w:rsidRDefault="00941457" w:rsidP="00941457">
      <w:pPr>
        <w:widowControl w:val="0"/>
        <w:spacing w:after="0" w:line="240" w:lineRule="auto"/>
        <w:jc w:val="center"/>
        <w:rPr>
          <w:rFonts w:ascii="Times New Roman" w:hAnsi="Times New Roman"/>
          <w:b/>
          <w:sz w:val="28"/>
          <w:szCs w:val="28"/>
        </w:rPr>
      </w:pPr>
    </w:p>
    <w:p w14:paraId="5EAD5D1F" w14:textId="77777777" w:rsidR="00941457" w:rsidRPr="00E47318" w:rsidRDefault="00941457" w:rsidP="00941457">
      <w:pPr>
        <w:widowControl w:val="0"/>
        <w:spacing w:after="0" w:line="240" w:lineRule="auto"/>
        <w:jc w:val="center"/>
        <w:rPr>
          <w:rFonts w:ascii="Times New Roman" w:hAnsi="Times New Roman"/>
          <w:b/>
          <w:sz w:val="28"/>
          <w:szCs w:val="28"/>
        </w:rPr>
      </w:pPr>
    </w:p>
    <w:p w14:paraId="3BDA5C68" w14:textId="77777777" w:rsidR="00941457" w:rsidRPr="00E47318" w:rsidRDefault="00941457" w:rsidP="00941457">
      <w:pPr>
        <w:widowControl w:val="0"/>
        <w:spacing w:after="0" w:line="240" w:lineRule="auto"/>
        <w:jc w:val="center"/>
        <w:rPr>
          <w:rFonts w:ascii="Times New Roman" w:hAnsi="Times New Roman"/>
          <w:b/>
          <w:sz w:val="28"/>
          <w:szCs w:val="28"/>
        </w:rPr>
      </w:pPr>
    </w:p>
    <w:p w14:paraId="4317DC12" w14:textId="77777777" w:rsidR="00941457" w:rsidRPr="00E47318" w:rsidRDefault="00941457" w:rsidP="00941457">
      <w:pPr>
        <w:widowControl w:val="0"/>
        <w:spacing w:after="0" w:line="240" w:lineRule="auto"/>
        <w:jc w:val="center"/>
        <w:rPr>
          <w:rFonts w:ascii="Times New Roman" w:hAnsi="Times New Roman"/>
          <w:b/>
          <w:sz w:val="28"/>
          <w:szCs w:val="28"/>
        </w:rPr>
      </w:pPr>
    </w:p>
    <w:p w14:paraId="056273A9" w14:textId="77777777" w:rsidR="00941457" w:rsidRPr="00E47318" w:rsidRDefault="00941457" w:rsidP="00941457">
      <w:pPr>
        <w:widowControl w:val="0"/>
        <w:spacing w:after="0" w:line="240" w:lineRule="auto"/>
        <w:jc w:val="center"/>
        <w:rPr>
          <w:rFonts w:ascii="Times New Roman" w:hAnsi="Times New Roman"/>
          <w:b/>
          <w:sz w:val="28"/>
          <w:szCs w:val="28"/>
        </w:rPr>
      </w:pPr>
    </w:p>
    <w:p w14:paraId="2CFBDB0F" w14:textId="77777777" w:rsidR="00941457" w:rsidRPr="00E47318" w:rsidRDefault="00941457" w:rsidP="00941457">
      <w:pPr>
        <w:widowControl w:val="0"/>
        <w:spacing w:after="0" w:line="240" w:lineRule="auto"/>
        <w:jc w:val="center"/>
        <w:rPr>
          <w:rFonts w:ascii="Times New Roman" w:hAnsi="Times New Roman"/>
          <w:b/>
          <w:sz w:val="28"/>
          <w:szCs w:val="28"/>
        </w:rPr>
      </w:pPr>
    </w:p>
    <w:p w14:paraId="550F9EEC" w14:textId="77777777" w:rsidR="00941457" w:rsidRPr="00E47318" w:rsidRDefault="00941457" w:rsidP="00941457">
      <w:pPr>
        <w:widowControl w:val="0"/>
        <w:spacing w:after="0" w:line="240" w:lineRule="auto"/>
        <w:jc w:val="center"/>
        <w:rPr>
          <w:rFonts w:ascii="Times New Roman" w:hAnsi="Times New Roman"/>
          <w:b/>
          <w:sz w:val="28"/>
          <w:szCs w:val="28"/>
        </w:rPr>
      </w:pPr>
    </w:p>
    <w:p w14:paraId="5350A0B8" w14:textId="77777777" w:rsidR="00941457" w:rsidRPr="00E47318" w:rsidRDefault="00941457" w:rsidP="00941457">
      <w:pPr>
        <w:widowControl w:val="0"/>
        <w:spacing w:after="0" w:line="240" w:lineRule="auto"/>
        <w:jc w:val="center"/>
        <w:rPr>
          <w:rFonts w:ascii="Times New Roman" w:hAnsi="Times New Roman"/>
          <w:b/>
          <w:sz w:val="28"/>
          <w:szCs w:val="28"/>
        </w:rPr>
      </w:pPr>
    </w:p>
    <w:p w14:paraId="57329CA4" w14:textId="77777777" w:rsidR="00941457" w:rsidRPr="00E47318" w:rsidRDefault="00941457" w:rsidP="00941457">
      <w:pPr>
        <w:widowControl w:val="0"/>
        <w:spacing w:after="0" w:line="240" w:lineRule="auto"/>
        <w:jc w:val="center"/>
        <w:rPr>
          <w:rFonts w:ascii="Times New Roman" w:hAnsi="Times New Roman"/>
          <w:b/>
          <w:sz w:val="28"/>
          <w:szCs w:val="28"/>
        </w:rPr>
      </w:pPr>
    </w:p>
    <w:p w14:paraId="4BB02BB3" w14:textId="77777777" w:rsidR="00941457" w:rsidRPr="00E47318" w:rsidRDefault="00941457" w:rsidP="00941457">
      <w:pPr>
        <w:widowControl w:val="0"/>
        <w:spacing w:after="0" w:line="240" w:lineRule="auto"/>
        <w:jc w:val="center"/>
        <w:rPr>
          <w:rFonts w:ascii="Times New Roman" w:hAnsi="Times New Roman"/>
          <w:b/>
          <w:sz w:val="28"/>
          <w:szCs w:val="28"/>
        </w:rPr>
      </w:pPr>
    </w:p>
    <w:p w14:paraId="40894FFD" w14:textId="77777777" w:rsidR="00941457" w:rsidRPr="00A9192E" w:rsidRDefault="00941457" w:rsidP="00941457">
      <w:pPr>
        <w:widowControl w:val="0"/>
        <w:spacing w:after="0" w:line="240" w:lineRule="auto"/>
        <w:jc w:val="center"/>
        <w:rPr>
          <w:rFonts w:ascii="Times New Roman" w:hAnsi="Times New Roman"/>
          <w:b/>
          <w:sz w:val="32"/>
          <w:szCs w:val="32"/>
        </w:rPr>
      </w:pPr>
      <w:bookmarkStart w:id="0" w:name="OLE_LINK7"/>
      <w:bookmarkStart w:id="1" w:name="OLE_LINK8"/>
      <w:bookmarkStart w:id="2" w:name="OLE_LINK4"/>
      <w:bookmarkStart w:id="3" w:name="OLE_LINK3"/>
      <w:bookmarkStart w:id="4" w:name="OLE_LINK1"/>
      <w:r w:rsidRPr="00A9192E">
        <w:rPr>
          <w:rFonts w:ascii="Times New Roman" w:hAnsi="Times New Roman"/>
          <w:b/>
          <w:sz w:val="32"/>
          <w:szCs w:val="32"/>
        </w:rPr>
        <w:t xml:space="preserve">Informatīvais ziņojums par </w:t>
      </w:r>
      <w:bookmarkEnd w:id="0"/>
      <w:bookmarkEnd w:id="1"/>
      <w:bookmarkEnd w:id="2"/>
      <w:r w:rsidRPr="00A9192E">
        <w:rPr>
          <w:rFonts w:ascii="Times New Roman" w:hAnsi="Times New Roman"/>
          <w:b/>
          <w:sz w:val="32"/>
          <w:szCs w:val="32"/>
        </w:rPr>
        <w:t>EK audita Nr. Nr.2013/LV/REGIO/C2/1242/1 piemēroto finanšu korekciju VSIA „Bērnu klīniskā universitātes slimnīca” īstenotajos ERAF projektos</w:t>
      </w:r>
    </w:p>
    <w:bookmarkEnd w:id="3"/>
    <w:p w14:paraId="6ECE6E34" w14:textId="77777777" w:rsidR="00941457" w:rsidRPr="00E47318" w:rsidRDefault="00941457" w:rsidP="00941457">
      <w:pPr>
        <w:widowControl w:val="0"/>
        <w:spacing w:after="0" w:line="240" w:lineRule="auto"/>
        <w:jc w:val="center"/>
        <w:rPr>
          <w:rFonts w:ascii="Times New Roman" w:hAnsi="Times New Roman"/>
          <w:b/>
          <w:sz w:val="28"/>
          <w:szCs w:val="28"/>
        </w:rPr>
      </w:pPr>
    </w:p>
    <w:bookmarkEnd w:id="4"/>
    <w:p w14:paraId="0066C42B" w14:textId="77777777" w:rsidR="00941457" w:rsidRPr="00E47318" w:rsidRDefault="00941457" w:rsidP="00941457">
      <w:pPr>
        <w:widowControl w:val="0"/>
        <w:spacing w:after="0" w:line="240" w:lineRule="auto"/>
        <w:jc w:val="center"/>
        <w:rPr>
          <w:rFonts w:ascii="Times New Roman" w:hAnsi="Times New Roman"/>
          <w:b/>
          <w:sz w:val="28"/>
          <w:szCs w:val="28"/>
        </w:rPr>
      </w:pPr>
    </w:p>
    <w:p w14:paraId="01806218" w14:textId="77777777" w:rsidR="00941457" w:rsidRPr="00E47318" w:rsidRDefault="00941457" w:rsidP="00941457">
      <w:pPr>
        <w:widowControl w:val="0"/>
        <w:spacing w:after="0" w:line="240" w:lineRule="auto"/>
        <w:jc w:val="center"/>
        <w:rPr>
          <w:rFonts w:ascii="Times New Roman" w:hAnsi="Times New Roman"/>
          <w:b/>
          <w:sz w:val="28"/>
          <w:szCs w:val="28"/>
        </w:rPr>
      </w:pPr>
    </w:p>
    <w:p w14:paraId="353FD63D" w14:textId="77777777" w:rsidR="00941457" w:rsidRPr="00E47318" w:rsidRDefault="00941457" w:rsidP="00941457">
      <w:pPr>
        <w:widowControl w:val="0"/>
        <w:spacing w:after="0" w:line="240" w:lineRule="auto"/>
        <w:jc w:val="center"/>
        <w:rPr>
          <w:rFonts w:ascii="Times New Roman" w:hAnsi="Times New Roman"/>
          <w:b/>
          <w:sz w:val="28"/>
          <w:szCs w:val="28"/>
        </w:rPr>
      </w:pPr>
    </w:p>
    <w:p w14:paraId="6D0AA7C1" w14:textId="77777777" w:rsidR="00941457" w:rsidRPr="00E47318" w:rsidRDefault="00941457" w:rsidP="00941457">
      <w:pPr>
        <w:widowControl w:val="0"/>
        <w:spacing w:after="0" w:line="240" w:lineRule="auto"/>
        <w:jc w:val="center"/>
        <w:rPr>
          <w:rFonts w:ascii="Times New Roman" w:hAnsi="Times New Roman"/>
          <w:b/>
          <w:sz w:val="28"/>
          <w:szCs w:val="28"/>
        </w:rPr>
      </w:pPr>
    </w:p>
    <w:p w14:paraId="4CD2821C" w14:textId="77777777" w:rsidR="00941457" w:rsidRPr="00E47318" w:rsidRDefault="00941457" w:rsidP="00941457">
      <w:pPr>
        <w:widowControl w:val="0"/>
        <w:spacing w:after="0" w:line="240" w:lineRule="auto"/>
        <w:jc w:val="center"/>
        <w:rPr>
          <w:rFonts w:ascii="Times New Roman" w:hAnsi="Times New Roman"/>
          <w:b/>
          <w:sz w:val="28"/>
          <w:szCs w:val="28"/>
        </w:rPr>
      </w:pPr>
    </w:p>
    <w:p w14:paraId="42D654B2" w14:textId="77777777" w:rsidR="00941457" w:rsidRPr="00E47318" w:rsidRDefault="00941457" w:rsidP="00941457">
      <w:pPr>
        <w:widowControl w:val="0"/>
        <w:spacing w:after="0" w:line="240" w:lineRule="auto"/>
        <w:jc w:val="center"/>
        <w:rPr>
          <w:rFonts w:ascii="Times New Roman" w:hAnsi="Times New Roman"/>
          <w:b/>
          <w:sz w:val="28"/>
          <w:szCs w:val="28"/>
        </w:rPr>
      </w:pPr>
    </w:p>
    <w:p w14:paraId="337C196A" w14:textId="77777777" w:rsidR="00941457" w:rsidRPr="00E47318" w:rsidRDefault="00941457" w:rsidP="00941457">
      <w:pPr>
        <w:widowControl w:val="0"/>
        <w:spacing w:after="0" w:line="240" w:lineRule="auto"/>
        <w:jc w:val="center"/>
        <w:rPr>
          <w:rFonts w:ascii="Times New Roman" w:hAnsi="Times New Roman"/>
          <w:b/>
          <w:sz w:val="28"/>
          <w:szCs w:val="28"/>
        </w:rPr>
      </w:pPr>
    </w:p>
    <w:p w14:paraId="3AE7CECD" w14:textId="77777777" w:rsidR="00941457" w:rsidRPr="00E47318" w:rsidRDefault="00941457" w:rsidP="00941457">
      <w:pPr>
        <w:widowControl w:val="0"/>
        <w:spacing w:after="0" w:line="240" w:lineRule="auto"/>
        <w:jc w:val="center"/>
        <w:rPr>
          <w:rFonts w:ascii="Times New Roman" w:hAnsi="Times New Roman"/>
          <w:b/>
          <w:sz w:val="28"/>
          <w:szCs w:val="28"/>
        </w:rPr>
      </w:pPr>
    </w:p>
    <w:p w14:paraId="69F55966" w14:textId="77777777" w:rsidR="00941457" w:rsidRPr="00E47318" w:rsidRDefault="00941457" w:rsidP="00941457">
      <w:pPr>
        <w:widowControl w:val="0"/>
        <w:spacing w:after="0" w:line="240" w:lineRule="auto"/>
        <w:jc w:val="center"/>
        <w:rPr>
          <w:rFonts w:ascii="Times New Roman" w:hAnsi="Times New Roman"/>
          <w:b/>
          <w:sz w:val="28"/>
          <w:szCs w:val="28"/>
        </w:rPr>
      </w:pPr>
    </w:p>
    <w:p w14:paraId="04739079" w14:textId="77777777" w:rsidR="00941457" w:rsidRPr="00E47318" w:rsidRDefault="00941457" w:rsidP="00941457">
      <w:pPr>
        <w:widowControl w:val="0"/>
        <w:spacing w:after="0" w:line="240" w:lineRule="auto"/>
        <w:jc w:val="center"/>
        <w:rPr>
          <w:rFonts w:ascii="Times New Roman" w:hAnsi="Times New Roman"/>
          <w:b/>
          <w:sz w:val="28"/>
          <w:szCs w:val="28"/>
        </w:rPr>
      </w:pPr>
    </w:p>
    <w:p w14:paraId="607A3371" w14:textId="77777777" w:rsidR="00941457" w:rsidRPr="00E47318" w:rsidRDefault="00941457" w:rsidP="00941457">
      <w:pPr>
        <w:widowControl w:val="0"/>
        <w:spacing w:after="0" w:line="240" w:lineRule="auto"/>
        <w:jc w:val="center"/>
        <w:rPr>
          <w:rFonts w:ascii="Times New Roman" w:hAnsi="Times New Roman"/>
          <w:b/>
          <w:sz w:val="28"/>
          <w:szCs w:val="28"/>
        </w:rPr>
      </w:pPr>
    </w:p>
    <w:p w14:paraId="4B146CD0" w14:textId="77777777" w:rsidR="00941457" w:rsidRPr="00E47318" w:rsidRDefault="00941457" w:rsidP="00941457">
      <w:pPr>
        <w:widowControl w:val="0"/>
        <w:spacing w:after="0" w:line="240" w:lineRule="auto"/>
        <w:jc w:val="center"/>
        <w:rPr>
          <w:rFonts w:ascii="Times New Roman" w:hAnsi="Times New Roman"/>
          <w:b/>
          <w:sz w:val="28"/>
          <w:szCs w:val="28"/>
        </w:rPr>
      </w:pPr>
    </w:p>
    <w:p w14:paraId="699F3D94" w14:textId="77777777" w:rsidR="00941457" w:rsidRPr="00E47318" w:rsidRDefault="00941457" w:rsidP="00941457">
      <w:pPr>
        <w:widowControl w:val="0"/>
        <w:spacing w:after="0" w:line="240" w:lineRule="auto"/>
        <w:jc w:val="center"/>
        <w:rPr>
          <w:rFonts w:ascii="Times New Roman" w:hAnsi="Times New Roman"/>
          <w:b/>
          <w:sz w:val="28"/>
          <w:szCs w:val="28"/>
        </w:rPr>
      </w:pPr>
    </w:p>
    <w:p w14:paraId="1D0A44B0" w14:textId="77777777" w:rsidR="00941457" w:rsidRPr="00E47318" w:rsidRDefault="00941457" w:rsidP="00941457">
      <w:pPr>
        <w:widowControl w:val="0"/>
        <w:spacing w:after="0" w:line="240" w:lineRule="auto"/>
        <w:jc w:val="center"/>
        <w:rPr>
          <w:rFonts w:ascii="Times New Roman" w:hAnsi="Times New Roman"/>
          <w:b/>
          <w:sz w:val="28"/>
          <w:szCs w:val="28"/>
        </w:rPr>
      </w:pPr>
    </w:p>
    <w:p w14:paraId="2DF9D953" w14:textId="77777777" w:rsidR="00941457" w:rsidRPr="00E47318" w:rsidRDefault="00941457" w:rsidP="00941457">
      <w:pPr>
        <w:widowControl w:val="0"/>
        <w:spacing w:after="0" w:line="240" w:lineRule="auto"/>
        <w:jc w:val="center"/>
        <w:rPr>
          <w:rFonts w:ascii="Times New Roman" w:hAnsi="Times New Roman"/>
          <w:b/>
          <w:sz w:val="28"/>
          <w:szCs w:val="28"/>
        </w:rPr>
      </w:pPr>
    </w:p>
    <w:p w14:paraId="65130045" w14:textId="77777777" w:rsidR="00941457" w:rsidRPr="00E47318" w:rsidRDefault="00941457" w:rsidP="00941457">
      <w:pPr>
        <w:widowControl w:val="0"/>
        <w:spacing w:after="0" w:line="240" w:lineRule="auto"/>
        <w:jc w:val="center"/>
        <w:rPr>
          <w:rFonts w:ascii="Times New Roman" w:hAnsi="Times New Roman"/>
          <w:b/>
          <w:sz w:val="28"/>
          <w:szCs w:val="28"/>
        </w:rPr>
      </w:pPr>
    </w:p>
    <w:p w14:paraId="24FE3CF9" w14:textId="77777777" w:rsidR="00941457" w:rsidRPr="00E47318" w:rsidRDefault="00941457" w:rsidP="00941457">
      <w:pPr>
        <w:widowControl w:val="0"/>
        <w:spacing w:after="0" w:line="240" w:lineRule="auto"/>
        <w:jc w:val="center"/>
        <w:rPr>
          <w:rFonts w:ascii="Times New Roman" w:hAnsi="Times New Roman"/>
          <w:b/>
          <w:sz w:val="28"/>
          <w:szCs w:val="28"/>
        </w:rPr>
      </w:pPr>
    </w:p>
    <w:p w14:paraId="4875D122" w14:textId="77777777" w:rsidR="00941457" w:rsidRPr="00E47318" w:rsidRDefault="00941457" w:rsidP="00941457">
      <w:pPr>
        <w:widowControl w:val="0"/>
        <w:spacing w:after="0" w:line="240" w:lineRule="auto"/>
        <w:jc w:val="center"/>
        <w:rPr>
          <w:rFonts w:ascii="Times New Roman" w:hAnsi="Times New Roman"/>
          <w:b/>
          <w:sz w:val="28"/>
          <w:szCs w:val="28"/>
        </w:rPr>
      </w:pPr>
    </w:p>
    <w:p w14:paraId="6AE4D36D" w14:textId="77777777" w:rsidR="00941457" w:rsidRPr="00E47318" w:rsidRDefault="00941457" w:rsidP="00941457">
      <w:pPr>
        <w:widowControl w:val="0"/>
        <w:spacing w:after="0" w:line="240" w:lineRule="auto"/>
        <w:jc w:val="center"/>
        <w:rPr>
          <w:rFonts w:ascii="Times New Roman" w:hAnsi="Times New Roman"/>
          <w:b/>
          <w:sz w:val="28"/>
          <w:szCs w:val="28"/>
        </w:rPr>
      </w:pPr>
    </w:p>
    <w:p w14:paraId="678FE0C6" w14:textId="77777777" w:rsidR="00941457" w:rsidRPr="00E47318" w:rsidRDefault="00941457" w:rsidP="00941457">
      <w:pPr>
        <w:widowControl w:val="0"/>
        <w:spacing w:after="0" w:line="240" w:lineRule="auto"/>
        <w:jc w:val="center"/>
        <w:rPr>
          <w:rFonts w:ascii="Times New Roman" w:hAnsi="Times New Roman"/>
          <w:b/>
          <w:sz w:val="28"/>
          <w:szCs w:val="28"/>
        </w:rPr>
      </w:pPr>
    </w:p>
    <w:p w14:paraId="15AF0697" w14:textId="77777777" w:rsidR="00941457" w:rsidRPr="00E47318" w:rsidRDefault="00941457" w:rsidP="00941457">
      <w:pPr>
        <w:widowControl w:val="0"/>
        <w:spacing w:after="0" w:line="240" w:lineRule="auto"/>
        <w:jc w:val="center"/>
        <w:rPr>
          <w:rFonts w:ascii="Times New Roman" w:hAnsi="Times New Roman"/>
          <w:b/>
          <w:sz w:val="28"/>
          <w:szCs w:val="28"/>
        </w:rPr>
      </w:pPr>
    </w:p>
    <w:p w14:paraId="769C8F97" w14:textId="77777777" w:rsidR="00941457" w:rsidRPr="00E47318" w:rsidRDefault="00941457" w:rsidP="00941457">
      <w:pPr>
        <w:widowControl w:val="0"/>
        <w:spacing w:after="0" w:line="240" w:lineRule="auto"/>
        <w:jc w:val="center"/>
        <w:rPr>
          <w:rFonts w:ascii="Times New Roman" w:hAnsi="Times New Roman"/>
          <w:b/>
          <w:sz w:val="28"/>
          <w:szCs w:val="28"/>
        </w:rPr>
      </w:pPr>
    </w:p>
    <w:p w14:paraId="6F3D91A8" w14:textId="77777777" w:rsidR="007D2E8D" w:rsidRDefault="007D2E8D" w:rsidP="00941457">
      <w:pPr>
        <w:widowControl w:val="0"/>
        <w:spacing w:after="0" w:line="240" w:lineRule="auto"/>
        <w:jc w:val="center"/>
        <w:rPr>
          <w:rFonts w:ascii="Times New Roman" w:hAnsi="Times New Roman"/>
          <w:b/>
          <w:sz w:val="32"/>
          <w:szCs w:val="28"/>
        </w:rPr>
      </w:pPr>
    </w:p>
    <w:p w14:paraId="2809D956" w14:textId="77777777" w:rsidR="007D2E8D" w:rsidRDefault="007D2E8D" w:rsidP="00941457">
      <w:pPr>
        <w:widowControl w:val="0"/>
        <w:spacing w:after="0" w:line="240" w:lineRule="auto"/>
        <w:jc w:val="center"/>
        <w:rPr>
          <w:rFonts w:ascii="Times New Roman" w:hAnsi="Times New Roman"/>
          <w:b/>
          <w:sz w:val="32"/>
          <w:szCs w:val="28"/>
        </w:rPr>
      </w:pPr>
    </w:p>
    <w:p w14:paraId="1CE38319" w14:textId="3115DF98" w:rsidR="00941457" w:rsidRPr="00E47318" w:rsidRDefault="00975D97" w:rsidP="00941457">
      <w:pPr>
        <w:widowControl w:val="0"/>
        <w:spacing w:after="0" w:line="240" w:lineRule="auto"/>
        <w:jc w:val="center"/>
        <w:rPr>
          <w:rFonts w:ascii="Times New Roman" w:hAnsi="Times New Roman"/>
          <w:b/>
          <w:sz w:val="32"/>
          <w:szCs w:val="28"/>
        </w:rPr>
      </w:pPr>
      <w:r>
        <w:rPr>
          <w:rFonts w:ascii="Times New Roman" w:hAnsi="Times New Roman"/>
          <w:b/>
          <w:sz w:val="32"/>
          <w:szCs w:val="28"/>
        </w:rPr>
        <w:t>2017</w:t>
      </w:r>
      <w:r w:rsidR="00941457" w:rsidRPr="00E47318">
        <w:rPr>
          <w:rFonts w:ascii="Times New Roman" w:hAnsi="Times New Roman"/>
          <w:b/>
          <w:sz w:val="32"/>
          <w:szCs w:val="28"/>
        </w:rPr>
        <w:t xml:space="preserve">.gada </w:t>
      </w:r>
      <w:r>
        <w:rPr>
          <w:rFonts w:ascii="Times New Roman" w:hAnsi="Times New Roman"/>
          <w:b/>
          <w:sz w:val="32"/>
          <w:szCs w:val="28"/>
        </w:rPr>
        <w:t>janvāris</w:t>
      </w:r>
    </w:p>
    <w:p w14:paraId="5F291B2A" w14:textId="77777777" w:rsidR="00941457" w:rsidRPr="00E47318" w:rsidRDefault="00941457" w:rsidP="00941457">
      <w:pPr>
        <w:rPr>
          <w:rFonts w:ascii="Times New Roman" w:hAnsi="Times New Roman"/>
        </w:rPr>
      </w:pPr>
    </w:p>
    <w:p w14:paraId="4704063B" w14:textId="77777777" w:rsidR="00941457" w:rsidRPr="00E47318" w:rsidRDefault="00941457" w:rsidP="00941457">
      <w:pPr>
        <w:pStyle w:val="Heading1"/>
        <w:widowControl w:val="0"/>
        <w:spacing w:after="120"/>
        <w:ind w:firstLine="0"/>
        <w:jc w:val="center"/>
        <w:rPr>
          <w:iCs/>
          <w:noProof/>
          <w:sz w:val="32"/>
        </w:rPr>
      </w:pPr>
      <w:r>
        <w:rPr>
          <w:iCs/>
          <w:caps/>
          <w:noProof/>
          <w:sz w:val="32"/>
        </w:rPr>
        <w:lastRenderedPageBreak/>
        <w:t>Kopsavilkums</w:t>
      </w:r>
    </w:p>
    <w:p w14:paraId="006FD576" w14:textId="5B231AB6" w:rsidR="00941457" w:rsidRPr="00E47318" w:rsidRDefault="00941457" w:rsidP="00F344EE">
      <w:pPr>
        <w:pStyle w:val="ListParagraph"/>
        <w:numPr>
          <w:ilvl w:val="0"/>
          <w:numId w:val="14"/>
        </w:numPr>
        <w:tabs>
          <w:tab w:val="left" w:pos="426"/>
        </w:tabs>
        <w:spacing w:after="120" w:line="240" w:lineRule="auto"/>
        <w:ind w:left="0" w:firstLine="0"/>
        <w:contextualSpacing w:val="0"/>
        <w:jc w:val="both"/>
        <w:rPr>
          <w:rFonts w:ascii="Times New Roman" w:hAnsi="Times New Roman"/>
        </w:rPr>
      </w:pPr>
      <w:r w:rsidRPr="00E47318">
        <w:rPr>
          <w:rFonts w:ascii="Times New Roman" w:hAnsi="Times New Roman"/>
          <w:sz w:val="28"/>
          <w:szCs w:val="28"/>
        </w:rPr>
        <w:t xml:space="preserve">2013.gada nogalē Eiropas Komisijas (turpmāk – EK) Reģionālās politikas un </w:t>
      </w:r>
      <w:proofErr w:type="spellStart"/>
      <w:r w:rsidRPr="00E47318">
        <w:rPr>
          <w:rFonts w:ascii="Times New Roman" w:hAnsi="Times New Roman"/>
          <w:sz w:val="28"/>
          <w:szCs w:val="28"/>
        </w:rPr>
        <w:t>pilsētpolitikas</w:t>
      </w:r>
      <w:proofErr w:type="spellEnd"/>
      <w:r w:rsidRPr="00E47318">
        <w:rPr>
          <w:rFonts w:ascii="Times New Roman" w:hAnsi="Times New Roman"/>
          <w:sz w:val="28"/>
          <w:szCs w:val="28"/>
        </w:rPr>
        <w:t xml:space="preserve"> ģenerāldirektorāts</w:t>
      </w:r>
      <w:r w:rsidRPr="00E47318" w:rsidDel="00553DC0">
        <w:rPr>
          <w:rFonts w:ascii="Times New Roman" w:hAnsi="Times New Roman"/>
          <w:sz w:val="28"/>
          <w:szCs w:val="28"/>
        </w:rPr>
        <w:t xml:space="preserve"> </w:t>
      </w:r>
      <w:r w:rsidRPr="00E47318">
        <w:rPr>
          <w:rFonts w:ascii="Times New Roman" w:hAnsi="Times New Roman"/>
          <w:sz w:val="28"/>
          <w:szCs w:val="28"/>
        </w:rPr>
        <w:t xml:space="preserve">uzsāka auditu, kura ietvaros VSIA „Bērnu klīniskā universitātes slimnīca” (turpmāk – BKUS) īstenoto </w:t>
      </w:r>
      <w:r w:rsidR="00D06C01" w:rsidRPr="00D06C01">
        <w:rPr>
          <w:rFonts w:ascii="Times New Roman" w:hAnsi="Times New Roman"/>
          <w:sz w:val="28"/>
          <w:szCs w:val="28"/>
        </w:rPr>
        <w:t>Eiropas Reģionālās attīstības fond</w:t>
      </w:r>
      <w:r w:rsidR="00D06C01">
        <w:rPr>
          <w:rFonts w:ascii="Times New Roman" w:hAnsi="Times New Roman"/>
          <w:sz w:val="28"/>
          <w:szCs w:val="28"/>
        </w:rPr>
        <w:t xml:space="preserve">a (turpmāk – </w:t>
      </w:r>
      <w:r w:rsidRPr="00E47318">
        <w:rPr>
          <w:rFonts w:ascii="Times New Roman" w:hAnsi="Times New Roman"/>
          <w:sz w:val="28"/>
          <w:szCs w:val="28"/>
        </w:rPr>
        <w:t>ERAF</w:t>
      </w:r>
      <w:r w:rsidR="00D06C01">
        <w:rPr>
          <w:rFonts w:ascii="Times New Roman" w:hAnsi="Times New Roman"/>
          <w:sz w:val="28"/>
          <w:szCs w:val="28"/>
        </w:rPr>
        <w:t>)</w:t>
      </w:r>
      <w:r w:rsidRPr="00E47318">
        <w:rPr>
          <w:rFonts w:ascii="Times New Roman" w:hAnsi="Times New Roman"/>
          <w:sz w:val="28"/>
          <w:szCs w:val="28"/>
        </w:rPr>
        <w:t xml:space="preserve"> līdzfinansēto projektu ietvaros tika izteikts </w:t>
      </w:r>
      <w:r w:rsidR="00D06C01" w:rsidRPr="00E47318">
        <w:rPr>
          <w:rFonts w:ascii="Times New Roman" w:hAnsi="Times New Roman"/>
          <w:sz w:val="28"/>
          <w:szCs w:val="28"/>
        </w:rPr>
        <w:t>konstatējum</w:t>
      </w:r>
      <w:r w:rsidR="00D06C01">
        <w:rPr>
          <w:rFonts w:ascii="Times New Roman" w:hAnsi="Times New Roman"/>
          <w:sz w:val="28"/>
          <w:szCs w:val="28"/>
        </w:rPr>
        <w:t>s</w:t>
      </w:r>
      <w:r w:rsidR="00D06C01" w:rsidRPr="00E47318">
        <w:rPr>
          <w:rFonts w:ascii="Times New Roman" w:hAnsi="Times New Roman"/>
          <w:sz w:val="28"/>
          <w:szCs w:val="28"/>
        </w:rPr>
        <w:t xml:space="preserve"> </w:t>
      </w:r>
      <w:r w:rsidRPr="00E47318">
        <w:rPr>
          <w:rFonts w:ascii="Times New Roman" w:hAnsi="Times New Roman"/>
          <w:sz w:val="28"/>
          <w:szCs w:val="28"/>
        </w:rPr>
        <w:t xml:space="preserve">Nr.4, ka būvniecības konkursu nolikumos ir iekļauta nepamatota prasība, ka konkursa pretendentam ir jābūt pieredzei sabiedrisko būvju celtniecībā atbilstoši Latvijas Republikas normatīvajiem aktiem. </w:t>
      </w:r>
    </w:p>
    <w:p w14:paraId="5D5CC30B" w14:textId="7EFE1D57" w:rsidR="00941457" w:rsidRPr="00E47318" w:rsidRDefault="00941457" w:rsidP="006E39FA">
      <w:pPr>
        <w:pStyle w:val="ListParagraph"/>
        <w:numPr>
          <w:ilvl w:val="0"/>
          <w:numId w:val="14"/>
        </w:numPr>
        <w:tabs>
          <w:tab w:val="left" w:pos="426"/>
        </w:tabs>
        <w:spacing w:after="120" w:line="240" w:lineRule="auto"/>
        <w:ind w:left="0" w:firstLine="0"/>
        <w:contextualSpacing w:val="0"/>
        <w:jc w:val="both"/>
        <w:rPr>
          <w:rFonts w:ascii="Times New Roman" w:hAnsi="Times New Roman"/>
        </w:rPr>
      </w:pPr>
      <w:r w:rsidRPr="00E47318">
        <w:rPr>
          <w:rFonts w:ascii="Times New Roman" w:hAnsi="Times New Roman"/>
          <w:sz w:val="28"/>
          <w:szCs w:val="28"/>
        </w:rPr>
        <w:t xml:space="preserve">Uz iepriekš minētā konstatējuma pamata EK </w:t>
      </w:r>
      <w:r w:rsidR="00061EB5">
        <w:rPr>
          <w:rFonts w:ascii="Times New Roman" w:hAnsi="Times New Roman"/>
          <w:sz w:val="28"/>
          <w:szCs w:val="28"/>
        </w:rPr>
        <w:t>sākotnēji bija</w:t>
      </w:r>
      <w:r w:rsidR="00061EB5" w:rsidRPr="00E47318">
        <w:rPr>
          <w:rFonts w:ascii="Times New Roman" w:hAnsi="Times New Roman"/>
          <w:sz w:val="28"/>
          <w:szCs w:val="28"/>
        </w:rPr>
        <w:t xml:space="preserve"> </w:t>
      </w:r>
      <w:r w:rsidRPr="00E47318">
        <w:rPr>
          <w:rFonts w:ascii="Times New Roman" w:hAnsi="Times New Roman"/>
          <w:sz w:val="28"/>
          <w:szCs w:val="28"/>
        </w:rPr>
        <w:t>noteikusi finanšu korekciju 25% apmērā no būvniecības līgumiem, kuros minētā prasība tika izvirzīta. EK auditoru skatījumā minētā prasība ierobežoja ārvalstu uzņēmumu dalību konkursā, jo tiem var nebūt prasītā pieredze būvju celtniecībā atbilstoši Latvijas Republikas normatīvajiem aktiem</w:t>
      </w:r>
      <w:r w:rsidRPr="00E47318" w:rsidDel="00D24F32">
        <w:rPr>
          <w:rFonts w:ascii="Times New Roman" w:hAnsi="Times New Roman"/>
          <w:sz w:val="28"/>
          <w:szCs w:val="28"/>
        </w:rPr>
        <w:t xml:space="preserve"> </w:t>
      </w:r>
      <w:r w:rsidRPr="00E47318">
        <w:rPr>
          <w:rFonts w:ascii="Times New Roman" w:hAnsi="Times New Roman"/>
          <w:sz w:val="28"/>
          <w:szCs w:val="28"/>
        </w:rPr>
        <w:t>un iepirkumos nav paredzēts, ka par atbilstošu var tikt atzīta pieredze, kas gūta citās valstīs un būtu līdzvērtīga pieprasītajai.</w:t>
      </w:r>
    </w:p>
    <w:p w14:paraId="4AB35929" w14:textId="7E142ADE" w:rsidR="00941457" w:rsidRPr="00E47318" w:rsidRDefault="00941457" w:rsidP="006E39FA">
      <w:pPr>
        <w:pStyle w:val="ListParagraph"/>
        <w:numPr>
          <w:ilvl w:val="0"/>
          <w:numId w:val="14"/>
        </w:numPr>
        <w:tabs>
          <w:tab w:val="left" w:pos="426"/>
        </w:tabs>
        <w:spacing w:after="120" w:line="240" w:lineRule="auto"/>
        <w:ind w:left="0" w:firstLine="0"/>
        <w:contextualSpacing w:val="0"/>
        <w:jc w:val="both"/>
        <w:rPr>
          <w:rFonts w:ascii="Times New Roman" w:hAnsi="Times New Roman"/>
        </w:rPr>
      </w:pPr>
      <w:r w:rsidRPr="00E47318">
        <w:rPr>
          <w:rFonts w:ascii="Times New Roman" w:hAnsi="Times New Roman"/>
          <w:sz w:val="28"/>
          <w:szCs w:val="28"/>
        </w:rPr>
        <w:t>Neviena no Latvijas iestādēm</w:t>
      </w:r>
      <w:r w:rsidR="00061EB5">
        <w:rPr>
          <w:rFonts w:ascii="Times New Roman" w:hAnsi="Times New Roman"/>
          <w:sz w:val="28"/>
          <w:szCs w:val="28"/>
        </w:rPr>
        <w:t>, kas iesaistītas procesā</w:t>
      </w:r>
      <w:r w:rsidRPr="00E47318">
        <w:rPr>
          <w:rFonts w:ascii="Times New Roman" w:hAnsi="Times New Roman"/>
          <w:sz w:val="28"/>
          <w:szCs w:val="28"/>
        </w:rPr>
        <w:t xml:space="preserve"> – BKUS, Veselības ministrija </w:t>
      </w:r>
      <w:r w:rsidRPr="00E47318">
        <w:rPr>
          <w:rFonts w:ascii="Times New Roman" w:hAnsi="Times New Roman"/>
          <w:sz w:val="28"/>
          <w:szCs w:val="28"/>
        </w:rPr>
        <w:softHyphen/>
        <w:t xml:space="preserve">(turpmāk –VM), Centrālā finanšu un līgumu aģentūra (turpmāk – CFLA), Finanšu ministrija (turpmāk – FM) </w:t>
      </w:r>
      <w:r w:rsidR="004E7D06">
        <w:rPr>
          <w:rFonts w:ascii="Times New Roman" w:hAnsi="Times New Roman"/>
          <w:sz w:val="28"/>
          <w:szCs w:val="28"/>
        </w:rPr>
        <w:t xml:space="preserve">kā vadošā iestāde un kā Revīzijas iestāde, kā arī </w:t>
      </w:r>
      <w:r w:rsidRPr="00E47318">
        <w:rPr>
          <w:rFonts w:ascii="Times New Roman" w:hAnsi="Times New Roman"/>
          <w:sz w:val="28"/>
          <w:szCs w:val="28"/>
        </w:rPr>
        <w:t>Iepirkumu uzraudzības birojs (turpmāk – IUB)</w:t>
      </w:r>
      <w:r w:rsidR="004E7D06">
        <w:rPr>
          <w:rFonts w:ascii="Times New Roman" w:hAnsi="Times New Roman"/>
          <w:sz w:val="28"/>
          <w:szCs w:val="28"/>
        </w:rPr>
        <w:t xml:space="preserve"> - </w:t>
      </w:r>
      <w:r w:rsidRPr="00E47318">
        <w:rPr>
          <w:rFonts w:ascii="Times New Roman" w:hAnsi="Times New Roman"/>
          <w:sz w:val="28"/>
          <w:szCs w:val="28"/>
        </w:rPr>
        <w:t xml:space="preserve"> nav piekritušas </w:t>
      </w:r>
      <w:r w:rsidR="004E7D06">
        <w:rPr>
          <w:rFonts w:ascii="Times New Roman" w:hAnsi="Times New Roman"/>
          <w:sz w:val="28"/>
          <w:szCs w:val="28"/>
        </w:rPr>
        <w:t>konkrētajam</w:t>
      </w:r>
      <w:r w:rsidR="004E7D06" w:rsidRPr="00E47318">
        <w:rPr>
          <w:rFonts w:ascii="Times New Roman" w:hAnsi="Times New Roman"/>
          <w:sz w:val="28"/>
          <w:szCs w:val="28"/>
        </w:rPr>
        <w:t xml:space="preserve"> </w:t>
      </w:r>
      <w:r w:rsidRPr="00E47318">
        <w:rPr>
          <w:rFonts w:ascii="Times New Roman" w:hAnsi="Times New Roman"/>
          <w:sz w:val="28"/>
          <w:szCs w:val="28"/>
        </w:rPr>
        <w:t xml:space="preserve">EK </w:t>
      </w:r>
      <w:r w:rsidR="00BF62A2" w:rsidRPr="00E47318">
        <w:rPr>
          <w:rFonts w:ascii="Times New Roman" w:hAnsi="Times New Roman"/>
          <w:sz w:val="28"/>
          <w:szCs w:val="28"/>
        </w:rPr>
        <w:t>kon</w:t>
      </w:r>
      <w:r w:rsidR="00BF62A2">
        <w:rPr>
          <w:rFonts w:ascii="Times New Roman" w:hAnsi="Times New Roman"/>
          <w:sz w:val="28"/>
          <w:szCs w:val="28"/>
        </w:rPr>
        <w:t>statējumam</w:t>
      </w:r>
      <w:r w:rsidR="00BF62A2" w:rsidRPr="00E47318">
        <w:rPr>
          <w:rFonts w:ascii="Times New Roman" w:hAnsi="Times New Roman"/>
          <w:sz w:val="28"/>
          <w:szCs w:val="28"/>
        </w:rPr>
        <w:t xml:space="preserve"> </w:t>
      </w:r>
      <w:r w:rsidRPr="00E47318">
        <w:rPr>
          <w:rFonts w:ascii="Times New Roman" w:hAnsi="Times New Roman"/>
          <w:sz w:val="28"/>
          <w:szCs w:val="28"/>
        </w:rPr>
        <w:t xml:space="preserve">un sniegušas virkni argumentu, kas atspēko konstatējuma būtību un finanšu korekcijas apmēru. </w:t>
      </w:r>
      <w:r w:rsidR="007A3DAF">
        <w:rPr>
          <w:rFonts w:ascii="Times New Roman" w:hAnsi="Times New Roman"/>
          <w:sz w:val="28"/>
          <w:szCs w:val="28"/>
        </w:rPr>
        <w:t xml:space="preserve">Tāpat iepriekš </w:t>
      </w:r>
      <w:r w:rsidR="00F704B0">
        <w:rPr>
          <w:rFonts w:ascii="Times New Roman" w:hAnsi="Times New Roman"/>
          <w:sz w:val="28"/>
          <w:szCs w:val="28"/>
        </w:rPr>
        <w:t xml:space="preserve"> dažādu </w:t>
      </w:r>
      <w:r w:rsidR="007A3DAF">
        <w:rPr>
          <w:rFonts w:ascii="Times New Roman" w:hAnsi="Times New Roman"/>
          <w:sz w:val="28"/>
          <w:szCs w:val="28"/>
        </w:rPr>
        <w:t xml:space="preserve">pārbaužu un auditu ietvaros, t.sk. iepirkumu </w:t>
      </w:r>
      <w:proofErr w:type="spellStart"/>
      <w:r w:rsidR="007A3DAF">
        <w:rPr>
          <w:rFonts w:ascii="Times New Roman" w:hAnsi="Times New Roman"/>
          <w:sz w:val="28"/>
          <w:szCs w:val="28"/>
        </w:rPr>
        <w:t>pirmspārbaudēs</w:t>
      </w:r>
      <w:proofErr w:type="spellEnd"/>
      <w:r w:rsidR="007A3DAF">
        <w:rPr>
          <w:rFonts w:ascii="Times New Roman" w:hAnsi="Times New Roman"/>
          <w:sz w:val="28"/>
          <w:szCs w:val="28"/>
        </w:rPr>
        <w:t>, Latvijas iestādes nebija konstatējušas EK norādītos pārkāpumus. Latvijas iestāžu izpratnē EK šajos gadījumos kļūdaini un šauri interpretē nolikumos iekļauto normu, neiedziļinoties dokumentācijas kopumā un pēc būtības. Ja arī konkursa dokumentācijas konkrētā redakcija varēja būt veiksmīgāka, mazinot interpretācijas iespējas, tomēr Latvijas iestādes uzskata, ka, lasot dokumentus kopumā, varēja s</w:t>
      </w:r>
      <w:bookmarkStart w:id="5" w:name="_GoBack"/>
      <w:bookmarkEnd w:id="5"/>
      <w:r w:rsidR="007A3DAF">
        <w:rPr>
          <w:rFonts w:ascii="Times New Roman" w:hAnsi="Times New Roman"/>
          <w:sz w:val="28"/>
          <w:szCs w:val="28"/>
        </w:rPr>
        <w:t>kaidri saprast, ka nav notikusi ārvalstu pretendentu diskriminācija vai ierobežošana. EK piemērotais soda mērs nav samērīgs.</w:t>
      </w:r>
    </w:p>
    <w:p w14:paraId="5D7048DE" w14:textId="0CD52F2D" w:rsidR="00941457" w:rsidRPr="00E47318" w:rsidRDefault="00941457" w:rsidP="006E39FA">
      <w:pPr>
        <w:pStyle w:val="ListParagraph"/>
        <w:numPr>
          <w:ilvl w:val="0"/>
          <w:numId w:val="14"/>
        </w:numPr>
        <w:tabs>
          <w:tab w:val="left" w:pos="426"/>
        </w:tabs>
        <w:spacing w:after="120" w:line="240" w:lineRule="auto"/>
        <w:ind w:left="0" w:firstLine="0"/>
        <w:contextualSpacing w:val="0"/>
        <w:jc w:val="both"/>
        <w:rPr>
          <w:rFonts w:ascii="Times New Roman" w:hAnsi="Times New Roman"/>
        </w:rPr>
      </w:pPr>
      <w:r w:rsidRPr="00E47318">
        <w:rPr>
          <w:rFonts w:ascii="Times New Roman" w:hAnsi="Times New Roman"/>
          <w:sz w:val="28"/>
          <w:szCs w:val="28"/>
        </w:rPr>
        <w:t>Notikušas vairākas iesaistīto pušu pārrunas</w:t>
      </w:r>
      <w:r w:rsidR="004E7D06">
        <w:rPr>
          <w:rFonts w:ascii="Times New Roman" w:hAnsi="Times New Roman"/>
          <w:sz w:val="28"/>
          <w:szCs w:val="28"/>
        </w:rPr>
        <w:t xml:space="preserve"> ar EK, sniedzot iebildumus un argumentāciju EK auditoriem arī oficiāli audita ziņojuma saskaņošanas ietvaros</w:t>
      </w:r>
      <w:r w:rsidR="00F704B0">
        <w:rPr>
          <w:rFonts w:ascii="Times New Roman" w:hAnsi="Times New Roman"/>
          <w:sz w:val="28"/>
          <w:szCs w:val="28"/>
        </w:rPr>
        <w:t xml:space="preserve">, </w:t>
      </w:r>
      <w:r w:rsidRPr="00E47318">
        <w:rPr>
          <w:rFonts w:ascii="Times New Roman" w:hAnsi="Times New Roman"/>
          <w:sz w:val="28"/>
          <w:szCs w:val="28"/>
        </w:rPr>
        <w:t>k</w:t>
      </w:r>
      <w:r w:rsidR="004E7D06">
        <w:rPr>
          <w:rFonts w:ascii="Times New Roman" w:hAnsi="Times New Roman"/>
          <w:sz w:val="28"/>
          <w:szCs w:val="28"/>
        </w:rPr>
        <w:t xml:space="preserve">ā </w:t>
      </w:r>
      <w:r w:rsidRPr="00E47318">
        <w:rPr>
          <w:rFonts w:ascii="Times New Roman" w:hAnsi="Times New Roman"/>
          <w:sz w:val="28"/>
          <w:szCs w:val="28"/>
        </w:rPr>
        <w:t xml:space="preserve">rezultātā finanšu korekcijas apmērs samazināts no 25% līdz 10%. </w:t>
      </w:r>
      <w:r w:rsidR="004E7D06">
        <w:rPr>
          <w:rFonts w:ascii="Times New Roman" w:hAnsi="Times New Roman"/>
          <w:sz w:val="28"/>
          <w:szCs w:val="28"/>
        </w:rPr>
        <w:t xml:space="preserve">Tā kā </w:t>
      </w:r>
      <w:r w:rsidRPr="00E47318">
        <w:rPr>
          <w:rFonts w:ascii="Times New Roman" w:hAnsi="Times New Roman"/>
          <w:sz w:val="28"/>
          <w:szCs w:val="28"/>
        </w:rPr>
        <w:t>Latvijas pusei arī 10% korekcija n</w:t>
      </w:r>
      <w:r w:rsidR="004E7D06">
        <w:rPr>
          <w:rFonts w:ascii="Times New Roman" w:hAnsi="Times New Roman"/>
          <w:sz w:val="28"/>
          <w:szCs w:val="28"/>
        </w:rPr>
        <w:t>ebija</w:t>
      </w:r>
      <w:r w:rsidRPr="00E47318">
        <w:rPr>
          <w:rFonts w:ascii="Times New Roman" w:hAnsi="Times New Roman"/>
          <w:sz w:val="28"/>
          <w:szCs w:val="28"/>
        </w:rPr>
        <w:t xml:space="preserve"> uzskatāma par atbilstošu, tādēļ </w:t>
      </w:r>
      <w:r w:rsidR="004E7D06">
        <w:rPr>
          <w:rFonts w:ascii="Times New Roman" w:hAnsi="Times New Roman"/>
          <w:sz w:val="28"/>
          <w:szCs w:val="28"/>
        </w:rPr>
        <w:t>iepriekš minētās Latvijas iestādes izmantoja iespēju EK atkārtoti klātienē pa</w:t>
      </w:r>
      <w:r w:rsidR="000874A1">
        <w:rPr>
          <w:rFonts w:ascii="Times New Roman" w:hAnsi="Times New Roman"/>
          <w:sz w:val="28"/>
          <w:szCs w:val="28"/>
        </w:rPr>
        <w:t>u</w:t>
      </w:r>
      <w:r w:rsidR="004E7D06">
        <w:rPr>
          <w:rFonts w:ascii="Times New Roman" w:hAnsi="Times New Roman"/>
          <w:sz w:val="28"/>
          <w:szCs w:val="28"/>
        </w:rPr>
        <w:t xml:space="preserve">st Latvijas pozīciju </w:t>
      </w:r>
      <w:r w:rsidR="004E7D06" w:rsidRPr="00E47318">
        <w:rPr>
          <w:rFonts w:ascii="Times New Roman" w:hAnsi="Times New Roman"/>
          <w:sz w:val="28"/>
          <w:szCs w:val="28"/>
        </w:rPr>
        <w:t>noklausīšanās sanāksm</w:t>
      </w:r>
      <w:r w:rsidR="004E7D06">
        <w:rPr>
          <w:rFonts w:ascii="Times New Roman" w:hAnsi="Times New Roman"/>
          <w:sz w:val="28"/>
          <w:szCs w:val="28"/>
        </w:rPr>
        <w:t>ē</w:t>
      </w:r>
      <w:r w:rsidR="004E7D06" w:rsidRPr="00E47318">
        <w:rPr>
          <w:rFonts w:ascii="Times New Roman" w:hAnsi="Times New Roman"/>
          <w:sz w:val="28"/>
          <w:szCs w:val="28"/>
        </w:rPr>
        <w:t xml:space="preserve"> Briselē</w:t>
      </w:r>
      <w:r w:rsidR="004E7D06">
        <w:rPr>
          <w:rFonts w:ascii="Times New Roman" w:hAnsi="Times New Roman"/>
          <w:sz w:val="28"/>
          <w:szCs w:val="28"/>
        </w:rPr>
        <w:t xml:space="preserve"> </w:t>
      </w:r>
      <w:r w:rsidRPr="00E47318">
        <w:rPr>
          <w:rFonts w:ascii="Times New Roman" w:hAnsi="Times New Roman"/>
          <w:sz w:val="28"/>
          <w:szCs w:val="28"/>
        </w:rPr>
        <w:t>2016.gada 24.oktobrī</w:t>
      </w:r>
      <w:r w:rsidR="00F704B0">
        <w:rPr>
          <w:rFonts w:ascii="Times New Roman" w:hAnsi="Times New Roman"/>
          <w:sz w:val="28"/>
          <w:szCs w:val="28"/>
        </w:rPr>
        <w:t>.</w:t>
      </w:r>
      <w:r w:rsidRPr="00E47318">
        <w:rPr>
          <w:rFonts w:ascii="Times New Roman" w:hAnsi="Times New Roman"/>
          <w:sz w:val="28"/>
          <w:szCs w:val="28"/>
        </w:rPr>
        <w:t xml:space="preserve"> </w:t>
      </w:r>
      <w:r w:rsidR="004E7D06">
        <w:rPr>
          <w:rFonts w:ascii="Times New Roman" w:hAnsi="Times New Roman"/>
          <w:sz w:val="28"/>
          <w:szCs w:val="28"/>
        </w:rPr>
        <w:t>N</w:t>
      </w:r>
      <w:r w:rsidRPr="00E47318">
        <w:rPr>
          <w:rFonts w:ascii="Times New Roman" w:hAnsi="Times New Roman"/>
          <w:sz w:val="28"/>
          <w:szCs w:val="28"/>
        </w:rPr>
        <w:t xml:space="preserve">eskatoties uz Latvijas puses sniegtajiem argumentiem, </w:t>
      </w:r>
      <w:r w:rsidR="004E7D06">
        <w:rPr>
          <w:rFonts w:ascii="Times New Roman" w:hAnsi="Times New Roman"/>
          <w:sz w:val="28"/>
          <w:szCs w:val="28"/>
        </w:rPr>
        <w:t xml:space="preserve">gan atkārtotiem, gan jauniem faktiem, kas varētu pamatot pārkāpuma neesamību, </w:t>
      </w:r>
      <w:r w:rsidRPr="00E47318">
        <w:rPr>
          <w:rFonts w:ascii="Times New Roman" w:hAnsi="Times New Roman"/>
          <w:sz w:val="28"/>
          <w:szCs w:val="28"/>
        </w:rPr>
        <w:t>tomēr neizdevās pārliecināt EK, lai tā nepiemērotu neatbilstību vai samazinātu  korekcijas apjomu.</w:t>
      </w:r>
    </w:p>
    <w:p w14:paraId="37A857B9" w14:textId="015591D3" w:rsidR="00941457" w:rsidRPr="00E47318" w:rsidRDefault="00941457" w:rsidP="006E39FA">
      <w:pPr>
        <w:pStyle w:val="ListParagraph"/>
        <w:numPr>
          <w:ilvl w:val="0"/>
          <w:numId w:val="14"/>
        </w:numPr>
        <w:tabs>
          <w:tab w:val="left" w:pos="426"/>
        </w:tabs>
        <w:spacing w:after="120" w:line="240" w:lineRule="auto"/>
        <w:ind w:left="0" w:firstLine="0"/>
        <w:contextualSpacing w:val="0"/>
        <w:jc w:val="both"/>
        <w:rPr>
          <w:rFonts w:ascii="Times New Roman" w:hAnsi="Times New Roman"/>
        </w:rPr>
      </w:pPr>
      <w:r w:rsidRPr="00E47318">
        <w:rPr>
          <w:rFonts w:ascii="Times New Roman" w:hAnsi="Times New Roman"/>
          <w:sz w:val="28"/>
          <w:szCs w:val="28"/>
        </w:rPr>
        <w:t xml:space="preserve">Noklausīšanas sanāksmē EK </w:t>
      </w:r>
      <w:r w:rsidR="004E7D06">
        <w:rPr>
          <w:rFonts w:ascii="Times New Roman" w:hAnsi="Times New Roman"/>
          <w:sz w:val="28"/>
          <w:szCs w:val="28"/>
        </w:rPr>
        <w:t>vērsa uzmanību</w:t>
      </w:r>
      <w:r w:rsidRPr="00E47318">
        <w:rPr>
          <w:rFonts w:ascii="Times New Roman" w:hAnsi="Times New Roman"/>
          <w:sz w:val="28"/>
          <w:szCs w:val="28"/>
        </w:rPr>
        <w:t xml:space="preserve">, ka gadījumā, ja Latvija nepiekritīs neatbilstības konstatējumam un noteiktajam korekcijas apmēram līdz slēgšanas dokumentu </w:t>
      </w:r>
      <w:r w:rsidR="00927134" w:rsidRPr="00E47318">
        <w:rPr>
          <w:rFonts w:ascii="Times New Roman" w:hAnsi="Times New Roman"/>
          <w:sz w:val="28"/>
          <w:szCs w:val="28"/>
        </w:rPr>
        <w:t>iesniegšana</w:t>
      </w:r>
      <w:r w:rsidR="00927134">
        <w:rPr>
          <w:rFonts w:ascii="Times New Roman" w:hAnsi="Times New Roman"/>
          <w:sz w:val="28"/>
          <w:szCs w:val="28"/>
        </w:rPr>
        <w:t>i</w:t>
      </w:r>
      <w:r w:rsidR="00927134" w:rsidRPr="00E47318">
        <w:rPr>
          <w:rFonts w:ascii="Times New Roman" w:hAnsi="Times New Roman"/>
          <w:sz w:val="28"/>
          <w:szCs w:val="28"/>
        </w:rPr>
        <w:t xml:space="preserve"> </w:t>
      </w:r>
      <w:r w:rsidRPr="00E47318">
        <w:rPr>
          <w:rFonts w:ascii="Times New Roman" w:hAnsi="Times New Roman"/>
          <w:sz w:val="28"/>
          <w:szCs w:val="28"/>
        </w:rPr>
        <w:t xml:space="preserve">(līdz 2017.gada 31.martam), tad neatbilstoši veiktās izmaksas nebūs iespējams aizstāt ar </w:t>
      </w:r>
      <w:proofErr w:type="spellStart"/>
      <w:r w:rsidRPr="00E47318">
        <w:rPr>
          <w:rFonts w:ascii="Times New Roman" w:hAnsi="Times New Roman"/>
          <w:sz w:val="28"/>
          <w:szCs w:val="28"/>
        </w:rPr>
        <w:t>virssaistību</w:t>
      </w:r>
      <w:proofErr w:type="spellEnd"/>
      <w:r w:rsidRPr="00E47318">
        <w:rPr>
          <w:rFonts w:ascii="Times New Roman" w:hAnsi="Times New Roman"/>
          <w:sz w:val="28"/>
          <w:szCs w:val="28"/>
        </w:rPr>
        <w:t xml:space="preserve"> finansējumu un </w:t>
      </w:r>
      <w:r w:rsidRPr="00E47318">
        <w:rPr>
          <w:rFonts w:ascii="Times New Roman" w:hAnsi="Times New Roman"/>
          <w:sz w:val="28"/>
          <w:szCs w:val="28"/>
        </w:rPr>
        <w:lastRenderedPageBreak/>
        <w:t xml:space="preserve">neatbilstība veidos </w:t>
      </w:r>
      <w:r w:rsidR="005812C1" w:rsidRPr="007B2BD5">
        <w:rPr>
          <w:rFonts w:ascii="Times New Roman" w:hAnsi="Times New Roman"/>
          <w:i/>
          <w:sz w:val="28"/>
          <w:szCs w:val="28"/>
        </w:rPr>
        <w:t xml:space="preserve">neto </w:t>
      </w:r>
      <w:r w:rsidRPr="00E47318">
        <w:rPr>
          <w:rFonts w:ascii="Times New Roman" w:hAnsi="Times New Roman"/>
          <w:sz w:val="28"/>
          <w:szCs w:val="28"/>
        </w:rPr>
        <w:t>zaudējumus Latvijai</w:t>
      </w:r>
      <w:r w:rsidR="004E7D06">
        <w:rPr>
          <w:rFonts w:ascii="Times New Roman" w:hAnsi="Times New Roman"/>
          <w:sz w:val="28"/>
          <w:szCs w:val="28"/>
        </w:rPr>
        <w:t xml:space="preserve"> </w:t>
      </w:r>
      <w:r w:rsidR="004E7D06" w:rsidRPr="00E47318">
        <w:rPr>
          <w:rFonts w:ascii="Times New Roman" w:hAnsi="Times New Roman"/>
          <w:sz w:val="28"/>
          <w:szCs w:val="28"/>
        </w:rPr>
        <w:t>gadījumā, ja pēc lietas papildu izskatīšanas EK gala lēmums paliks nemainīgs</w:t>
      </w:r>
      <w:r w:rsidRPr="00E47318">
        <w:rPr>
          <w:rFonts w:ascii="Times New Roman" w:hAnsi="Times New Roman"/>
          <w:sz w:val="28"/>
          <w:szCs w:val="28"/>
        </w:rPr>
        <w:t>.</w:t>
      </w:r>
      <w:r w:rsidR="007A3DAF">
        <w:rPr>
          <w:rFonts w:ascii="Times New Roman" w:hAnsi="Times New Roman"/>
          <w:sz w:val="28"/>
          <w:szCs w:val="28"/>
        </w:rPr>
        <w:t xml:space="preserve"> EK uzsvēra, ka maz ticams, ka lēmums varētu mainīties par labu konkrētiem BKUS projektiem.</w:t>
      </w:r>
    </w:p>
    <w:p w14:paraId="608450DF" w14:textId="48C62AFC" w:rsidR="00941457" w:rsidRPr="00F704B0" w:rsidRDefault="00941457" w:rsidP="007B2BD5">
      <w:pPr>
        <w:pStyle w:val="ListParagraph"/>
        <w:numPr>
          <w:ilvl w:val="0"/>
          <w:numId w:val="14"/>
        </w:numPr>
        <w:tabs>
          <w:tab w:val="left" w:pos="426"/>
        </w:tabs>
        <w:spacing w:after="120" w:line="240" w:lineRule="auto"/>
        <w:ind w:left="0" w:firstLine="0"/>
        <w:contextualSpacing w:val="0"/>
        <w:jc w:val="both"/>
        <w:rPr>
          <w:rFonts w:ascii="Times New Roman" w:hAnsi="Times New Roman"/>
        </w:rPr>
      </w:pPr>
      <w:r w:rsidRPr="00E47318">
        <w:rPr>
          <w:rFonts w:ascii="Times New Roman" w:hAnsi="Times New Roman"/>
          <w:sz w:val="28"/>
          <w:szCs w:val="28"/>
        </w:rPr>
        <w:t>Ņemot vērā iepriekš minēto un</w:t>
      </w:r>
      <w:r w:rsidR="004E7D06">
        <w:rPr>
          <w:rFonts w:ascii="Times New Roman" w:hAnsi="Times New Roman"/>
          <w:sz w:val="28"/>
          <w:szCs w:val="28"/>
        </w:rPr>
        <w:t>,</w:t>
      </w:r>
      <w:r w:rsidRPr="00E47318">
        <w:rPr>
          <w:rFonts w:ascii="Times New Roman" w:hAnsi="Times New Roman"/>
          <w:sz w:val="28"/>
          <w:szCs w:val="28"/>
        </w:rPr>
        <w:t xml:space="preserve"> </w:t>
      </w:r>
      <w:r w:rsidR="004E7D06">
        <w:rPr>
          <w:rFonts w:ascii="Times New Roman" w:hAnsi="Times New Roman"/>
          <w:sz w:val="28"/>
          <w:szCs w:val="28"/>
        </w:rPr>
        <w:t>tā kā Latvija ir deklarējusi EK</w:t>
      </w:r>
      <w:r w:rsidR="004E7D06" w:rsidRPr="00E47318">
        <w:rPr>
          <w:rFonts w:ascii="Times New Roman" w:hAnsi="Times New Roman"/>
          <w:sz w:val="28"/>
          <w:szCs w:val="28"/>
        </w:rPr>
        <w:t xml:space="preserve"> </w:t>
      </w:r>
      <w:r w:rsidR="004E7D06">
        <w:rPr>
          <w:rFonts w:ascii="Times New Roman" w:hAnsi="Times New Roman"/>
          <w:sz w:val="28"/>
          <w:szCs w:val="28"/>
        </w:rPr>
        <w:t>papildus izdevumus virs minimāli nepieciešamā (</w:t>
      </w:r>
      <w:proofErr w:type="spellStart"/>
      <w:r w:rsidRPr="00E47318">
        <w:rPr>
          <w:rFonts w:ascii="Times New Roman" w:hAnsi="Times New Roman"/>
          <w:sz w:val="28"/>
          <w:szCs w:val="28"/>
        </w:rPr>
        <w:t>virssaistīb</w:t>
      </w:r>
      <w:r w:rsidR="004E7D06">
        <w:rPr>
          <w:rFonts w:ascii="Times New Roman" w:hAnsi="Times New Roman"/>
          <w:sz w:val="28"/>
          <w:szCs w:val="28"/>
        </w:rPr>
        <w:t>as</w:t>
      </w:r>
      <w:proofErr w:type="spellEnd"/>
      <w:r w:rsidR="004E7D06">
        <w:rPr>
          <w:rFonts w:ascii="Times New Roman" w:hAnsi="Times New Roman"/>
          <w:sz w:val="28"/>
          <w:szCs w:val="28"/>
        </w:rPr>
        <w:t xml:space="preserve">) </w:t>
      </w:r>
      <w:r w:rsidRPr="00E47318">
        <w:rPr>
          <w:rFonts w:ascii="Times New Roman" w:hAnsi="Times New Roman"/>
          <w:sz w:val="28"/>
          <w:szCs w:val="28"/>
        </w:rPr>
        <w:t xml:space="preserve">, </w:t>
      </w:r>
      <w:r w:rsidR="007A3DAF">
        <w:rPr>
          <w:rFonts w:ascii="Times New Roman" w:hAnsi="Times New Roman"/>
          <w:sz w:val="28"/>
          <w:szCs w:val="28"/>
        </w:rPr>
        <w:t xml:space="preserve">secināms, ka, </w:t>
      </w:r>
      <w:r w:rsidRPr="00E47318">
        <w:rPr>
          <w:rFonts w:ascii="Times New Roman" w:hAnsi="Times New Roman"/>
          <w:sz w:val="28"/>
          <w:szCs w:val="28"/>
        </w:rPr>
        <w:t xml:space="preserve">lai neveidotu neto zaudējumus, </w:t>
      </w:r>
      <w:r w:rsidR="007A3DAF">
        <w:rPr>
          <w:rFonts w:ascii="Times New Roman" w:hAnsi="Times New Roman"/>
          <w:sz w:val="28"/>
          <w:szCs w:val="28"/>
        </w:rPr>
        <w:t>Latvijas interesēs</w:t>
      </w:r>
      <w:r w:rsidR="007A3DAF" w:rsidRPr="00E47318" w:rsidDel="007A3DAF">
        <w:rPr>
          <w:rFonts w:ascii="Times New Roman" w:hAnsi="Times New Roman"/>
          <w:sz w:val="28"/>
          <w:szCs w:val="28"/>
        </w:rPr>
        <w:t xml:space="preserve"> </w:t>
      </w:r>
      <w:r w:rsidR="007A3DAF">
        <w:rPr>
          <w:rFonts w:ascii="Times New Roman" w:hAnsi="Times New Roman"/>
          <w:sz w:val="28"/>
          <w:szCs w:val="28"/>
        </w:rPr>
        <w:t xml:space="preserve">būtu formāli </w:t>
      </w:r>
      <w:r w:rsidRPr="00E47318">
        <w:rPr>
          <w:rFonts w:ascii="Times New Roman" w:hAnsi="Times New Roman"/>
          <w:sz w:val="28"/>
          <w:szCs w:val="28"/>
        </w:rPr>
        <w:t xml:space="preserve">piekrist EK konstatētai neatbilstībai un noteiktajai finanšu korekcijai 10% apmērā, noslēguma deklarācijā aizstājot neatbilstošo finansējumu ar </w:t>
      </w:r>
      <w:proofErr w:type="spellStart"/>
      <w:r w:rsidRPr="00E47318">
        <w:rPr>
          <w:rFonts w:ascii="Times New Roman" w:hAnsi="Times New Roman"/>
          <w:sz w:val="28"/>
          <w:szCs w:val="28"/>
        </w:rPr>
        <w:t>virssaistību</w:t>
      </w:r>
      <w:proofErr w:type="spellEnd"/>
      <w:r w:rsidRPr="00E47318">
        <w:rPr>
          <w:rFonts w:ascii="Times New Roman" w:hAnsi="Times New Roman"/>
          <w:sz w:val="28"/>
          <w:szCs w:val="28"/>
        </w:rPr>
        <w:t xml:space="preserve"> finansējumu.</w:t>
      </w:r>
      <w:r w:rsidR="007A3DAF">
        <w:rPr>
          <w:rFonts w:ascii="Times New Roman" w:hAnsi="Times New Roman"/>
          <w:sz w:val="28"/>
          <w:szCs w:val="28"/>
        </w:rPr>
        <w:t xml:space="preserve"> </w:t>
      </w:r>
    </w:p>
    <w:p w14:paraId="4F1F52AD" w14:textId="00A80B6C" w:rsidR="00941457" w:rsidRPr="00E47318" w:rsidRDefault="00941457" w:rsidP="006E39FA">
      <w:pPr>
        <w:pStyle w:val="ListParagraph"/>
        <w:numPr>
          <w:ilvl w:val="0"/>
          <w:numId w:val="14"/>
        </w:numPr>
        <w:tabs>
          <w:tab w:val="left" w:pos="426"/>
        </w:tabs>
        <w:spacing w:after="120" w:line="240" w:lineRule="auto"/>
        <w:ind w:left="0" w:firstLine="0"/>
        <w:contextualSpacing w:val="0"/>
        <w:jc w:val="both"/>
        <w:rPr>
          <w:rFonts w:ascii="Times New Roman" w:hAnsi="Times New Roman"/>
        </w:rPr>
      </w:pPr>
      <w:r w:rsidRPr="00E47318">
        <w:rPr>
          <w:rFonts w:ascii="Times New Roman" w:hAnsi="Times New Roman"/>
          <w:sz w:val="28"/>
          <w:szCs w:val="28"/>
        </w:rPr>
        <w:t xml:space="preserve">Ņemot vērā, ka turpmākās pārrunas par neatbilstību un finanšu korekcijas apmēru ierosināts neturpināt, lai neveidotu </w:t>
      </w:r>
      <w:r w:rsidRPr="00F704B0">
        <w:rPr>
          <w:rFonts w:ascii="Times New Roman" w:hAnsi="Times New Roman"/>
          <w:i/>
          <w:sz w:val="28"/>
          <w:szCs w:val="28"/>
        </w:rPr>
        <w:t>neto</w:t>
      </w:r>
      <w:r w:rsidRPr="00E47318">
        <w:rPr>
          <w:rFonts w:ascii="Times New Roman" w:hAnsi="Times New Roman"/>
          <w:sz w:val="28"/>
          <w:szCs w:val="28"/>
        </w:rPr>
        <w:t xml:space="preserve"> zaudējumus Latvijai, un</w:t>
      </w:r>
      <w:r w:rsidR="003C4063">
        <w:rPr>
          <w:rFonts w:ascii="Times New Roman" w:hAnsi="Times New Roman"/>
          <w:sz w:val="28"/>
          <w:szCs w:val="28"/>
        </w:rPr>
        <w:t>,</w:t>
      </w:r>
      <w:r w:rsidRPr="00E47318">
        <w:rPr>
          <w:rFonts w:ascii="Times New Roman" w:hAnsi="Times New Roman"/>
          <w:sz w:val="28"/>
          <w:szCs w:val="28"/>
        </w:rPr>
        <w:t xml:space="preserve"> ievērojot BKUS sniegto argumentāciju, VM ierosina uzskatīt par atgūtiem BKUS projektos minētos neatbilstoši veiktus izdevumus kopumā  357 313,57 </w:t>
      </w:r>
      <w:proofErr w:type="spellStart"/>
      <w:r w:rsidR="00F704B0">
        <w:rPr>
          <w:rFonts w:ascii="Times New Roman" w:hAnsi="Times New Roman"/>
          <w:i/>
          <w:iCs/>
          <w:sz w:val="28"/>
          <w:szCs w:val="28"/>
        </w:rPr>
        <w:t>euro</w:t>
      </w:r>
      <w:proofErr w:type="spellEnd"/>
      <w:r w:rsidRPr="00E47318">
        <w:rPr>
          <w:rFonts w:ascii="Times New Roman" w:hAnsi="Times New Roman"/>
          <w:sz w:val="28"/>
          <w:szCs w:val="28"/>
        </w:rPr>
        <w:t xml:space="preserve"> apmērā un nepiedzīt tos no finansējuma saņēmēja.</w:t>
      </w:r>
    </w:p>
    <w:p w14:paraId="7FB3A49D" w14:textId="77777777" w:rsidR="00941457" w:rsidRPr="00E47318" w:rsidRDefault="00941457" w:rsidP="00941457">
      <w:pPr>
        <w:rPr>
          <w:rFonts w:ascii="Times New Roman" w:hAnsi="Times New Roman"/>
        </w:rPr>
      </w:pPr>
    </w:p>
    <w:p w14:paraId="29BF1F36" w14:textId="77777777" w:rsidR="00941457" w:rsidRPr="00E47318" w:rsidRDefault="00941457" w:rsidP="00941457">
      <w:pPr>
        <w:pStyle w:val="Heading1"/>
        <w:widowControl w:val="0"/>
        <w:spacing w:after="120"/>
        <w:ind w:firstLine="0"/>
        <w:jc w:val="center"/>
        <w:rPr>
          <w:iCs/>
          <w:caps/>
          <w:noProof/>
          <w:sz w:val="32"/>
        </w:rPr>
      </w:pPr>
      <w:r w:rsidRPr="00E47318">
        <w:rPr>
          <w:iCs/>
          <w:caps/>
          <w:noProof/>
          <w:sz w:val="32"/>
        </w:rPr>
        <w:t>Situācijas apraksts</w:t>
      </w:r>
    </w:p>
    <w:p w14:paraId="241D1DFB" w14:textId="77777777" w:rsidR="00941457" w:rsidRPr="00E47318" w:rsidRDefault="00941457" w:rsidP="00941457">
      <w:pPr>
        <w:rPr>
          <w:rFonts w:ascii="Times New Roman" w:hAnsi="Times New Roman"/>
        </w:rPr>
      </w:pPr>
    </w:p>
    <w:p w14:paraId="0C13E4FA" w14:textId="77777777" w:rsidR="00941457" w:rsidRPr="00E47318" w:rsidRDefault="00941457" w:rsidP="00941457">
      <w:pPr>
        <w:pStyle w:val="Heading1"/>
        <w:widowControl w:val="0"/>
        <w:numPr>
          <w:ilvl w:val="0"/>
          <w:numId w:val="15"/>
        </w:numPr>
        <w:spacing w:after="120"/>
        <w:ind w:left="284" w:hanging="284"/>
        <w:jc w:val="center"/>
        <w:rPr>
          <w:iCs/>
          <w:noProof/>
        </w:rPr>
      </w:pPr>
      <w:r w:rsidRPr="00E47318">
        <w:rPr>
          <w:iCs/>
          <w:noProof/>
        </w:rPr>
        <w:t>Projektu apraksts</w:t>
      </w:r>
    </w:p>
    <w:p w14:paraId="72440689" w14:textId="77777777" w:rsidR="00941457" w:rsidRPr="00E47318" w:rsidRDefault="00941457" w:rsidP="00941457">
      <w:pPr>
        <w:rPr>
          <w:rFonts w:ascii="Times New Roman" w:hAnsi="Times New Roman"/>
        </w:rPr>
      </w:pPr>
    </w:p>
    <w:p w14:paraId="36BBAD0E" w14:textId="77777777" w:rsidR="00941457" w:rsidRPr="00E47318" w:rsidRDefault="00941457" w:rsidP="006E39FA">
      <w:pPr>
        <w:pStyle w:val="ListParagraph"/>
        <w:numPr>
          <w:ilvl w:val="0"/>
          <w:numId w:val="14"/>
        </w:numPr>
        <w:tabs>
          <w:tab w:val="left" w:pos="426"/>
        </w:tabs>
        <w:spacing w:after="120" w:line="240" w:lineRule="auto"/>
        <w:ind w:left="0" w:firstLine="0"/>
        <w:contextualSpacing w:val="0"/>
        <w:jc w:val="both"/>
        <w:rPr>
          <w:rFonts w:ascii="Times New Roman" w:hAnsi="Times New Roman"/>
          <w:b/>
        </w:rPr>
      </w:pPr>
      <w:r w:rsidRPr="00E47318">
        <w:rPr>
          <w:rFonts w:ascii="Times New Roman" w:hAnsi="Times New Roman"/>
          <w:sz w:val="28"/>
          <w:szCs w:val="28"/>
        </w:rPr>
        <w:t>BKUS ES fondu 2007.-2013.gada plānošanas periodā īstenoja divus projektus:</w:t>
      </w:r>
    </w:p>
    <w:p w14:paraId="58EAD284" w14:textId="77777777" w:rsidR="00941457" w:rsidRPr="00E47318" w:rsidRDefault="00941457" w:rsidP="006E39FA">
      <w:pPr>
        <w:pStyle w:val="ListParagraph"/>
        <w:numPr>
          <w:ilvl w:val="1"/>
          <w:numId w:val="14"/>
        </w:numPr>
        <w:tabs>
          <w:tab w:val="left" w:pos="1134"/>
        </w:tabs>
        <w:spacing w:after="120" w:line="240" w:lineRule="auto"/>
        <w:ind w:left="426" w:firstLine="0"/>
        <w:contextualSpacing w:val="0"/>
        <w:jc w:val="both"/>
        <w:rPr>
          <w:rFonts w:ascii="Times New Roman" w:hAnsi="Times New Roman"/>
          <w:b/>
        </w:rPr>
      </w:pPr>
      <w:r w:rsidRPr="00E47318">
        <w:rPr>
          <w:rFonts w:ascii="Times New Roman" w:hAnsi="Times New Roman"/>
          <w:sz w:val="28"/>
          <w:szCs w:val="28"/>
        </w:rPr>
        <w:t>Nr. 3DP/3.1.5.3.1/09/IPIA/VSMTVA/006 „Stacionārās veselības aprūpes infrastruktūras attīstība VSIA „Bērnu klīniskā universitātes slimnīca””  (turpmāk – 2009.gada projekts). Projekta ietvaros tika veikta jaunas ēkas būvniecība, esošo ēku ārējā rekonstrukcija un iekšēja renovācija, kā arī  tehnoloģiju piegāde un montāža.</w:t>
      </w:r>
    </w:p>
    <w:tbl>
      <w:tblPr>
        <w:tblW w:w="8714" w:type="dxa"/>
        <w:tblInd w:w="534" w:type="dxa"/>
        <w:tblBorders>
          <w:insideH w:val="single" w:sz="4" w:space="0" w:color="auto"/>
          <w:insideV w:val="single" w:sz="4" w:space="0" w:color="auto"/>
        </w:tblBorders>
        <w:tblLook w:val="04A0" w:firstRow="1" w:lastRow="0" w:firstColumn="1" w:lastColumn="0" w:noHBand="0" w:noVBand="1"/>
      </w:tblPr>
      <w:tblGrid>
        <w:gridCol w:w="5670"/>
        <w:gridCol w:w="1694"/>
        <w:gridCol w:w="1336"/>
        <w:gridCol w:w="14"/>
      </w:tblGrid>
      <w:tr w:rsidR="00941457" w:rsidRPr="00E47318" w14:paraId="54A6F112" w14:textId="77777777" w:rsidTr="00E47318">
        <w:trPr>
          <w:trHeight w:val="300"/>
        </w:trPr>
        <w:tc>
          <w:tcPr>
            <w:tcW w:w="8714" w:type="dxa"/>
            <w:gridSpan w:val="4"/>
            <w:shd w:val="clear" w:color="auto" w:fill="auto"/>
            <w:noWrap/>
            <w:vAlign w:val="bottom"/>
            <w:hideMark/>
          </w:tcPr>
          <w:p w14:paraId="439B0964" w14:textId="77777777" w:rsidR="00941457" w:rsidRDefault="00941457" w:rsidP="00E47318">
            <w:pPr>
              <w:spacing w:after="0" w:line="240" w:lineRule="auto"/>
              <w:jc w:val="center"/>
              <w:rPr>
                <w:rFonts w:ascii="Times New Roman" w:eastAsia="Times New Roman" w:hAnsi="Times New Roman"/>
                <w:b/>
                <w:color w:val="000000"/>
                <w:sz w:val="28"/>
                <w:szCs w:val="28"/>
                <w:lang w:eastAsia="lv-LV"/>
              </w:rPr>
            </w:pPr>
            <w:r w:rsidRPr="00E47318">
              <w:rPr>
                <w:rFonts w:ascii="Times New Roman" w:eastAsia="Times New Roman" w:hAnsi="Times New Roman"/>
                <w:b/>
                <w:color w:val="000000"/>
                <w:sz w:val="28"/>
                <w:szCs w:val="28"/>
                <w:lang w:eastAsia="lv-LV"/>
              </w:rPr>
              <w:t>2009.gada projekta būvniecības līguma Nr. BKUS 2011/43 ERAF-2, uz kuru attiecās iespējamā neatbilstība,</w:t>
            </w:r>
            <w:r w:rsidRPr="00E47318">
              <w:rPr>
                <w:rFonts w:ascii="Times New Roman" w:eastAsia="Times New Roman" w:hAnsi="Times New Roman"/>
                <w:b/>
                <w:color w:val="000000"/>
                <w:lang w:eastAsia="lv-LV"/>
              </w:rPr>
              <w:t xml:space="preserve"> </w:t>
            </w:r>
            <w:r w:rsidRPr="00E47318">
              <w:rPr>
                <w:rFonts w:ascii="Times New Roman" w:eastAsia="Times New Roman" w:hAnsi="Times New Roman"/>
                <w:b/>
                <w:color w:val="000000"/>
                <w:sz w:val="28"/>
                <w:szCs w:val="28"/>
                <w:lang w:eastAsia="lv-LV"/>
              </w:rPr>
              <w:t>finanšu dati</w:t>
            </w:r>
          </w:p>
          <w:p w14:paraId="2DC40956" w14:textId="77777777" w:rsidR="00941457" w:rsidRPr="00E47318" w:rsidRDefault="00941457" w:rsidP="00E47318">
            <w:pPr>
              <w:spacing w:after="0" w:line="240" w:lineRule="auto"/>
              <w:jc w:val="center"/>
              <w:rPr>
                <w:rFonts w:ascii="Times New Roman" w:eastAsia="Times New Roman" w:hAnsi="Times New Roman"/>
                <w:color w:val="000000"/>
                <w:lang w:eastAsia="lv-LV"/>
              </w:rPr>
            </w:pPr>
          </w:p>
        </w:tc>
      </w:tr>
      <w:tr w:rsidR="00941457" w:rsidRPr="00E47318" w14:paraId="53047C14" w14:textId="77777777" w:rsidTr="00E47318">
        <w:trPr>
          <w:gridAfter w:val="1"/>
          <w:wAfter w:w="14" w:type="dxa"/>
          <w:trHeight w:val="300"/>
        </w:trPr>
        <w:tc>
          <w:tcPr>
            <w:tcW w:w="5670" w:type="dxa"/>
            <w:shd w:val="clear" w:color="auto" w:fill="auto"/>
            <w:noWrap/>
            <w:vAlign w:val="bottom"/>
            <w:hideMark/>
          </w:tcPr>
          <w:p w14:paraId="237B2EA9" w14:textId="77777777" w:rsidR="00941457" w:rsidRPr="00E47318" w:rsidRDefault="00941457" w:rsidP="00E47318">
            <w:pPr>
              <w:spacing w:after="0" w:line="240" w:lineRule="auto"/>
              <w:rPr>
                <w:rFonts w:ascii="Times New Roman" w:eastAsia="Times New Roman" w:hAnsi="Times New Roman"/>
                <w:color w:val="000000"/>
                <w:sz w:val="28"/>
                <w:szCs w:val="28"/>
                <w:lang w:eastAsia="lv-LV"/>
              </w:rPr>
            </w:pPr>
          </w:p>
        </w:tc>
        <w:tc>
          <w:tcPr>
            <w:tcW w:w="1694" w:type="dxa"/>
            <w:shd w:val="clear" w:color="auto" w:fill="auto"/>
            <w:noWrap/>
            <w:vAlign w:val="bottom"/>
            <w:hideMark/>
          </w:tcPr>
          <w:p w14:paraId="47B9CB2E" w14:textId="77777777" w:rsidR="00941457" w:rsidRPr="00E47318" w:rsidRDefault="00941457" w:rsidP="00E47318">
            <w:pPr>
              <w:spacing w:after="0" w:line="240" w:lineRule="auto"/>
              <w:jc w:val="center"/>
              <w:rPr>
                <w:rFonts w:ascii="Times New Roman" w:eastAsia="Times New Roman" w:hAnsi="Times New Roman"/>
                <w:color w:val="000000"/>
                <w:sz w:val="28"/>
                <w:szCs w:val="28"/>
                <w:lang w:eastAsia="lv-LV"/>
              </w:rPr>
            </w:pPr>
            <w:r w:rsidRPr="00E47318">
              <w:rPr>
                <w:rFonts w:ascii="Times New Roman" w:eastAsia="Times New Roman" w:hAnsi="Times New Roman"/>
                <w:color w:val="000000"/>
                <w:sz w:val="28"/>
                <w:szCs w:val="28"/>
                <w:lang w:eastAsia="lv-LV"/>
              </w:rPr>
              <w:t>EUR</w:t>
            </w:r>
          </w:p>
        </w:tc>
        <w:tc>
          <w:tcPr>
            <w:tcW w:w="1336" w:type="dxa"/>
            <w:shd w:val="clear" w:color="auto" w:fill="auto"/>
            <w:noWrap/>
            <w:vAlign w:val="bottom"/>
            <w:hideMark/>
          </w:tcPr>
          <w:p w14:paraId="3DB48FFC" w14:textId="77777777" w:rsidR="00941457" w:rsidRPr="00E47318" w:rsidRDefault="00941457" w:rsidP="00E47318">
            <w:pPr>
              <w:spacing w:after="0" w:line="240" w:lineRule="auto"/>
              <w:jc w:val="center"/>
              <w:rPr>
                <w:rFonts w:ascii="Times New Roman" w:eastAsia="Times New Roman" w:hAnsi="Times New Roman"/>
                <w:color w:val="000000"/>
                <w:sz w:val="28"/>
                <w:szCs w:val="28"/>
                <w:lang w:eastAsia="lv-LV"/>
              </w:rPr>
            </w:pPr>
            <w:r w:rsidRPr="00E47318">
              <w:rPr>
                <w:rFonts w:ascii="Times New Roman" w:eastAsia="Times New Roman" w:hAnsi="Times New Roman"/>
                <w:color w:val="000000"/>
                <w:sz w:val="28"/>
                <w:szCs w:val="28"/>
                <w:lang w:eastAsia="lv-LV"/>
              </w:rPr>
              <w:t>%</w:t>
            </w:r>
          </w:p>
        </w:tc>
      </w:tr>
      <w:tr w:rsidR="00941457" w:rsidRPr="00E47318" w14:paraId="3EC7C744" w14:textId="77777777" w:rsidTr="00E47318">
        <w:trPr>
          <w:gridAfter w:val="1"/>
          <w:wAfter w:w="14" w:type="dxa"/>
          <w:trHeight w:val="70"/>
        </w:trPr>
        <w:tc>
          <w:tcPr>
            <w:tcW w:w="5670" w:type="dxa"/>
            <w:shd w:val="clear" w:color="auto" w:fill="auto"/>
            <w:vAlign w:val="bottom"/>
            <w:hideMark/>
          </w:tcPr>
          <w:p w14:paraId="6E18FAAE" w14:textId="77777777" w:rsidR="00941457" w:rsidRPr="00E47318" w:rsidRDefault="00941457" w:rsidP="00E47318">
            <w:pPr>
              <w:spacing w:after="0" w:line="240" w:lineRule="auto"/>
              <w:rPr>
                <w:rFonts w:ascii="Times New Roman" w:eastAsia="Times New Roman" w:hAnsi="Times New Roman"/>
                <w:b/>
                <w:bCs/>
                <w:color w:val="000000"/>
                <w:sz w:val="28"/>
                <w:szCs w:val="28"/>
                <w:lang w:eastAsia="lv-LV"/>
              </w:rPr>
            </w:pPr>
            <w:r w:rsidRPr="00E47318">
              <w:rPr>
                <w:rFonts w:ascii="Times New Roman" w:eastAsia="Times New Roman" w:hAnsi="Times New Roman"/>
                <w:b/>
                <w:bCs/>
                <w:sz w:val="28"/>
                <w:szCs w:val="28"/>
                <w:lang w:eastAsia="lv-LV"/>
              </w:rPr>
              <w:t>Līguma kopējās attiecināmās izmaksas tai sk.</w:t>
            </w:r>
          </w:p>
        </w:tc>
        <w:tc>
          <w:tcPr>
            <w:tcW w:w="1694" w:type="dxa"/>
            <w:shd w:val="clear" w:color="auto" w:fill="auto"/>
            <w:vAlign w:val="bottom"/>
            <w:hideMark/>
          </w:tcPr>
          <w:p w14:paraId="4F55E93C" w14:textId="77777777" w:rsidR="00941457" w:rsidRPr="00E47318" w:rsidRDefault="00941457" w:rsidP="00E47318">
            <w:pPr>
              <w:spacing w:after="0" w:line="240" w:lineRule="auto"/>
              <w:jc w:val="right"/>
              <w:rPr>
                <w:rFonts w:ascii="Times New Roman" w:eastAsia="Times New Roman" w:hAnsi="Times New Roman"/>
                <w:b/>
                <w:bCs/>
                <w:sz w:val="28"/>
                <w:szCs w:val="28"/>
                <w:lang w:eastAsia="lv-LV"/>
              </w:rPr>
            </w:pPr>
            <w:r w:rsidRPr="00E47318">
              <w:rPr>
                <w:rFonts w:ascii="Times New Roman" w:eastAsia="Times New Roman" w:hAnsi="Times New Roman"/>
                <w:b/>
                <w:bCs/>
                <w:sz w:val="28"/>
                <w:szCs w:val="28"/>
                <w:lang w:eastAsia="lv-LV"/>
              </w:rPr>
              <w:t>2 510 020,73</w:t>
            </w:r>
          </w:p>
        </w:tc>
        <w:tc>
          <w:tcPr>
            <w:tcW w:w="1336" w:type="dxa"/>
            <w:shd w:val="clear" w:color="auto" w:fill="auto"/>
            <w:noWrap/>
            <w:vAlign w:val="bottom"/>
            <w:hideMark/>
          </w:tcPr>
          <w:p w14:paraId="2DE17EBC" w14:textId="77777777" w:rsidR="00941457" w:rsidRPr="00E47318" w:rsidRDefault="00941457" w:rsidP="00E47318">
            <w:pPr>
              <w:spacing w:after="0" w:line="240" w:lineRule="auto"/>
              <w:jc w:val="center"/>
              <w:rPr>
                <w:rFonts w:ascii="Times New Roman" w:eastAsia="Times New Roman" w:hAnsi="Times New Roman"/>
                <w:b/>
                <w:bCs/>
                <w:sz w:val="28"/>
                <w:szCs w:val="28"/>
                <w:lang w:eastAsia="lv-LV"/>
              </w:rPr>
            </w:pPr>
            <w:r w:rsidRPr="00E47318">
              <w:rPr>
                <w:rFonts w:ascii="Times New Roman" w:eastAsia="Times New Roman" w:hAnsi="Times New Roman"/>
                <w:b/>
                <w:bCs/>
                <w:sz w:val="28"/>
                <w:szCs w:val="28"/>
                <w:lang w:eastAsia="lv-LV"/>
              </w:rPr>
              <w:t>100,00</w:t>
            </w:r>
          </w:p>
        </w:tc>
      </w:tr>
      <w:tr w:rsidR="00941457" w:rsidRPr="00E47318" w14:paraId="739D5D49" w14:textId="77777777" w:rsidTr="00E47318">
        <w:trPr>
          <w:gridAfter w:val="1"/>
          <w:wAfter w:w="14" w:type="dxa"/>
          <w:trHeight w:val="300"/>
        </w:trPr>
        <w:tc>
          <w:tcPr>
            <w:tcW w:w="5670" w:type="dxa"/>
            <w:shd w:val="clear" w:color="auto" w:fill="auto"/>
            <w:noWrap/>
            <w:vAlign w:val="bottom"/>
            <w:hideMark/>
          </w:tcPr>
          <w:p w14:paraId="113454CC" w14:textId="77777777" w:rsidR="00941457" w:rsidRPr="00E47318" w:rsidRDefault="00941457" w:rsidP="00E47318">
            <w:pPr>
              <w:spacing w:after="0" w:line="240" w:lineRule="auto"/>
              <w:jc w:val="right"/>
              <w:rPr>
                <w:rFonts w:ascii="Times New Roman" w:eastAsia="Times New Roman" w:hAnsi="Times New Roman"/>
                <w:sz w:val="28"/>
                <w:szCs w:val="28"/>
                <w:lang w:eastAsia="lv-LV"/>
              </w:rPr>
            </w:pPr>
            <w:r w:rsidRPr="00E47318">
              <w:rPr>
                <w:rFonts w:ascii="Times New Roman" w:eastAsia="Times New Roman" w:hAnsi="Times New Roman"/>
                <w:sz w:val="28"/>
                <w:szCs w:val="28"/>
                <w:lang w:eastAsia="lv-LV"/>
              </w:rPr>
              <w:t>ERAF</w:t>
            </w:r>
          </w:p>
        </w:tc>
        <w:tc>
          <w:tcPr>
            <w:tcW w:w="1694" w:type="dxa"/>
            <w:shd w:val="clear" w:color="auto" w:fill="auto"/>
            <w:noWrap/>
            <w:vAlign w:val="bottom"/>
            <w:hideMark/>
          </w:tcPr>
          <w:p w14:paraId="1FA5C877" w14:textId="77777777" w:rsidR="00941457" w:rsidRPr="00E47318" w:rsidRDefault="00941457" w:rsidP="00E47318">
            <w:pPr>
              <w:spacing w:after="0" w:line="240" w:lineRule="auto"/>
              <w:jc w:val="right"/>
              <w:rPr>
                <w:rFonts w:ascii="Times New Roman" w:eastAsia="Times New Roman" w:hAnsi="Times New Roman"/>
                <w:sz w:val="28"/>
                <w:szCs w:val="28"/>
                <w:lang w:eastAsia="lv-LV"/>
              </w:rPr>
            </w:pPr>
            <w:r w:rsidRPr="00E47318">
              <w:rPr>
                <w:rFonts w:ascii="Times New Roman" w:eastAsia="Times New Roman" w:hAnsi="Times New Roman"/>
                <w:sz w:val="28"/>
                <w:szCs w:val="28"/>
                <w:lang w:eastAsia="lv-LV"/>
              </w:rPr>
              <w:t>2 133 517,62</w:t>
            </w:r>
          </w:p>
        </w:tc>
        <w:tc>
          <w:tcPr>
            <w:tcW w:w="1336" w:type="dxa"/>
            <w:shd w:val="clear" w:color="auto" w:fill="auto"/>
            <w:noWrap/>
            <w:vAlign w:val="bottom"/>
            <w:hideMark/>
          </w:tcPr>
          <w:p w14:paraId="3608331B" w14:textId="77777777" w:rsidR="00941457" w:rsidRPr="00E47318" w:rsidRDefault="00941457" w:rsidP="00E47318">
            <w:pPr>
              <w:spacing w:after="0" w:line="240" w:lineRule="auto"/>
              <w:jc w:val="center"/>
              <w:rPr>
                <w:rFonts w:ascii="Times New Roman" w:eastAsia="Times New Roman" w:hAnsi="Times New Roman"/>
                <w:sz w:val="28"/>
                <w:szCs w:val="28"/>
                <w:lang w:eastAsia="lv-LV"/>
              </w:rPr>
            </w:pPr>
            <w:r w:rsidRPr="00E47318">
              <w:rPr>
                <w:rFonts w:ascii="Times New Roman" w:eastAsia="Times New Roman" w:hAnsi="Times New Roman"/>
                <w:sz w:val="28"/>
                <w:szCs w:val="28"/>
                <w:lang w:eastAsia="lv-LV"/>
              </w:rPr>
              <w:t>85,00</w:t>
            </w:r>
          </w:p>
        </w:tc>
      </w:tr>
      <w:tr w:rsidR="00941457" w:rsidRPr="00E47318" w14:paraId="71CD9F56" w14:textId="77777777" w:rsidTr="00E47318">
        <w:trPr>
          <w:gridAfter w:val="1"/>
          <w:wAfter w:w="14" w:type="dxa"/>
          <w:trHeight w:val="300"/>
        </w:trPr>
        <w:tc>
          <w:tcPr>
            <w:tcW w:w="5670" w:type="dxa"/>
            <w:shd w:val="clear" w:color="auto" w:fill="auto"/>
            <w:noWrap/>
            <w:vAlign w:val="bottom"/>
            <w:hideMark/>
          </w:tcPr>
          <w:p w14:paraId="7710A87C" w14:textId="77777777" w:rsidR="00941457" w:rsidRPr="00E47318" w:rsidRDefault="00941457" w:rsidP="00E47318">
            <w:pPr>
              <w:spacing w:after="0" w:line="240" w:lineRule="auto"/>
              <w:jc w:val="right"/>
              <w:rPr>
                <w:rFonts w:ascii="Times New Roman" w:eastAsia="Times New Roman" w:hAnsi="Times New Roman"/>
                <w:sz w:val="28"/>
                <w:szCs w:val="28"/>
                <w:lang w:eastAsia="lv-LV"/>
              </w:rPr>
            </w:pPr>
            <w:r w:rsidRPr="00E47318">
              <w:rPr>
                <w:rFonts w:ascii="Times New Roman" w:eastAsia="Times New Roman" w:hAnsi="Times New Roman"/>
                <w:sz w:val="28"/>
                <w:szCs w:val="28"/>
                <w:lang w:eastAsia="lv-LV"/>
              </w:rPr>
              <w:t>Valsts budžets</w:t>
            </w:r>
          </w:p>
        </w:tc>
        <w:tc>
          <w:tcPr>
            <w:tcW w:w="1694" w:type="dxa"/>
            <w:shd w:val="clear" w:color="auto" w:fill="auto"/>
            <w:noWrap/>
            <w:vAlign w:val="bottom"/>
            <w:hideMark/>
          </w:tcPr>
          <w:p w14:paraId="551C9DB3" w14:textId="77777777" w:rsidR="00941457" w:rsidRPr="00E47318" w:rsidRDefault="00941457" w:rsidP="00E47318">
            <w:pPr>
              <w:spacing w:after="0" w:line="240" w:lineRule="auto"/>
              <w:jc w:val="right"/>
              <w:rPr>
                <w:rFonts w:ascii="Times New Roman" w:eastAsia="Times New Roman" w:hAnsi="Times New Roman"/>
                <w:sz w:val="28"/>
                <w:szCs w:val="28"/>
                <w:lang w:eastAsia="lv-LV"/>
              </w:rPr>
            </w:pPr>
            <w:r w:rsidRPr="00E47318">
              <w:rPr>
                <w:rFonts w:ascii="Times New Roman" w:eastAsia="Times New Roman" w:hAnsi="Times New Roman"/>
                <w:sz w:val="28"/>
                <w:szCs w:val="28"/>
                <w:lang w:eastAsia="lv-LV"/>
              </w:rPr>
              <w:t>331 573,74</w:t>
            </w:r>
          </w:p>
        </w:tc>
        <w:tc>
          <w:tcPr>
            <w:tcW w:w="1336" w:type="dxa"/>
            <w:shd w:val="clear" w:color="auto" w:fill="auto"/>
            <w:noWrap/>
            <w:vAlign w:val="bottom"/>
            <w:hideMark/>
          </w:tcPr>
          <w:p w14:paraId="45DAB139" w14:textId="77777777" w:rsidR="00941457" w:rsidRPr="00E47318" w:rsidRDefault="00941457" w:rsidP="00E47318">
            <w:pPr>
              <w:spacing w:after="0" w:line="240" w:lineRule="auto"/>
              <w:jc w:val="center"/>
              <w:rPr>
                <w:rFonts w:ascii="Times New Roman" w:eastAsia="Times New Roman" w:hAnsi="Times New Roman"/>
                <w:sz w:val="28"/>
                <w:szCs w:val="28"/>
                <w:lang w:eastAsia="lv-LV"/>
              </w:rPr>
            </w:pPr>
            <w:r w:rsidRPr="00E47318">
              <w:rPr>
                <w:rFonts w:ascii="Times New Roman" w:eastAsia="Times New Roman" w:hAnsi="Times New Roman"/>
                <w:sz w:val="28"/>
                <w:szCs w:val="28"/>
                <w:lang w:eastAsia="lv-LV"/>
              </w:rPr>
              <w:t>13,21</w:t>
            </w:r>
          </w:p>
        </w:tc>
      </w:tr>
      <w:tr w:rsidR="00941457" w:rsidRPr="00E47318" w14:paraId="06CE7118" w14:textId="77777777" w:rsidTr="00E47318">
        <w:trPr>
          <w:gridAfter w:val="1"/>
          <w:wAfter w:w="14" w:type="dxa"/>
          <w:trHeight w:val="300"/>
        </w:trPr>
        <w:tc>
          <w:tcPr>
            <w:tcW w:w="5670" w:type="dxa"/>
            <w:shd w:val="clear" w:color="auto" w:fill="auto"/>
            <w:noWrap/>
            <w:vAlign w:val="bottom"/>
            <w:hideMark/>
          </w:tcPr>
          <w:p w14:paraId="786698F4" w14:textId="77777777" w:rsidR="00941457" w:rsidRPr="00E47318" w:rsidRDefault="00941457" w:rsidP="00E47318">
            <w:pPr>
              <w:spacing w:after="0" w:line="240" w:lineRule="auto"/>
              <w:jc w:val="right"/>
              <w:rPr>
                <w:rFonts w:ascii="Times New Roman" w:eastAsia="Times New Roman" w:hAnsi="Times New Roman"/>
                <w:sz w:val="28"/>
                <w:szCs w:val="28"/>
                <w:lang w:eastAsia="lv-LV"/>
              </w:rPr>
            </w:pPr>
            <w:r w:rsidRPr="00E47318">
              <w:rPr>
                <w:rFonts w:ascii="Times New Roman" w:eastAsia="Times New Roman" w:hAnsi="Times New Roman"/>
                <w:sz w:val="28"/>
                <w:szCs w:val="28"/>
                <w:lang w:eastAsia="lv-LV"/>
              </w:rPr>
              <w:t>Privātais finansējums</w:t>
            </w:r>
          </w:p>
        </w:tc>
        <w:tc>
          <w:tcPr>
            <w:tcW w:w="1694" w:type="dxa"/>
            <w:shd w:val="clear" w:color="auto" w:fill="auto"/>
            <w:noWrap/>
            <w:vAlign w:val="bottom"/>
            <w:hideMark/>
          </w:tcPr>
          <w:p w14:paraId="1306CC71" w14:textId="77777777" w:rsidR="00941457" w:rsidRPr="00E47318" w:rsidRDefault="00941457" w:rsidP="00E47318">
            <w:pPr>
              <w:spacing w:after="0" w:line="240" w:lineRule="auto"/>
              <w:jc w:val="right"/>
              <w:rPr>
                <w:rFonts w:ascii="Times New Roman" w:eastAsia="Times New Roman" w:hAnsi="Times New Roman"/>
                <w:sz w:val="28"/>
                <w:szCs w:val="28"/>
                <w:lang w:eastAsia="lv-LV"/>
              </w:rPr>
            </w:pPr>
            <w:r w:rsidRPr="00E47318">
              <w:rPr>
                <w:rFonts w:ascii="Times New Roman" w:eastAsia="Times New Roman" w:hAnsi="Times New Roman"/>
                <w:sz w:val="28"/>
                <w:szCs w:val="28"/>
                <w:lang w:eastAsia="lv-LV"/>
              </w:rPr>
              <w:t>44 929,37</w:t>
            </w:r>
          </w:p>
        </w:tc>
        <w:tc>
          <w:tcPr>
            <w:tcW w:w="1336" w:type="dxa"/>
            <w:shd w:val="clear" w:color="auto" w:fill="auto"/>
            <w:noWrap/>
            <w:vAlign w:val="bottom"/>
            <w:hideMark/>
          </w:tcPr>
          <w:p w14:paraId="06DDD203" w14:textId="77777777" w:rsidR="00941457" w:rsidRPr="00E47318" w:rsidRDefault="00941457" w:rsidP="00E47318">
            <w:pPr>
              <w:spacing w:after="0" w:line="240" w:lineRule="auto"/>
              <w:jc w:val="center"/>
              <w:rPr>
                <w:rFonts w:ascii="Times New Roman" w:eastAsia="Times New Roman" w:hAnsi="Times New Roman"/>
                <w:sz w:val="28"/>
                <w:szCs w:val="28"/>
                <w:lang w:eastAsia="lv-LV"/>
              </w:rPr>
            </w:pPr>
            <w:r w:rsidRPr="00E47318">
              <w:rPr>
                <w:rFonts w:ascii="Times New Roman" w:eastAsia="Times New Roman" w:hAnsi="Times New Roman"/>
                <w:sz w:val="28"/>
                <w:szCs w:val="28"/>
                <w:lang w:eastAsia="lv-LV"/>
              </w:rPr>
              <w:t>1,79</w:t>
            </w:r>
          </w:p>
        </w:tc>
      </w:tr>
      <w:tr w:rsidR="00941457" w:rsidRPr="00E47318" w14:paraId="5F2E6FBC" w14:textId="77777777" w:rsidTr="00E47318">
        <w:trPr>
          <w:gridAfter w:val="1"/>
          <w:wAfter w:w="14" w:type="dxa"/>
          <w:trHeight w:val="300"/>
        </w:trPr>
        <w:tc>
          <w:tcPr>
            <w:tcW w:w="5670" w:type="dxa"/>
            <w:shd w:val="clear" w:color="auto" w:fill="auto"/>
            <w:noWrap/>
            <w:vAlign w:val="bottom"/>
            <w:hideMark/>
          </w:tcPr>
          <w:p w14:paraId="38D55B71" w14:textId="77777777" w:rsidR="00941457" w:rsidRPr="00E47318" w:rsidRDefault="00941457" w:rsidP="00E47318">
            <w:pPr>
              <w:spacing w:after="0" w:line="240" w:lineRule="auto"/>
              <w:rPr>
                <w:rFonts w:ascii="Times New Roman" w:eastAsia="Times New Roman" w:hAnsi="Times New Roman"/>
                <w:b/>
                <w:bCs/>
                <w:sz w:val="28"/>
                <w:szCs w:val="28"/>
                <w:lang w:eastAsia="lv-LV"/>
              </w:rPr>
            </w:pPr>
            <w:r w:rsidRPr="00E47318">
              <w:rPr>
                <w:rFonts w:ascii="Times New Roman" w:eastAsia="Times New Roman" w:hAnsi="Times New Roman"/>
                <w:b/>
                <w:bCs/>
                <w:sz w:val="28"/>
                <w:szCs w:val="28"/>
                <w:lang w:eastAsia="lv-LV"/>
              </w:rPr>
              <w:t>EK noteiktā finanšu korekcijas, tai sk.:</w:t>
            </w:r>
          </w:p>
        </w:tc>
        <w:tc>
          <w:tcPr>
            <w:tcW w:w="1694" w:type="dxa"/>
            <w:shd w:val="clear" w:color="auto" w:fill="auto"/>
            <w:noWrap/>
            <w:vAlign w:val="bottom"/>
            <w:hideMark/>
          </w:tcPr>
          <w:p w14:paraId="6C21E0F4" w14:textId="77777777" w:rsidR="00941457" w:rsidRPr="00E47318" w:rsidRDefault="00941457" w:rsidP="00E47318">
            <w:pPr>
              <w:spacing w:after="0" w:line="240" w:lineRule="auto"/>
              <w:jc w:val="right"/>
              <w:rPr>
                <w:rFonts w:ascii="Times New Roman" w:eastAsia="Times New Roman" w:hAnsi="Times New Roman"/>
                <w:b/>
                <w:bCs/>
                <w:sz w:val="28"/>
                <w:szCs w:val="28"/>
                <w:lang w:eastAsia="lv-LV"/>
              </w:rPr>
            </w:pPr>
            <w:r w:rsidRPr="00E47318">
              <w:rPr>
                <w:rFonts w:ascii="Times New Roman" w:eastAsia="Times New Roman" w:hAnsi="Times New Roman"/>
                <w:b/>
                <w:bCs/>
                <w:sz w:val="28"/>
                <w:szCs w:val="28"/>
                <w:lang w:eastAsia="lv-LV"/>
              </w:rPr>
              <w:t>251 002,07</w:t>
            </w:r>
          </w:p>
        </w:tc>
        <w:tc>
          <w:tcPr>
            <w:tcW w:w="1336" w:type="dxa"/>
            <w:shd w:val="clear" w:color="auto" w:fill="auto"/>
            <w:noWrap/>
            <w:vAlign w:val="bottom"/>
            <w:hideMark/>
          </w:tcPr>
          <w:p w14:paraId="6ABFE7D9" w14:textId="77777777" w:rsidR="00941457" w:rsidRPr="00E47318" w:rsidRDefault="00941457" w:rsidP="00E47318">
            <w:pPr>
              <w:spacing w:after="0" w:line="240" w:lineRule="auto"/>
              <w:jc w:val="center"/>
              <w:rPr>
                <w:rFonts w:ascii="Times New Roman" w:eastAsia="Times New Roman" w:hAnsi="Times New Roman"/>
                <w:b/>
                <w:bCs/>
                <w:sz w:val="28"/>
                <w:szCs w:val="28"/>
                <w:lang w:eastAsia="lv-LV"/>
              </w:rPr>
            </w:pPr>
            <w:r w:rsidRPr="00E47318">
              <w:rPr>
                <w:rFonts w:ascii="Times New Roman" w:eastAsia="Times New Roman" w:hAnsi="Times New Roman"/>
                <w:b/>
                <w:bCs/>
                <w:sz w:val="28"/>
                <w:szCs w:val="28"/>
                <w:lang w:eastAsia="lv-LV"/>
              </w:rPr>
              <w:t>10,00</w:t>
            </w:r>
          </w:p>
        </w:tc>
      </w:tr>
      <w:tr w:rsidR="00941457" w:rsidRPr="00E47318" w14:paraId="476E0792" w14:textId="77777777" w:rsidTr="00E47318">
        <w:trPr>
          <w:gridAfter w:val="1"/>
          <w:wAfter w:w="14" w:type="dxa"/>
          <w:trHeight w:val="587"/>
        </w:trPr>
        <w:tc>
          <w:tcPr>
            <w:tcW w:w="5670" w:type="dxa"/>
            <w:shd w:val="clear" w:color="auto" w:fill="auto"/>
            <w:vAlign w:val="bottom"/>
            <w:hideMark/>
          </w:tcPr>
          <w:p w14:paraId="13815B76" w14:textId="77777777" w:rsidR="00941457" w:rsidRPr="00E47318" w:rsidRDefault="00941457" w:rsidP="00E47318">
            <w:pPr>
              <w:spacing w:after="0" w:line="240" w:lineRule="auto"/>
              <w:jc w:val="right"/>
              <w:rPr>
                <w:rFonts w:ascii="Times New Roman" w:eastAsia="Times New Roman" w:hAnsi="Times New Roman"/>
                <w:color w:val="000000"/>
                <w:sz w:val="28"/>
                <w:szCs w:val="28"/>
                <w:lang w:eastAsia="lv-LV"/>
              </w:rPr>
            </w:pPr>
            <w:r w:rsidRPr="00E47318">
              <w:rPr>
                <w:rFonts w:ascii="Times New Roman" w:eastAsia="Times New Roman" w:hAnsi="Times New Roman"/>
                <w:sz w:val="28"/>
                <w:szCs w:val="28"/>
                <w:lang w:eastAsia="lv-LV"/>
              </w:rPr>
              <w:t xml:space="preserve">EK noteiktā finanšu korekcija 5% no līguma attiecināmajām izmaksām par  apakšniekiem </w:t>
            </w:r>
          </w:p>
        </w:tc>
        <w:tc>
          <w:tcPr>
            <w:tcW w:w="1694" w:type="dxa"/>
            <w:shd w:val="clear" w:color="auto" w:fill="auto"/>
            <w:vAlign w:val="bottom"/>
            <w:hideMark/>
          </w:tcPr>
          <w:p w14:paraId="649E8160" w14:textId="77777777" w:rsidR="00941457" w:rsidRPr="00E47318" w:rsidRDefault="00941457" w:rsidP="00E47318">
            <w:pPr>
              <w:spacing w:after="0" w:line="240" w:lineRule="auto"/>
              <w:jc w:val="center"/>
              <w:rPr>
                <w:rFonts w:ascii="Times New Roman" w:eastAsia="Times New Roman" w:hAnsi="Times New Roman"/>
                <w:sz w:val="28"/>
                <w:szCs w:val="28"/>
                <w:lang w:eastAsia="lv-LV"/>
              </w:rPr>
            </w:pPr>
            <w:r w:rsidRPr="00E47318">
              <w:rPr>
                <w:rFonts w:ascii="Times New Roman" w:eastAsia="Times New Roman" w:hAnsi="Times New Roman"/>
                <w:sz w:val="28"/>
                <w:szCs w:val="28"/>
                <w:lang w:eastAsia="lv-LV"/>
              </w:rPr>
              <w:t>125 501,04</w:t>
            </w:r>
          </w:p>
        </w:tc>
        <w:tc>
          <w:tcPr>
            <w:tcW w:w="1336" w:type="dxa"/>
            <w:shd w:val="clear" w:color="auto" w:fill="auto"/>
            <w:noWrap/>
            <w:vAlign w:val="bottom"/>
            <w:hideMark/>
          </w:tcPr>
          <w:p w14:paraId="2FD632F7" w14:textId="77777777" w:rsidR="00941457" w:rsidRPr="00E47318" w:rsidRDefault="00941457" w:rsidP="00E47318">
            <w:pPr>
              <w:spacing w:after="0" w:line="240" w:lineRule="auto"/>
              <w:jc w:val="center"/>
              <w:rPr>
                <w:rFonts w:ascii="Times New Roman" w:eastAsia="Times New Roman" w:hAnsi="Times New Roman"/>
                <w:sz w:val="28"/>
                <w:szCs w:val="28"/>
                <w:lang w:eastAsia="lv-LV"/>
              </w:rPr>
            </w:pPr>
            <w:r w:rsidRPr="00E47318">
              <w:rPr>
                <w:rFonts w:ascii="Times New Roman" w:eastAsia="Times New Roman" w:hAnsi="Times New Roman"/>
                <w:sz w:val="28"/>
                <w:szCs w:val="28"/>
                <w:lang w:eastAsia="lv-LV"/>
              </w:rPr>
              <w:t>5,00</w:t>
            </w:r>
          </w:p>
        </w:tc>
      </w:tr>
      <w:tr w:rsidR="00F704B0" w:rsidRPr="00E47318" w14:paraId="21743AE5" w14:textId="77777777" w:rsidTr="00E47318">
        <w:trPr>
          <w:gridAfter w:val="1"/>
          <w:wAfter w:w="14" w:type="dxa"/>
          <w:trHeight w:val="671"/>
        </w:trPr>
        <w:tc>
          <w:tcPr>
            <w:tcW w:w="5670" w:type="dxa"/>
            <w:shd w:val="clear" w:color="auto" w:fill="auto"/>
            <w:vAlign w:val="bottom"/>
            <w:hideMark/>
          </w:tcPr>
          <w:p w14:paraId="63253DB6" w14:textId="4826D4D4" w:rsidR="00F704B0" w:rsidRPr="00E47318" w:rsidRDefault="00F704B0" w:rsidP="00F704B0">
            <w:pPr>
              <w:spacing w:after="0" w:line="240" w:lineRule="auto"/>
              <w:jc w:val="right"/>
              <w:rPr>
                <w:rFonts w:ascii="Times New Roman" w:eastAsia="Times New Roman" w:hAnsi="Times New Roman"/>
                <w:color w:val="000000"/>
                <w:sz w:val="28"/>
                <w:szCs w:val="28"/>
                <w:lang w:eastAsia="lv-LV"/>
              </w:rPr>
            </w:pPr>
            <w:r w:rsidRPr="00E47318">
              <w:rPr>
                <w:rFonts w:ascii="Times New Roman" w:eastAsia="Times New Roman" w:hAnsi="Times New Roman"/>
                <w:sz w:val="28"/>
                <w:szCs w:val="28"/>
                <w:lang w:eastAsia="lv-LV"/>
              </w:rPr>
              <w:t>EK noteiktā finanšu korekcija 5% no līgu</w:t>
            </w:r>
            <w:r>
              <w:rPr>
                <w:rFonts w:ascii="Times New Roman" w:eastAsia="Times New Roman" w:hAnsi="Times New Roman"/>
                <w:sz w:val="28"/>
                <w:szCs w:val="28"/>
                <w:lang w:eastAsia="lv-LV"/>
              </w:rPr>
              <w:t>ma attiecināmajām izmaksām par</w:t>
            </w:r>
            <w:r>
              <w:t xml:space="preserve"> </w:t>
            </w:r>
            <w:r w:rsidRPr="00D06C01">
              <w:rPr>
                <w:rFonts w:ascii="Times New Roman" w:eastAsia="Times New Roman" w:hAnsi="Times New Roman"/>
                <w:sz w:val="28"/>
                <w:szCs w:val="28"/>
                <w:lang w:eastAsia="lv-LV"/>
              </w:rPr>
              <w:t>ārvalstnieku</w:t>
            </w:r>
            <w:r>
              <w:rPr>
                <w:rFonts w:ascii="Times New Roman" w:eastAsia="Times New Roman" w:hAnsi="Times New Roman"/>
                <w:sz w:val="28"/>
                <w:szCs w:val="28"/>
                <w:lang w:eastAsia="lv-LV"/>
              </w:rPr>
              <w:t>s</w:t>
            </w:r>
            <w:r w:rsidRPr="00D06C01">
              <w:rPr>
                <w:rFonts w:ascii="Times New Roman" w:eastAsia="Times New Roman" w:hAnsi="Times New Roman"/>
                <w:sz w:val="28"/>
                <w:szCs w:val="28"/>
                <w:lang w:eastAsia="lv-LV"/>
              </w:rPr>
              <w:t xml:space="preserve"> ierobežojoš</w:t>
            </w:r>
            <w:r>
              <w:rPr>
                <w:rFonts w:ascii="Times New Roman" w:eastAsia="Times New Roman" w:hAnsi="Times New Roman"/>
                <w:sz w:val="28"/>
                <w:szCs w:val="28"/>
                <w:lang w:eastAsia="lv-LV"/>
              </w:rPr>
              <w:t>o</w:t>
            </w:r>
            <w:r w:rsidRPr="00D06C01">
              <w:rPr>
                <w:rFonts w:ascii="Times New Roman" w:eastAsia="Times New Roman" w:hAnsi="Times New Roman"/>
                <w:sz w:val="28"/>
                <w:szCs w:val="28"/>
                <w:lang w:eastAsia="lv-LV"/>
              </w:rPr>
              <w:t xml:space="preserve"> prasību par sertifikātiem</w:t>
            </w:r>
          </w:p>
        </w:tc>
        <w:tc>
          <w:tcPr>
            <w:tcW w:w="1694" w:type="dxa"/>
            <w:shd w:val="clear" w:color="auto" w:fill="auto"/>
            <w:vAlign w:val="bottom"/>
            <w:hideMark/>
          </w:tcPr>
          <w:p w14:paraId="26BD4882" w14:textId="77777777" w:rsidR="00F704B0" w:rsidRPr="00E47318" w:rsidRDefault="00F704B0" w:rsidP="00F704B0">
            <w:pPr>
              <w:spacing w:after="0" w:line="240" w:lineRule="auto"/>
              <w:jc w:val="center"/>
              <w:rPr>
                <w:rFonts w:ascii="Times New Roman" w:eastAsia="Times New Roman" w:hAnsi="Times New Roman"/>
                <w:sz w:val="28"/>
                <w:szCs w:val="28"/>
                <w:lang w:eastAsia="lv-LV"/>
              </w:rPr>
            </w:pPr>
            <w:r w:rsidRPr="00E47318">
              <w:rPr>
                <w:rFonts w:ascii="Times New Roman" w:eastAsia="Times New Roman" w:hAnsi="Times New Roman"/>
                <w:sz w:val="28"/>
                <w:szCs w:val="28"/>
                <w:lang w:eastAsia="lv-LV"/>
              </w:rPr>
              <w:t>125 501,03</w:t>
            </w:r>
          </w:p>
        </w:tc>
        <w:tc>
          <w:tcPr>
            <w:tcW w:w="1336" w:type="dxa"/>
            <w:shd w:val="clear" w:color="auto" w:fill="auto"/>
            <w:noWrap/>
            <w:vAlign w:val="bottom"/>
            <w:hideMark/>
          </w:tcPr>
          <w:p w14:paraId="46937174" w14:textId="77777777" w:rsidR="00F704B0" w:rsidRPr="00E47318" w:rsidRDefault="00F704B0" w:rsidP="00F704B0">
            <w:pPr>
              <w:spacing w:after="0" w:line="240" w:lineRule="auto"/>
              <w:jc w:val="center"/>
              <w:rPr>
                <w:rFonts w:ascii="Times New Roman" w:eastAsia="Times New Roman" w:hAnsi="Times New Roman"/>
                <w:sz w:val="28"/>
                <w:szCs w:val="28"/>
                <w:lang w:eastAsia="lv-LV"/>
              </w:rPr>
            </w:pPr>
            <w:r w:rsidRPr="00E47318">
              <w:rPr>
                <w:rFonts w:ascii="Times New Roman" w:eastAsia="Times New Roman" w:hAnsi="Times New Roman"/>
                <w:sz w:val="28"/>
                <w:szCs w:val="28"/>
                <w:lang w:eastAsia="lv-LV"/>
              </w:rPr>
              <w:t>5,00</w:t>
            </w:r>
          </w:p>
        </w:tc>
      </w:tr>
    </w:tbl>
    <w:p w14:paraId="03042F2C" w14:textId="77777777" w:rsidR="00941457" w:rsidRPr="00E47318" w:rsidRDefault="00941457" w:rsidP="00941457">
      <w:pPr>
        <w:rPr>
          <w:rFonts w:ascii="Times New Roman" w:hAnsi="Times New Roman"/>
        </w:rPr>
      </w:pPr>
    </w:p>
    <w:p w14:paraId="52926581" w14:textId="77777777" w:rsidR="00941457" w:rsidRPr="00E47318" w:rsidRDefault="00941457" w:rsidP="006E39FA">
      <w:pPr>
        <w:pStyle w:val="ListParagraph"/>
        <w:numPr>
          <w:ilvl w:val="1"/>
          <w:numId w:val="14"/>
        </w:numPr>
        <w:tabs>
          <w:tab w:val="left" w:pos="1134"/>
        </w:tabs>
        <w:spacing w:after="120" w:line="240" w:lineRule="auto"/>
        <w:ind w:left="426" w:firstLine="0"/>
        <w:contextualSpacing w:val="0"/>
        <w:jc w:val="both"/>
        <w:rPr>
          <w:rFonts w:ascii="Times New Roman" w:hAnsi="Times New Roman"/>
          <w:b/>
        </w:rPr>
      </w:pPr>
      <w:r w:rsidRPr="00E47318">
        <w:rPr>
          <w:rFonts w:ascii="Times New Roman" w:hAnsi="Times New Roman"/>
          <w:sz w:val="28"/>
          <w:szCs w:val="28"/>
        </w:rPr>
        <w:lastRenderedPageBreak/>
        <w:t>Nr. 3DP/3.1.5.3.1/11/IPIA/VEC/009 VSIA „Bērnu klīniskā universitātes slimnīca”  stacionārās veselības aprūpes infrastruktūras attīstība” (turpmāk -  2011.gada projekts). Projekta ietvaros tika veikta slimnīcas ēku ārējā rekonstrukcija un iekšēja renovācija, kā arī  tehnoloģiju piegāde un montāža.</w:t>
      </w:r>
    </w:p>
    <w:tbl>
      <w:tblPr>
        <w:tblW w:w="8712" w:type="dxa"/>
        <w:tblInd w:w="534" w:type="dxa"/>
        <w:tblBorders>
          <w:insideH w:val="single" w:sz="4" w:space="0" w:color="auto"/>
          <w:insideV w:val="single" w:sz="4" w:space="0" w:color="auto"/>
        </w:tblBorders>
        <w:tblLook w:val="04A0" w:firstRow="1" w:lastRow="0" w:firstColumn="1" w:lastColumn="0" w:noHBand="0" w:noVBand="1"/>
      </w:tblPr>
      <w:tblGrid>
        <w:gridCol w:w="5670"/>
        <w:gridCol w:w="1701"/>
        <w:gridCol w:w="1341"/>
      </w:tblGrid>
      <w:tr w:rsidR="00941457" w:rsidRPr="00E47318" w14:paraId="698F2F42" w14:textId="77777777" w:rsidTr="00E47318">
        <w:trPr>
          <w:trHeight w:val="300"/>
        </w:trPr>
        <w:tc>
          <w:tcPr>
            <w:tcW w:w="8712" w:type="dxa"/>
            <w:gridSpan w:val="3"/>
            <w:shd w:val="clear" w:color="auto" w:fill="auto"/>
            <w:noWrap/>
            <w:vAlign w:val="bottom"/>
            <w:hideMark/>
          </w:tcPr>
          <w:p w14:paraId="554CDA62" w14:textId="77777777" w:rsidR="00941457" w:rsidRDefault="00941457" w:rsidP="00E47318">
            <w:pPr>
              <w:spacing w:after="0" w:line="240" w:lineRule="auto"/>
              <w:jc w:val="center"/>
              <w:rPr>
                <w:rFonts w:ascii="Times New Roman" w:eastAsia="Times New Roman" w:hAnsi="Times New Roman"/>
                <w:b/>
                <w:color w:val="000000"/>
                <w:sz w:val="28"/>
                <w:szCs w:val="28"/>
                <w:lang w:eastAsia="lv-LV"/>
              </w:rPr>
            </w:pPr>
            <w:r w:rsidRPr="00E47318">
              <w:rPr>
                <w:rFonts w:ascii="Times New Roman" w:eastAsia="Times New Roman" w:hAnsi="Times New Roman"/>
                <w:b/>
                <w:sz w:val="28"/>
                <w:szCs w:val="28"/>
                <w:lang w:eastAsia="lv-LV"/>
              </w:rPr>
              <w:t xml:space="preserve">2011.gada projekta </w:t>
            </w:r>
            <w:r w:rsidRPr="00E47318">
              <w:rPr>
                <w:rFonts w:ascii="Times New Roman" w:eastAsia="Times New Roman" w:hAnsi="Times New Roman"/>
                <w:b/>
                <w:color w:val="000000"/>
                <w:sz w:val="28"/>
                <w:szCs w:val="28"/>
                <w:lang w:eastAsia="lv-LV"/>
              </w:rPr>
              <w:t xml:space="preserve">būvniecības </w:t>
            </w:r>
            <w:r w:rsidRPr="00E47318">
              <w:rPr>
                <w:rFonts w:ascii="Times New Roman" w:eastAsia="Times New Roman" w:hAnsi="Times New Roman"/>
                <w:b/>
                <w:sz w:val="28"/>
                <w:szCs w:val="28"/>
                <w:lang w:eastAsia="lv-LV"/>
              </w:rPr>
              <w:t>līguma Nr. BKUS 2011/43 ERAF-1</w:t>
            </w:r>
            <w:r w:rsidRPr="00E47318">
              <w:rPr>
                <w:rFonts w:ascii="Times New Roman" w:eastAsia="Times New Roman" w:hAnsi="Times New Roman"/>
                <w:b/>
                <w:color w:val="000000"/>
                <w:sz w:val="28"/>
                <w:szCs w:val="28"/>
                <w:lang w:eastAsia="lv-LV"/>
              </w:rPr>
              <w:t>, uz kuru attiecās iespējamā neatbilstība,</w:t>
            </w:r>
            <w:r w:rsidRPr="00E47318">
              <w:rPr>
                <w:rFonts w:ascii="Times New Roman" w:eastAsia="Times New Roman" w:hAnsi="Times New Roman"/>
                <w:b/>
                <w:color w:val="000000"/>
                <w:lang w:eastAsia="lv-LV"/>
              </w:rPr>
              <w:t xml:space="preserve"> </w:t>
            </w:r>
            <w:r w:rsidRPr="00E47318">
              <w:rPr>
                <w:rFonts w:ascii="Times New Roman" w:eastAsia="Times New Roman" w:hAnsi="Times New Roman"/>
                <w:b/>
                <w:color w:val="000000"/>
                <w:sz w:val="28"/>
                <w:szCs w:val="28"/>
                <w:lang w:eastAsia="lv-LV"/>
              </w:rPr>
              <w:t>finanšu dati</w:t>
            </w:r>
          </w:p>
          <w:p w14:paraId="0062CE40" w14:textId="77777777" w:rsidR="00941457" w:rsidRPr="00E47318" w:rsidRDefault="00941457" w:rsidP="00E47318">
            <w:pPr>
              <w:spacing w:after="0" w:line="240" w:lineRule="auto"/>
              <w:jc w:val="center"/>
              <w:rPr>
                <w:rFonts w:ascii="Times New Roman" w:eastAsia="Times New Roman" w:hAnsi="Times New Roman"/>
                <w:b/>
                <w:sz w:val="28"/>
                <w:szCs w:val="28"/>
                <w:lang w:eastAsia="lv-LV"/>
              </w:rPr>
            </w:pPr>
          </w:p>
        </w:tc>
      </w:tr>
      <w:tr w:rsidR="00941457" w:rsidRPr="00E47318" w14:paraId="034B7D26" w14:textId="77777777" w:rsidTr="00A9192E">
        <w:trPr>
          <w:trHeight w:val="300"/>
        </w:trPr>
        <w:tc>
          <w:tcPr>
            <w:tcW w:w="5670" w:type="dxa"/>
            <w:shd w:val="clear" w:color="auto" w:fill="auto"/>
            <w:noWrap/>
            <w:vAlign w:val="bottom"/>
            <w:hideMark/>
          </w:tcPr>
          <w:p w14:paraId="3514F828" w14:textId="77777777" w:rsidR="00941457" w:rsidRPr="00E47318" w:rsidRDefault="00941457" w:rsidP="00E47318">
            <w:pPr>
              <w:spacing w:after="0" w:line="240" w:lineRule="auto"/>
              <w:rPr>
                <w:rFonts w:ascii="Times New Roman" w:eastAsia="Times New Roman" w:hAnsi="Times New Roman"/>
                <w:sz w:val="28"/>
                <w:szCs w:val="28"/>
                <w:lang w:eastAsia="lv-LV"/>
              </w:rPr>
            </w:pPr>
          </w:p>
        </w:tc>
        <w:tc>
          <w:tcPr>
            <w:tcW w:w="1701" w:type="dxa"/>
            <w:shd w:val="clear" w:color="auto" w:fill="auto"/>
            <w:noWrap/>
            <w:vAlign w:val="bottom"/>
            <w:hideMark/>
          </w:tcPr>
          <w:p w14:paraId="0080DE18" w14:textId="77777777" w:rsidR="00941457" w:rsidRPr="00E47318" w:rsidRDefault="00941457" w:rsidP="00E47318">
            <w:pPr>
              <w:spacing w:after="0" w:line="240" w:lineRule="auto"/>
              <w:jc w:val="center"/>
              <w:rPr>
                <w:rFonts w:ascii="Times New Roman" w:eastAsia="Times New Roman" w:hAnsi="Times New Roman"/>
                <w:sz w:val="28"/>
                <w:szCs w:val="28"/>
                <w:lang w:eastAsia="lv-LV"/>
              </w:rPr>
            </w:pPr>
            <w:r w:rsidRPr="00E47318">
              <w:rPr>
                <w:rFonts w:ascii="Times New Roman" w:eastAsia="Times New Roman" w:hAnsi="Times New Roman"/>
                <w:sz w:val="28"/>
                <w:szCs w:val="28"/>
                <w:lang w:eastAsia="lv-LV"/>
              </w:rPr>
              <w:t>EUR</w:t>
            </w:r>
          </w:p>
        </w:tc>
        <w:tc>
          <w:tcPr>
            <w:tcW w:w="1341" w:type="dxa"/>
            <w:shd w:val="clear" w:color="auto" w:fill="auto"/>
            <w:noWrap/>
            <w:vAlign w:val="bottom"/>
            <w:hideMark/>
          </w:tcPr>
          <w:p w14:paraId="6AD4DDBD" w14:textId="77777777" w:rsidR="00941457" w:rsidRPr="00E47318" w:rsidRDefault="00941457" w:rsidP="00E47318">
            <w:pPr>
              <w:spacing w:after="0" w:line="240" w:lineRule="auto"/>
              <w:jc w:val="center"/>
              <w:rPr>
                <w:rFonts w:ascii="Times New Roman" w:eastAsia="Times New Roman" w:hAnsi="Times New Roman"/>
                <w:sz w:val="28"/>
                <w:szCs w:val="28"/>
                <w:lang w:eastAsia="lv-LV"/>
              </w:rPr>
            </w:pPr>
            <w:r w:rsidRPr="00E47318">
              <w:rPr>
                <w:rFonts w:ascii="Times New Roman" w:eastAsia="Times New Roman" w:hAnsi="Times New Roman"/>
                <w:sz w:val="28"/>
                <w:szCs w:val="28"/>
                <w:lang w:eastAsia="lv-LV"/>
              </w:rPr>
              <w:t>%</w:t>
            </w:r>
          </w:p>
        </w:tc>
      </w:tr>
      <w:tr w:rsidR="00941457" w:rsidRPr="00E47318" w14:paraId="43F2658E" w14:textId="77777777" w:rsidTr="00A9192E">
        <w:trPr>
          <w:trHeight w:val="70"/>
        </w:trPr>
        <w:tc>
          <w:tcPr>
            <w:tcW w:w="5670" w:type="dxa"/>
            <w:shd w:val="clear" w:color="auto" w:fill="auto"/>
            <w:vAlign w:val="bottom"/>
            <w:hideMark/>
          </w:tcPr>
          <w:p w14:paraId="020CBF99" w14:textId="77777777" w:rsidR="00941457" w:rsidRPr="00E47318" w:rsidRDefault="00941457" w:rsidP="00E47318">
            <w:pPr>
              <w:spacing w:after="0" w:line="240" w:lineRule="auto"/>
              <w:rPr>
                <w:rFonts w:ascii="Times New Roman" w:eastAsia="Times New Roman" w:hAnsi="Times New Roman"/>
                <w:b/>
                <w:bCs/>
                <w:sz w:val="28"/>
                <w:szCs w:val="28"/>
                <w:lang w:eastAsia="lv-LV"/>
              </w:rPr>
            </w:pPr>
            <w:r w:rsidRPr="00E47318">
              <w:rPr>
                <w:rFonts w:ascii="Times New Roman" w:eastAsia="Times New Roman" w:hAnsi="Times New Roman"/>
                <w:b/>
                <w:bCs/>
                <w:sz w:val="28"/>
                <w:szCs w:val="28"/>
                <w:lang w:eastAsia="lv-LV"/>
              </w:rPr>
              <w:t>Līguma kopējās attiecināmās izmaksas tai sk.</w:t>
            </w:r>
          </w:p>
        </w:tc>
        <w:tc>
          <w:tcPr>
            <w:tcW w:w="1701" w:type="dxa"/>
            <w:shd w:val="clear" w:color="auto" w:fill="auto"/>
            <w:vAlign w:val="bottom"/>
            <w:hideMark/>
          </w:tcPr>
          <w:p w14:paraId="3E1F0B2E" w14:textId="77777777" w:rsidR="00941457" w:rsidRPr="00E47318" w:rsidRDefault="00941457" w:rsidP="00E47318">
            <w:pPr>
              <w:spacing w:after="0" w:line="240" w:lineRule="auto"/>
              <w:jc w:val="right"/>
              <w:rPr>
                <w:rFonts w:ascii="Times New Roman" w:eastAsia="Times New Roman" w:hAnsi="Times New Roman"/>
                <w:b/>
                <w:bCs/>
                <w:sz w:val="28"/>
                <w:szCs w:val="28"/>
                <w:lang w:eastAsia="lv-LV"/>
              </w:rPr>
            </w:pPr>
            <w:r w:rsidRPr="00E47318">
              <w:rPr>
                <w:rFonts w:ascii="Times New Roman" w:eastAsia="Times New Roman" w:hAnsi="Times New Roman"/>
                <w:b/>
                <w:bCs/>
                <w:sz w:val="28"/>
                <w:szCs w:val="28"/>
                <w:lang w:eastAsia="lv-LV"/>
              </w:rPr>
              <w:t>4 636 250,82</w:t>
            </w:r>
          </w:p>
        </w:tc>
        <w:tc>
          <w:tcPr>
            <w:tcW w:w="1341" w:type="dxa"/>
            <w:shd w:val="clear" w:color="auto" w:fill="auto"/>
            <w:noWrap/>
            <w:vAlign w:val="bottom"/>
            <w:hideMark/>
          </w:tcPr>
          <w:p w14:paraId="47FCAFD5" w14:textId="77777777" w:rsidR="00941457" w:rsidRPr="00E47318" w:rsidRDefault="00941457" w:rsidP="00E47318">
            <w:pPr>
              <w:spacing w:after="0" w:line="240" w:lineRule="auto"/>
              <w:jc w:val="center"/>
              <w:rPr>
                <w:rFonts w:ascii="Times New Roman" w:eastAsia="Times New Roman" w:hAnsi="Times New Roman"/>
                <w:b/>
                <w:bCs/>
                <w:sz w:val="28"/>
                <w:szCs w:val="28"/>
                <w:lang w:eastAsia="lv-LV"/>
              </w:rPr>
            </w:pPr>
            <w:r w:rsidRPr="00E47318">
              <w:rPr>
                <w:rFonts w:ascii="Times New Roman" w:eastAsia="Times New Roman" w:hAnsi="Times New Roman"/>
                <w:b/>
                <w:bCs/>
                <w:sz w:val="28"/>
                <w:szCs w:val="28"/>
                <w:lang w:eastAsia="lv-LV"/>
              </w:rPr>
              <w:t>100,00</w:t>
            </w:r>
          </w:p>
        </w:tc>
      </w:tr>
      <w:tr w:rsidR="00941457" w:rsidRPr="00E47318" w14:paraId="19829C1A" w14:textId="77777777" w:rsidTr="00A9192E">
        <w:trPr>
          <w:trHeight w:val="300"/>
        </w:trPr>
        <w:tc>
          <w:tcPr>
            <w:tcW w:w="5670" w:type="dxa"/>
            <w:shd w:val="clear" w:color="auto" w:fill="auto"/>
            <w:noWrap/>
            <w:vAlign w:val="bottom"/>
            <w:hideMark/>
          </w:tcPr>
          <w:p w14:paraId="452ED6FF" w14:textId="77777777" w:rsidR="00941457" w:rsidRPr="00E47318" w:rsidRDefault="00941457" w:rsidP="00E47318">
            <w:pPr>
              <w:spacing w:after="0" w:line="240" w:lineRule="auto"/>
              <w:jc w:val="right"/>
              <w:rPr>
                <w:rFonts w:ascii="Times New Roman" w:eastAsia="Times New Roman" w:hAnsi="Times New Roman"/>
                <w:sz w:val="28"/>
                <w:szCs w:val="28"/>
                <w:lang w:eastAsia="lv-LV"/>
              </w:rPr>
            </w:pPr>
            <w:r w:rsidRPr="00E47318">
              <w:rPr>
                <w:rFonts w:ascii="Times New Roman" w:eastAsia="Times New Roman" w:hAnsi="Times New Roman"/>
                <w:sz w:val="28"/>
                <w:szCs w:val="28"/>
                <w:lang w:eastAsia="lv-LV"/>
              </w:rPr>
              <w:t>ERAF</w:t>
            </w:r>
          </w:p>
        </w:tc>
        <w:tc>
          <w:tcPr>
            <w:tcW w:w="1701" w:type="dxa"/>
            <w:shd w:val="clear" w:color="auto" w:fill="auto"/>
            <w:noWrap/>
            <w:vAlign w:val="bottom"/>
            <w:hideMark/>
          </w:tcPr>
          <w:p w14:paraId="30FAC962" w14:textId="77777777" w:rsidR="00941457" w:rsidRPr="00E47318" w:rsidRDefault="00941457" w:rsidP="00E47318">
            <w:pPr>
              <w:spacing w:after="0" w:line="240" w:lineRule="auto"/>
              <w:jc w:val="right"/>
              <w:rPr>
                <w:rFonts w:ascii="Times New Roman" w:eastAsia="Times New Roman" w:hAnsi="Times New Roman"/>
                <w:sz w:val="28"/>
                <w:szCs w:val="28"/>
                <w:lang w:eastAsia="lv-LV"/>
              </w:rPr>
            </w:pPr>
            <w:r w:rsidRPr="00E47318">
              <w:rPr>
                <w:rFonts w:ascii="Times New Roman" w:eastAsia="Times New Roman" w:hAnsi="Times New Roman"/>
                <w:sz w:val="28"/>
                <w:szCs w:val="28"/>
                <w:lang w:eastAsia="lv-LV"/>
              </w:rPr>
              <w:t>3 904 186,82</w:t>
            </w:r>
          </w:p>
        </w:tc>
        <w:tc>
          <w:tcPr>
            <w:tcW w:w="1341" w:type="dxa"/>
            <w:shd w:val="clear" w:color="auto" w:fill="auto"/>
            <w:noWrap/>
            <w:vAlign w:val="bottom"/>
            <w:hideMark/>
          </w:tcPr>
          <w:p w14:paraId="200C78CA" w14:textId="77777777" w:rsidR="00941457" w:rsidRPr="00E47318" w:rsidRDefault="00941457" w:rsidP="00E47318">
            <w:pPr>
              <w:spacing w:after="0" w:line="240" w:lineRule="auto"/>
              <w:jc w:val="center"/>
              <w:rPr>
                <w:rFonts w:ascii="Times New Roman" w:eastAsia="Times New Roman" w:hAnsi="Times New Roman"/>
                <w:sz w:val="28"/>
                <w:szCs w:val="28"/>
                <w:lang w:eastAsia="lv-LV"/>
              </w:rPr>
            </w:pPr>
            <w:r w:rsidRPr="00E47318">
              <w:rPr>
                <w:rFonts w:ascii="Times New Roman" w:eastAsia="Times New Roman" w:hAnsi="Times New Roman"/>
                <w:sz w:val="28"/>
                <w:szCs w:val="28"/>
                <w:lang w:eastAsia="lv-LV"/>
              </w:rPr>
              <w:t>84,21</w:t>
            </w:r>
          </w:p>
        </w:tc>
      </w:tr>
      <w:tr w:rsidR="00941457" w:rsidRPr="00E47318" w14:paraId="07F347A9" w14:textId="77777777" w:rsidTr="00A9192E">
        <w:trPr>
          <w:trHeight w:val="300"/>
        </w:trPr>
        <w:tc>
          <w:tcPr>
            <w:tcW w:w="5670" w:type="dxa"/>
            <w:shd w:val="clear" w:color="auto" w:fill="auto"/>
            <w:noWrap/>
            <w:vAlign w:val="bottom"/>
            <w:hideMark/>
          </w:tcPr>
          <w:p w14:paraId="42AB4632" w14:textId="77777777" w:rsidR="00941457" w:rsidRPr="00E47318" w:rsidRDefault="00941457" w:rsidP="00E47318">
            <w:pPr>
              <w:spacing w:after="0" w:line="240" w:lineRule="auto"/>
              <w:jc w:val="right"/>
              <w:rPr>
                <w:rFonts w:ascii="Times New Roman" w:eastAsia="Times New Roman" w:hAnsi="Times New Roman"/>
                <w:sz w:val="28"/>
                <w:szCs w:val="28"/>
                <w:lang w:eastAsia="lv-LV"/>
              </w:rPr>
            </w:pPr>
            <w:r w:rsidRPr="00E47318">
              <w:rPr>
                <w:rFonts w:ascii="Times New Roman" w:eastAsia="Times New Roman" w:hAnsi="Times New Roman"/>
                <w:sz w:val="28"/>
                <w:szCs w:val="28"/>
                <w:lang w:eastAsia="lv-LV"/>
              </w:rPr>
              <w:t>Valsts budžets</w:t>
            </w:r>
          </w:p>
        </w:tc>
        <w:tc>
          <w:tcPr>
            <w:tcW w:w="1701" w:type="dxa"/>
            <w:shd w:val="clear" w:color="auto" w:fill="auto"/>
            <w:noWrap/>
            <w:vAlign w:val="bottom"/>
            <w:hideMark/>
          </w:tcPr>
          <w:p w14:paraId="3FB0C135" w14:textId="77777777" w:rsidR="00941457" w:rsidRPr="00E47318" w:rsidRDefault="00941457" w:rsidP="00E47318">
            <w:pPr>
              <w:spacing w:after="0" w:line="240" w:lineRule="auto"/>
              <w:jc w:val="right"/>
              <w:rPr>
                <w:rFonts w:ascii="Times New Roman" w:eastAsia="Times New Roman" w:hAnsi="Times New Roman"/>
                <w:sz w:val="28"/>
                <w:szCs w:val="28"/>
                <w:lang w:eastAsia="lv-LV"/>
              </w:rPr>
            </w:pPr>
            <w:r w:rsidRPr="00E47318">
              <w:rPr>
                <w:rFonts w:ascii="Times New Roman" w:eastAsia="Times New Roman" w:hAnsi="Times New Roman"/>
                <w:sz w:val="28"/>
                <w:szCs w:val="28"/>
                <w:lang w:eastAsia="lv-LV"/>
              </w:rPr>
              <w:t>0,00</w:t>
            </w:r>
          </w:p>
        </w:tc>
        <w:tc>
          <w:tcPr>
            <w:tcW w:w="1341" w:type="dxa"/>
            <w:shd w:val="clear" w:color="auto" w:fill="auto"/>
            <w:noWrap/>
            <w:vAlign w:val="bottom"/>
            <w:hideMark/>
          </w:tcPr>
          <w:p w14:paraId="7AF0EE4F" w14:textId="77777777" w:rsidR="00941457" w:rsidRPr="00E47318" w:rsidRDefault="00941457" w:rsidP="00E47318">
            <w:pPr>
              <w:spacing w:after="0" w:line="240" w:lineRule="auto"/>
              <w:jc w:val="center"/>
              <w:rPr>
                <w:rFonts w:ascii="Times New Roman" w:eastAsia="Times New Roman" w:hAnsi="Times New Roman"/>
                <w:sz w:val="28"/>
                <w:szCs w:val="28"/>
                <w:lang w:eastAsia="lv-LV"/>
              </w:rPr>
            </w:pPr>
            <w:r w:rsidRPr="00E47318">
              <w:rPr>
                <w:rFonts w:ascii="Times New Roman" w:eastAsia="Times New Roman" w:hAnsi="Times New Roman"/>
                <w:sz w:val="28"/>
                <w:szCs w:val="28"/>
                <w:lang w:eastAsia="lv-LV"/>
              </w:rPr>
              <w:t>0,00</w:t>
            </w:r>
          </w:p>
        </w:tc>
      </w:tr>
      <w:tr w:rsidR="00941457" w:rsidRPr="00E47318" w14:paraId="6D9874BC" w14:textId="77777777" w:rsidTr="00A9192E">
        <w:trPr>
          <w:trHeight w:val="300"/>
        </w:trPr>
        <w:tc>
          <w:tcPr>
            <w:tcW w:w="5670" w:type="dxa"/>
            <w:shd w:val="clear" w:color="auto" w:fill="auto"/>
            <w:noWrap/>
            <w:vAlign w:val="bottom"/>
            <w:hideMark/>
          </w:tcPr>
          <w:p w14:paraId="1B10D4B8" w14:textId="77777777" w:rsidR="00941457" w:rsidRPr="00E47318" w:rsidRDefault="00941457" w:rsidP="00E47318">
            <w:pPr>
              <w:spacing w:after="0" w:line="240" w:lineRule="auto"/>
              <w:jc w:val="right"/>
              <w:rPr>
                <w:rFonts w:ascii="Times New Roman" w:eastAsia="Times New Roman" w:hAnsi="Times New Roman"/>
                <w:sz w:val="28"/>
                <w:szCs w:val="28"/>
                <w:lang w:eastAsia="lv-LV"/>
              </w:rPr>
            </w:pPr>
            <w:r w:rsidRPr="00E47318">
              <w:rPr>
                <w:rFonts w:ascii="Times New Roman" w:eastAsia="Times New Roman" w:hAnsi="Times New Roman"/>
                <w:sz w:val="28"/>
                <w:szCs w:val="28"/>
                <w:lang w:eastAsia="lv-LV"/>
              </w:rPr>
              <w:t>Privātais finansējums</w:t>
            </w:r>
          </w:p>
        </w:tc>
        <w:tc>
          <w:tcPr>
            <w:tcW w:w="1701" w:type="dxa"/>
            <w:shd w:val="clear" w:color="auto" w:fill="auto"/>
            <w:noWrap/>
            <w:vAlign w:val="bottom"/>
            <w:hideMark/>
          </w:tcPr>
          <w:p w14:paraId="6FBD64C4" w14:textId="77777777" w:rsidR="00941457" w:rsidRPr="00E47318" w:rsidRDefault="00941457" w:rsidP="00E47318">
            <w:pPr>
              <w:spacing w:after="0" w:line="240" w:lineRule="auto"/>
              <w:jc w:val="right"/>
              <w:rPr>
                <w:rFonts w:ascii="Times New Roman" w:eastAsia="Times New Roman" w:hAnsi="Times New Roman"/>
                <w:sz w:val="28"/>
                <w:szCs w:val="28"/>
                <w:lang w:eastAsia="lv-LV"/>
              </w:rPr>
            </w:pPr>
            <w:r w:rsidRPr="00E47318">
              <w:rPr>
                <w:rFonts w:ascii="Times New Roman" w:eastAsia="Times New Roman" w:hAnsi="Times New Roman"/>
                <w:sz w:val="28"/>
                <w:szCs w:val="28"/>
                <w:lang w:eastAsia="lv-LV"/>
              </w:rPr>
              <w:t>732 064,00</w:t>
            </w:r>
          </w:p>
        </w:tc>
        <w:tc>
          <w:tcPr>
            <w:tcW w:w="1341" w:type="dxa"/>
            <w:shd w:val="clear" w:color="auto" w:fill="auto"/>
            <w:noWrap/>
            <w:vAlign w:val="bottom"/>
            <w:hideMark/>
          </w:tcPr>
          <w:p w14:paraId="4FCFAFCF" w14:textId="77777777" w:rsidR="00941457" w:rsidRPr="00E47318" w:rsidRDefault="00941457" w:rsidP="00E47318">
            <w:pPr>
              <w:spacing w:after="0" w:line="240" w:lineRule="auto"/>
              <w:jc w:val="center"/>
              <w:rPr>
                <w:rFonts w:ascii="Times New Roman" w:eastAsia="Times New Roman" w:hAnsi="Times New Roman"/>
                <w:sz w:val="28"/>
                <w:szCs w:val="28"/>
                <w:lang w:eastAsia="lv-LV"/>
              </w:rPr>
            </w:pPr>
            <w:r w:rsidRPr="00E47318">
              <w:rPr>
                <w:rFonts w:ascii="Times New Roman" w:eastAsia="Times New Roman" w:hAnsi="Times New Roman"/>
                <w:sz w:val="28"/>
                <w:szCs w:val="28"/>
                <w:lang w:eastAsia="lv-LV"/>
              </w:rPr>
              <w:t>15,79</w:t>
            </w:r>
          </w:p>
        </w:tc>
      </w:tr>
      <w:tr w:rsidR="00941457" w:rsidRPr="00E47318" w14:paraId="71168BED" w14:textId="77777777" w:rsidTr="00A9192E">
        <w:trPr>
          <w:trHeight w:val="300"/>
        </w:trPr>
        <w:tc>
          <w:tcPr>
            <w:tcW w:w="5670" w:type="dxa"/>
            <w:shd w:val="clear" w:color="auto" w:fill="auto"/>
            <w:noWrap/>
            <w:vAlign w:val="bottom"/>
            <w:hideMark/>
          </w:tcPr>
          <w:p w14:paraId="0CC336A7" w14:textId="77777777" w:rsidR="00941457" w:rsidRPr="00E47318" w:rsidRDefault="00941457" w:rsidP="00E47318">
            <w:pPr>
              <w:spacing w:after="0" w:line="240" w:lineRule="auto"/>
              <w:rPr>
                <w:rFonts w:ascii="Times New Roman" w:eastAsia="Times New Roman" w:hAnsi="Times New Roman"/>
                <w:b/>
                <w:bCs/>
                <w:sz w:val="28"/>
                <w:szCs w:val="28"/>
                <w:lang w:eastAsia="lv-LV"/>
              </w:rPr>
            </w:pPr>
            <w:r w:rsidRPr="00E47318">
              <w:rPr>
                <w:rFonts w:ascii="Times New Roman" w:eastAsia="Times New Roman" w:hAnsi="Times New Roman"/>
                <w:b/>
                <w:bCs/>
                <w:sz w:val="28"/>
                <w:szCs w:val="28"/>
                <w:lang w:eastAsia="lv-LV"/>
              </w:rPr>
              <w:t>EK noteiktā finanšu korekcijas, tai skaitā:</w:t>
            </w:r>
          </w:p>
        </w:tc>
        <w:tc>
          <w:tcPr>
            <w:tcW w:w="1701" w:type="dxa"/>
            <w:shd w:val="clear" w:color="auto" w:fill="auto"/>
            <w:noWrap/>
            <w:vAlign w:val="bottom"/>
            <w:hideMark/>
          </w:tcPr>
          <w:p w14:paraId="38145CF1" w14:textId="77777777" w:rsidR="00941457" w:rsidRPr="00E47318" w:rsidRDefault="00941457" w:rsidP="00E47318">
            <w:pPr>
              <w:spacing w:after="0" w:line="240" w:lineRule="auto"/>
              <w:jc w:val="right"/>
              <w:rPr>
                <w:rFonts w:ascii="Times New Roman" w:eastAsia="Times New Roman" w:hAnsi="Times New Roman"/>
                <w:b/>
                <w:bCs/>
                <w:sz w:val="28"/>
                <w:szCs w:val="28"/>
                <w:lang w:eastAsia="lv-LV"/>
              </w:rPr>
            </w:pPr>
            <w:r w:rsidRPr="00E47318">
              <w:rPr>
                <w:rFonts w:ascii="Times New Roman" w:eastAsia="Times New Roman" w:hAnsi="Times New Roman"/>
                <w:b/>
                <w:bCs/>
                <w:sz w:val="28"/>
                <w:szCs w:val="28"/>
                <w:lang w:eastAsia="lv-LV"/>
              </w:rPr>
              <w:t>463 625,08</w:t>
            </w:r>
          </w:p>
        </w:tc>
        <w:tc>
          <w:tcPr>
            <w:tcW w:w="1341" w:type="dxa"/>
            <w:shd w:val="clear" w:color="auto" w:fill="auto"/>
            <w:noWrap/>
            <w:vAlign w:val="bottom"/>
            <w:hideMark/>
          </w:tcPr>
          <w:p w14:paraId="003E4CD7" w14:textId="77777777" w:rsidR="00941457" w:rsidRPr="00E47318" w:rsidRDefault="00941457" w:rsidP="00E47318">
            <w:pPr>
              <w:spacing w:after="0" w:line="240" w:lineRule="auto"/>
              <w:jc w:val="center"/>
              <w:rPr>
                <w:rFonts w:ascii="Times New Roman" w:eastAsia="Times New Roman" w:hAnsi="Times New Roman"/>
                <w:b/>
                <w:bCs/>
                <w:sz w:val="28"/>
                <w:szCs w:val="28"/>
                <w:lang w:eastAsia="lv-LV"/>
              </w:rPr>
            </w:pPr>
            <w:r w:rsidRPr="00E47318">
              <w:rPr>
                <w:rFonts w:ascii="Times New Roman" w:eastAsia="Times New Roman" w:hAnsi="Times New Roman"/>
                <w:b/>
                <w:bCs/>
                <w:sz w:val="28"/>
                <w:szCs w:val="28"/>
                <w:lang w:eastAsia="lv-LV"/>
              </w:rPr>
              <w:t>10,00</w:t>
            </w:r>
          </w:p>
        </w:tc>
      </w:tr>
      <w:tr w:rsidR="00941457" w:rsidRPr="00E47318" w14:paraId="6EA628C0" w14:textId="77777777" w:rsidTr="00A9192E">
        <w:trPr>
          <w:trHeight w:val="274"/>
        </w:trPr>
        <w:tc>
          <w:tcPr>
            <w:tcW w:w="5670" w:type="dxa"/>
            <w:shd w:val="clear" w:color="auto" w:fill="auto"/>
            <w:vAlign w:val="bottom"/>
            <w:hideMark/>
          </w:tcPr>
          <w:p w14:paraId="0902E94E" w14:textId="77777777" w:rsidR="00941457" w:rsidRPr="00E47318" w:rsidRDefault="00941457" w:rsidP="00E47318">
            <w:pPr>
              <w:spacing w:after="0" w:line="240" w:lineRule="auto"/>
              <w:jc w:val="right"/>
              <w:rPr>
                <w:rFonts w:ascii="Times New Roman" w:eastAsia="Times New Roman" w:hAnsi="Times New Roman"/>
                <w:sz w:val="28"/>
                <w:szCs w:val="28"/>
                <w:lang w:eastAsia="lv-LV"/>
              </w:rPr>
            </w:pPr>
            <w:r w:rsidRPr="00E47318">
              <w:rPr>
                <w:rFonts w:ascii="Times New Roman" w:eastAsia="Times New Roman" w:hAnsi="Times New Roman"/>
                <w:sz w:val="28"/>
                <w:szCs w:val="28"/>
                <w:lang w:eastAsia="lv-LV"/>
              </w:rPr>
              <w:t xml:space="preserve">EK noteiktā finanšu korekcija 5% no līguma attiecināmajām izmaksām par  apakšniekiem </w:t>
            </w:r>
          </w:p>
        </w:tc>
        <w:tc>
          <w:tcPr>
            <w:tcW w:w="1701" w:type="dxa"/>
            <w:shd w:val="clear" w:color="auto" w:fill="auto"/>
            <w:vAlign w:val="bottom"/>
            <w:hideMark/>
          </w:tcPr>
          <w:p w14:paraId="4FBD0DE8" w14:textId="77777777" w:rsidR="00941457" w:rsidRPr="00E47318" w:rsidRDefault="00941457" w:rsidP="00E47318">
            <w:pPr>
              <w:spacing w:after="0" w:line="240" w:lineRule="auto"/>
              <w:jc w:val="right"/>
              <w:rPr>
                <w:rFonts w:ascii="Times New Roman" w:eastAsia="Times New Roman" w:hAnsi="Times New Roman"/>
                <w:sz w:val="28"/>
                <w:szCs w:val="28"/>
                <w:lang w:eastAsia="lv-LV"/>
              </w:rPr>
            </w:pPr>
            <w:r w:rsidRPr="00E47318">
              <w:rPr>
                <w:rFonts w:ascii="Times New Roman" w:eastAsia="Times New Roman" w:hAnsi="Times New Roman"/>
                <w:sz w:val="28"/>
                <w:szCs w:val="28"/>
                <w:lang w:eastAsia="lv-LV"/>
              </w:rPr>
              <w:t>231 812,54</w:t>
            </w:r>
          </w:p>
        </w:tc>
        <w:tc>
          <w:tcPr>
            <w:tcW w:w="1341" w:type="dxa"/>
            <w:shd w:val="clear" w:color="auto" w:fill="auto"/>
            <w:noWrap/>
            <w:vAlign w:val="bottom"/>
            <w:hideMark/>
          </w:tcPr>
          <w:p w14:paraId="22CB5C71" w14:textId="77777777" w:rsidR="00941457" w:rsidRPr="00E47318" w:rsidRDefault="00941457" w:rsidP="00E47318">
            <w:pPr>
              <w:spacing w:after="0" w:line="240" w:lineRule="auto"/>
              <w:jc w:val="center"/>
              <w:rPr>
                <w:rFonts w:ascii="Times New Roman" w:eastAsia="Times New Roman" w:hAnsi="Times New Roman"/>
                <w:sz w:val="28"/>
                <w:szCs w:val="28"/>
                <w:lang w:eastAsia="lv-LV"/>
              </w:rPr>
            </w:pPr>
            <w:r w:rsidRPr="00E47318">
              <w:rPr>
                <w:rFonts w:ascii="Times New Roman" w:eastAsia="Times New Roman" w:hAnsi="Times New Roman"/>
                <w:sz w:val="28"/>
                <w:szCs w:val="28"/>
                <w:lang w:eastAsia="lv-LV"/>
              </w:rPr>
              <w:t>5,00</w:t>
            </w:r>
          </w:p>
        </w:tc>
      </w:tr>
      <w:tr w:rsidR="00941457" w:rsidRPr="00E47318" w14:paraId="1207CEEF" w14:textId="77777777" w:rsidTr="00A9192E">
        <w:trPr>
          <w:trHeight w:val="660"/>
        </w:trPr>
        <w:tc>
          <w:tcPr>
            <w:tcW w:w="5670" w:type="dxa"/>
            <w:shd w:val="clear" w:color="auto" w:fill="auto"/>
            <w:vAlign w:val="bottom"/>
            <w:hideMark/>
          </w:tcPr>
          <w:p w14:paraId="77763573" w14:textId="14BF972B" w:rsidR="00941457" w:rsidRPr="00E47318" w:rsidRDefault="00941457" w:rsidP="00F704B0">
            <w:pPr>
              <w:spacing w:after="0" w:line="240" w:lineRule="auto"/>
              <w:jc w:val="right"/>
              <w:rPr>
                <w:rFonts w:ascii="Times New Roman" w:eastAsia="Times New Roman" w:hAnsi="Times New Roman"/>
                <w:sz w:val="28"/>
                <w:szCs w:val="28"/>
                <w:lang w:eastAsia="lv-LV"/>
              </w:rPr>
            </w:pPr>
            <w:r w:rsidRPr="00E47318">
              <w:rPr>
                <w:rFonts w:ascii="Times New Roman" w:eastAsia="Times New Roman" w:hAnsi="Times New Roman"/>
                <w:sz w:val="28"/>
                <w:szCs w:val="28"/>
                <w:lang w:eastAsia="lv-LV"/>
              </w:rPr>
              <w:t>EK noteiktā finanšu korekcija 5% no līgu</w:t>
            </w:r>
            <w:r w:rsidR="00F704B0">
              <w:rPr>
                <w:rFonts w:ascii="Times New Roman" w:eastAsia="Times New Roman" w:hAnsi="Times New Roman"/>
                <w:sz w:val="28"/>
                <w:szCs w:val="28"/>
                <w:lang w:eastAsia="lv-LV"/>
              </w:rPr>
              <w:t>ma attiecināmajām izmaksām par</w:t>
            </w:r>
            <w:r w:rsidR="00D06C01">
              <w:t xml:space="preserve"> </w:t>
            </w:r>
            <w:r w:rsidR="00D06C01" w:rsidRPr="00D06C01">
              <w:rPr>
                <w:rFonts w:ascii="Times New Roman" w:eastAsia="Times New Roman" w:hAnsi="Times New Roman"/>
                <w:sz w:val="28"/>
                <w:szCs w:val="28"/>
                <w:lang w:eastAsia="lv-LV"/>
              </w:rPr>
              <w:t>ārvalstnieku</w:t>
            </w:r>
            <w:r w:rsidR="00F704B0">
              <w:rPr>
                <w:rFonts w:ascii="Times New Roman" w:eastAsia="Times New Roman" w:hAnsi="Times New Roman"/>
                <w:sz w:val="28"/>
                <w:szCs w:val="28"/>
                <w:lang w:eastAsia="lv-LV"/>
              </w:rPr>
              <w:t>s</w:t>
            </w:r>
            <w:r w:rsidR="00D06C01" w:rsidRPr="00D06C01">
              <w:rPr>
                <w:rFonts w:ascii="Times New Roman" w:eastAsia="Times New Roman" w:hAnsi="Times New Roman"/>
                <w:sz w:val="28"/>
                <w:szCs w:val="28"/>
                <w:lang w:eastAsia="lv-LV"/>
              </w:rPr>
              <w:t xml:space="preserve"> ierobežojoš</w:t>
            </w:r>
            <w:r w:rsidR="00F704B0">
              <w:rPr>
                <w:rFonts w:ascii="Times New Roman" w:eastAsia="Times New Roman" w:hAnsi="Times New Roman"/>
                <w:sz w:val="28"/>
                <w:szCs w:val="28"/>
                <w:lang w:eastAsia="lv-LV"/>
              </w:rPr>
              <w:t>o</w:t>
            </w:r>
            <w:r w:rsidR="00D06C01" w:rsidRPr="00D06C01">
              <w:rPr>
                <w:rFonts w:ascii="Times New Roman" w:eastAsia="Times New Roman" w:hAnsi="Times New Roman"/>
                <w:sz w:val="28"/>
                <w:szCs w:val="28"/>
                <w:lang w:eastAsia="lv-LV"/>
              </w:rPr>
              <w:t xml:space="preserve"> prasību par sertifikātiem</w:t>
            </w:r>
          </w:p>
        </w:tc>
        <w:tc>
          <w:tcPr>
            <w:tcW w:w="1701" w:type="dxa"/>
            <w:shd w:val="clear" w:color="auto" w:fill="auto"/>
            <w:vAlign w:val="bottom"/>
            <w:hideMark/>
          </w:tcPr>
          <w:p w14:paraId="0CED659B" w14:textId="77777777" w:rsidR="00941457" w:rsidRPr="00E47318" w:rsidRDefault="00941457" w:rsidP="00E47318">
            <w:pPr>
              <w:spacing w:after="0" w:line="240" w:lineRule="auto"/>
              <w:jc w:val="right"/>
              <w:rPr>
                <w:rFonts w:ascii="Times New Roman" w:eastAsia="Times New Roman" w:hAnsi="Times New Roman"/>
                <w:sz w:val="28"/>
                <w:szCs w:val="28"/>
                <w:lang w:eastAsia="lv-LV"/>
              </w:rPr>
            </w:pPr>
            <w:r w:rsidRPr="00E47318">
              <w:rPr>
                <w:rFonts w:ascii="Times New Roman" w:eastAsia="Times New Roman" w:hAnsi="Times New Roman"/>
                <w:sz w:val="28"/>
                <w:szCs w:val="28"/>
                <w:lang w:eastAsia="lv-LV"/>
              </w:rPr>
              <w:t>231 812,54</w:t>
            </w:r>
          </w:p>
        </w:tc>
        <w:tc>
          <w:tcPr>
            <w:tcW w:w="1341" w:type="dxa"/>
            <w:shd w:val="clear" w:color="auto" w:fill="auto"/>
            <w:noWrap/>
            <w:vAlign w:val="bottom"/>
            <w:hideMark/>
          </w:tcPr>
          <w:p w14:paraId="0A5FA349" w14:textId="77777777" w:rsidR="00941457" w:rsidRPr="00E47318" w:rsidRDefault="00941457" w:rsidP="00E47318">
            <w:pPr>
              <w:spacing w:after="0" w:line="240" w:lineRule="auto"/>
              <w:jc w:val="center"/>
              <w:rPr>
                <w:rFonts w:ascii="Times New Roman" w:eastAsia="Times New Roman" w:hAnsi="Times New Roman"/>
                <w:sz w:val="28"/>
                <w:szCs w:val="28"/>
                <w:lang w:eastAsia="lv-LV"/>
              </w:rPr>
            </w:pPr>
            <w:r w:rsidRPr="00E47318">
              <w:rPr>
                <w:rFonts w:ascii="Times New Roman" w:eastAsia="Times New Roman" w:hAnsi="Times New Roman"/>
                <w:sz w:val="28"/>
                <w:szCs w:val="28"/>
                <w:lang w:eastAsia="lv-LV"/>
              </w:rPr>
              <w:t>5,00</w:t>
            </w:r>
          </w:p>
        </w:tc>
      </w:tr>
    </w:tbl>
    <w:p w14:paraId="509A6F21" w14:textId="77777777" w:rsidR="00941457" w:rsidRPr="00E47318" w:rsidRDefault="00941457" w:rsidP="00941457">
      <w:pPr>
        <w:rPr>
          <w:rFonts w:ascii="Times New Roman" w:hAnsi="Times New Roman"/>
          <w:noProof/>
        </w:rPr>
      </w:pPr>
    </w:p>
    <w:p w14:paraId="4FA629B1" w14:textId="77777777" w:rsidR="00941457" w:rsidRDefault="00941457" w:rsidP="00941457">
      <w:pPr>
        <w:pStyle w:val="Heading1"/>
        <w:widowControl w:val="0"/>
        <w:numPr>
          <w:ilvl w:val="0"/>
          <w:numId w:val="15"/>
        </w:numPr>
        <w:spacing w:after="120"/>
        <w:ind w:left="284" w:hanging="284"/>
        <w:jc w:val="center"/>
        <w:rPr>
          <w:iCs/>
          <w:noProof/>
        </w:rPr>
      </w:pPr>
      <w:r w:rsidRPr="00E47318">
        <w:rPr>
          <w:iCs/>
          <w:noProof/>
        </w:rPr>
        <w:t xml:space="preserve">EK audita gaitas apraksts </w:t>
      </w:r>
    </w:p>
    <w:p w14:paraId="349A49F0" w14:textId="77777777" w:rsidR="00941457" w:rsidRPr="00E47318" w:rsidRDefault="00941457" w:rsidP="00941457">
      <w:pPr>
        <w:pStyle w:val="Heading1"/>
        <w:widowControl w:val="0"/>
        <w:spacing w:after="120"/>
        <w:ind w:left="284" w:firstLine="0"/>
        <w:rPr>
          <w:iCs/>
          <w:noProof/>
        </w:rPr>
      </w:pPr>
    </w:p>
    <w:p w14:paraId="1E133F7A" w14:textId="0293DBAA" w:rsidR="00941457" w:rsidRPr="00E47318" w:rsidRDefault="00941457" w:rsidP="006E39FA">
      <w:pPr>
        <w:pStyle w:val="ListParagraph"/>
        <w:numPr>
          <w:ilvl w:val="0"/>
          <w:numId w:val="14"/>
        </w:numPr>
        <w:tabs>
          <w:tab w:val="left" w:pos="426"/>
        </w:tabs>
        <w:spacing w:after="120" w:line="240" w:lineRule="auto"/>
        <w:ind w:left="0" w:firstLine="0"/>
        <w:contextualSpacing w:val="0"/>
        <w:jc w:val="both"/>
        <w:rPr>
          <w:rFonts w:ascii="Times New Roman" w:hAnsi="Times New Roman"/>
          <w:sz w:val="28"/>
          <w:szCs w:val="28"/>
        </w:rPr>
      </w:pPr>
      <w:r w:rsidRPr="00E47318">
        <w:rPr>
          <w:rFonts w:ascii="Times New Roman" w:hAnsi="Times New Roman"/>
          <w:sz w:val="28"/>
          <w:szCs w:val="28"/>
        </w:rPr>
        <w:t>Laika posmā no 2013.gada 25. līdz 29.</w:t>
      </w:r>
      <w:r w:rsidR="00D06C01">
        <w:rPr>
          <w:rFonts w:ascii="Times New Roman" w:hAnsi="Times New Roman"/>
          <w:sz w:val="28"/>
          <w:szCs w:val="28"/>
        </w:rPr>
        <w:t>novembrim</w:t>
      </w:r>
      <w:r w:rsidR="00D06C01" w:rsidRPr="00E47318">
        <w:rPr>
          <w:rFonts w:ascii="Times New Roman" w:hAnsi="Times New Roman"/>
          <w:sz w:val="28"/>
          <w:szCs w:val="28"/>
        </w:rPr>
        <w:t xml:space="preserve"> </w:t>
      </w:r>
      <w:r w:rsidRPr="00E47318">
        <w:rPr>
          <w:rFonts w:ascii="Times New Roman" w:hAnsi="Times New Roman"/>
          <w:sz w:val="28"/>
          <w:szCs w:val="28"/>
        </w:rPr>
        <w:t>tika uzsākts EK audits Nr.2013/LV/REGIO/C2/1242/1 BKUS īstenotajā projektā Nr. 3DP/3.1.5.3.1/09/IPIA/VSMTVA/006. Audita rezultātā tika saņemts konstatējums Nr.4 attiecībā uz atklāto konkursu Nr. BKUS 2011/43 ERAF (turpmāk – Konkurss) par to, ka Konkursa nolikuma 3.2.1.punktā „</w:t>
      </w:r>
      <w:r w:rsidRPr="00E47318">
        <w:rPr>
          <w:rFonts w:ascii="Times New Roman" w:hAnsi="Times New Roman"/>
          <w:i/>
          <w:sz w:val="28"/>
          <w:szCs w:val="28"/>
        </w:rPr>
        <w:t xml:space="preserve">Piegādātājam – fiziskai vai juridiskai personai - vai piegādātāju apvienībai – piecos pēdējos gados </w:t>
      </w:r>
      <w:hyperlink r:id="rId8" w:history="1">
        <w:r w:rsidRPr="00E47318">
          <w:rPr>
            <w:rFonts w:ascii="Times New Roman" w:hAnsi="Times New Roman"/>
            <w:i/>
            <w:sz w:val="28"/>
            <w:szCs w:val="28"/>
          </w:rPr>
          <w:t>(2006., 2007., 2008</w:t>
        </w:r>
      </w:hyperlink>
      <w:r w:rsidRPr="00E47318">
        <w:rPr>
          <w:rFonts w:ascii="Times New Roman" w:hAnsi="Times New Roman"/>
          <w:i/>
          <w:sz w:val="28"/>
          <w:szCs w:val="28"/>
        </w:rPr>
        <w:t>., 2009., 2010. un 2011.gadā (līdz piedāvājumu iesniegšanas termiņa beigām)) ir jābūt galvenā būvuzņēmēja pieredzei vismaz trīs publisku ēku būvniecībā (darbi pabeigti, objekts nodots ekspluatācijā) ar platību vienādu vai lielāku, kāda ir Iepirkuma priekšmetam (vismaz 8000 m2), pie tam katra objekta līgumcena nav mazāka par Ls 3 000 000 (bez PVN)). Ar publiskām ēkām tiek saprastas tikai tādas ēkas, kuras atbilst Ministru kabineta 2008.gada 21.jūlija noteikumos Nr. 567 „Noteikumi par LBN 208-08 “Publiskas ēkas un būves”” noteiktajām prasībām publiskām ēkām. No šajā punktā minētajiem būvdarbiem vismaz viens ir veikts ēkā, kurā viss būvdarbu process nodrošināts, nepārtraucot objektā paredzētās funkcijas veikšanu lielākajā daļā ēkas kopējās platības</w:t>
      </w:r>
      <w:r w:rsidRPr="00E47318">
        <w:rPr>
          <w:rFonts w:ascii="Times New Roman" w:hAnsi="Times New Roman"/>
          <w:sz w:val="28"/>
          <w:szCs w:val="28"/>
        </w:rPr>
        <w:t>.” iekļautās prasības pretendentiem ir diskriminējošas un potenciālo pretendentu loku ierobežojošas. EK prasību „</w:t>
      </w:r>
      <w:r w:rsidRPr="00E47318">
        <w:rPr>
          <w:rFonts w:ascii="Times New Roman" w:hAnsi="Times New Roman"/>
          <w:i/>
          <w:sz w:val="28"/>
          <w:szCs w:val="28"/>
        </w:rPr>
        <w:t xml:space="preserve">Ar publiskām ēkām tiek saprastas tikai tādas ēkas, kuras atbilst Ministru kabineta 2008.gada 21.jūlija noteikumos Nr. 567 „Noteikumi par Latvijas būvnormatīvu LBN 208-08 “Publiskas ēkas un </w:t>
      </w:r>
      <w:r w:rsidRPr="00E47318">
        <w:rPr>
          <w:rFonts w:ascii="Times New Roman" w:hAnsi="Times New Roman"/>
          <w:i/>
          <w:sz w:val="28"/>
          <w:szCs w:val="28"/>
        </w:rPr>
        <w:lastRenderedPageBreak/>
        <w:t>būves”” noteiktajām prasībām publiskām ēkām</w:t>
      </w:r>
      <w:r w:rsidRPr="00E47318">
        <w:rPr>
          <w:rFonts w:ascii="Times New Roman" w:hAnsi="Times New Roman"/>
          <w:sz w:val="28"/>
          <w:szCs w:val="28"/>
        </w:rPr>
        <w:t xml:space="preserve">” uzskata par diskriminējošu, jo, viņuprāt, potenciālie ārvalstu pretendenti nebūtu varējuši piedalīties Konkursā, ņemot vērā to, ka šo prasību nevarētu izpildīt. Ārvalstu pretendentiem varētu nebūt pieredzes publisku ēku būvniecībā, kas uzbūvētas atbilstoši LBN noteiktajam. Saskaņā ar iepriekš minēto DG REGIO noteica 25% korekciju būvniecības līgumam. </w:t>
      </w:r>
    </w:p>
    <w:p w14:paraId="6376E324" w14:textId="7A05508B" w:rsidR="00941457" w:rsidRPr="00E47318" w:rsidRDefault="00941457" w:rsidP="006E39FA">
      <w:pPr>
        <w:pStyle w:val="ListParagraph"/>
        <w:numPr>
          <w:ilvl w:val="0"/>
          <w:numId w:val="14"/>
        </w:numPr>
        <w:tabs>
          <w:tab w:val="left" w:pos="426"/>
        </w:tabs>
        <w:spacing w:after="120" w:line="240" w:lineRule="auto"/>
        <w:ind w:left="0" w:firstLine="0"/>
        <w:contextualSpacing w:val="0"/>
        <w:jc w:val="both"/>
        <w:rPr>
          <w:rFonts w:ascii="Times New Roman" w:hAnsi="Times New Roman"/>
          <w:sz w:val="28"/>
          <w:szCs w:val="28"/>
        </w:rPr>
      </w:pPr>
      <w:r w:rsidRPr="00E47318">
        <w:rPr>
          <w:rFonts w:ascii="Times New Roman" w:hAnsi="Times New Roman"/>
          <w:sz w:val="28"/>
          <w:szCs w:val="28"/>
        </w:rPr>
        <w:t xml:space="preserve">Latvijas puse nav piekritusi EK konstatējumam, pamatojot, ka </w:t>
      </w:r>
      <w:r w:rsidR="00927134" w:rsidRPr="00E47318">
        <w:rPr>
          <w:rFonts w:ascii="Times New Roman" w:hAnsi="Times New Roman"/>
          <w:sz w:val="28"/>
          <w:szCs w:val="28"/>
        </w:rPr>
        <w:t>prasīb</w:t>
      </w:r>
      <w:r w:rsidR="00927134">
        <w:rPr>
          <w:rFonts w:ascii="Times New Roman" w:hAnsi="Times New Roman"/>
          <w:sz w:val="28"/>
          <w:szCs w:val="28"/>
        </w:rPr>
        <w:t>a</w:t>
      </w:r>
      <w:r w:rsidR="00927134" w:rsidRPr="00E47318">
        <w:rPr>
          <w:rFonts w:ascii="Times New Roman" w:hAnsi="Times New Roman"/>
          <w:sz w:val="28"/>
          <w:szCs w:val="28"/>
        </w:rPr>
        <w:t xml:space="preserve"> </w:t>
      </w:r>
      <w:r w:rsidRPr="00E47318">
        <w:rPr>
          <w:rFonts w:ascii="Times New Roman" w:hAnsi="Times New Roman"/>
          <w:sz w:val="28"/>
          <w:szCs w:val="28"/>
        </w:rPr>
        <w:t>„</w:t>
      </w:r>
      <w:r w:rsidRPr="00E47318">
        <w:rPr>
          <w:rFonts w:ascii="Times New Roman" w:hAnsi="Times New Roman"/>
          <w:i/>
          <w:sz w:val="28"/>
          <w:szCs w:val="28"/>
        </w:rPr>
        <w:t>Ar publiskām ēkām tiek saprastas tikai tādas ēkas, kuras atbilst Ministru kabineta 2008.gada 21.jūlija noteikumos Nr. 567 „Noteikumi par Latvijas būvnormatīvu LBN 208-08 “Publiskas ēkas un būves”” noteiktajām prasībām publiskām ēkām</w:t>
      </w:r>
      <w:r w:rsidRPr="00E47318">
        <w:rPr>
          <w:rFonts w:ascii="Times New Roman" w:hAnsi="Times New Roman"/>
          <w:sz w:val="28"/>
          <w:szCs w:val="28"/>
        </w:rPr>
        <w:t xml:space="preserve">” ir </w:t>
      </w:r>
      <w:r w:rsidR="00927134" w:rsidRPr="00E47318">
        <w:rPr>
          <w:rFonts w:ascii="Times New Roman" w:hAnsi="Times New Roman"/>
          <w:sz w:val="28"/>
          <w:szCs w:val="28"/>
        </w:rPr>
        <w:t>paskaidrojoš</w:t>
      </w:r>
      <w:r w:rsidR="00927134">
        <w:rPr>
          <w:rFonts w:ascii="Times New Roman" w:hAnsi="Times New Roman"/>
          <w:sz w:val="28"/>
          <w:szCs w:val="28"/>
        </w:rPr>
        <w:t>a</w:t>
      </w:r>
      <w:r w:rsidR="00927134" w:rsidRPr="00E47318">
        <w:rPr>
          <w:rFonts w:ascii="Times New Roman" w:hAnsi="Times New Roman"/>
          <w:sz w:val="28"/>
          <w:szCs w:val="28"/>
        </w:rPr>
        <w:t xml:space="preserve"> </w:t>
      </w:r>
      <w:r w:rsidRPr="00E47318">
        <w:rPr>
          <w:rFonts w:ascii="Times New Roman" w:hAnsi="Times New Roman"/>
          <w:sz w:val="28"/>
          <w:szCs w:val="28"/>
        </w:rPr>
        <w:t xml:space="preserve">un </w:t>
      </w:r>
      <w:r w:rsidR="00927134" w:rsidRPr="00E47318">
        <w:rPr>
          <w:rFonts w:ascii="Times New Roman" w:hAnsi="Times New Roman"/>
          <w:sz w:val="28"/>
          <w:szCs w:val="28"/>
        </w:rPr>
        <w:t>attiec</w:t>
      </w:r>
      <w:r w:rsidR="00927134">
        <w:rPr>
          <w:rFonts w:ascii="Times New Roman" w:hAnsi="Times New Roman"/>
          <w:sz w:val="28"/>
          <w:szCs w:val="28"/>
        </w:rPr>
        <w:t>a</w:t>
      </w:r>
      <w:r w:rsidR="00927134" w:rsidRPr="00E47318">
        <w:rPr>
          <w:rFonts w:ascii="Times New Roman" w:hAnsi="Times New Roman"/>
          <w:sz w:val="28"/>
          <w:szCs w:val="28"/>
        </w:rPr>
        <w:t xml:space="preserve">s </w:t>
      </w:r>
      <w:r w:rsidRPr="00E47318">
        <w:rPr>
          <w:rFonts w:ascii="Times New Roman" w:hAnsi="Times New Roman"/>
          <w:sz w:val="28"/>
          <w:szCs w:val="28"/>
        </w:rPr>
        <w:t>uz Latvijas būvnormatīvā LBN 208-08 “Publiskas ēkas un būves” (turpmāk – LBN 208-08) sniegto definīciju, ka publiskā ēka ir ēka vai būve, kurā vairāk nekā 50 % ēkas vai būves kopējās platības ir publiskas telpas vai telpas publiskas funkcijas nodrošināšanai atbilstoši 1.pielikumam.</w:t>
      </w:r>
    </w:p>
    <w:p w14:paraId="62F4C247" w14:textId="2EAA200B" w:rsidR="00941457" w:rsidRPr="00E47318" w:rsidRDefault="00941457" w:rsidP="006E39FA">
      <w:pPr>
        <w:pStyle w:val="ListParagraph"/>
        <w:numPr>
          <w:ilvl w:val="0"/>
          <w:numId w:val="14"/>
        </w:numPr>
        <w:tabs>
          <w:tab w:val="left" w:pos="426"/>
        </w:tabs>
        <w:spacing w:after="120" w:line="240" w:lineRule="auto"/>
        <w:ind w:left="0" w:firstLine="0"/>
        <w:contextualSpacing w:val="0"/>
        <w:jc w:val="both"/>
        <w:rPr>
          <w:rFonts w:ascii="Times New Roman" w:hAnsi="Times New Roman"/>
          <w:sz w:val="28"/>
          <w:szCs w:val="28"/>
        </w:rPr>
      </w:pPr>
      <w:r w:rsidRPr="00E47318">
        <w:rPr>
          <w:rFonts w:ascii="Times New Roman" w:hAnsi="Times New Roman"/>
          <w:sz w:val="28"/>
          <w:szCs w:val="28"/>
        </w:rPr>
        <w:t>Pēc viedokļu apmaiņas rakstiskās procedūras veidā 2015.gada 17.decembrī notika viedokļu saskaņošanas sanāksme Briselē, kurā, ņemot vērā Latvijas puses sniegtos argumentus un pierādījumus</w:t>
      </w:r>
      <w:r w:rsidR="00927134">
        <w:rPr>
          <w:rFonts w:ascii="Times New Roman" w:hAnsi="Times New Roman"/>
          <w:sz w:val="28"/>
          <w:szCs w:val="28"/>
        </w:rPr>
        <w:t>,</w:t>
      </w:r>
      <w:r w:rsidRPr="00E47318">
        <w:rPr>
          <w:rFonts w:ascii="Times New Roman" w:hAnsi="Times New Roman"/>
          <w:sz w:val="28"/>
          <w:szCs w:val="28"/>
        </w:rPr>
        <w:t xml:space="preserve"> EK piedāvāja iespēju finanšu korekciju samazināt uz 10%, bet paturot spēkā iespēju to mainīt atbilstoši EK iesaistīto atbildīgo iestāžu hierarhiskajam lēmumam.</w:t>
      </w:r>
    </w:p>
    <w:p w14:paraId="62CE14B4" w14:textId="77777777" w:rsidR="00941457" w:rsidRPr="00E47318" w:rsidRDefault="00941457" w:rsidP="006E39FA">
      <w:pPr>
        <w:pStyle w:val="ListParagraph"/>
        <w:numPr>
          <w:ilvl w:val="0"/>
          <w:numId w:val="14"/>
        </w:numPr>
        <w:tabs>
          <w:tab w:val="left" w:pos="426"/>
        </w:tabs>
        <w:spacing w:after="120" w:line="240" w:lineRule="auto"/>
        <w:ind w:left="0" w:firstLine="0"/>
        <w:contextualSpacing w:val="0"/>
        <w:jc w:val="both"/>
        <w:rPr>
          <w:rFonts w:ascii="Times New Roman" w:hAnsi="Times New Roman"/>
          <w:sz w:val="28"/>
          <w:szCs w:val="28"/>
        </w:rPr>
      </w:pPr>
      <w:r w:rsidRPr="00E47318">
        <w:rPr>
          <w:rFonts w:ascii="Times New Roman" w:hAnsi="Times New Roman"/>
          <w:sz w:val="28"/>
          <w:szCs w:val="28"/>
        </w:rPr>
        <w:t>2016.gada 6.jūlijā tika saņemta EK vēstule, kurā tā informēja Latvijas pusi, ka</w:t>
      </w:r>
      <w:r w:rsidR="00927134">
        <w:rPr>
          <w:rFonts w:ascii="Times New Roman" w:hAnsi="Times New Roman"/>
          <w:sz w:val="28"/>
          <w:szCs w:val="28"/>
        </w:rPr>
        <w:t>,</w:t>
      </w:r>
      <w:r w:rsidRPr="00E47318">
        <w:rPr>
          <w:rFonts w:ascii="Times New Roman" w:hAnsi="Times New Roman"/>
          <w:sz w:val="28"/>
          <w:szCs w:val="28"/>
        </w:rPr>
        <w:t xml:space="preserve"> veicot papildus analīzi un izvērtējot papildus informāciju, tā pieņēmusi lēmumu par 10% finanšu korekcijas piemērošanu 2014.gada 12.novembra korekcijas par 25% vietā. Korekcija samazināta saskaņā ar EK 19.12.2013 lēmuma C(2013) 9527 ar ko izstrādā un apstiprina pamatnostādnes par tādu finanšu korekciju noteikšanu, kuras publiskā iepirkuma noteikumu neievērošanas gadījumā Komisija veic attiecībā uz izdevumiem, ko finansē Savienība saskaņā ar dalīto pārvaldību (turpmāk – lēmums C(2013) 9527) pielikuma 9.punktu, kā arī ņemot vērā Latvijas puses argumentu, ka pie līdzvērtīgiem atklāta būvniecības konkursa atlases nosacījumiem Latvijā ir bijis jau precedents, ka būvniecības darbiem ir tikuši piesaistīti ārvalstu izpildītāji Amerikas Savienoto Valstu vēstniecības Latvijā celtniecībā.</w:t>
      </w:r>
    </w:p>
    <w:p w14:paraId="16FD2159" w14:textId="77777777" w:rsidR="00941457" w:rsidRPr="00E47318" w:rsidRDefault="00941457" w:rsidP="006E39FA">
      <w:pPr>
        <w:pStyle w:val="ListParagraph"/>
        <w:numPr>
          <w:ilvl w:val="0"/>
          <w:numId w:val="14"/>
        </w:numPr>
        <w:tabs>
          <w:tab w:val="left" w:pos="426"/>
        </w:tabs>
        <w:spacing w:after="120" w:line="240" w:lineRule="auto"/>
        <w:ind w:left="0" w:firstLine="0"/>
        <w:contextualSpacing w:val="0"/>
        <w:jc w:val="both"/>
        <w:rPr>
          <w:rFonts w:ascii="Times New Roman" w:hAnsi="Times New Roman"/>
          <w:sz w:val="28"/>
          <w:szCs w:val="28"/>
        </w:rPr>
      </w:pPr>
      <w:r w:rsidRPr="00E47318">
        <w:rPr>
          <w:rFonts w:ascii="Times New Roman" w:hAnsi="Times New Roman"/>
          <w:sz w:val="28"/>
          <w:szCs w:val="28"/>
        </w:rPr>
        <w:t>2016.gada 8.augustā Latvija ir nosūtījusi atbildes vēstuli EK, ka 10% korekcija šajā konkrētajā gadījumā, pie esošajiem nosacījumiem ir nesamērīga un nevar tikt uztverta kā pamatota.</w:t>
      </w:r>
    </w:p>
    <w:p w14:paraId="07F512A6" w14:textId="77777777" w:rsidR="00941457" w:rsidRPr="00E47318" w:rsidRDefault="00941457" w:rsidP="006E39FA">
      <w:pPr>
        <w:pStyle w:val="ListParagraph"/>
        <w:numPr>
          <w:ilvl w:val="0"/>
          <w:numId w:val="14"/>
        </w:numPr>
        <w:tabs>
          <w:tab w:val="left" w:pos="426"/>
        </w:tabs>
        <w:spacing w:after="120" w:line="240" w:lineRule="auto"/>
        <w:ind w:left="0" w:firstLine="0"/>
        <w:contextualSpacing w:val="0"/>
        <w:jc w:val="both"/>
        <w:rPr>
          <w:rFonts w:ascii="Times New Roman" w:hAnsi="Times New Roman"/>
          <w:sz w:val="28"/>
          <w:szCs w:val="28"/>
        </w:rPr>
      </w:pPr>
      <w:r w:rsidRPr="00E47318">
        <w:rPr>
          <w:rFonts w:ascii="Times New Roman" w:hAnsi="Times New Roman"/>
          <w:sz w:val="28"/>
          <w:szCs w:val="28"/>
        </w:rPr>
        <w:t xml:space="preserve">Tā kā pēc vairākkārtīgām diskusijām un tikšanām puses </w:t>
      </w:r>
      <w:r w:rsidR="00A9192E">
        <w:rPr>
          <w:rFonts w:ascii="Times New Roman" w:hAnsi="Times New Roman"/>
          <w:sz w:val="28"/>
          <w:szCs w:val="28"/>
        </w:rPr>
        <w:t>nevarēja</w:t>
      </w:r>
      <w:r w:rsidRPr="00E47318">
        <w:rPr>
          <w:rFonts w:ascii="Times New Roman" w:hAnsi="Times New Roman"/>
          <w:sz w:val="28"/>
          <w:szCs w:val="28"/>
        </w:rPr>
        <w:t xml:space="preserve"> vienoties, tad 2016.gada 24.oktobrī Br</w:t>
      </w:r>
      <w:r w:rsidR="00A9192E">
        <w:rPr>
          <w:rFonts w:ascii="Times New Roman" w:hAnsi="Times New Roman"/>
          <w:sz w:val="28"/>
          <w:szCs w:val="28"/>
        </w:rPr>
        <w:t>iselē, atbilstoši Padomes Regulas</w:t>
      </w:r>
      <w:r w:rsidRPr="00E47318">
        <w:rPr>
          <w:rFonts w:ascii="Times New Roman" w:hAnsi="Times New Roman"/>
          <w:sz w:val="28"/>
          <w:szCs w:val="28"/>
        </w:rPr>
        <w:t xml:space="preserve"> (EK) Nr.1083/2006 (2006. gada 11. jūlijs), ar ko paredz vispārīgus noteikumus par Eiropas Reģionālās attīstības fondu, Eiropas Sociālo fondu un Kohēzijas fondu un atceļ Regu</w:t>
      </w:r>
      <w:r w:rsidR="00A9192E">
        <w:rPr>
          <w:rFonts w:ascii="Times New Roman" w:hAnsi="Times New Roman"/>
          <w:sz w:val="28"/>
          <w:szCs w:val="28"/>
        </w:rPr>
        <w:t>lu (EK) Nr. 1260/1999 100.pantā</w:t>
      </w:r>
      <w:r w:rsidRPr="00E47318">
        <w:rPr>
          <w:rFonts w:ascii="Times New Roman" w:hAnsi="Times New Roman"/>
          <w:sz w:val="28"/>
          <w:szCs w:val="28"/>
        </w:rPr>
        <w:t xml:space="preserve"> (turpmāk – Padomes Regula Nr.1083/2006) noteiktajam, tika uzsākta noklausīšanās procedūra, kurā piedalījās EK, FM, VM, IUB un BKUS pārstāvji. Sanāksmē EK un Latvijas puse turpināja sarunas par </w:t>
      </w:r>
      <w:r w:rsidRPr="00E47318">
        <w:rPr>
          <w:rFonts w:ascii="Times New Roman" w:hAnsi="Times New Roman"/>
          <w:sz w:val="28"/>
          <w:szCs w:val="28"/>
        </w:rPr>
        <w:lastRenderedPageBreak/>
        <w:t>iespējamo neatbilstību un korekcijas apjomu. Sanāksmes rezultātā EK savu pozīciju</w:t>
      </w:r>
      <w:r w:rsidR="00A9192E">
        <w:rPr>
          <w:rFonts w:ascii="Times New Roman" w:hAnsi="Times New Roman"/>
          <w:sz w:val="28"/>
          <w:szCs w:val="28"/>
        </w:rPr>
        <w:t xml:space="preserve"> nemainīja</w:t>
      </w:r>
      <w:r w:rsidRPr="00E47318">
        <w:rPr>
          <w:rFonts w:ascii="Times New Roman" w:hAnsi="Times New Roman"/>
          <w:sz w:val="28"/>
          <w:szCs w:val="28"/>
        </w:rPr>
        <w:t>.</w:t>
      </w:r>
    </w:p>
    <w:p w14:paraId="5FD93070" w14:textId="77777777" w:rsidR="00941457" w:rsidRPr="00E47318" w:rsidRDefault="00941457" w:rsidP="00941457">
      <w:pPr>
        <w:rPr>
          <w:rFonts w:ascii="Times New Roman" w:hAnsi="Times New Roman"/>
          <w:noProof/>
        </w:rPr>
      </w:pPr>
    </w:p>
    <w:p w14:paraId="2A241321" w14:textId="77777777" w:rsidR="00941457" w:rsidRDefault="00941457" w:rsidP="00941457">
      <w:pPr>
        <w:pStyle w:val="Heading1"/>
        <w:widowControl w:val="0"/>
        <w:numPr>
          <w:ilvl w:val="0"/>
          <w:numId w:val="15"/>
        </w:numPr>
        <w:spacing w:after="120"/>
        <w:ind w:left="284" w:hanging="284"/>
        <w:jc w:val="center"/>
        <w:rPr>
          <w:iCs/>
          <w:noProof/>
        </w:rPr>
      </w:pPr>
      <w:r w:rsidRPr="00E47318">
        <w:rPr>
          <w:iCs/>
          <w:noProof/>
        </w:rPr>
        <w:t xml:space="preserve">EK argumentācijas apraksts </w:t>
      </w:r>
    </w:p>
    <w:p w14:paraId="44FE95AE" w14:textId="77777777" w:rsidR="00941457" w:rsidRPr="00E47318" w:rsidRDefault="00941457" w:rsidP="00941457"/>
    <w:p w14:paraId="75C112FE" w14:textId="77777777" w:rsidR="00941457" w:rsidRPr="00E47318" w:rsidRDefault="00941457" w:rsidP="006E39FA">
      <w:pPr>
        <w:pStyle w:val="ListParagraph"/>
        <w:numPr>
          <w:ilvl w:val="0"/>
          <w:numId w:val="14"/>
        </w:numPr>
        <w:tabs>
          <w:tab w:val="left" w:pos="426"/>
        </w:tabs>
        <w:spacing w:after="120" w:line="240" w:lineRule="auto"/>
        <w:ind w:left="0" w:firstLine="0"/>
        <w:contextualSpacing w:val="0"/>
        <w:jc w:val="both"/>
        <w:rPr>
          <w:rFonts w:ascii="Times New Roman" w:hAnsi="Times New Roman"/>
          <w:sz w:val="28"/>
          <w:szCs w:val="28"/>
        </w:rPr>
      </w:pPr>
      <w:r w:rsidRPr="00E47318">
        <w:rPr>
          <w:rFonts w:ascii="Times New Roman" w:hAnsi="Times New Roman"/>
          <w:sz w:val="28"/>
          <w:szCs w:val="28"/>
        </w:rPr>
        <w:t>EK norāda</w:t>
      </w:r>
      <w:r>
        <w:rPr>
          <w:rFonts w:ascii="Times New Roman" w:hAnsi="Times New Roman"/>
          <w:sz w:val="28"/>
          <w:szCs w:val="28"/>
        </w:rPr>
        <w:t>, ka</w:t>
      </w:r>
      <w:r w:rsidRPr="00E47318">
        <w:rPr>
          <w:rFonts w:ascii="Times New Roman" w:hAnsi="Times New Roman"/>
          <w:sz w:val="28"/>
          <w:szCs w:val="28"/>
        </w:rPr>
        <w:t xml:space="preserve"> argumenti ir šādi: </w:t>
      </w:r>
    </w:p>
    <w:p w14:paraId="0B0291DD" w14:textId="7CAE416A" w:rsidR="00941457" w:rsidRPr="00E47318" w:rsidRDefault="00671F4F" w:rsidP="006E39FA">
      <w:pPr>
        <w:pStyle w:val="ListParagraph"/>
        <w:numPr>
          <w:ilvl w:val="1"/>
          <w:numId w:val="14"/>
        </w:numPr>
        <w:tabs>
          <w:tab w:val="left" w:pos="1134"/>
        </w:tabs>
        <w:spacing w:after="120" w:line="240" w:lineRule="auto"/>
        <w:ind w:left="426" w:firstLine="0"/>
        <w:contextualSpacing w:val="0"/>
        <w:jc w:val="both"/>
        <w:rPr>
          <w:rFonts w:ascii="Times New Roman" w:hAnsi="Times New Roman"/>
          <w:sz w:val="28"/>
          <w:szCs w:val="28"/>
        </w:rPr>
      </w:pPr>
      <w:r>
        <w:rPr>
          <w:rFonts w:ascii="Times New Roman" w:hAnsi="Times New Roman"/>
          <w:sz w:val="28"/>
          <w:szCs w:val="28"/>
        </w:rPr>
        <w:t>LBN 208-08 tiek uztverts kā K</w:t>
      </w:r>
      <w:r w:rsidR="00941457" w:rsidRPr="00E47318">
        <w:rPr>
          <w:rFonts w:ascii="Times New Roman" w:hAnsi="Times New Roman"/>
          <w:sz w:val="28"/>
          <w:szCs w:val="28"/>
        </w:rPr>
        <w:t>onkursa nolikuma sastāvdaļa Eiropas Parlamenta un Padomes Direktīvas 2004/18/EK (2004. gada 31. marts) par to, kā koordinēt būvdarbu valsts līgumu, piegādes valsts līgumu un pakalpojumu valsts līgumu slēgšanas tiesību piešķiršanas procedūru (turpmāk – Direktīva 2004/18/EC) 23.panta 1. un 3. paragrāfa izpratnē. Tādējādi tehniskai specifikācijai noteikti būtu jābūt papildinātai ir vārdiem “vai ekvivalents”;</w:t>
      </w:r>
    </w:p>
    <w:p w14:paraId="7CA27ADC" w14:textId="1FE11D8E" w:rsidR="00941457" w:rsidRPr="00E47318" w:rsidRDefault="00941457" w:rsidP="006E39FA">
      <w:pPr>
        <w:pStyle w:val="ListParagraph"/>
        <w:numPr>
          <w:ilvl w:val="1"/>
          <w:numId w:val="14"/>
        </w:numPr>
        <w:tabs>
          <w:tab w:val="left" w:pos="1134"/>
        </w:tabs>
        <w:spacing w:after="120" w:line="240" w:lineRule="auto"/>
        <w:ind w:left="426" w:firstLine="0"/>
        <w:contextualSpacing w:val="0"/>
        <w:jc w:val="both"/>
        <w:rPr>
          <w:rFonts w:ascii="Times New Roman" w:hAnsi="Times New Roman"/>
          <w:sz w:val="28"/>
          <w:szCs w:val="28"/>
        </w:rPr>
      </w:pPr>
      <w:r w:rsidRPr="00E47318">
        <w:rPr>
          <w:rFonts w:ascii="Times New Roman" w:hAnsi="Times New Roman"/>
          <w:sz w:val="28"/>
          <w:szCs w:val="28"/>
        </w:rPr>
        <w:t>Iepriekš minētais faktiski attur tās kompānijas, kurām nav iepriekšējas būvniecības pieredzes Latvijā, iesniegt savus piedāvājumus, neskatoties uz to, ka tām ir gan kapacitāte, gan pieredze šo darbu izpildē, kuru tās varētu apliecināt ar publisko ēku būvniecību citās ES dalībvalstīs. Šajā situācijā, pat ja tehniskās specifikācijas prasības no formālās puses nav diskriminējošas, faktiski tā ir labvēlīgāka Latvijas izpildītājiem, tā k</w:t>
      </w:r>
      <w:r w:rsidR="00671F4F">
        <w:rPr>
          <w:rFonts w:ascii="Times New Roman" w:hAnsi="Times New Roman"/>
          <w:sz w:val="28"/>
          <w:szCs w:val="28"/>
        </w:rPr>
        <w:t>a tie automātiski var izpildīt K</w:t>
      </w:r>
      <w:r w:rsidRPr="00E47318">
        <w:rPr>
          <w:rFonts w:ascii="Times New Roman" w:hAnsi="Times New Roman"/>
          <w:sz w:val="28"/>
          <w:szCs w:val="28"/>
        </w:rPr>
        <w:t>onkursa nolikuma nosacījumus;</w:t>
      </w:r>
    </w:p>
    <w:p w14:paraId="0050573E" w14:textId="77777777" w:rsidR="00941457" w:rsidRPr="00E47318" w:rsidRDefault="00941457" w:rsidP="006E39FA">
      <w:pPr>
        <w:pStyle w:val="ListParagraph"/>
        <w:numPr>
          <w:ilvl w:val="1"/>
          <w:numId w:val="14"/>
        </w:numPr>
        <w:tabs>
          <w:tab w:val="left" w:pos="1134"/>
        </w:tabs>
        <w:spacing w:after="120" w:line="240" w:lineRule="auto"/>
        <w:ind w:left="426" w:firstLine="0"/>
        <w:contextualSpacing w:val="0"/>
        <w:jc w:val="both"/>
        <w:rPr>
          <w:rFonts w:ascii="Times New Roman" w:hAnsi="Times New Roman"/>
          <w:sz w:val="28"/>
          <w:szCs w:val="28"/>
        </w:rPr>
      </w:pPr>
      <w:r w:rsidRPr="00E47318">
        <w:rPr>
          <w:rFonts w:ascii="Times New Roman" w:hAnsi="Times New Roman"/>
          <w:sz w:val="28"/>
          <w:szCs w:val="28"/>
        </w:rPr>
        <w:t>Esošajā situācijā vārdu “vai ekvivalents” lietošana ir būtiski nozīmīga, kā tas ir noteikts Direktīvas 2004/18/EC 23.pantā (3)(a), jo tas nodrošina līdzvērtīgu pieeju visiem pretendentiem.</w:t>
      </w:r>
    </w:p>
    <w:p w14:paraId="252F88D1" w14:textId="549D97C0" w:rsidR="00941457" w:rsidRPr="00E47318" w:rsidRDefault="00941457" w:rsidP="006E39FA">
      <w:pPr>
        <w:pStyle w:val="ListParagraph"/>
        <w:numPr>
          <w:ilvl w:val="0"/>
          <w:numId w:val="14"/>
        </w:numPr>
        <w:tabs>
          <w:tab w:val="left" w:pos="426"/>
        </w:tabs>
        <w:spacing w:after="120" w:line="240" w:lineRule="auto"/>
        <w:ind w:left="0" w:firstLine="0"/>
        <w:contextualSpacing w:val="0"/>
        <w:jc w:val="both"/>
        <w:rPr>
          <w:rFonts w:ascii="Times New Roman" w:hAnsi="Times New Roman"/>
          <w:sz w:val="28"/>
          <w:szCs w:val="28"/>
        </w:rPr>
      </w:pPr>
      <w:r w:rsidRPr="00E47318">
        <w:rPr>
          <w:rFonts w:ascii="Times New Roman" w:hAnsi="Times New Roman"/>
          <w:sz w:val="28"/>
          <w:szCs w:val="28"/>
        </w:rPr>
        <w:t>Saskaņā ar esošajiem skaidrojumiem un izvērtējot visus Latvijas institūciju papildu iesniegtos dokumentus, EK nolemj, ka 10% korekcija ir pamatota saskaņā ar lēmuma C(2013) 9527 pielikuma 9.punktu, jo LBN noteikto standartu izmantošana ir pretrunā ar  Direktīvas 2004/18/EK 2.panta 44(2), 48(2)(a)(i) un 23(1) lī</w:t>
      </w:r>
      <w:r w:rsidR="00671F4F">
        <w:rPr>
          <w:rFonts w:ascii="Times New Roman" w:hAnsi="Times New Roman"/>
          <w:sz w:val="28"/>
          <w:szCs w:val="28"/>
        </w:rPr>
        <w:t>dz (3) punktos noteikto, tā ka K</w:t>
      </w:r>
      <w:r w:rsidRPr="00E47318">
        <w:rPr>
          <w:rFonts w:ascii="Times New Roman" w:hAnsi="Times New Roman"/>
          <w:sz w:val="28"/>
          <w:szCs w:val="28"/>
        </w:rPr>
        <w:t xml:space="preserve">onkursa nolikumā nav minēts līdzvērtīgs standarts. </w:t>
      </w:r>
    </w:p>
    <w:p w14:paraId="2BA0829C" w14:textId="77777777" w:rsidR="00941457" w:rsidRPr="00E47318" w:rsidRDefault="00941457" w:rsidP="00941457">
      <w:pPr>
        <w:rPr>
          <w:rFonts w:ascii="Times New Roman" w:hAnsi="Times New Roman"/>
        </w:rPr>
      </w:pPr>
    </w:p>
    <w:p w14:paraId="47BF63E0" w14:textId="77777777" w:rsidR="00941457" w:rsidRPr="00E47318" w:rsidRDefault="00941457" w:rsidP="00941457">
      <w:pPr>
        <w:pStyle w:val="Heading1"/>
        <w:widowControl w:val="0"/>
        <w:numPr>
          <w:ilvl w:val="0"/>
          <w:numId w:val="15"/>
        </w:numPr>
        <w:spacing w:after="120"/>
        <w:ind w:left="284" w:hanging="284"/>
        <w:jc w:val="center"/>
        <w:rPr>
          <w:iCs/>
          <w:noProof/>
        </w:rPr>
      </w:pPr>
      <w:r w:rsidRPr="00E47318">
        <w:rPr>
          <w:iCs/>
          <w:noProof/>
        </w:rPr>
        <w:t xml:space="preserve">Latvijas puses argumentācijas apraksts </w:t>
      </w:r>
    </w:p>
    <w:p w14:paraId="146773FA" w14:textId="77777777" w:rsidR="00941457" w:rsidRPr="00E47318" w:rsidRDefault="00941457" w:rsidP="00941457">
      <w:pPr>
        <w:rPr>
          <w:rFonts w:ascii="Times New Roman" w:hAnsi="Times New Roman"/>
          <w:b/>
        </w:rPr>
      </w:pPr>
    </w:p>
    <w:p w14:paraId="5FD8EB00" w14:textId="15171169" w:rsidR="00941457" w:rsidRPr="00E47318" w:rsidRDefault="00941457" w:rsidP="006E39FA">
      <w:pPr>
        <w:pStyle w:val="ListParagraph"/>
        <w:numPr>
          <w:ilvl w:val="0"/>
          <w:numId w:val="14"/>
        </w:numPr>
        <w:tabs>
          <w:tab w:val="left" w:pos="426"/>
        </w:tabs>
        <w:spacing w:after="120" w:line="240" w:lineRule="auto"/>
        <w:ind w:left="0" w:firstLine="0"/>
        <w:contextualSpacing w:val="0"/>
        <w:jc w:val="both"/>
        <w:rPr>
          <w:rFonts w:ascii="Times New Roman" w:hAnsi="Times New Roman"/>
          <w:b/>
        </w:rPr>
      </w:pPr>
      <w:r w:rsidRPr="00E47318">
        <w:rPr>
          <w:rFonts w:ascii="Times New Roman" w:hAnsi="Times New Roman"/>
          <w:sz w:val="28"/>
          <w:szCs w:val="28"/>
        </w:rPr>
        <w:t>BKUS sadarbībā ar citām atbildīgajām iestādēm (VM, FM, CFLA un IUB) vairākkārtīgi rakstiski sniedza papildu informāciju un skaidrojumus attiecībā uz konstatējumu, norādot uz to, ka konstatējums nav pamatots un konkrētais punkts Konkursa nolikumā nekādā veidā nediskriminē potenciālos pretendentus un pretendentu loku neierobežo. Tika sniegti virkne argumentu un pamatojumi, tai skaitā:</w:t>
      </w:r>
    </w:p>
    <w:p w14:paraId="1FBC4D26" w14:textId="5239C124" w:rsidR="00941457" w:rsidRPr="00E47318" w:rsidRDefault="00671F4F" w:rsidP="006E39FA">
      <w:pPr>
        <w:pStyle w:val="ListParagraph"/>
        <w:numPr>
          <w:ilvl w:val="1"/>
          <w:numId w:val="14"/>
        </w:numPr>
        <w:tabs>
          <w:tab w:val="left" w:pos="1134"/>
        </w:tabs>
        <w:spacing w:after="120" w:line="240" w:lineRule="auto"/>
        <w:ind w:left="426" w:firstLine="0"/>
        <w:contextualSpacing w:val="0"/>
        <w:jc w:val="both"/>
        <w:rPr>
          <w:rFonts w:ascii="Times New Roman" w:hAnsi="Times New Roman"/>
          <w:sz w:val="28"/>
          <w:szCs w:val="28"/>
        </w:rPr>
      </w:pPr>
      <w:r>
        <w:rPr>
          <w:rFonts w:ascii="Times New Roman" w:hAnsi="Times New Roman"/>
          <w:sz w:val="28"/>
          <w:szCs w:val="28"/>
        </w:rPr>
        <w:lastRenderedPageBreak/>
        <w:t>K</w:t>
      </w:r>
      <w:r w:rsidR="00941457" w:rsidRPr="00E47318">
        <w:rPr>
          <w:rFonts w:ascii="Times New Roman" w:hAnsi="Times New Roman"/>
          <w:sz w:val="28"/>
          <w:szCs w:val="28"/>
        </w:rPr>
        <w:t>onkursa nolikuma 3.2.1.punktā atsauce uz LBN 208-08 iekļauta tikai un vienīgi ar mērķi precizēt un skaid</w:t>
      </w:r>
      <w:r w:rsidR="00ED6EE9">
        <w:rPr>
          <w:rFonts w:ascii="Times New Roman" w:hAnsi="Times New Roman"/>
          <w:sz w:val="28"/>
          <w:szCs w:val="28"/>
        </w:rPr>
        <w:t>rot kandidātiem, kas, vērtējot K</w:t>
      </w:r>
      <w:r w:rsidR="00941457" w:rsidRPr="00E47318">
        <w:rPr>
          <w:rFonts w:ascii="Times New Roman" w:hAnsi="Times New Roman"/>
          <w:sz w:val="28"/>
          <w:szCs w:val="28"/>
        </w:rPr>
        <w:t>onkursam iesniegtos piedāvājumus, tiks uzskatītas par pub</w:t>
      </w:r>
      <w:r w:rsidR="00ED6EE9">
        <w:rPr>
          <w:rFonts w:ascii="Times New Roman" w:hAnsi="Times New Roman"/>
          <w:sz w:val="28"/>
          <w:szCs w:val="28"/>
        </w:rPr>
        <w:t>liskām ēkām. Ņemot vērā to, ka K</w:t>
      </w:r>
      <w:r w:rsidR="00941457" w:rsidRPr="00E47318">
        <w:rPr>
          <w:rFonts w:ascii="Times New Roman" w:hAnsi="Times New Roman"/>
          <w:sz w:val="28"/>
          <w:szCs w:val="28"/>
        </w:rPr>
        <w:t>onkursa nolikumā iekļauta prasība par iepriekšēju pieredzi publisku ēku būvniecībā, bija nepieciešams izskaidrot potenciālajiem kandidātiem, kas tiks</w:t>
      </w:r>
      <w:r w:rsidR="00ED6EE9">
        <w:rPr>
          <w:rFonts w:ascii="Times New Roman" w:hAnsi="Times New Roman"/>
          <w:sz w:val="28"/>
          <w:szCs w:val="28"/>
        </w:rPr>
        <w:t xml:space="preserve"> uzskatīta par publisku ēku šī K</w:t>
      </w:r>
      <w:r w:rsidR="00941457" w:rsidRPr="00E47318">
        <w:rPr>
          <w:rFonts w:ascii="Times New Roman" w:hAnsi="Times New Roman"/>
          <w:sz w:val="28"/>
          <w:szCs w:val="28"/>
        </w:rPr>
        <w:t>onkursa nolikuma izpratnē. Atsauce uz LBN 208-08 tikusi iekļauta, jo tikai tur ir skaidrots termins „</w:t>
      </w:r>
      <w:r w:rsidR="00941457" w:rsidRPr="00E47318">
        <w:rPr>
          <w:rFonts w:ascii="Times New Roman" w:hAnsi="Times New Roman"/>
          <w:i/>
          <w:sz w:val="28"/>
          <w:szCs w:val="28"/>
        </w:rPr>
        <w:t>publiska ēka</w:t>
      </w:r>
      <w:r w:rsidR="00941457" w:rsidRPr="00E47318">
        <w:rPr>
          <w:rFonts w:ascii="Times New Roman" w:hAnsi="Times New Roman"/>
          <w:sz w:val="28"/>
          <w:szCs w:val="28"/>
        </w:rPr>
        <w:t xml:space="preserve">”. </w:t>
      </w:r>
    </w:p>
    <w:p w14:paraId="15E85EBC" w14:textId="06456ABF" w:rsidR="00941457" w:rsidRPr="00E47318" w:rsidRDefault="00941457" w:rsidP="006E39FA">
      <w:pPr>
        <w:pStyle w:val="ListParagraph"/>
        <w:numPr>
          <w:ilvl w:val="1"/>
          <w:numId w:val="14"/>
        </w:numPr>
        <w:tabs>
          <w:tab w:val="left" w:pos="1134"/>
        </w:tabs>
        <w:spacing w:after="120" w:line="240" w:lineRule="auto"/>
        <w:ind w:left="426" w:firstLine="0"/>
        <w:contextualSpacing w:val="0"/>
        <w:jc w:val="both"/>
        <w:rPr>
          <w:rFonts w:ascii="Times New Roman" w:hAnsi="Times New Roman"/>
          <w:sz w:val="28"/>
          <w:szCs w:val="28"/>
        </w:rPr>
      </w:pPr>
      <w:r w:rsidRPr="00E47318">
        <w:rPr>
          <w:rFonts w:ascii="Times New Roman" w:hAnsi="Times New Roman"/>
          <w:sz w:val="28"/>
          <w:szCs w:val="28"/>
        </w:rPr>
        <w:t xml:space="preserve">LBN 208-08 nosaka prasības </w:t>
      </w:r>
      <w:proofErr w:type="spellStart"/>
      <w:r w:rsidRPr="00E47318">
        <w:rPr>
          <w:rFonts w:ascii="Times New Roman" w:hAnsi="Times New Roman"/>
          <w:sz w:val="28"/>
          <w:szCs w:val="28"/>
        </w:rPr>
        <w:t>jaunbūvējamu</w:t>
      </w:r>
      <w:proofErr w:type="spellEnd"/>
      <w:r w:rsidRPr="00E47318">
        <w:rPr>
          <w:rFonts w:ascii="Times New Roman" w:hAnsi="Times New Roman"/>
          <w:sz w:val="28"/>
          <w:szCs w:val="28"/>
        </w:rPr>
        <w:t xml:space="preserve"> publisku ēku un būvju projektēšanai, nevis būvniecībai. Būvniecības laikā tas nav piemērojams. Ņemot vērā minēto, tas nekādā gad</w:t>
      </w:r>
      <w:r w:rsidR="00ED6EE9">
        <w:rPr>
          <w:rFonts w:ascii="Times New Roman" w:hAnsi="Times New Roman"/>
          <w:sz w:val="28"/>
          <w:szCs w:val="28"/>
        </w:rPr>
        <w:t>ījumā nevar tikt uzskatīts par K</w:t>
      </w:r>
      <w:r w:rsidRPr="00E47318">
        <w:rPr>
          <w:rFonts w:ascii="Times New Roman" w:hAnsi="Times New Roman"/>
          <w:sz w:val="28"/>
          <w:szCs w:val="28"/>
        </w:rPr>
        <w:t xml:space="preserve">onkursa tehnisko specifikāciju </w:t>
      </w:r>
      <w:r w:rsidR="00ED6EE9">
        <w:rPr>
          <w:rFonts w:ascii="Times New Roman" w:hAnsi="Times New Roman"/>
          <w:sz w:val="28"/>
          <w:szCs w:val="28"/>
        </w:rPr>
        <w:t>vai diskriminējošu prasību, jo K</w:t>
      </w:r>
      <w:r w:rsidRPr="00E47318">
        <w:rPr>
          <w:rFonts w:ascii="Times New Roman" w:hAnsi="Times New Roman"/>
          <w:sz w:val="28"/>
          <w:szCs w:val="28"/>
        </w:rPr>
        <w:t>onkursa izsludināšanas brīdī būves tehniskais projekts atbilstoši šim būvnormatīvam jau bija izstrādāts un akceptēts. Kandidātiem, gatavojot piedāvā</w:t>
      </w:r>
      <w:r w:rsidR="00ED6EE9">
        <w:rPr>
          <w:rFonts w:ascii="Times New Roman" w:hAnsi="Times New Roman"/>
          <w:sz w:val="28"/>
          <w:szCs w:val="28"/>
        </w:rPr>
        <w:t>jumus K</w:t>
      </w:r>
      <w:r w:rsidRPr="00E47318">
        <w:rPr>
          <w:rFonts w:ascii="Times New Roman" w:hAnsi="Times New Roman"/>
          <w:sz w:val="28"/>
          <w:szCs w:val="28"/>
        </w:rPr>
        <w:t xml:space="preserve">onkursam, šis LBN 208-08 bija saistošs tikai tiktāl, lai saprastu, kādas ēkas ir uzskatāmas par publiskām ēkām, un tas nekādā ziņā nevarēja ietekmēt neviena kandidāta (ne </w:t>
      </w:r>
      <w:r w:rsidR="00927134">
        <w:rPr>
          <w:rFonts w:ascii="Times New Roman" w:hAnsi="Times New Roman"/>
          <w:sz w:val="28"/>
          <w:szCs w:val="28"/>
        </w:rPr>
        <w:t>Latvijas</w:t>
      </w:r>
      <w:r w:rsidRPr="00E47318">
        <w:rPr>
          <w:rFonts w:ascii="Times New Roman" w:hAnsi="Times New Roman"/>
          <w:sz w:val="28"/>
          <w:szCs w:val="28"/>
        </w:rPr>
        <w:t xml:space="preserve">, ne </w:t>
      </w:r>
      <w:r w:rsidR="00ED6EE9">
        <w:rPr>
          <w:rFonts w:ascii="Times New Roman" w:hAnsi="Times New Roman"/>
          <w:sz w:val="28"/>
          <w:szCs w:val="28"/>
        </w:rPr>
        <w:t>ārvalstu) iespējas piedalīties K</w:t>
      </w:r>
      <w:r w:rsidRPr="00E47318">
        <w:rPr>
          <w:rFonts w:ascii="Times New Roman" w:hAnsi="Times New Roman"/>
          <w:sz w:val="28"/>
          <w:szCs w:val="28"/>
        </w:rPr>
        <w:t>onkursā, jo pārējās prasības, kas minētas</w:t>
      </w:r>
      <w:r w:rsidR="00ED6EE9">
        <w:rPr>
          <w:rFonts w:ascii="Times New Roman" w:hAnsi="Times New Roman"/>
          <w:sz w:val="28"/>
          <w:szCs w:val="28"/>
        </w:rPr>
        <w:t xml:space="preserve"> konkrētajos MK noteikumos, uz K</w:t>
      </w:r>
      <w:r w:rsidRPr="00E47318">
        <w:rPr>
          <w:rFonts w:ascii="Times New Roman" w:hAnsi="Times New Roman"/>
          <w:sz w:val="28"/>
          <w:szCs w:val="28"/>
        </w:rPr>
        <w:t xml:space="preserve">onkursu nebija attiecināmas. </w:t>
      </w:r>
    </w:p>
    <w:p w14:paraId="0E87010E" w14:textId="1C0D9B97" w:rsidR="00941457" w:rsidRPr="00E47318" w:rsidRDefault="00ED6EE9" w:rsidP="006E39FA">
      <w:pPr>
        <w:pStyle w:val="ListParagraph"/>
        <w:numPr>
          <w:ilvl w:val="1"/>
          <w:numId w:val="14"/>
        </w:numPr>
        <w:tabs>
          <w:tab w:val="left" w:pos="1134"/>
        </w:tabs>
        <w:spacing w:after="120" w:line="240" w:lineRule="auto"/>
        <w:ind w:left="426" w:firstLine="0"/>
        <w:contextualSpacing w:val="0"/>
        <w:jc w:val="both"/>
        <w:rPr>
          <w:rFonts w:ascii="Times New Roman" w:hAnsi="Times New Roman"/>
          <w:sz w:val="28"/>
          <w:szCs w:val="28"/>
        </w:rPr>
      </w:pPr>
      <w:r>
        <w:rPr>
          <w:rFonts w:ascii="Times New Roman" w:hAnsi="Times New Roman"/>
          <w:sz w:val="28"/>
          <w:szCs w:val="28"/>
        </w:rPr>
        <w:t>K</w:t>
      </w:r>
      <w:r w:rsidR="00941457" w:rsidRPr="00E47318">
        <w:rPr>
          <w:rFonts w:ascii="Times New Roman" w:hAnsi="Times New Roman"/>
          <w:sz w:val="28"/>
          <w:szCs w:val="28"/>
        </w:rPr>
        <w:t>onkursa nolikuma prasība attiecībā uz pretendentu iepriekšēju pieredzi publisku ēku būvniecībā, pie kvalifikācijas prasībām, nav uzskatāma par standartu Direktīvas 2004/18/EC 23.panta 3.a) punkta izpratnē un nekādā ziņā nav pretrunā ar Direktīvas 2004/18/EC 23.panta 2.punktā minēto. Skaidrojam, ka LBN 208-08 nav standarts Direktīvas 2004/18/EC izpratnē. Atbilstoši Direktīvas 2004/18/EC VI pielikumā minētajam „</w:t>
      </w:r>
      <w:r w:rsidR="00941457" w:rsidRPr="00E47318">
        <w:rPr>
          <w:rFonts w:ascii="Times New Roman" w:hAnsi="Times New Roman"/>
          <w:i/>
          <w:sz w:val="28"/>
          <w:szCs w:val="28"/>
        </w:rPr>
        <w:t>“standarts” ir tehniskā specifikācija, ko atkārtotai vai pastāvīgai piemērošanai pieņēmusi atzīta standartizācijas institūcija un kuras ievērošana nav obligāta</w:t>
      </w:r>
      <w:r w:rsidR="00941457" w:rsidRPr="00E47318">
        <w:rPr>
          <w:rFonts w:ascii="Times New Roman" w:hAnsi="Times New Roman"/>
          <w:sz w:val="28"/>
          <w:szCs w:val="28"/>
        </w:rPr>
        <w:t>”. Būvnormatīvus neizdod Latvijā atzīta standartizācijas struktūra, un tie ir obligāti piemērojami. Direktīvas 2004/18/EC 23.panta 2. un 3.punktā  tiek skaidrots, kādas prasības un nosacījumi jāievēro, izstrādājot un vērtējot publisko iepirkumu tehniskās specifikācijas. Prasība par iepriekšējo pieredzi, kuras apliecināšanai pretendentiem bija nepieciešams iesniegt pieredzi apliecinošu dokumentu (tab</w:t>
      </w:r>
      <w:r>
        <w:rPr>
          <w:rFonts w:ascii="Times New Roman" w:hAnsi="Times New Roman"/>
          <w:sz w:val="28"/>
          <w:szCs w:val="28"/>
        </w:rPr>
        <w:t>ulu, kas sagatavota atbilstoši K</w:t>
      </w:r>
      <w:r w:rsidR="00941457" w:rsidRPr="00E47318">
        <w:rPr>
          <w:rFonts w:ascii="Times New Roman" w:hAnsi="Times New Roman"/>
          <w:sz w:val="28"/>
          <w:szCs w:val="28"/>
        </w:rPr>
        <w:t>onkursa nolikuma 12.pielikumam „</w:t>
      </w:r>
      <w:r w:rsidR="00941457" w:rsidRPr="00E47318">
        <w:rPr>
          <w:rFonts w:ascii="Times New Roman" w:hAnsi="Times New Roman"/>
          <w:i/>
          <w:sz w:val="28"/>
          <w:szCs w:val="28"/>
        </w:rPr>
        <w:t>Pēdējos piecos gados uzbūvēto publisko ēku (atbilstoši Iepirkuma nolikuma 3.2.1. punktā noteiktajam) saraksts</w:t>
      </w:r>
      <w:r w:rsidR="00941457" w:rsidRPr="00E47318">
        <w:rPr>
          <w:rFonts w:ascii="Times New Roman" w:hAnsi="Times New Roman"/>
          <w:sz w:val="28"/>
          <w:szCs w:val="28"/>
        </w:rPr>
        <w:t>”) tika iekļauta pie kvalifikācijas/atlases prasībām, un atbilstība šai prasībai tika vērtēta</w:t>
      </w:r>
      <w:r w:rsidR="00927134">
        <w:rPr>
          <w:rFonts w:ascii="Times New Roman" w:hAnsi="Times New Roman"/>
          <w:sz w:val="28"/>
          <w:szCs w:val="28"/>
        </w:rPr>
        <w:t>,</w:t>
      </w:r>
      <w:r w:rsidR="00941457" w:rsidRPr="00E47318">
        <w:rPr>
          <w:rFonts w:ascii="Times New Roman" w:hAnsi="Times New Roman"/>
          <w:sz w:val="28"/>
          <w:szCs w:val="28"/>
        </w:rPr>
        <w:t xml:space="preserve"> veicot piedāvājumu noformējuma un iesniegto dokumentu atbilstības pārbaudi, t.i., vai piedāvājums saga</w:t>
      </w:r>
      <w:r>
        <w:rPr>
          <w:rFonts w:ascii="Times New Roman" w:hAnsi="Times New Roman"/>
          <w:sz w:val="28"/>
          <w:szCs w:val="28"/>
        </w:rPr>
        <w:t>tavots un noformēts atbilstoši K</w:t>
      </w:r>
      <w:r w:rsidR="00941457" w:rsidRPr="00E47318">
        <w:rPr>
          <w:rFonts w:ascii="Times New Roman" w:hAnsi="Times New Roman"/>
          <w:sz w:val="28"/>
          <w:szCs w:val="28"/>
        </w:rPr>
        <w:t>onkursa nolikuma prasībām, un</w:t>
      </w:r>
      <w:r w:rsidR="00F344EE">
        <w:rPr>
          <w:rFonts w:ascii="Times New Roman" w:hAnsi="Times New Roman"/>
          <w:sz w:val="28"/>
          <w:szCs w:val="28"/>
        </w:rPr>
        <w:t xml:space="preserve">, </w:t>
      </w:r>
      <w:r w:rsidR="00941457" w:rsidRPr="00E47318">
        <w:rPr>
          <w:rFonts w:ascii="Times New Roman" w:hAnsi="Times New Roman"/>
          <w:sz w:val="28"/>
          <w:szCs w:val="28"/>
        </w:rPr>
        <w:t xml:space="preserve">vai </w:t>
      </w:r>
      <w:r w:rsidR="00927134" w:rsidRPr="00E47318">
        <w:rPr>
          <w:rFonts w:ascii="Times New Roman" w:hAnsi="Times New Roman"/>
          <w:sz w:val="28"/>
          <w:szCs w:val="28"/>
        </w:rPr>
        <w:t>iesniegt</w:t>
      </w:r>
      <w:r w:rsidR="00927134">
        <w:rPr>
          <w:rFonts w:ascii="Times New Roman" w:hAnsi="Times New Roman"/>
          <w:sz w:val="28"/>
          <w:szCs w:val="28"/>
        </w:rPr>
        <w:t>ie</w:t>
      </w:r>
      <w:r w:rsidR="00927134" w:rsidRPr="00E47318">
        <w:rPr>
          <w:rFonts w:ascii="Times New Roman" w:hAnsi="Times New Roman"/>
          <w:sz w:val="28"/>
          <w:szCs w:val="28"/>
        </w:rPr>
        <w:t xml:space="preserve"> </w:t>
      </w:r>
      <w:r w:rsidR="00941457" w:rsidRPr="00E47318">
        <w:rPr>
          <w:rFonts w:ascii="Times New Roman" w:hAnsi="Times New Roman"/>
          <w:sz w:val="28"/>
          <w:szCs w:val="28"/>
        </w:rPr>
        <w:t>pretendentu atlase</w:t>
      </w:r>
      <w:r>
        <w:rPr>
          <w:rFonts w:ascii="Times New Roman" w:hAnsi="Times New Roman"/>
          <w:sz w:val="28"/>
          <w:szCs w:val="28"/>
        </w:rPr>
        <w:t>s dokumenti atbilst K</w:t>
      </w:r>
      <w:r w:rsidR="00941457" w:rsidRPr="00E47318">
        <w:rPr>
          <w:rFonts w:ascii="Times New Roman" w:hAnsi="Times New Roman"/>
          <w:sz w:val="28"/>
          <w:szCs w:val="28"/>
        </w:rPr>
        <w:t xml:space="preserve">onkursa nolikuma prasībām. Līdz ar to aizrādījums par to, ka nav norādes par ekvivalenci, nav pamatots, un Konkursa prasība nav pretrunā ar Direktīvas 2004/18/EC 23.panta 3(a)punktā minēto. Turklāt, ņemot vērā to, ka atsauce uz LBN 208-08 tika iekļauta ar mērķi definēt, kas tiks uzskatīta par publisku ēku, un MK noteikumu 1.pielikumā ir uzskaitīts pietiekoši plašs spektrs ar ēkām, kuras atbilst publiskas ēkas statusam, pretendentam, pat, ja tas nav </w:t>
      </w:r>
      <w:r w:rsidR="00941457" w:rsidRPr="00E47318">
        <w:rPr>
          <w:rFonts w:ascii="Times New Roman" w:hAnsi="Times New Roman"/>
          <w:sz w:val="28"/>
          <w:szCs w:val="28"/>
        </w:rPr>
        <w:lastRenderedPageBreak/>
        <w:t>i</w:t>
      </w:r>
      <w:r>
        <w:rPr>
          <w:rFonts w:ascii="Times New Roman" w:hAnsi="Times New Roman"/>
          <w:sz w:val="28"/>
          <w:szCs w:val="28"/>
        </w:rPr>
        <w:t>epriekš būvējis tādas ēkas, kā K</w:t>
      </w:r>
      <w:r w:rsidR="00941457" w:rsidRPr="00E47318">
        <w:rPr>
          <w:rFonts w:ascii="Times New Roman" w:hAnsi="Times New Roman"/>
          <w:sz w:val="28"/>
          <w:szCs w:val="28"/>
        </w:rPr>
        <w:t>onkur</w:t>
      </w:r>
      <w:r w:rsidR="000A1A23">
        <w:rPr>
          <w:rFonts w:ascii="Times New Roman" w:hAnsi="Times New Roman"/>
          <w:sz w:val="28"/>
          <w:szCs w:val="28"/>
        </w:rPr>
        <w:t>sā plānotās</w:t>
      </w:r>
      <w:r w:rsidR="00941457" w:rsidRPr="00E47318">
        <w:rPr>
          <w:rFonts w:ascii="Times New Roman" w:hAnsi="Times New Roman"/>
          <w:sz w:val="28"/>
          <w:szCs w:val="28"/>
        </w:rPr>
        <w:t xml:space="preserve"> (slimnīca), ir iespēja atsaukties uz iepriekšēju pieredzi citādu publisku ēku būvniecībā. </w:t>
      </w:r>
    </w:p>
    <w:p w14:paraId="6C4036BF" w14:textId="72D5B645" w:rsidR="00941457" w:rsidRPr="00E47318" w:rsidRDefault="00941457" w:rsidP="006E39FA">
      <w:pPr>
        <w:pStyle w:val="ListParagraph"/>
        <w:numPr>
          <w:ilvl w:val="1"/>
          <w:numId w:val="14"/>
        </w:numPr>
        <w:tabs>
          <w:tab w:val="left" w:pos="1134"/>
        </w:tabs>
        <w:spacing w:after="120" w:line="240" w:lineRule="auto"/>
        <w:ind w:left="426" w:firstLine="0"/>
        <w:contextualSpacing w:val="0"/>
        <w:jc w:val="both"/>
        <w:rPr>
          <w:rFonts w:ascii="Times New Roman" w:hAnsi="Times New Roman"/>
          <w:sz w:val="28"/>
          <w:szCs w:val="28"/>
        </w:rPr>
      </w:pPr>
      <w:r w:rsidRPr="00E47318">
        <w:rPr>
          <w:rFonts w:ascii="Times New Roman" w:hAnsi="Times New Roman"/>
          <w:sz w:val="28"/>
          <w:szCs w:val="28"/>
        </w:rPr>
        <w:t>Konkursa nolikuma 12.pielikumā bija pievienota tabula, kas pretendentiem bija jāaizpilda un jāiesniedz, l</w:t>
      </w:r>
      <w:r w:rsidR="00671F4F">
        <w:rPr>
          <w:rFonts w:ascii="Times New Roman" w:hAnsi="Times New Roman"/>
          <w:sz w:val="28"/>
          <w:szCs w:val="28"/>
        </w:rPr>
        <w:t>ai apliecinātu savu atbilstību K</w:t>
      </w:r>
      <w:r w:rsidRPr="00E47318">
        <w:rPr>
          <w:rFonts w:ascii="Times New Roman" w:hAnsi="Times New Roman"/>
          <w:sz w:val="28"/>
          <w:szCs w:val="28"/>
        </w:rPr>
        <w:t xml:space="preserve">onkursa kvalifikācijas prasībām. Šajā tabulā norādāma sekojoša informācija: </w:t>
      </w:r>
    </w:p>
    <w:p w14:paraId="76813438" w14:textId="77777777" w:rsidR="00941457" w:rsidRPr="00E47318" w:rsidRDefault="00941457" w:rsidP="00941457">
      <w:pPr>
        <w:pStyle w:val="ListParagraph"/>
        <w:numPr>
          <w:ilvl w:val="2"/>
          <w:numId w:val="17"/>
        </w:numPr>
        <w:spacing w:before="120"/>
        <w:ind w:left="850" w:hanging="425"/>
        <w:jc w:val="both"/>
        <w:rPr>
          <w:rFonts w:ascii="Times New Roman" w:hAnsi="Times New Roman"/>
          <w:sz w:val="28"/>
          <w:szCs w:val="28"/>
        </w:rPr>
      </w:pPr>
      <w:r w:rsidRPr="00E47318">
        <w:rPr>
          <w:rFonts w:ascii="Times New Roman" w:hAnsi="Times New Roman"/>
          <w:sz w:val="28"/>
          <w:szCs w:val="28"/>
        </w:rPr>
        <w:t>būvobjekta nosaukums un īss raksturojums;</w:t>
      </w:r>
    </w:p>
    <w:p w14:paraId="55BD4BD8" w14:textId="77777777" w:rsidR="00941457" w:rsidRPr="00E47318" w:rsidRDefault="00941457" w:rsidP="00941457">
      <w:pPr>
        <w:pStyle w:val="ListParagraph"/>
        <w:numPr>
          <w:ilvl w:val="2"/>
          <w:numId w:val="17"/>
        </w:numPr>
        <w:spacing w:before="120"/>
        <w:ind w:left="850" w:hanging="425"/>
        <w:jc w:val="both"/>
        <w:rPr>
          <w:rFonts w:ascii="Times New Roman" w:hAnsi="Times New Roman"/>
          <w:sz w:val="28"/>
          <w:szCs w:val="28"/>
        </w:rPr>
      </w:pPr>
      <w:r w:rsidRPr="00E47318">
        <w:rPr>
          <w:rFonts w:ascii="Times New Roman" w:hAnsi="Times New Roman"/>
          <w:sz w:val="28"/>
          <w:szCs w:val="28"/>
        </w:rPr>
        <w:t>darbu vērtība bez PVN (LVL);</w:t>
      </w:r>
    </w:p>
    <w:p w14:paraId="5A136EEA" w14:textId="77777777" w:rsidR="00941457" w:rsidRPr="00E47318" w:rsidRDefault="00941457" w:rsidP="00941457">
      <w:pPr>
        <w:pStyle w:val="ListParagraph"/>
        <w:numPr>
          <w:ilvl w:val="2"/>
          <w:numId w:val="17"/>
        </w:numPr>
        <w:spacing w:before="120"/>
        <w:ind w:left="850" w:hanging="425"/>
        <w:jc w:val="both"/>
        <w:rPr>
          <w:rFonts w:ascii="Times New Roman" w:hAnsi="Times New Roman"/>
          <w:sz w:val="28"/>
          <w:szCs w:val="28"/>
        </w:rPr>
      </w:pPr>
      <w:r w:rsidRPr="00E47318">
        <w:rPr>
          <w:rFonts w:ascii="Times New Roman" w:hAnsi="Times New Roman"/>
          <w:sz w:val="28"/>
          <w:szCs w:val="28"/>
        </w:rPr>
        <w:t>pašu spēkiem veiktais darbu apjoms (% no kopējās darbu vērtības bez PVN);</w:t>
      </w:r>
    </w:p>
    <w:p w14:paraId="3692F1DB" w14:textId="77777777" w:rsidR="00941457" w:rsidRPr="00E47318" w:rsidRDefault="00941457" w:rsidP="00941457">
      <w:pPr>
        <w:pStyle w:val="ListParagraph"/>
        <w:numPr>
          <w:ilvl w:val="2"/>
          <w:numId w:val="17"/>
        </w:numPr>
        <w:spacing w:before="120"/>
        <w:ind w:left="850" w:hanging="425"/>
        <w:jc w:val="both"/>
        <w:rPr>
          <w:rFonts w:ascii="Times New Roman" w:hAnsi="Times New Roman"/>
          <w:sz w:val="28"/>
          <w:szCs w:val="28"/>
        </w:rPr>
      </w:pPr>
      <w:r w:rsidRPr="00E47318">
        <w:rPr>
          <w:rFonts w:ascii="Times New Roman" w:hAnsi="Times New Roman"/>
          <w:sz w:val="28"/>
          <w:szCs w:val="28"/>
        </w:rPr>
        <w:t>pasūtītājs (nosaukums, reģistrācijas numurs, adrese un kontaktpersona);</w:t>
      </w:r>
    </w:p>
    <w:p w14:paraId="3E553926" w14:textId="77777777" w:rsidR="00941457" w:rsidRPr="00E47318" w:rsidRDefault="00941457" w:rsidP="00941457">
      <w:pPr>
        <w:pStyle w:val="ListParagraph"/>
        <w:numPr>
          <w:ilvl w:val="2"/>
          <w:numId w:val="17"/>
        </w:numPr>
        <w:spacing w:before="120"/>
        <w:ind w:left="850" w:hanging="425"/>
        <w:jc w:val="both"/>
        <w:rPr>
          <w:rFonts w:ascii="Times New Roman" w:hAnsi="Times New Roman"/>
          <w:sz w:val="28"/>
          <w:szCs w:val="28"/>
        </w:rPr>
      </w:pPr>
      <w:r w:rsidRPr="00E47318">
        <w:rPr>
          <w:rFonts w:ascii="Times New Roman" w:hAnsi="Times New Roman"/>
          <w:sz w:val="28"/>
          <w:szCs w:val="28"/>
        </w:rPr>
        <w:t xml:space="preserve">darbu izstrādes uzsākšanas un pabeigšanas gads un mēnesis. </w:t>
      </w:r>
    </w:p>
    <w:p w14:paraId="667E316E" w14:textId="69AACB4F" w:rsidR="00941457" w:rsidRPr="00E47318" w:rsidRDefault="00941457" w:rsidP="00941457">
      <w:pPr>
        <w:pStyle w:val="Header"/>
        <w:tabs>
          <w:tab w:val="clear" w:pos="4153"/>
          <w:tab w:val="clear" w:pos="8306"/>
        </w:tabs>
        <w:spacing w:after="120"/>
        <w:ind w:left="425"/>
        <w:jc w:val="both"/>
        <w:rPr>
          <w:rFonts w:ascii="Times New Roman" w:hAnsi="Times New Roman"/>
          <w:sz w:val="28"/>
          <w:szCs w:val="28"/>
        </w:rPr>
      </w:pPr>
      <w:r w:rsidRPr="00E47318">
        <w:rPr>
          <w:rFonts w:ascii="Times New Roman" w:hAnsi="Times New Roman"/>
          <w:sz w:val="28"/>
          <w:szCs w:val="28"/>
        </w:rPr>
        <w:t>Minētajā tabulā nav prasīts (nav paredzēta vieta)</w:t>
      </w:r>
      <w:r w:rsidR="000A1A23">
        <w:rPr>
          <w:rFonts w:ascii="Times New Roman" w:hAnsi="Times New Roman"/>
          <w:sz w:val="28"/>
          <w:szCs w:val="28"/>
        </w:rPr>
        <w:t xml:space="preserve"> </w:t>
      </w:r>
      <w:r w:rsidRPr="00E47318">
        <w:rPr>
          <w:rFonts w:ascii="Times New Roman" w:hAnsi="Times New Roman"/>
          <w:sz w:val="28"/>
          <w:szCs w:val="28"/>
        </w:rPr>
        <w:t>norādīt/apliecināt iepriekš būvēto ēku atbilstību visām LBN 208-08 uzskaitītajām specifiskajām prasībām. Līdz ar to, las</w:t>
      </w:r>
      <w:r w:rsidR="00ED6EE9">
        <w:rPr>
          <w:rFonts w:ascii="Times New Roman" w:hAnsi="Times New Roman"/>
          <w:sz w:val="28"/>
          <w:szCs w:val="28"/>
        </w:rPr>
        <w:t>ot K</w:t>
      </w:r>
      <w:r w:rsidRPr="00E47318">
        <w:rPr>
          <w:rFonts w:ascii="Times New Roman" w:hAnsi="Times New Roman"/>
          <w:sz w:val="28"/>
          <w:szCs w:val="28"/>
        </w:rPr>
        <w:t xml:space="preserve">onkursa nolikumā ietvertās prasības kontekstā ar aizpildāmo tabulu, pretendents (gan </w:t>
      </w:r>
      <w:r w:rsidR="00927134">
        <w:rPr>
          <w:rFonts w:ascii="Times New Roman" w:hAnsi="Times New Roman"/>
          <w:sz w:val="28"/>
          <w:szCs w:val="28"/>
        </w:rPr>
        <w:t>Latvijas</w:t>
      </w:r>
      <w:r w:rsidRPr="00E47318">
        <w:rPr>
          <w:rFonts w:ascii="Times New Roman" w:hAnsi="Times New Roman"/>
          <w:sz w:val="28"/>
          <w:szCs w:val="28"/>
        </w:rPr>
        <w:t>, gan ārzemju) loģiski varēja secināt, ka ir norādāma pieredze publisku ēku būvniecībā, ņemot vērā LBN 208-08 norādīto “</w:t>
      </w:r>
      <w:r w:rsidRPr="00E47318">
        <w:rPr>
          <w:rFonts w:ascii="Times New Roman" w:hAnsi="Times New Roman"/>
          <w:i/>
          <w:sz w:val="28"/>
          <w:szCs w:val="28"/>
        </w:rPr>
        <w:t>publiskas ēkas</w:t>
      </w:r>
      <w:r w:rsidRPr="00E47318">
        <w:rPr>
          <w:rFonts w:ascii="Times New Roman" w:hAnsi="Times New Roman"/>
          <w:sz w:val="28"/>
          <w:szCs w:val="28"/>
        </w:rPr>
        <w:t>” definīciju un atbilstību LBN 208-08 1.pielikumā s</w:t>
      </w:r>
      <w:r w:rsidR="00ED6EE9">
        <w:rPr>
          <w:rFonts w:ascii="Times New Roman" w:hAnsi="Times New Roman"/>
          <w:sz w:val="28"/>
          <w:szCs w:val="28"/>
        </w:rPr>
        <w:t>niegto ēku veidu sarakstam. Ne K</w:t>
      </w:r>
      <w:r w:rsidRPr="00E47318">
        <w:rPr>
          <w:rFonts w:ascii="Times New Roman" w:hAnsi="Times New Roman"/>
          <w:sz w:val="28"/>
          <w:szCs w:val="28"/>
        </w:rPr>
        <w:t>onkursa nolikuma piel</w:t>
      </w:r>
      <w:r w:rsidR="00ED6EE9">
        <w:rPr>
          <w:rFonts w:ascii="Times New Roman" w:hAnsi="Times New Roman"/>
          <w:sz w:val="28"/>
          <w:szCs w:val="28"/>
        </w:rPr>
        <w:t>ikumā Nr.12, ne kaut kur citur K</w:t>
      </w:r>
      <w:r w:rsidRPr="00E47318">
        <w:rPr>
          <w:rFonts w:ascii="Times New Roman" w:hAnsi="Times New Roman"/>
          <w:sz w:val="28"/>
          <w:szCs w:val="28"/>
        </w:rPr>
        <w:t>onkursa nolikumā nav paredzēta speciāla vieta, kur aprakstīt un apliecināt, ka iepriekš celtās ēkas ir uzceltas atbilstoši LBN 208-08 prasībām, līdz ar to jebkurš pretend</w:t>
      </w:r>
      <w:r w:rsidR="00ED6EE9">
        <w:rPr>
          <w:rFonts w:ascii="Times New Roman" w:hAnsi="Times New Roman"/>
          <w:sz w:val="28"/>
          <w:szCs w:val="28"/>
        </w:rPr>
        <w:t>ents, kurš vēlējās piedalīties K</w:t>
      </w:r>
      <w:r w:rsidRPr="00E47318">
        <w:rPr>
          <w:rFonts w:ascii="Times New Roman" w:hAnsi="Times New Roman"/>
          <w:sz w:val="28"/>
          <w:szCs w:val="28"/>
        </w:rPr>
        <w:t>onkursā, varēja gatavot piedāvājumu, atbilstoši aizpildot visas pie piedāvājuma pievienojamās tabulas un veidnes</w:t>
      </w:r>
      <w:r w:rsidR="00927134">
        <w:rPr>
          <w:rFonts w:ascii="Times New Roman" w:hAnsi="Times New Roman"/>
          <w:sz w:val="28"/>
          <w:szCs w:val="28"/>
        </w:rPr>
        <w:t>,</w:t>
      </w:r>
      <w:r w:rsidR="00ED6EE9">
        <w:rPr>
          <w:rFonts w:ascii="Times New Roman" w:hAnsi="Times New Roman"/>
          <w:sz w:val="28"/>
          <w:szCs w:val="28"/>
        </w:rPr>
        <w:t xml:space="preserve"> un piedalīties Konkursā. Secināms, ka, skatot K</w:t>
      </w:r>
      <w:r w:rsidRPr="00E47318">
        <w:rPr>
          <w:rFonts w:ascii="Times New Roman" w:hAnsi="Times New Roman"/>
          <w:sz w:val="28"/>
          <w:szCs w:val="28"/>
        </w:rPr>
        <w:t>onkursa nolikuma normas kopsakarā, iespējamie pretendenti (gan Latvijas, gan ārvalstu) varēja secināt, ka pieredze norādāma “</w:t>
      </w:r>
      <w:r w:rsidRPr="00E47318">
        <w:rPr>
          <w:rFonts w:ascii="Times New Roman" w:hAnsi="Times New Roman"/>
          <w:i/>
          <w:sz w:val="28"/>
          <w:szCs w:val="28"/>
        </w:rPr>
        <w:t>publisku ēku</w:t>
      </w:r>
      <w:r w:rsidRPr="00E47318">
        <w:rPr>
          <w:rFonts w:ascii="Times New Roman" w:hAnsi="Times New Roman"/>
          <w:sz w:val="28"/>
          <w:szCs w:val="28"/>
        </w:rPr>
        <w:t xml:space="preserve">” būvniecībā kā definēts MK noteikumos, bet netika izvirzīta prasība norādīt atbilstību visām MK noteikumu specifiskajām normām, tādejādi Direktīvas 2004/18/EC normu pārkāpums nav konstatējams, un konkurence nav tikusi ierobežota. </w:t>
      </w:r>
    </w:p>
    <w:p w14:paraId="123B45DF" w14:textId="7A1A1DAB" w:rsidR="00941457" w:rsidRPr="00E47318" w:rsidRDefault="00941457" w:rsidP="006E39FA">
      <w:pPr>
        <w:pStyle w:val="ListParagraph"/>
        <w:numPr>
          <w:ilvl w:val="1"/>
          <w:numId w:val="14"/>
        </w:numPr>
        <w:tabs>
          <w:tab w:val="left" w:pos="1134"/>
        </w:tabs>
        <w:spacing w:after="120" w:line="240" w:lineRule="auto"/>
        <w:ind w:left="426" w:firstLine="0"/>
        <w:contextualSpacing w:val="0"/>
        <w:jc w:val="both"/>
        <w:rPr>
          <w:rFonts w:ascii="Times New Roman" w:hAnsi="Times New Roman"/>
          <w:sz w:val="28"/>
          <w:szCs w:val="28"/>
        </w:rPr>
      </w:pPr>
      <w:r w:rsidRPr="00E47318">
        <w:rPr>
          <w:rFonts w:ascii="Times New Roman" w:hAnsi="Times New Roman"/>
          <w:sz w:val="28"/>
          <w:szCs w:val="28"/>
        </w:rPr>
        <w:t xml:space="preserve">Minētā prasība neparedz, ka ar publiskām ēkām tiek saprastas tikai tādas ēkas, kuras </w:t>
      </w:r>
      <w:r w:rsidRPr="0094225F">
        <w:rPr>
          <w:rFonts w:ascii="Times New Roman" w:hAnsi="Times New Roman"/>
          <w:sz w:val="28"/>
          <w:szCs w:val="28"/>
        </w:rPr>
        <w:t>ir uzceltas atbilstoši</w:t>
      </w:r>
      <w:r w:rsidRPr="00E47318">
        <w:rPr>
          <w:rFonts w:ascii="Times New Roman" w:hAnsi="Times New Roman"/>
          <w:sz w:val="28"/>
          <w:szCs w:val="28"/>
        </w:rPr>
        <w:t xml:space="preserve"> LBN 208-08. Šajā pašā punktā ir norādīts, ka konkrētās publiskās ēkas, kuru pretendents norāda piedāvājumā, tādējādi apliecinot savu iepriekšējo pieredzi, būvniecības darbiem ir jābūt pabeigtiem un objektam jābūt nodotam ekspluatācijā. Nav teikts, ka jābūt nodotam ekspluatācijā atbilstoši Latvijas likumdošanā noteiktajai kārtībai. Norādot, ka ēkām ir jābūt pabeigtām, pasūtītājs šādi precizējis prasību, ka par atbilstošām tiks uzskatītas tādas publiskas ēkas, kuru būvniecība ir pilnībā pabeigta. Ja būtu bijusi izvirzīta prasība par to, ka ēkām jābūt uzbūvētām atbilstoši LBN specifiskām prasībām, tad 3.2.1.punktā minētā atsauce uz LBN 208-08 būtu minēta </w:t>
      </w:r>
      <w:r w:rsidR="00927134">
        <w:rPr>
          <w:rFonts w:ascii="Times New Roman" w:hAnsi="Times New Roman"/>
          <w:sz w:val="28"/>
          <w:szCs w:val="28"/>
        </w:rPr>
        <w:t>citādākā</w:t>
      </w:r>
      <w:r w:rsidR="00927134" w:rsidRPr="00E47318">
        <w:rPr>
          <w:rFonts w:ascii="Times New Roman" w:hAnsi="Times New Roman"/>
          <w:sz w:val="28"/>
          <w:szCs w:val="28"/>
        </w:rPr>
        <w:t xml:space="preserve"> </w:t>
      </w:r>
      <w:r w:rsidRPr="00E47318">
        <w:rPr>
          <w:rFonts w:ascii="Times New Roman" w:hAnsi="Times New Roman"/>
          <w:sz w:val="28"/>
          <w:szCs w:val="28"/>
        </w:rPr>
        <w:t>kontekstā, piemēram, „</w:t>
      </w:r>
      <w:r w:rsidRPr="00E47318">
        <w:rPr>
          <w:rFonts w:ascii="Times New Roman" w:hAnsi="Times New Roman"/>
          <w:i/>
          <w:sz w:val="28"/>
          <w:szCs w:val="28"/>
        </w:rPr>
        <w:t xml:space="preserve">Ar publiskām ēkām tiek </w:t>
      </w:r>
      <w:r w:rsidRPr="00E47318">
        <w:rPr>
          <w:rFonts w:ascii="Times New Roman" w:hAnsi="Times New Roman"/>
          <w:i/>
          <w:sz w:val="28"/>
          <w:szCs w:val="28"/>
        </w:rPr>
        <w:lastRenderedPageBreak/>
        <w:t>saprastas tikai tādas ēkas, kuras pabeigtas un nodotas ekspluatācijā atbilstoši Ministru kabineta 2008.gada 21.jūlija noteikumos Nr. 567 „Noteikumi par Latvijas būvnormatīvu LBN 208-08 “Publiskas ēkas un būves”” noteiktajām prasībām publiskām ēkām.</w:t>
      </w:r>
      <w:r w:rsidRPr="00E47318">
        <w:rPr>
          <w:rFonts w:ascii="Times New Roman" w:hAnsi="Times New Roman"/>
          <w:sz w:val="28"/>
          <w:szCs w:val="28"/>
        </w:rPr>
        <w:t>”. Līdz ar to ir skaidrs, ka uzsvars tika likts uz definējumu „</w:t>
      </w:r>
      <w:r w:rsidRPr="00E47318">
        <w:rPr>
          <w:rFonts w:ascii="Times New Roman" w:hAnsi="Times New Roman"/>
          <w:i/>
          <w:sz w:val="28"/>
          <w:szCs w:val="28"/>
        </w:rPr>
        <w:t>publiska ēka</w:t>
      </w:r>
      <w:r w:rsidRPr="00E47318">
        <w:rPr>
          <w:rFonts w:ascii="Times New Roman" w:hAnsi="Times New Roman"/>
          <w:sz w:val="28"/>
          <w:szCs w:val="28"/>
        </w:rPr>
        <w:t xml:space="preserve">” atbilstoši LBN 208-08 minētajam publiskas ēkas skaidrojumam, nevis uz to, atbilstoši kādiem normatīviem ēkai ir jābūt būvētai un nodotai ekspluatācijā. </w:t>
      </w:r>
    </w:p>
    <w:p w14:paraId="06F427A0" w14:textId="438E7015" w:rsidR="00941457" w:rsidRPr="00E47318" w:rsidRDefault="00941457" w:rsidP="006E39FA">
      <w:pPr>
        <w:pStyle w:val="ListParagraph"/>
        <w:numPr>
          <w:ilvl w:val="1"/>
          <w:numId w:val="14"/>
        </w:numPr>
        <w:tabs>
          <w:tab w:val="left" w:pos="1134"/>
        </w:tabs>
        <w:spacing w:after="120" w:line="240" w:lineRule="auto"/>
        <w:ind w:left="426" w:firstLine="0"/>
        <w:contextualSpacing w:val="0"/>
        <w:jc w:val="both"/>
        <w:rPr>
          <w:rFonts w:ascii="Times New Roman" w:hAnsi="Times New Roman"/>
          <w:sz w:val="28"/>
          <w:szCs w:val="28"/>
        </w:rPr>
      </w:pPr>
      <w:r w:rsidRPr="00E47318">
        <w:rPr>
          <w:rFonts w:ascii="Times New Roman" w:hAnsi="Times New Roman"/>
          <w:sz w:val="28"/>
          <w:szCs w:val="28"/>
        </w:rPr>
        <w:t>Vispārpieņemta prakse normatīvajos aktos pieminētos jēdzienus un terminus skaidrot, norādot atsauces uz citiem normatīvajiem aktiem, kur konkrētie termini vai jēdzieni ir definēti un</w:t>
      </w:r>
      <w:r w:rsidR="00ED6EE9">
        <w:rPr>
          <w:rFonts w:ascii="Times New Roman" w:hAnsi="Times New Roman"/>
          <w:sz w:val="28"/>
          <w:szCs w:val="28"/>
        </w:rPr>
        <w:t xml:space="preserve"> konkrētāk aprakstīti. Izlasot K</w:t>
      </w:r>
      <w:r w:rsidRPr="00E47318">
        <w:rPr>
          <w:rFonts w:ascii="Times New Roman" w:hAnsi="Times New Roman"/>
          <w:sz w:val="28"/>
          <w:szCs w:val="28"/>
        </w:rPr>
        <w:t>onkursa nolikuma 3.2.1.punktu, ir skaidrs, ka atsauce uz citu normatīvo aktu tika minēta ar mērķi skaidrot jēdzienu „</w:t>
      </w:r>
      <w:r w:rsidRPr="00E47318">
        <w:rPr>
          <w:rFonts w:ascii="Times New Roman" w:hAnsi="Times New Roman"/>
          <w:i/>
          <w:sz w:val="28"/>
          <w:szCs w:val="28"/>
        </w:rPr>
        <w:t>publiska ēka</w:t>
      </w:r>
      <w:r w:rsidRPr="00E47318">
        <w:rPr>
          <w:rFonts w:ascii="Times New Roman" w:hAnsi="Times New Roman"/>
          <w:sz w:val="28"/>
          <w:szCs w:val="28"/>
        </w:rPr>
        <w:t>”, vēl jo vairāk tāpēc, ka šis ir vienīgais veids, kā konkrētajā normatīvajā aktā minētās prasības (MK 2008.gada 21.jūlija noteikumi Nr. 567) var tikt pielietotas un izmantotas Konkursa piedāvā</w:t>
      </w:r>
      <w:r w:rsidR="00ED6EE9">
        <w:rPr>
          <w:rFonts w:ascii="Times New Roman" w:hAnsi="Times New Roman"/>
          <w:sz w:val="28"/>
          <w:szCs w:val="28"/>
        </w:rPr>
        <w:t>juma sagatavošanā. Uz konkrēto K</w:t>
      </w:r>
      <w:r w:rsidRPr="00E47318">
        <w:rPr>
          <w:rFonts w:ascii="Times New Roman" w:hAnsi="Times New Roman"/>
          <w:sz w:val="28"/>
          <w:szCs w:val="28"/>
        </w:rPr>
        <w:t>onkursu varēja tikt attiecināms tikai termins „</w:t>
      </w:r>
      <w:r w:rsidRPr="00E47318">
        <w:rPr>
          <w:rFonts w:ascii="Times New Roman" w:hAnsi="Times New Roman"/>
          <w:i/>
          <w:sz w:val="28"/>
          <w:szCs w:val="28"/>
        </w:rPr>
        <w:t>publiska ēka</w:t>
      </w:r>
      <w:r w:rsidRPr="00E47318">
        <w:rPr>
          <w:rFonts w:ascii="Times New Roman" w:hAnsi="Times New Roman"/>
          <w:sz w:val="28"/>
          <w:szCs w:val="28"/>
        </w:rPr>
        <w:t xml:space="preserve">”, jo visas pārējās LBN 208-08 noteiktās prasības uz konkrēto Konkursu nevarēja nekādā veidā tikt attiecināmas. </w:t>
      </w:r>
    </w:p>
    <w:p w14:paraId="5FA0CDA9" w14:textId="79752160" w:rsidR="00941457" w:rsidRPr="00E47318" w:rsidRDefault="00941457" w:rsidP="006E39FA">
      <w:pPr>
        <w:pStyle w:val="ListParagraph"/>
        <w:numPr>
          <w:ilvl w:val="1"/>
          <w:numId w:val="14"/>
        </w:numPr>
        <w:tabs>
          <w:tab w:val="left" w:pos="1134"/>
        </w:tabs>
        <w:spacing w:after="120" w:line="240" w:lineRule="auto"/>
        <w:ind w:left="426" w:firstLine="0"/>
        <w:contextualSpacing w:val="0"/>
        <w:jc w:val="both"/>
        <w:rPr>
          <w:rFonts w:ascii="Times New Roman" w:hAnsi="Times New Roman"/>
          <w:sz w:val="28"/>
          <w:szCs w:val="28"/>
        </w:rPr>
      </w:pPr>
      <w:r w:rsidRPr="00E47318">
        <w:rPr>
          <w:rFonts w:ascii="Times New Roman" w:hAnsi="Times New Roman"/>
          <w:sz w:val="28"/>
          <w:szCs w:val="28"/>
        </w:rPr>
        <w:t>IUB, veicot iepirkumu pārbaudes, rūpīgi pārbauda, vai konkrētā iepirkuma procedūrā nav iekļautas nesamērīgi augstas prasības pretendentiem, vai kā citādi ierobežojošas prasības, kas varētu samazināt potenciālo pretendentu loku un liegt piedalīties Konkursā visiem interesentiem, kas būtu spējīgi izpildīt līgumsaistības, kas paredzētas konkrētā iepirkuma ietvaros. Izskatot BKUS konkrētā Konkursa dokumentāciju (Konkursa nolikumu), IUB neuzskatīja par nepieciešamu punktā Nr. 3.2.1. pie atsauces uz LBN 208-08 likt pasūtītājam papildināt punktu ar vārdiem „</w:t>
      </w:r>
      <w:r w:rsidRPr="00E47318">
        <w:rPr>
          <w:rFonts w:ascii="Times New Roman" w:hAnsi="Times New Roman"/>
          <w:i/>
          <w:sz w:val="28"/>
          <w:szCs w:val="28"/>
        </w:rPr>
        <w:t>vai ekvivalents</w:t>
      </w:r>
      <w:r w:rsidRPr="00E47318">
        <w:rPr>
          <w:rFonts w:ascii="Times New Roman" w:hAnsi="Times New Roman"/>
          <w:sz w:val="28"/>
          <w:szCs w:val="28"/>
        </w:rPr>
        <w:t>”, jo LBN 208-08 norādītais publisko ēku saraksts ir plašs, un pretendentiem, kas vēlējās piedalīties Konkursā, bija plašas iespējas pierādīt savu iepriekšēju pieredzi būvniecībā, norādot iepriekš uzbūvētas ēkas, kas atbilda kaut vienam no LBN 208-08 norādīto ēku tip</w:t>
      </w:r>
      <w:r w:rsidR="00927134">
        <w:rPr>
          <w:rFonts w:ascii="Times New Roman" w:hAnsi="Times New Roman"/>
          <w:sz w:val="28"/>
          <w:szCs w:val="28"/>
        </w:rPr>
        <w:t>ie</w:t>
      </w:r>
      <w:r w:rsidRPr="00E47318">
        <w:rPr>
          <w:rFonts w:ascii="Times New Roman" w:hAnsi="Times New Roman"/>
          <w:sz w:val="28"/>
          <w:szCs w:val="28"/>
        </w:rPr>
        <w:t>m (izglītības un zinātnes ēkas, ārstniecības, veselības aprūpes, sociālās aprūpes un rehabilitācijas iestādes, tūristu un citas īslaicīgas apmešanās mītnes, kultūras un izklaides iestādes, sporta ēkas un būves, tirdzniecības, ēdināšanas un sadzīves pakalpojumu ēkas, valsts pārvaldes ēkas, sakaru un trans</w:t>
      </w:r>
      <w:r w:rsidRPr="00E47318">
        <w:rPr>
          <w:rFonts w:ascii="Times New Roman" w:hAnsi="Times New Roman"/>
          <w:sz w:val="28"/>
          <w:szCs w:val="28"/>
        </w:rPr>
        <w:softHyphen/>
        <w:t xml:space="preserve">porta ēkas un būves). </w:t>
      </w:r>
    </w:p>
    <w:p w14:paraId="36FEB080" w14:textId="01B9304A" w:rsidR="00941457" w:rsidRPr="00E47318" w:rsidRDefault="00941457" w:rsidP="006E39FA">
      <w:pPr>
        <w:pStyle w:val="ListParagraph"/>
        <w:numPr>
          <w:ilvl w:val="1"/>
          <w:numId w:val="14"/>
        </w:numPr>
        <w:tabs>
          <w:tab w:val="left" w:pos="1134"/>
        </w:tabs>
        <w:spacing w:after="120" w:line="240" w:lineRule="auto"/>
        <w:ind w:left="426" w:firstLine="0"/>
        <w:contextualSpacing w:val="0"/>
        <w:jc w:val="both"/>
        <w:rPr>
          <w:rFonts w:ascii="Times New Roman" w:hAnsi="Times New Roman"/>
          <w:sz w:val="28"/>
          <w:szCs w:val="28"/>
        </w:rPr>
      </w:pPr>
      <w:r w:rsidRPr="00E47318">
        <w:rPr>
          <w:rFonts w:ascii="Times New Roman" w:hAnsi="Times New Roman"/>
          <w:sz w:val="28"/>
          <w:szCs w:val="28"/>
        </w:rPr>
        <w:t xml:space="preserve">Konkursa nolikuma 3.2.1.punktā bija noteikts, ka </w:t>
      </w:r>
      <w:r w:rsidRPr="00E47318">
        <w:rPr>
          <w:rFonts w:ascii="Times New Roman" w:hAnsi="Times New Roman"/>
          <w:i/>
          <w:sz w:val="28"/>
          <w:szCs w:val="28"/>
        </w:rPr>
        <w:t>„Piegādātājam – fiziskai</w:t>
      </w:r>
      <w:r w:rsidR="0094225F">
        <w:rPr>
          <w:rFonts w:ascii="Times New Roman" w:hAnsi="Times New Roman"/>
          <w:i/>
          <w:sz w:val="28"/>
          <w:szCs w:val="28"/>
        </w:rPr>
        <w:t xml:space="preserve"> </w:t>
      </w:r>
      <w:r w:rsidRPr="00E47318">
        <w:rPr>
          <w:rFonts w:ascii="Times New Roman" w:hAnsi="Times New Roman"/>
          <w:i/>
          <w:sz w:val="28"/>
          <w:szCs w:val="28"/>
        </w:rPr>
        <w:t xml:space="preserve">vai juridiskai personai - vai piegādātāju apvienībai – piecos pēdējos gados </w:t>
      </w:r>
      <w:hyperlink r:id="rId9" w:history="1">
        <w:r w:rsidRPr="00E47318">
          <w:rPr>
            <w:rFonts w:ascii="Times New Roman" w:hAnsi="Times New Roman"/>
            <w:i/>
            <w:sz w:val="28"/>
            <w:szCs w:val="28"/>
          </w:rPr>
          <w:t>(2006., 2007., 2008</w:t>
        </w:r>
      </w:hyperlink>
      <w:r w:rsidRPr="00E47318">
        <w:rPr>
          <w:rFonts w:ascii="Times New Roman" w:hAnsi="Times New Roman"/>
          <w:i/>
          <w:sz w:val="28"/>
          <w:szCs w:val="28"/>
        </w:rPr>
        <w:t xml:space="preserve">., 2009., 2010. un 2011.gadā (līdz piedāvājumu iesniegšanas termiņa beigām)) ir jābūt galvenā būvuzņēmēja pieredzei [..]”. </w:t>
      </w:r>
      <w:r w:rsidRPr="00E47318">
        <w:rPr>
          <w:rFonts w:ascii="Times New Roman" w:hAnsi="Times New Roman"/>
          <w:sz w:val="28"/>
          <w:szCs w:val="28"/>
        </w:rPr>
        <w:t xml:space="preserve">MK noteikumi Nr.567 tika apstiprināti 2008.gada 21.jūlijā, un tie stājās spēkā 2008.gada 1.septembrī. Līdz ar to pretendenti, kuriem pieredze bija iegūta 2006., 2007. un 2008.gadā līdz MK noteikumu spēkā stāšanās dienai, nemaz nevarētu būt uzcēluši ēkas, kas atbilst MK noteikumiem, kuri spēkā stājušies </w:t>
      </w:r>
      <w:r w:rsidRPr="00E47318">
        <w:rPr>
          <w:rFonts w:ascii="Times New Roman" w:hAnsi="Times New Roman"/>
          <w:sz w:val="28"/>
          <w:szCs w:val="28"/>
        </w:rPr>
        <w:lastRenderedPageBreak/>
        <w:t>2008.gada 1.septembrī. Šis apstāklis arī norāda uz to, ka atsauce uz LBN 208-08 ir iekļauta ar mērķi definēt, kas ir „</w:t>
      </w:r>
      <w:r w:rsidRPr="00E47318">
        <w:rPr>
          <w:rFonts w:ascii="Times New Roman" w:hAnsi="Times New Roman"/>
          <w:i/>
          <w:sz w:val="28"/>
          <w:szCs w:val="28"/>
        </w:rPr>
        <w:t>publiska ēka</w:t>
      </w:r>
      <w:r w:rsidRPr="00E47318">
        <w:rPr>
          <w:rFonts w:ascii="Times New Roman" w:hAnsi="Times New Roman"/>
          <w:sz w:val="28"/>
          <w:szCs w:val="28"/>
        </w:rPr>
        <w:t>”, un nekādā ziņā pretendentiem nav nepieciešams pierādīt pieredzi ēku būvniecībā, kas tikušas uzbūvētas atbilstoši LBN 208-08. Ja kāds no potenciālajiem pretendentiem, kurš savu pieredzi vēlētos pierādīt ar ēku, kas uzbūvēta pirms MK noteikumu spēkā stāšanās, būtu sapratis, ka ēkai obligāti jābūt uzceltai atbilstoši minētajiem MK noteikumiem, tas noteikti būtu interesējies un uzdevis iepirkuma komisijai jautājumu par to, kā vispār ir iespējama minētās prasības izpilde. Šāds jautājums vai neskaidrība nevienam pretendentam nav bijis, līdz ar to var secināt, ka pretendentiem ir bijis skaidrs, ka atsauce uz MK noteikumiem minēta ar nolūku skaidrot, kas ir publiska ēka, nevis, ka ēkai jābūt uzceltai atbilstoši minētajiem MK noteikumiem.</w:t>
      </w:r>
    </w:p>
    <w:p w14:paraId="63C5EBC0" w14:textId="315F8D3B" w:rsidR="00941457" w:rsidRPr="00E47318" w:rsidRDefault="00941457" w:rsidP="006E39FA">
      <w:pPr>
        <w:pStyle w:val="ListParagraph"/>
        <w:numPr>
          <w:ilvl w:val="1"/>
          <w:numId w:val="14"/>
        </w:numPr>
        <w:tabs>
          <w:tab w:val="left" w:pos="1134"/>
        </w:tabs>
        <w:spacing w:after="120" w:line="240" w:lineRule="auto"/>
        <w:ind w:left="426" w:firstLine="0"/>
        <w:contextualSpacing w:val="0"/>
        <w:jc w:val="both"/>
        <w:rPr>
          <w:rFonts w:ascii="Times New Roman" w:hAnsi="Times New Roman"/>
          <w:sz w:val="28"/>
          <w:szCs w:val="28"/>
        </w:rPr>
      </w:pPr>
      <w:r w:rsidRPr="00E47318">
        <w:rPr>
          <w:rFonts w:ascii="Times New Roman" w:hAnsi="Times New Roman"/>
          <w:sz w:val="28"/>
          <w:szCs w:val="28"/>
        </w:rPr>
        <w:t>Izsludinot Konkursu</w:t>
      </w:r>
      <w:r w:rsidR="00927134">
        <w:rPr>
          <w:rFonts w:ascii="Times New Roman" w:hAnsi="Times New Roman"/>
          <w:sz w:val="28"/>
          <w:szCs w:val="28"/>
        </w:rPr>
        <w:t>,</w:t>
      </w:r>
      <w:r w:rsidRPr="00E47318">
        <w:rPr>
          <w:rFonts w:ascii="Times New Roman" w:hAnsi="Times New Roman"/>
          <w:sz w:val="28"/>
          <w:szCs w:val="28"/>
        </w:rPr>
        <w:t xml:space="preserve"> tika saņemti jautājumi no potenciālajiem pretendentiem</w:t>
      </w:r>
      <w:r w:rsidR="00927134">
        <w:rPr>
          <w:rFonts w:ascii="Times New Roman" w:hAnsi="Times New Roman"/>
          <w:sz w:val="28"/>
          <w:szCs w:val="28"/>
        </w:rPr>
        <w:t>,</w:t>
      </w:r>
      <w:r w:rsidRPr="00E47318">
        <w:rPr>
          <w:rFonts w:ascii="Times New Roman" w:hAnsi="Times New Roman"/>
          <w:sz w:val="28"/>
          <w:szCs w:val="28"/>
        </w:rPr>
        <w:t xml:space="preserve"> un BKUS</w:t>
      </w:r>
      <w:r w:rsidR="00927134">
        <w:rPr>
          <w:rFonts w:ascii="Times New Roman" w:hAnsi="Times New Roman"/>
          <w:sz w:val="28"/>
          <w:szCs w:val="28"/>
        </w:rPr>
        <w:t>,</w:t>
      </w:r>
      <w:r w:rsidRPr="00E47318">
        <w:rPr>
          <w:rFonts w:ascii="Times New Roman" w:hAnsi="Times New Roman"/>
          <w:sz w:val="28"/>
          <w:szCs w:val="28"/>
        </w:rPr>
        <w:t xml:space="preserve"> publicējot atbildes uz uzdotajiem jautājumiem</w:t>
      </w:r>
      <w:r w:rsidR="00927134">
        <w:rPr>
          <w:rFonts w:ascii="Times New Roman" w:hAnsi="Times New Roman"/>
          <w:sz w:val="28"/>
          <w:szCs w:val="28"/>
        </w:rPr>
        <w:t>,</w:t>
      </w:r>
      <w:r w:rsidRPr="00E47318">
        <w:rPr>
          <w:rFonts w:ascii="Times New Roman" w:hAnsi="Times New Roman"/>
          <w:sz w:val="28"/>
          <w:szCs w:val="28"/>
        </w:rPr>
        <w:t xml:space="preserve"> arī skaidroja, ka izpildītājām jābūt pieredzei trīs publisko ēku celtniecībā ar kopējo platību vismaz 8 000 m², neminot atbilstību LBN 208-08, kas papildu norād</w:t>
      </w:r>
      <w:r w:rsidR="00F344EE">
        <w:rPr>
          <w:rFonts w:ascii="Times New Roman" w:hAnsi="Times New Roman"/>
          <w:sz w:val="28"/>
          <w:szCs w:val="28"/>
        </w:rPr>
        <w:t>a</w:t>
      </w:r>
      <w:r w:rsidRPr="00E47318">
        <w:rPr>
          <w:rFonts w:ascii="Times New Roman" w:hAnsi="Times New Roman"/>
          <w:sz w:val="28"/>
          <w:szCs w:val="28"/>
        </w:rPr>
        <w:t xml:space="preserve"> uz to, ka atbilstība LBN 208-08 nav nepieciešama, bet atsauce uz LBN 208-08  tiek izmantota, lai skaidrotu publisko ēku definējumu.</w:t>
      </w:r>
    </w:p>
    <w:p w14:paraId="3AF20901" w14:textId="77777777" w:rsidR="00941457" w:rsidRPr="00E47318" w:rsidRDefault="00941457" w:rsidP="006E39FA">
      <w:pPr>
        <w:pStyle w:val="ListParagraph"/>
        <w:numPr>
          <w:ilvl w:val="0"/>
          <w:numId w:val="14"/>
        </w:numPr>
        <w:tabs>
          <w:tab w:val="left" w:pos="426"/>
        </w:tabs>
        <w:spacing w:after="120" w:line="240" w:lineRule="auto"/>
        <w:ind w:left="0" w:firstLine="0"/>
        <w:contextualSpacing w:val="0"/>
        <w:jc w:val="both"/>
        <w:rPr>
          <w:rFonts w:ascii="Times New Roman" w:hAnsi="Times New Roman"/>
          <w:b/>
        </w:rPr>
      </w:pPr>
      <w:r w:rsidRPr="00E47318">
        <w:rPr>
          <w:rFonts w:ascii="Times New Roman" w:hAnsi="Times New Roman"/>
          <w:sz w:val="28"/>
          <w:szCs w:val="28"/>
        </w:rPr>
        <w:t>Ir veiktas arī citas pārbaudes, kurās vairākkārtīgi pārbaudīts Konkursa nolikums un nav konstatēti pārkāpumi:</w:t>
      </w:r>
    </w:p>
    <w:p w14:paraId="7250468C" w14:textId="77777777" w:rsidR="00941457" w:rsidRPr="00E47318" w:rsidRDefault="00941457" w:rsidP="006E39FA">
      <w:pPr>
        <w:pStyle w:val="ListParagraph"/>
        <w:numPr>
          <w:ilvl w:val="1"/>
          <w:numId w:val="14"/>
        </w:numPr>
        <w:tabs>
          <w:tab w:val="left" w:pos="1134"/>
        </w:tabs>
        <w:spacing w:after="120" w:line="240" w:lineRule="auto"/>
        <w:ind w:left="426" w:firstLine="0"/>
        <w:contextualSpacing w:val="0"/>
        <w:jc w:val="both"/>
        <w:rPr>
          <w:rFonts w:ascii="Times New Roman" w:hAnsi="Times New Roman"/>
          <w:sz w:val="28"/>
          <w:szCs w:val="28"/>
        </w:rPr>
      </w:pPr>
      <w:r w:rsidRPr="00E47318">
        <w:rPr>
          <w:rFonts w:ascii="Times New Roman" w:hAnsi="Times New Roman"/>
          <w:sz w:val="28"/>
          <w:szCs w:val="28"/>
        </w:rPr>
        <w:t>CFLA veica pārbaudi BKUS 2012.gada 13., 14. un 17.septembrī. Pārbaudes ietvaros tika pārbaudīta arī BKUS 20.korpusa būvdarbu līguma Nr. BKUS 2011/43-1 ERAF izpilde, kā arī līguma un iepirkuma dokumentācija. Pārbaudes laikā nekādi iebildumi attiecībā uz minētā līguma izpildi, ne arī attiecībā uz Konkursa dokumentāciju netika saņemti. CFLA atkārtotu pārbaudi veica 2012.gada 16.novembrī, pēc pārbaudes saņemts pozitīvs atzinums.</w:t>
      </w:r>
    </w:p>
    <w:p w14:paraId="0CAF6B3D" w14:textId="77777777" w:rsidR="00941457" w:rsidRPr="00E47318" w:rsidRDefault="00941457" w:rsidP="006E39FA">
      <w:pPr>
        <w:pStyle w:val="ListParagraph"/>
        <w:numPr>
          <w:ilvl w:val="1"/>
          <w:numId w:val="14"/>
        </w:numPr>
        <w:tabs>
          <w:tab w:val="left" w:pos="1134"/>
        </w:tabs>
        <w:spacing w:after="120" w:line="240" w:lineRule="auto"/>
        <w:ind w:left="426" w:firstLine="0"/>
        <w:contextualSpacing w:val="0"/>
        <w:jc w:val="both"/>
        <w:rPr>
          <w:rFonts w:ascii="Times New Roman" w:hAnsi="Times New Roman"/>
          <w:sz w:val="28"/>
          <w:szCs w:val="28"/>
        </w:rPr>
      </w:pPr>
      <w:r w:rsidRPr="00E47318">
        <w:rPr>
          <w:rFonts w:ascii="Times New Roman" w:hAnsi="Times New Roman"/>
          <w:sz w:val="28"/>
          <w:szCs w:val="28"/>
        </w:rPr>
        <w:t xml:space="preserve">FM veica auditu 2013.gada 26. un 28.jūnijā. Audita laikā netika saņemti norādījumi vai iebildumi attiecībā uz Konkursu un Konkursa rezultātā noslēgto iepirkuma līgumu, ka veicot attiecīgo iepirkuma procedūru Konkursa dokumentos būtu iekļautas ierobežojošas vai diskriminējošas prasības attiecībā uz ārvalstu pretendentiem, kā arī, ka nebūtu ievēroti kādi no Publiskā iepirkuma likumā noteiktajiem termiņiem attiecībā uz piedāvājumu iesniegšanu Konkursam. Konkurss tika rīkots saskaņā ar tajā laikā Latvijas Republikā spēkā esošajiem normatīvajiem aktiem. </w:t>
      </w:r>
    </w:p>
    <w:p w14:paraId="40B1B8BC" w14:textId="77777777" w:rsidR="00941457" w:rsidRPr="00E47318" w:rsidRDefault="00941457" w:rsidP="00941457">
      <w:pPr>
        <w:spacing w:before="120"/>
        <w:jc w:val="both"/>
        <w:rPr>
          <w:rFonts w:ascii="Times New Roman" w:hAnsi="Times New Roman"/>
          <w:sz w:val="28"/>
          <w:szCs w:val="28"/>
        </w:rPr>
      </w:pPr>
    </w:p>
    <w:p w14:paraId="7D08D943" w14:textId="77777777" w:rsidR="00941457" w:rsidRPr="00E47318" w:rsidRDefault="00941457" w:rsidP="00941457">
      <w:pPr>
        <w:pStyle w:val="Heading1"/>
        <w:widowControl w:val="0"/>
        <w:numPr>
          <w:ilvl w:val="0"/>
          <w:numId w:val="15"/>
        </w:numPr>
        <w:spacing w:after="120"/>
        <w:ind w:left="284" w:hanging="284"/>
        <w:jc w:val="center"/>
      </w:pPr>
      <w:r w:rsidRPr="00E47318">
        <w:t>Turpmākā rīcība</w:t>
      </w:r>
    </w:p>
    <w:p w14:paraId="5783DECB" w14:textId="77777777" w:rsidR="00941457" w:rsidRPr="00E47318" w:rsidRDefault="00941457" w:rsidP="00941457">
      <w:pPr>
        <w:pStyle w:val="Heading1"/>
        <w:widowControl w:val="0"/>
        <w:spacing w:after="120"/>
        <w:ind w:left="284" w:firstLine="0"/>
      </w:pPr>
    </w:p>
    <w:p w14:paraId="7906EA88" w14:textId="157F8540" w:rsidR="00941457" w:rsidRPr="00E47318" w:rsidRDefault="00941457" w:rsidP="006E39FA">
      <w:pPr>
        <w:pStyle w:val="ListParagraph"/>
        <w:numPr>
          <w:ilvl w:val="0"/>
          <w:numId w:val="14"/>
        </w:numPr>
        <w:tabs>
          <w:tab w:val="left" w:pos="426"/>
        </w:tabs>
        <w:spacing w:after="120" w:line="240" w:lineRule="auto"/>
        <w:ind w:left="0" w:firstLine="0"/>
        <w:contextualSpacing w:val="0"/>
        <w:jc w:val="both"/>
        <w:rPr>
          <w:rFonts w:ascii="Times New Roman" w:hAnsi="Times New Roman"/>
          <w:b/>
        </w:rPr>
      </w:pPr>
      <w:r w:rsidRPr="00E47318">
        <w:rPr>
          <w:rFonts w:ascii="Times New Roman" w:hAnsi="Times New Roman"/>
          <w:sz w:val="28"/>
          <w:szCs w:val="28"/>
        </w:rPr>
        <w:t xml:space="preserve"> Noklausīšanās sanāksmē EK </w:t>
      </w:r>
      <w:r w:rsidR="0094225F">
        <w:rPr>
          <w:rFonts w:ascii="Times New Roman" w:hAnsi="Times New Roman"/>
          <w:sz w:val="28"/>
          <w:szCs w:val="28"/>
        </w:rPr>
        <w:t xml:space="preserve">ir </w:t>
      </w:r>
      <w:r w:rsidRPr="00E47318">
        <w:rPr>
          <w:rFonts w:ascii="Times New Roman" w:hAnsi="Times New Roman"/>
          <w:sz w:val="28"/>
          <w:szCs w:val="28"/>
        </w:rPr>
        <w:t>pieņēmusi šādus lēmumus:</w:t>
      </w:r>
    </w:p>
    <w:p w14:paraId="19606CFA" w14:textId="77777777" w:rsidR="00941457" w:rsidRPr="00E47318" w:rsidRDefault="00941457" w:rsidP="006E39FA">
      <w:pPr>
        <w:pStyle w:val="ListParagraph"/>
        <w:numPr>
          <w:ilvl w:val="1"/>
          <w:numId w:val="14"/>
        </w:numPr>
        <w:tabs>
          <w:tab w:val="left" w:pos="1134"/>
        </w:tabs>
        <w:spacing w:after="120" w:line="240" w:lineRule="auto"/>
        <w:ind w:left="426" w:firstLine="0"/>
        <w:contextualSpacing w:val="0"/>
        <w:jc w:val="both"/>
        <w:rPr>
          <w:rFonts w:ascii="Times New Roman" w:hAnsi="Times New Roman"/>
          <w:sz w:val="28"/>
          <w:szCs w:val="28"/>
        </w:rPr>
      </w:pPr>
      <w:r w:rsidRPr="00E47318">
        <w:rPr>
          <w:rFonts w:ascii="Times New Roman" w:hAnsi="Times New Roman"/>
          <w:sz w:val="28"/>
          <w:szCs w:val="28"/>
        </w:rPr>
        <w:lastRenderedPageBreak/>
        <w:t>EK uztur spēkā savu iepriekšējo konstatējumu, ka piemērojama 10% korekcija;</w:t>
      </w:r>
    </w:p>
    <w:p w14:paraId="2341792E" w14:textId="77777777" w:rsidR="00941457" w:rsidRPr="00E47318" w:rsidRDefault="00941457" w:rsidP="006E39FA">
      <w:pPr>
        <w:pStyle w:val="ListParagraph"/>
        <w:numPr>
          <w:ilvl w:val="1"/>
          <w:numId w:val="14"/>
        </w:numPr>
        <w:tabs>
          <w:tab w:val="left" w:pos="1134"/>
        </w:tabs>
        <w:spacing w:after="120" w:line="240" w:lineRule="auto"/>
        <w:ind w:left="426" w:firstLine="0"/>
        <w:contextualSpacing w:val="0"/>
        <w:jc w:val="both"/>
        <w:rPr>
          <w:rFonts w:ascii="Times New Roman" w:hAnsi="Times New Roman"/>
          <w:sz w:val="28"/>
          <w:szCs w:val="28"/>
        </w:rPr>
      </w:pPr>
      <w:r w:rsidRPr="00E47318">
        <w:rPr>
          <w:rFonts w:ascii="Times New Roman" w:hAnsi="Times New Roman"/>
          <w:sz w:val="28"/>
          <w:szCs w:val="28"/>
        </w:rPr>
        <w:t>Ņemot vērā faktu, ka BKUS projektu ietvaros jau ir veikta 5%  korekcija neatbilstībām, tad korekcija, kas piemērojama līgumiem mazinās līdz 5%;</w:t>
      </w:r>
    </w:p>
    <w:p w14:paraId="21D2A2B1" w14:textId="77777777" w:rsidR="00941457" w:rsidRPr="00E47318" w:rsidRDefault="00941457" w:rsidP="006E39FA">
      <w:pPr>
        <w:pStyle w:val="ListParagraph"/>
        <w:numPr>
          <w:ilvl w:val="1"/>
          <w:numId w:val="14"/>
        </w:numPr>
        <w:tabs>
          <w:tab w:val="left" w:pos="1134"/>
        </w:tabs>
        <w:spacing w:after="120" w:line="240" w:lineRule="auto"/>
        <w:ind w:left="426" w:firstLine="0"/>
        <w:contextualSpacing w:val="0"/>
        <w:jc w:val="both"/>
        <w:rPr>
          <w:rFonts w:ascii="Times New Roman" w:hAnsi="Times New Roman"/>
          <w:sz w:val="28"/>
          <w:szCs w:val="28"/>
        </w:rPr>
      </w:pPr>
      <w:r w:rsidRPr="00E47318">
        <w:rPr>
          <w:rFonts w:ascii="Times New Roman" w:hAnsi="Times New Roman"/>
          <w:sz w:val="28"/>
          <w:szCs w:val="28"/>
        </w:rPr>
        <w:t xml:space="preserve">Ja sešu mēnešu laikā sākot no 2016.gada 7.novembra no Latvijas netiks saņemta informācija par tās atbilstošu rīcību korekcijas piemērošanā, tad EK veiks Latvijai </w:t>
      </w:r>
      <w:r w:rsidRPr="0094225F">
        <w:rPr>
          <w:rFonts w:ascii="Times New Roman" w:hAnsi="Times New Roman"/>
          <w:i/>
          <w:sz w:val="28"/>
          <w:szCs w:val="28"/>
        </w:rPr>
        <w:t>neto</w:t>
      </w:r>
      <w:r w:rsidRPr="00E47318">
        <w:rPr>
          <w:rFonts w:ascii="Times New Roman" w:hAnsi="Times New Roman"/>
          <w:sz w:val="28"/>
          <w:szCs w:val="28"/>
        </w:rPr>
        <w:t xml:space="preserve"> korekciju no atbilstošās darbības programmas.</w:t>
      </w:r>
    </w:p>
    <w:p w14:paraId="28B836FF" w14:textId="77777777" w:rsidR="00941457" w:rsidRPr="00E47318" w:rsidRDefault="00941457" w:rsidP="006E39FA">
      <w:pPr>
        <w:pStyle w:val="ListParagraph"/>
        <w:numPr>
          <w:ilvl w:val="0"/>
          <w:numId w:val="14"/>
        </w:numPr>
        <w:tabs>
          <w:tab w:val="left" w:pos="426"/>
        </w:tabs>
        <w:spacing w:after="120" w:line="240" w:lineRule="auto"/>
        <w:ind w:left="0" w:firstLine="0"/>
        <w:contextualSpacing w:val="0"/>
        <w:jc w:val="both"/>
        <w:rPr>
          <w:rFonts w:ascii="Times New Roman" w:hAnsi="Times New Roman"/>
          <w:sz w:val="28"/>
          <w:szCs w:val="28"/>
        </w:rPr>
      </w:pPr>
      <w:r w:rsidRPr="00E47318">
        <w:rPr>
          <w:rFonts w:ascii="Times New Roman" w:hAnsi="Times New Roman"/>
          <w:sz w:val="28"/>
          <w:szCs w:val="28"/>
        </w:rPr>
        <w:t xml:space="preserve">2016.gada 12.decembrī FM ir nosūtījusi atbildes vēstuli EK, ka Latvijas iesaistītajām pusēm un BKUS nav komentāru par sanāksmes protokolu un gala lēmumu par veiktajām darbībām attiecībā uz finanšu korekciju tā nosūtīs EK 2017.gada sākumā. </w:t>
      </w:r>
    </w:p>
    <w:p w14:paraId="3E228E2F" w14:textId="5D8277F0" w:rsidR="00941457" w:rsidRPr="00E47318" w:rsidRDefault="00941457" w:rsidP="006E39FA">
      <w:pPr>
        <w:pStyle w:val="ListParagraph"/>
        <w:numPr>
          <w:ilvl w:val="0"/>
          <w:numId w:val="14"/>
        </w:numPr>
        <w:tabs>
          <w:tab w:val="left" w:pos="426"/>
        </w:tabs>
        <w:spacing w:after="120" w:line="240" w:lineRule="auto"/>
        <w:ind w:left="0" w:firstLine="0"/>
        <w:contextualSpacing w:val="0"/>
        <w:jc w:val="both"/>
        <w:rPr>
          <w:rFonts w:ascii="Times New Roman" w:hAnsi="Times New Roman"/>
          <w:b/>
        </w:rPr>
      </w:pPr>
      <w:r w:rsidRPr="00E47318">
        <w:rPr>
          <w:rFonts w:ascii="Times New Roman" w:hAnsi="Times New Roman"/>
          <w:sz w:val="28"/>
          <w:szCs w:val="28"/>
        </w:rPr>
        <w:t xml:space="preserve">Vienlaikus BKUS ir nosūtījis vēstuli (lūdzu skatīt pielikumu Nr.2) VM, kurā pauž savu viedokli, ka konceptuāli nepiekrīt EK secinājumiem un piemērotajai 10% korekcijai, bet neredz iespēju turpināt diskusiju ar EK, tā ka līdzšinējās diskusijas </w:t>
      </w:r>
      <w:r w:rsidR="00D06C01">
        <w:rPr>
          <w:rFonts w:ascii="Times New Roman" w:hAnsi="Times New Roman"/>
          <w:sz w:val="28"/>
          <w:szCs w:val="28"/>
        </w:rPr>
        <w:t xml:space="preserve">un argumenti </w:t>
      </w:r>
      <w:r w:rsidRPr="00E47318">
        <w:rPr>
          <w:rFonts w:ascii="Times New Roman" w:hAnsi="Times New Roman"/>
          <w:sz w:val="28"/>
          <w:szCs w:val="28"/>
        </w:rPr>
        <w:t xml:space="preserve">nav </w:t>
      </w:r>
      <w:r w:rsidR="00D06C01">
        <w:rPr>
          <w:rFonts w:ascii="Times New Roman" w:hAnsi="Times New Roman"/>
          <w:sz w:val="28"/>
          <w:szCs w:val="28"/>
        </w:rPr>
        <w:t>pārliecinājuš</w:t>
      </w:r>
      <w:r w:rsidR="00F344EE">
        <w:rPr>
          <w:rFonts w:ascii="Times New Roman" w:hAnsi="Times New Roman"/>
          <w:sz w:val="28"/>
          <w:szCs w:val="28"/>
        </w:rPr>
        <w:t>a</w:t>
      </w:r>
      <w:r w:rsidR="00D06C01">
        <w:rPr>
          <w:rFonts w:ascii="Times New Roman" w:hAnsi="Times New Roman"/>
          <w:sz w:val="28"/>
          <w:szCs w:val="28"/>
        </w:rPr>
        <w:t>s EK</w:t>
      </w:r>
      <w:r w:rsidRPr="00E47318">
        <w:rPr>
          <w:rFonts w:ascii="Times New Roman" w:hAnsi="Times New Roman"/>
          <w:sz w:val="28"/>
          <w:szCs w:val="28"/>
        </w:rPr>
        <w:t>.</w:t>
      </w:r>
    </w:p>
    <w:p w14:paraId="4EB567BB" w14:textId="72105150" w:rsidR="00941457" w:rsidRPr="007B2BD5" w:rsidRDefault="00941457" w:rsidP="006E39FA">
      <w:pPr>
        <w:pStyle w:val="ListParagraph"/>
        <w:numPr>
          <w:ilvl w:val="0"/>
          <w:numId w:val="14"/>
        </w:numPr>
        <w:tabs>
          <w:tab w:val="left" w:pos="426"/>
        </w:tabs>
        <w:spacing w:after="120" w:line="240" w:lineRule="auto"/>
        <w:ind w:left="0" w:firstLine="0"/>
        <w:contextualSpacing w:val="0"/>
        <w:jc w:val="both"/>
        <w:rPr>
          <w:rFonts w:ascii="Times New Roman" w:hAnsi="Times New Roman"/>
          <w:b/>
        </w:rPr>
      </w:pPr>
      <w:r w:rsidRPr="00E47318">
        <w:rPr>
          <w:rFonts w:ascii="Times New Roman" w:hAnsi="Times New Roman"/>
          <w:sz w:val="28"/>
          <w:szCs w:val="28"/>
        </w:rPr>
        <w:t xml:space="preserve">Ņemot vērā iepriekš minēto, un, lai izvairītos no </w:t>
      </w:r>
      <w:r w:rsidRPr="0094225F">
        <w:rPr>
          <w:rFonts w:ascii="Times New Roman" w:hAnsi="Times New Roman"/>
          <w:i/>
          <w:sz w:val="28"/>
          <w:szCs w:val="28"/>
        </w:rPr>
        <w:t>neto</w:t>
      </w:r>
      <w:r w:rsidRPr="00E47318">
        <w:rPr>
          <w:rFonts w:ascii="Times New Roman" w:hAnsi="Times New Roman"/>
          <w:sz w:val="28"/>
          <w:szCs w:val="28"/>
        </w:rPr>
        <w:t xml:space="preserve"> zaudējumiem Latvija</w:t>
      </w:r>
      <w:r w:rsidR="00BD1684">
        <w:rPr>
          <w:rFonts w:ascii="Times New Roman" w:hAnsi="Times New Roman"/>
          <w:sz w:val="28"/>
          <w:szCs w:val="28"/>
        </w:rPr>
        <w:t>i</w:t>
      </w:r>
      <w:r w:rsidRPr="00E47318">
        <w:rPr>
          <w:rFonts w:ascii="Times New Roman" w:hAnsi="Times New Roman"/>
          <w:sz w:val="28"/>
          <w:szCs w:val="28"/>
        </w:rPr>
        <w:t>, piemēroto finanšu korekcijas</w:t>
      </w:r>
      <w:r w:rsidR="0094225F">
        <w:rPr>
          <w:rFonts w:ascii="Times New Roman" w:hAnsi="Times New Roman"/>
          <w:sz w:val="28"/>
          <w:szCs w:val="28"/>
        </w:rPr>
        <w:t xml:space="preserve"> summu ir iespējams aizstāt ar </w:t>
      </w:r>
      <w:proofErr w:type="spellStart"/>
      <w:r w:rsidRPr="00E47318">
        <w:rPr>
          <w:rFonts w:ascii="Times New Roman" w:hAnsi="Times New Roman"/>
          <w:sz w:val="28"/>
          <w:szCs w:val="28"/>
        </w:rPr>
        <w:t>virssaistību</w:t>
      </w:r>
      <w:proofErr w:type="spellEnd"/>
      <w:r w:rsidRPr="00E47318">
        <w:rPr>
          <w:rFonts w:ascii="Times New Roman" w:hAnsi="Times New Roman"/>
          <w:sz w:val="28"/>
          <w:szCs w:val="28"/>
        </w:rPr>
        <w:t xml:space="preserve"> finansējumu. Tādējādi VM aicina piekrist EK konstatētai iespējamai neatbilstībai un finanšu korekcijas apmēram un uzskatīt par atgūtiem BKUS projektos neatbilstoši </w:t>
      </w:r>
      <w:r w:rsidR="00BD1684" w:rsidRPr="00E47318">
        <w:rPr>
          <w:rFonts w:ascii="Times New Roman" w:hAnsi="Times New Roman"/>
          <w:sz w:val="28"/>
          <w:szCs w:val="28"/>
        </w:rPr>
        <w:t>veikt</w:t>
      </w:r>
      <w:r w:rsidR="00BD1684">
        <w:rPr>
          <w:rFonts w:ascii="Times New Roman" w:hAnsi="Times New Roman"/>
          <w:sz w:val="28"/>
          <w:szCs w:val="28"/>
        </w:rPr>
        <w:t>o</w:t>
      </w:r>
      <w:r w:rsidR="00BD1684" w:rsidRPr="00E47318">
        <w:rPr>
          <w:rFonts w:ascii="Times New Roman" w:hAnsi="Times New Roman"/>
          <w:sz w:val="28"/>
          <w:szCs w:val="28"/>
        </w:rPr>
        <w:t xml:space="preserve">s </w:t>
      </w:r>
      <w:r w:rsidRPr="00E47318">
        <w:rPr>
          <w:rFonts w:ascii="Times New Roman" w:hAnsi="Times New Roman"/>
          <w:sz w:val="28"/>
          <w:szCs w:val="28"/>
        </w:rPr>
        <w:t xml:space="preserve">izdevumus kopumā  357 313,57 </w:t>
      </w:r>
      <w:proofErr w:type="spellStart"/>
      <w:r w:rsidRPr="00E47318">
        <w:rPr>
          <w:rFonts w:ascii="Times New Roman" w:hAnsi="Times New Roman"/>
          <w:i/>
          <w:sz w:val="28"/>
          <w:szCs w:val="28"/>
        </w:rPr>
        <w:t>euro</w:t>
      </w:r>
      <w:proofErr w:type="spellEnd"/>
      <w:r w:rsidRPr="00E47318">
        <w:rPr>
          <w:rFonts w:ascii="Times New Roman" w:hAnsi="Times New Roman"/>
          <w:sz w:val="28"/>
          <w:szCs w:val="28"/>
        </w:rPr>
        <w:t xml:space="preserve"> apjomā un nepiedzīt tos no finansējuma saņēmēja. </w:t>
      </w:r>
    </w:p>
    <w:p w14:paraId="205955CA" w14:textId="39215C45" w:rsidR="003C4063" w:rsidRPr="00E47318" w:rsidRDefault="003C4063" w:rsidP="006E39FA">
      <w:pPr>
        <w:pStyle w:val="ListParagraph"/>
        <w:numPr>
          <w:ilvl w:val="0"/>
          <w:numId w:val="14"/>
        </w:numPr>
        <w:tabs>
          <w:tab w:val="left" w:pos="426"/>
        </w:tabs>
        <w:spacing w:after="120" w:line="240" w:lineRule="auto"/>
        <w:ind w:left="0" w:firstLine="0"/>
        <w:contextualSpacing w:val="0"/>
        <w:jc w:val="both"/>
        <w:rPr>
          <w:rFonts w:ascii="Times New Roman" w:hAnsi="Times New Roman"/>
          <w:b/>
        </w:rPr>
      </w:pPr>
      <w:r>
        <w:rPr>
          <w:rFonts w:ascii="Times New Roman" w:hAnsi="Times New Roman"/>
          <w:sz w:val="28"/>
          <w:szCs w:val="28"/>
        </w:rPr>
        <w:t>Ņemot vērā šo precedentu un izpratni, cik stingri EK vērtē iepirkuma dokumentācijas redakcijas, kas varētu radīt iespējamu ārvalstu pretendentu  diskrimināciju vai ierobežojumus, IUB un citas uzraugošās, kontrolējošās iestādes pilnveido</w:t>
      </w:r>
      <w:r w:rsidR="00ED6EE9">
        <w:rPr>
          <w:rFonts w:ascii="Times New Roman" w:hAnsi="Times New Roman"/>
          <w:sz w:val="28"/>
          <w:szCs w:val="28"/>
        </w:rPr>
        <w:t>t</w:t>
      </w:r>
      <w:r>
        <w:rPr>
          <w:rFonts w:ascii="Times New Roman" w:hAnsi="Times New Roman"/>
          <w:sz w:val="28"/>
          <w:szCs w:val="28"/>
        </w:rPr>
        <w:t xml:space="preserve"> skaidrojumus, metodikas un konsultē</w:t>
      </w:r>
      <w:r w:rsidR="0094225F">
        <w:rPr>
          <w:rFonts w:ascii="Times New Roman" w:hAnsi="Times New Roman"/>
          <w:sz w:val="28"/>
          <w:szCs w:val="28"/>
        </w:rPr>
        <w:t>t potenciālos p</w:t>
      </w:r>
      <w:r>
        <w:rPr>
          <w:rFonts w:ascii="Times New Roman" w:hAnsi="Times New Roman"/>
          <w:sz w:val="28"/>
          <w:szCs w:val="28"/>
        </w:rPr>
        <w:t xml:space="preserve">asūtītājus par līdzīgām situācijām, lai preventīvi izslēgtu </w:t>
      </w:r>
      <w:r w:rsidR="00ED6EE9">
        <w:rPr>
          <w:rFonts w:ascii="Times New Roman" w:hAnsi="Times New Roman"/>
          <w:sz w:val="28"/>
          <w:szCs w:val="28"/>
        </w:rPr>
        <w:t>šādu</w:t>
      </w:r>
      <w:r>
        <w:rPr>
          <w:rFonts w:ascii="Times New Roman" w:hAnsi="Times New Roman"/>
          <w:sz w:val="28"/>
          <w:szCs w:val="28"/>
        </w:rPr>
        <w:t xml:space="preserve"> risku iestāšanos.</w:t>
      </w:r>
    </w:p>
    <w:p w14:paraId="224D3E44" w14:textId="77777777" w:rsidR="00941457" w:rsidRPr="00E47318" w:rsidRDefault="00941457" w:rsidP="00941457">
      <w:pPr>
        <w:rPr>
          <w:rFonts w:ascii="Times New Roman" w:hAnsi="Times New Roman"/>
        </w:rPr>
      </w:pPr>
      <w:r w:rsidRPr="00E47318">
        <w:rPr>
          <w:rFonts w:ascii="Times New Roman" w:hAnsi="Times New Roman"/>
          <w:sz w:val="28"/>
          <w:szCs w:val="28"/>
        </w:rPr>
        <w:t xml:space="preserve">Pielikumā: </w:t>
      </w:r>
    </w:p>
    <w:p w14:paraId="085A6F47" w14:textId="77777777" w:rsidR="00941457" w:rsidRPr="00E47318" w:rsidRDefault="00941457" w:rsidP="00941457">
      <w:pPr>
        <w:pStyle w:val="ListParagraph"/>
        <w:numPr>
          <w:ilvl w:val="0"/>
          <w:numId w:val="13"/>
        </w:numPr>
        <w:jc w:val="both"/>
        <w:rPr>
          <w:rFonts w:ascii="Times New Roman" w:hAnsi="Times New Roman"/>
        </w:rPr>
      </w:pPr>
      <w:r w:rsidRPr="00E47318">
        <w:rPr>
          <w:rFonts w:ascii="Times New Roman" w:hAnsi="Times New Roman"/>
          <w:sz w:val="28"/>
          <w:szCs w:val="28"/>
        </w:rPr>
        <w:t xml:space="preserve">2016.gada 24.oktobra noklausīšanās sanāksmes Briselē protokols </w:t>
      </w:r>
      <w:proofErr w:type="spellStart"/>
      <w:r w:rsidRPr="00E47318">
        <w:rPr>
          <w:rFonts w:ascii="Times New Roman" w:hAnsi="Times New Roman"/>
          <w:sz w:val="28"/>
          <w:szCs w:val="28"/>
        </w:rPr>
        <w:t>Ref.Ares</w:t>
      </w:r>
      <w:proofErr w:type="spellEnd"/>
      <w:r w:rsidRPr="00E47318">
        <w:rPr>
          <w:rFonts w:ascii="Times New Roman" w:hAnsi="Times New Roman"/>
          <w:sz w:val="28"/>
          <w:szCs w:val="28"/>
        </w:rPr>
        <w:t>(2</w:t>
      </w:r>
      <w:r w:rsidR="0011773A">
        <w:rPr>
          <w:rFonts w:ascii="Times New Roman" w:hAnsi="Times New Roman"/>
          <w:sz w:val="28"/>
          <w:szCs w:val="28"/>
        </w:rPr>
        <w:t>016)6660793-28/11/2016 uz 9</w:t>
      </w:r>
      <w:r w:rsidR="006A73A5">
        <w:rPr>
          <w:rFonts w:ascii="Times New Roman" w:hAnsi="Times New Roman"/>
          <w:sz w:val="28"/>
          <w:szCs w:val="28"/>
        </w:rPr>
        <w:t xml:space="preserve"> </w:t>
      </w:r>
      <w:r w:rsidR="0011773A">
        <w:rPr>
          <w:rFonts w:ascii="Times New Roman" w:hAnsi="Times New Roman"/>
          <w:sz w:val="28"/>
          <w:szCs w:val="28"/>
        </w:rPr>
        <w:t>lpp</w:t>
      </w:r>
      <w:r w:rsidR="006A73A5">
        <w:rPr>
          <w:rFonts w:ascii="Times New Roman" w:hAnsi="Times New Roman"/>
          <w:sz w:val="28"/>
          <w:szCs w:val="28"/>
        </w:rPr>
        <w:t>.</w:t>
      </w:r>
      <w:r w:rsidR="0011773A">
        <w:rPr>
          <w:rFonts w:ascii="Times New Roman" w:hAnsi="Times New Roman"/>
          <w:sz w:val="28"/>
          <w:szCs w:val="28"/>
        </w:rPr>
        <w:t xml:space="preserve"> </w:t>
      </w:r>
      <w:r w:rsidR="00F20009">
        <w:rPr>
          <w:rFonts w:ascii="Times New Roman" w:hAnsi="Times New Roman"/>
          <w:sz w:val="28"/>
          <w:szCs w:val="28"/>
        </w:rPr>
        <w:t>(VMzinop1_271216)</w:t>
      </w:r>
      <w:r w:rsidRPr="00E47318">
        <w:rPr>
          <w:rFonts w:ascii="Times New Roman" w:hAnsi="Times New Roman"/>
          <w:sz w:val="28"/>
          <w:szCs w:val="28"/>
        </w:rPr>
        <w:t>;</w:t>
      </w:r>
    </w:p>
    <w:p w14:paraId="106BAF98" w14:textId="77777777" w:rsidR="00941457" w:rsidRPr="00E47318" w:rsidRDefault="00941457" w:rsidP="00F20009">
      <w:pPr>
        <w:pStyle w:val="ListParagraph"/>
        <w:numPr>
          <w:ilvl w:val="0"/>
          <w:numId w:val="13"/>
        </w:numPr>
        <w:jc w:val="both"/>
        <w:rPr>
          <w:rFonts w:ascii="Times New Roman" w:hAnsi="Times New Roman"/>
        </w:rPr>
      </w:pPr>
      <w:r w:rsidRPr="00E47318">
        <w:rPr>
          <w:rFonts w:ascii="Times New Roman" w:hAnsi="Times New Roman"/>
          <w:sz w:val="28"/>
          <w:szCs w:val="28"/>
        </w:rPr>
        <w:t>BKUS 2016.gada 12.decembra vē</w:t>
      </w:r>
      <w:r w:rsidR="0011773A">
        <w:rPr>
          <w:rFonts w:ascii="Times New Roman" w:hAnsi="Times New Roman"/>
          <w:sz w:val="28"/>
          <w:szCs w:val="28"/>
        </w:rPr>
        <w:t>stule Nr.Sn-1-206/2016 uz 1</w:t>
      </w:r>
      <w:r w:rsidR="006A73A5">
        <w:rPr>
          <w:rFonts w:ascii="Times New Roman" w:hAnsi="Times New Roman"/>
          <w:sz w:val="28"/>
          <w:szCs w:val="28"/>
        </w:rPr>
        <w:t xml:space="preserve"> lpp. </w:t>
      </w:r>
      <w:r w:rsidR="00F20009">
        <w:rPr>
          <w:rFonts w:ascii="Times New Roman" w:hAnsi="Times New Roman"/>
          <w:sz w:val="28"/>
          <w:szCs w:val="28"/>
        </w:rPr>
        <w:t>(VMzinop2_271216)</w:t>
      </w:r>
      <w:r w:rsidR="006A73A5">
        <w:rPr>
          <w:rFonts w:ascii="Times New Roman" w:hAnsi="Times New Roman"/>
          <w:sz w:val="28"/>
          <w:szCs w:val="28"/>
        </w:rPr>
        <w:t>.</w:t>
      </w:r>
    </w:p>
    <w:p w14:paraId="2F148C4A" w14:textId="77777777" w:rsidR="00EB23F6" w:rsidRDefault="00EB23F6" w:rsidP="00941457">
      <w:pPr>
        <w:tabs>
          <w:tab w:val="right" w:pos="9356"/>
        </w:tabs>
        <w:spacing w:after="0" w:line="240" w:lineRule="auto"/>
        <w:contextualSpacing/>
        <w:jc w:val="both"/>
        <w:rPr>
          <w:rFonts w:ascii="Times New Roman" w:hAnsi="Times New Roman"/>
          <w:sz w:val="28"/>
          <w:szCs w:val="28"/>
        </w:rPr>
      </w:pPr>
    </w:p>
    <w:p w14:paraId="4256B558" w14:textId="77777777" w:rsidR="00941457" w:rsidRDefault="00941457" w:rsidP="007D2E8D">
      <w:pPr>
        <w:tabs>
          <w:tab w:val="left" w:pos="7655"/>
          <w:tab w:val="right" w:pos="9356"/>
        </w:tabs>
        <w:spacing w:after="0" w:line="240" w:lineRule="auto"/>
        <w:contextualSpacing/>
        <w:jc w:val="both"/>
        <w:rPr>
          <w:rFonts w:ascii="Times New Roman" w:hAnsi="Times New Roman"/>
          <w:sz w:val="28"/>
          <w:szCs w:val="28"/>
        </w:rPr>
      </w:pPr>
      <w:r w:rsidRPr="00E47318">
        <w:rPr>
          <w:rFonts w:ascii="Times New Roman" w:hAnsi="Times New Roman"/>
          <w:sz w:val="28"/>
          <w:szCs w:val="28"/>
        </w:rPr>
        <w:t>Iesniedzējs: Veselības ministre</w:t>
      </w:r>
      <w:r w:rsidRPr="00E47318">
        <w:rPr>
          <w:rFonts w:ascii="Times New Roman" w:hAnsi="Times New Roman"/>
          <w:sz w:val="28"/>
          <w:szCs w:val="28"/>
        </w:rPr>
        <w:tab/>
        <w:t>A</w:t>
      </w:r>
      <w:r w:rsidR="007D2E8D">
        <w:rPr>
          <w:rFonts w:ascii="Times New Roman" w:hAnsi="Times New Roman"/>
          <w:sz w:val="28"/>
          <w:szCs w:val="28"/>
        </w:rPr>
        <w:t xml:space="preserve">nda </w:t>
      </w:r>
      <w:proofErr w:type="spellStart"/>
      <w:r w:rsidRPr="00E47318">
        <w:rPr>
          <w:rFonts w:ascii="Times New Roman" w:hAnsi="Times New Roman"/>
          <w:sz w:val="28"/>
          <w:szCs w:val="28"/>
        </w:rPr>
        <w:t>Čakša</w:t>
      </w:r>
      <w:proofErr w:type="spellEnd"/>
    </w:p>
    <w:p w14:paraId="1377CF3B" w14:textId="77777777" w:rsidR="006A73A5" w:rsidRPr="00E47318" w:rsidRDefault="006A73A5" w:rsidP="007D2E8D">
      <w:pPr>
        <w:tabs>
          <w:tab w:val="left" w:pos="7655"/>
          <w:tab w:val="right" w:pos="9356"/>
        </w:tabs>
        <w:spacing w:after="0" w:line="240" w:lineRule="auto"/>
        <w:contextualSpacing/>
        <w:jc w:val="both"/>
        <w:rPr>
          <w:rFonts w:ascii="Times New Roman" w:hAnsi="Times New Roman"/>
          <w:sz w:val="28"/>
          <w:szCs w:val="28"/>
        </w:rPr>
      </w:pPr>
    </w:p>
    <w:p w14:paraId="554903F3" w14:textId="77777777" w:rsidR="00941457" w:rsidRPr="00E47318" w:rsidRDefault="00941457" w:rsidP="00941457">
      <w:pPr>
        <w:tabs>
          <w:tab w:val="right" w:pos="9356"/>
        </w:tabs>
        <w:spacing w:after="0" w:line="240" w:lineRule="auto"/>
        <w:contextualSpacing/>
        <w:jc w:val="both"/>
        <w:rPr>
          <w:rFonts w:ascii="Times New Roman" w:hAnsi="Times New Roman"/>
          <w:sz w:val="28"/>
          <w:szCs w:val="28"/>
        </w:rPr>
      </w:pPr>
      <w:r w:rsidRPr="00E47318">
        <w:rPr>
          <w:rFonts w:ascii="Times New Roman" w:hAnsi="Times New Roman"/>
          <w:sz w:val="28"/>
          <w:szCs w:val="28"/>
        </w:rPr>
        <w:t>Vīza: Valsts sekretārs</w:t>
      </w:r>
      <w:r w:rsidRPr="00E47318">
        <w:rPr>
          <w:rFonts w:ascii="Times New Roman" w:hAnsi="Times New Roman"/>
          <w:sz w:val="28"/>
          <w:szCs w:val="28"/>
        </w:rPr>
        <w:tab/>
        <w:t>K</w:t>
      </w:r>
      <w:r w:rsidR="007D2E8D">
        <w:rPr>
          <w:rFonts w:ascii="Times New Roman" w:hAnsi="Times New Roman"/>
          <w:sz w:val="28"/>
          <w:szCs w:val="28"/>
        </w:rPr>
        <w:t xml:space="preserve">ārlis </w:t>
      </w:r>
      <w:proofErr w:type="spellStart"/>
      <w:r w:rsidRPr="00E47318">
        <w:rPr>
          <w:rFonts w:ascii="Times New Roman" w:hAnsi="Times New Roman"/>
          <w:sz w:val="28"/>
          <w:szCs w:val="28"/>
        </w:rPr>
        <w:t>Ketners</w:t>
      </w:r>
      <w:proofErr w:type="spellEnd"/>
    </w:p>
    <w:p w14:paraId="6D29659B" w14:textId="77777777" w:rsidR="00B9518B" w:rsidRDefault="00B9518B" w:rsidP="00B9518B">
      <w:pPr>
        <w:spacing w:after="0" w:line="240" w:lineRule="auto"/>
        <w:rPr>
          <w:rFonts w:ascii="Times New Roman" w:eastAsia="Times New Roman" w:hAnsi="Times New Roman"/>
          <w:color w:val="000000"/>
          <w:sz w:val="20"/>
          <w:szCs w:val="20"/>
          <w:lang w:eastAsia="lv-LV"/>
        </w:rPr>
      </w:pPr>
    </w:p>
    <w:p w14:paraId="66A2E651" w14:textId="77777777" w:rsidR="00E8271F" w:rsidRDefault="00E8271F" w:rsidP="00B9518B">
      <w:pPr>
        <w:spacing w:after="0" w:line="240" w:lineRule="auto"/>
        <w:rPr>
          <w:rFonts w:ascii="Times New Roman" w:eastAsia="Times New Roman" w:hAnsi="Times New Roman"/>
          <w:color w:val="000000"/>
          <w:sz w:val="20"/>
          <w:szCs w:val="20"/>
          <w:lang w:eastAsia="lv-LV"/>
        </w:rPr>
      </w:pPr>
    </w:p>
    <w:p w14:paraId="126AA066" w14:textId="77777777" w:rsidR="00B9518B" w:rsidRPr="006A73A5" w:rsidRDefault="00E8271F" w:rsidP="00B9518B">
      <w:pPr>
        <w:spacing w:after="0" w:line="240" w:lineRule="auto"/>
        <w:rPr>
          <w:rFonts w:ascii="Times New Roman" w:eastAsia="Times New Roman" w:hAnsi="Times New Roman"/>
          <w:color w:val="000000"/>
          <w:sz w:val="24"/>
          <w:szCs w:val="24"/>
          <w:lang w:eastAsia="lv-LV"/>
        </w:rPr>
      </w:pPr>
      <w:proofErr w:type="spellStart"/>
      <w:r w:rsidRPr="006A73A5">
        <w:rPr>
          <w:rFonts w:ascii="Times New Roman" w:eastAsia="Times New Roman" w:hAnsi="Times New Roman"/>
          <w:color w:val="000000"/>
          <w:sz w:val="24"/>
          <w:szCs w:val="24"/>
          <w:lang w:eastAsia="lv-LV"/>
        </w:rPr>
        <w:t>I.Baranova</w:t>
      </w:r>
      <w:proofErr w:type="spellEnd"/>
      <w:r w:rsidRPr="006A73A5">
        <w:rPr>
          <w:rFonts w:ascii="Times New Roman" w:eastAsia="Times New Roman" w:hAnsi="Times New Roman"/>
          <w:color w:val="000000"/>
          <w:sz w:val="24"/>
          <w:szCs w:val="24"/>
          <w:lang w:eastAsia="lv-LV"/>
        </w:rPr>
        <w:t>, 67876035</w:t>
      </w:r>
    </w:p>
    <w:p w14:paraId="1F981CE8" w14:textId="77777777" w:rsidR="00B9518B" w:rsidRPr="006A73A5" w:rsidRDefault="00B9518B" w:rsidP="00B9518B">
      <w:pPr>
        <w:spacing w:after="0" w:line="240" w:lineRule="auto"/>
        <w:rPr>
          <w:rFonts w:ascii="Times New Roman" w:eastAsia="Times New Roman" w:hAnsi="Times New Roman"/>
          <w:color w:val="000000"/>
          <w:sz w:val="24"/>
          <w:szCs w:val="24"/>
          <w:lang w:eastAsia="lv-LV"/>
        </w:rPr>
      </w:pPr>
      <w:r w:rsidRPr="006A73A5">
        <w:rPr>
          <w:rFonts w:ascii="Times New Roman" w:eastAsia="Times New Roman" w:hAnsi="Times New Roman"/>
          <w:color w:val="000000"/>
          <w:sz w:val="24"/>
          <w:szCs w:val="24"/>
          <w:lang w:eastAsia="lv-LV"/>
        </w:rPr>
        <w:t>Inga Baranova</w:t>
      </w:r>
      <w:r w:rsidR="00E8271F" w:rsidRPr="006A73A5">
        <w:rPr>
          <w:rFonts w:ascii="Times New Roman" w:eastAsia="Times New Roman" w:hAnsi="Times New Roman"/>
          <w:color w:val="000000"/>
          <w:sz w:val="24"/>
          <w:szCs w:val="24"/>
          <w:lang w:eastAsia="lv-LV"/>
        </w:rPr>
        <w:t>@vm.gov.lv</w:t>
      </w:r>
    </w:p>
    <w:sectPr w:rsidR="00B9518B" w:rsidRPr="006A73A5" w:rsidSect="0038726D">
      <w:headerReference w:type="default" r:id="rId10"/>
      <w:footerReference w:type="default" r:id="rId11"/>
      <w:footerReference w:type="first" r:id="rId12"/>
      <w:pgSz w:w="11906" w:h="16838"/>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A78E2" w14:textId="77777777" w:rsidR="0030487A" w:rsidRDefault="0030487A" w:rsidP="00D53AE7">
      <w:pPr>
        <w:spacing w:after="0" w:line="240" w:lineRule="auto"/>
      </w:pPr>
      <w:r>
        <w:separator/>
      </w:r>
    </w:p>
  </w:endnote>
  <w:endnote w:type="continuationSeparator" w:id="0">
    <w:p w14:paraId="3E8641C7" w14:textId="77777777" w:rsidR="0030487A" w:rsidRDefault="0030487A" w:rsidP="00D53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5614E" w14:textId="683EF54B" w:rsidR="00B9518B" w:rsidRPr="00E47318" w:rsidRDefault="00941457" w:rsidP="006A73A5">
    <w:pPr>
      <w:widowControl w:val="0"/>
      <w:spacing w:after="0" w:line="240" w:lineRule="auto"/>
      <w:jc w:val="both"/>
      <w:rPr>
        <w:rFonts w:ascii="Times New Roman" w:hAnsi="Times New Roman"/>
        <w:b/>
        <w:sz w:val="36"/>
        <w:szCs w:val="28"/>
      </w:rPr>
    </w:pPr>
    <w:r>
      <w:rPr>
        <w:rFonts w:ascii="Times New Roman" w:hAnsi="Times New Roman"/>
        <w:sz w:val="20"/>
        <w:szCs w:val="20"/>
      </w:rPr>
      <w:t>VMzino_</w:t>
    </w:r>
    <w:r w:rsidR="00E36902">
      <w:rPr>
        <w:rFonts w:ascii="Times New Roman" w:hAnsi="Times New Roman"/>
        <w:sz w:val="20"/>
        <w:szCs w:val="20"/>
      </w:rPr>
      <w:t>11</w:t>
    </w:r>
    <w:r w:rsidR="00F344EE">
      <w:rPr>
        <w:rFonts w:ascii="Times New Roman" w:hAnsi="Times New Roman"/>
        <w:sz w:val="20"/>
        <w:szCs w:val="20"/>
      </w:rPr>
      <w:t>0117</w:t>
    </w:r>
    <w:r w:rsidR="0038726D" w:rsidRPr="0038726D">
      <w:rPr>
        <w:rFonts w:ascii="Times New Roman" w:hAnsi="Times New Roman"/>
        <w:sz w:val="20"/>
        <w:szCs w:val="20"/>
      </w:rPr>
      <w:t>_NVI</w:t>
    </w:r>
    <w:r w:rsidR="00C5639A">
      <w:rPr>
        <w:rFonts w:ascii="Times New Roman" w:hAnsi="Times New Roman"/>
        <w:sz w:val="20"/>
        <w:szCs w:val="20"/>
      </w:rPr>
      <w:t xml:space="preserve"> </w:t>
    </w:r>
  </w:p>
  <w:p w14:paraId="40D2DA0F" w14:textId="77777777" w:rsidR="0038726D" w:rsidRPr="0038726D" w:rsidRDefault="0038726D" w:rsidP="00387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54486" w14:textId="66018CD8" w:rsidR="0038726D" w:rsidRPr="00B9518B" w:rsidRDefault="007D2E8D" w:rsidP="00B9518B">
    <w:pPr>
      <w:widowControl w:val="0"/>
      <w:spacing w:after="0" w:line="240" w:lineRule="auto"/>
      <w:jc w:val="both"/>
      <w:rPr>
        <w:rFonts w:ascii="Times New Roman" w:hAnsi="Times New Roman"/>
        <w:b/>
        <w:sz w:val="36"/>
        <w:szCs w:val="28"/>
      </w:rPr>
    </w:pPr>
    <w:r>
      <w:rPr>
        <w:rFonts w:ascii="Times New Roman" w:hAnsi="Times New Roman"/>
        <w:sz w:val="20"/>
        <w:szCs w:val="20"/>
      </w:rPr>
      <w:t>VMzino_</w:t>
    </w:r>
    <w:r w:rsidR="00E36902">
      <w:rPr>
        <w:rFonts w:ascii="Times New Roman" w:hAnsi="Times New Roman"/>
        <w:sz w:val="20"/>
        <w:szCs w:val="20"/>
      </w:rPr>
      <w:t>11</w:t>
    </w:r>
    <w:r w:rsidR="00F344EE">
      <w:rPr>
        <w:rFonts w:ascii="Times New Roman" w:hAnsi="Times New Roman"/>
        <w:sz w:val="20"/>
        <w:szCs w:val="20"/>
      </w:rPr>
      <w:t>0117</w:t>
    </w:r>
    <w:r w:rsidR="0038726D" w:rsidRPr="0038726D">
      <w:rPr>
        <w:rFonts w:ascii="Times New Roman" w:hAnsi="Times New Roman"/>
        <w:sz w:val="20"/>
        <w:szCs w:val="20"/>
      </w:rPr>
      <w:t>_NVI</w:t>
    </w:r>
    <w:r w:rsidR="00C5639A">
      <w:rPr>
        <w:rFonts w:ascii="Times New Roman" w:hAnsi="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58E7C" w14:textId="77777777" w:rsidR="0030487A" w:rsidRDefault="0030487A" w:rsidP="00D53AE7">
      <w:pPr>
        <w:spacing w:after="0" w:line="240" w:lineRule="auto"/>
      </w:pPr>
      <w:r>
        <w:separator/>
      </w:r>
    </w:p>
  </w:footnote>
  <w:footnote w:type="continuationSeparator" w:id="0">
    <w:p w14:paraId="0E62A961" w14:textId="77777777" w:rsidR="0030487A" w:rsidRDefault="0030487A" w:rsidP="00D53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230971"/>
      <w:docPartObj>
        <w:docPartGallery w:val="Page Numbers (Top of Page)"/>
        <w:docPartUnique/>
      </w:docPartObj>
    </w:sdtPr>
    <w:sdtEndPr>
      <w:rPr>
        <w:rFonts w:ascii="Times New Roman" w:hAnsi="Times New Roman"/>
        <w:noProof/>
        <w:sz w:val="24"/>
        <w:szCs w:val="24"/>
      </w:rPr>
    </w:sdtEndPr>
    <w:sdtContent>
      <w:p w14:paraId="4C508644" w14:textId="796BA978" w:rsidR="0038726D" w:rsidRPr="0038726D" w:rsidRDefault="005812C1">
        <w:pPr>
          <w:pStyle w:val="Header"/>
          <w:jc w:val="center"/>
          <w:rPr>
            <w:rFonts w:ascii="Times New Roman" w:hAnsi="Times New Roman"/>
            <w:sz w:val="24"/>
            <w:szCs w:val="24"/>
          </w:rPr>
        </w:pPr>
        <w:r w:rsidRPr="0038726D">
          <w:rPr>
            <w:rFonts w:ascii="Times New Roman" w:hAnsi="Times New Roman"/>
            <w:sz w:val="24"/>
            <w:szCs w:val="24"/>
          </w:rPr>
          <w:fldChar w:fldCharType="begin"/>
        </w:r>
        <w:r w:rsidR="0038726D" w:rsidRPr="0038726D">
          <w:rPr>
            <w:rFonts w:ascii="Times New Roman" w:hAnsi="Times New Roman"/>
            <w:sz w:val="24"/>
            <w:szCs w:val="24"/>
          </w:rPr>
          <w:instrText xml:space="preserve"> PAGE   \* MERGEFORMAT </w:instrText>
        </w:r>
        <w:r w:rsidRPr="0038726D">
          <w:rPr>
            <w:rFonts w:ascii="Times New Roman" w:hAnsi="Times New Roman"/>
            <w:sz w:val="24"/>
            <w:szCs w:val="24"/>
          </w:rPr>
          <w:fldChar w:fldCharType="separate"/>
        </w:r>
        <w:r w:rsidR="00E36902">
          <w:rPr>
            <w:rFonts w:ascii="Times New Roman" w:hAnsi="Times New Roman"/>
            <w:noProof/>
            <w:sz w:val="24"/>
            <w:szCs w:val="24"/>
          </w:rPr>
          <w:t>11</w:t>
        </w:r>
        <w:r w:rsidRPr="0038726D">
          <w:rPr>
            <w:rFonts w:ascii="Times New Roman" w:hAnsi="Times New Roman"/>
            <w:noProof/>
            <w:sz w:val="24"/>
            <w:szCs w:val="24"/>
          </w:rPr>
          <w:fldChar w:fldCharType="end"/>
        </w:r>
      </w:p>
    </w:sdtContent>
  </w:sdt>
  <w:p w14:paraId="483BB6F8" w14:textId="77777777" w:rsidR="0038726D" w:rsidRDefault="00387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960"/>
    <w:multiLevelType w:val="hybridMultilevel"/>
    <w:tmpl w:val="AA8E79D4"/>
    <w:lvl w:ilvl="0" w:tplc="D0700BB6">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C4C7520"/>
    <w:multiLevelType w:val="hybridMultilevel"/>
    <w:tmpl w:val="246C9C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6D16B0"/>
    <w:multiLevelType w:val="multilevel"/>
    <w:tmpl w:val="2304D2AC"/>
    <w:lvl w:ilvl="0">
      <w:start w:val="1"/>
      <w:numFmt w:val="decimal"/>
      <w:lvlText w:val="%1."/>
      <w:lvlJc w:val="left"/>
      <w:pPr>
        <w:ind w:left="360" w:hanging="360"/>
      </w:pPr>
      <w:rPr>
        <w:b w:val="0"/>
        <w:sz w:val="28"/>
        <w:szCs w:val="28"/>
      </w:rPr>
    </w:lvl>
    <w:lvl w:ilvl="1">
      <w:start w:val="1"/>
      <w:numFmt w:val="decimal"/>
      <w:lvlText w:val="%1.%2."/>
      <w:lvlJc w:val="left"/>
      <w:pPr>
        <w:ind w:left="792" w:hanging="432"/>
      </w:pPr>
      <w:rPr>
        <w:b w:val="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D66E94"/>
    <w:multiLevelType w:val="hybridMultilevel"/>
    <w:tmpl w:val="3D264A8E"/>
    <w:lvl w:ilvl="0" w:tplc="3D02CF1E">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A207C0"/>
    <w:multiLevelType w:val="hybridMultilevel"/>
    <w:tmpl w:val="8DBCF2DC"/>
    <w:lvl w:ilvl="0" w:tplc="7DFCD016">
      <w:start w:val="1"/>
      <w:numFmt w:val="decimal"/>
      <w:lvlText w:val="%1."/>
      <w:lvlJc w:val="left"/>
      <w:pPr>
        <w:ind w:left="720" w:hanging="360"/>
      </w:pPr>
      <w:rPr>
        <w:rFonts w:ascii="Times New Roman"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121981"/>
    <w:multiLevelType w:val="hybridMultilevel"/>
    <w:tmpl w:val="5D003876"/>
    <w:lvl w:ilvl="0" w:tplc="04260013">
      <w:start w:val="1"/>
      <w:numFmt w:val="upperRoman"/>
      <w:lvlText w:val="%1."/>
      <w:lvlJc w:val="righ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CC961E4"/>
    <w:multiLevelType w:val="hybridMultilevel"/>
    <w:tmpl w:val="F17CE9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094682"/>
    <w:multiLevelType w:val="multilevel"/>
    <w:tmpl w:val="4CA24EEA"/>
    <w:lvl w:ilvl="0">
      <w:start w:val="1"/>
      <w:numFmt w:val="bullet"/>
      <w:lvlText w:val=""/>
      <w:lvlJc w:val="left"/>
      <w:pPr>
        <w:ind w:left="1069" w:hanging="360"/>
      </w:pPr>
      <w:rPr>
        <w:rFonts w:ascii="Symbol" w:hAnsi="Symbol"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3BB145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596948"/>
    <w:multiLevelType w:val="hybridMultilevel"/>
    <w:tmpl w:val="94AE596A"/>
    <w:lvl w:ilvl="0" w:tplc="7FFA2FB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4261C57"/>
    <w:multiLevelType w:val="hybridMultilevel"/>
    <w:tmpl w:val="0C8A4F9E"/>
    <w:lvl w:ilvl="0" w:tplc="46BE37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4A641B19"/>
    <w:multiLevelType w:val="hybridMultilevel"/>
    <w:tmpl w:val="90628FC2"/>
    <w:lvl w:ilvl="0" w:tplc="FAA4029A">
      <w:start w:val="1"/>
      <w:numFmt w:val="decimal"/>
      <w:lvlText w:val="[%1.]"/>
      <w:lvlJc w:val="left"/>
      <w:pPr>
        <w:ind w:left="720" w:hanging="360"/>
      </w:pPr>
      <w:rPr>
        <w:rFonts w:hint="default"/>
      </w:rPr>
    </w:lvl>
    <w:lvl w:ilvl="1" w:tplc="04260005">
      <w:start w:val="1"/>
      <w:numFmt w:val="bullet"/>
      <w:lvlText w:val=""/>
      <w:lvlJc w:val="left"/>
      <w:pPr>
        <w:ind w:left="1440" w:hanging="360"/>
      </w:pPr>
      <w:rPr>
        <w:rFonts w:ascii="Wingdings" w:hAnsi="Wingdings" w:hint="default"/>
      </w:rPr>
    </w:lvl>
    <w:lvl w:ilvl="2" w:tplc="0426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BC9162F"/>
    <w:multiLevelType w:val="hybridMultilevel"/>
    <w:tmpl w:val="A470D5F4"/>
    <w:lvl w:ilvl="0" w:tplc="8BC47C54">
      <w:start w:val="1"/>
      <w:numFmt w:val="decimal"/>
      <w:lvlText w:val="%1."/>
      <w:lvlJc w:val="left"/>
      <w:pPr>
        <w:ind w:left="1856" w:hanging="360"/>
      </w:pPr>
      <w:rPr>
        <w:rFonts w:hint="default"/>
        <w:i w:val="0"/>
      </w:rPr>
    </w:lvl>
    <w:lvl w:ilvl="1" w:tplc="04260019" w:tentative="1">
      <w:start w:val="1"/>
      <w:numFmt w:val="lowerLetter"/>
      <w:lvlText w:val="%2."/>
      <w:lvlJc w:val="left"/>
      <w:pPr>
        <w:ind w:left="2576" w:hanging="360"/>
      </w:pPr>
    </w:lvl>
    <w:lvl w:ilvl="2" w:tplc="0426001B" w:tentative="1">
      <w:start w:val="1"/>
      <w:numFmt w:val="lowerRoman"/>
      <w:lvlText w:val="%3."/>
      <w:lvlJc w:val="right"/>
      <w:pPr>
        <w:ind w:left="3296" w:hanging="180"/>
      </w:pPr>
    </w:lvl>
    <w:lvl w:ilvl="3" w:tplc="0426000F" w:tentative="1">
      <w:start w:val="1"/>
      <w:numFmt w:val="decimal"/>
      <w:lvlText w:val="%4."/>
      <w:lvlJc w:val="left"/>
      <w:pPr>
        <w:ind w:left="4016" w:hanging="360"/>
      </w:pPr>
    </w:lvl>
    <w:lvl w:ilvl="4" w:tplc="04260019" w:tentative="1">
      <w:start w:val="1"/>
      <w:numFmt w:val="lowerLetter"/>
      <w:lvlText w:val="%5."/>
      <w:lvlJc w:val="left"/>
      <w:pPr>
        <w:ind w:left="4736" w:hanging="360"/>
      </w:pPr>
    </w:lvl>
    <w:lvl w:ilvl="5" w:tplc="0426001B" w:tentative="1">
      <w:start w:val="1"/>
      <w:numFmt w:val="lowerRoman"/>
      <w:lvlText w:val="%6."/>
      <w:lvlJc w:val="right"/>
      <w:pPr>
        <w:ind w:left="5456" w:hanging="180"/>
      </w:pPr>
    </w:lvl>
    <w:lvl w:ilvl="6" w:tplc="0426000F" w:tentative="1">
      <w:start w:val="1"/>
      <w:numFmt w:val="decimal"/>
      <w:lvlText w:val="%7."/>
      <w:lvlJc w:val="left"/>
      <w:pPr>
        <w:ind w:left="6176" w:hanging="360"/>
      </w:pPr>
    </w:lvl>
    <w:lvl w:ilvl="7" w:tplc="04260019" w:tentative="1">
      <w:start w:val="1"/>
      <w:numFmt w:val="lowerLetter"/>
      <w:lvlText w:val="%8."/>
      <w:lvlJc w:val="left"/>
      <w:pPr>
        <w:ind w:left="6896" w:hanging="360"/>
      </w:pPr>
    </w:lvl>
    <w:lvl w:ilvl="8" w:tplc="0426001B" w:tentative="1">
      <w:start w:val="1"/>
      <w:numFmt w:val="lowerRoman"/>
      <w:lvlText w:val="%9."/>
      <w:lvlJc w:val="right"/>
      <w:pPr>
        <w:ind w:left="7616" w:hanging="180"/>
      </w:pPr>
    </w:lvl>
  </w:abstractNum>
  <w:abstractNum w:abstractNumId="13" w15:restartNumberingAfterBreak="0">
    <w:nsid w:val="519B74B0"/>
    <w:multiLevelType w:val="hybridMultilevel"/>
    <w:tmpl w:val="A2F4ECE2"/>
    <w:lvl w:ilvl="0" w:tplc="04260001">
      <w:start w:val="1"/>
      <w:numFmt w:val="bullet"/>
      <w:lvlText w:val=""/>
      <w:lvlJc w:val="left"/>
      <w:pPr>
        <w:ind w:left="1713" w:hanging="360"/>
      </w:pPr>
      <w:rPr>
        <w:rFonts w:ascii="Symbol" w:hAnsi="Symbol"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14" w15:restartNumberingAfterBreak="0">
    <w:nsid w:val="589A57C5"/>
    <w:multiLevelType w:val="hybridMultilevel"/>
    <w:tmpl w:val="C742AA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23369DB"/>
    <w:multiLevelType w:val="hybridMultilevel"/>
    <w:tmpl w:val="84064E40"/>
    <w:lvl w:ilvl="0" w:tplc="FAA4029A">
      <w:start w:val="1"/>
      <w:numFmt w:val="decimal"/>
      <w:lvlText w:val="[%1.]"/>
      <w:lvlJc w:val="left"/>
      <w:pPr>
        <w:ind w:left="720" w:hanging="360"/>
      </w:pPr>
      <w:rPr>
        <w:rFonts w:hint="default"/>
      </w:rPr>
    </w:lvl>
    <w:lvl w:ilvl="1" w:tplc="04260005">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5BD308C"/>
    <w:multiLevelType w:val="hybridMultilevel"/>
    <w:tmpl w:val="8C5C19CC"/>
    <w:lvl w:ilvl="0" w:tplc="A940A36A">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0"/>
  </w:num>
  <w:num w:numId="5">
    <w:abstractNumId w:val="6"/>
  </w:num>
  <w:num w:numId="6">
    <w:abstractNumId w:val="1"/>
  </w:num>
  <w:num w:numId="7">
    <w:abstractNumId w:val="13"/>
  </w:num>
  <w:num w:numId="8">
    <w:abstractNumId w:val="12"/>
  </w:num>
  <w:num w:numId="9">
    <w:abstractNumId w:val="14"/>
  </w:num>
  <w:num w:numId="10">
    <w:abstractNumId w:val="10"/>
  </w:num>
  <w:num w:numId="11">
    <w:abstractNumId w:val="16"/>
  </w:num>
  <w:num w:numId="12">
    <w:abstractNumId w:val="9"/>
  </w:num>
  <w:num w:numId="13">
    <w:abstractNumId w:val="4"/>
  </w:num>
  <w:num w:numId="14">
    <w:abstractNumId w:val="2"/>
  </w:num>
  <w:num w:numId="15">
    <w:abstractNumId w:val="5"/>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A24"/>
    <w:rsid w:val="000138E3"/>
    <w:rsid w:val="00057488"/>
    <w:rsid w:val="00061EB5"/>
    <w:rsid w:val="0007545E"/>
    <w:rsid w:val="000874A1"/>
    <w:rsid w:val="000A1A23"/>
    <w:rsid w:val="000A7652"/>
    <w:rsid w:val="000B7F59"/>
    <w:rsid w:val="000E7F57"/>
    <w:rsid w:val="0011773A"/>
    <w:rsid w:val="00156806"/>
    <w:rsid w:val="00172F5A"/>
    <w:rsid w:val="00196BA6"/>
    <w:rsid w:val="001B5CD6"/>
    <w:rsid w:val="001E0A78"/>
    <w:rsid w:val="0021025F"/>
    <w:rsid w:val="00210E3B"/>
    <w:rsid w:val="00220F16"/>
    <w:rsid w:val="0024279E"/>
    <w:rsid w:val="00246BE3"/>
    <w:rsid w:val="00256BC8"/>
    <w:rsid w:val="002B10B3"/>
    <w:rsid w:val="002B6490"/>
    <w:rsid w:val="002C49B0"/>
    <w:rsid w:val="002C5E8D"/>
    <w:rsid w:val="002D3ADD"/>
    <w:rsid w:val="002E6DE5"/>
    <w:rsid w:val="002F4F5F"/>
    <w:rsid w:val="0030487A"/>
    <w:rsid w:val="003204A0"/>
    <w:rsid w:val="00325C79"/>
    <w:rsid w:val="00346052"/>
    <w:rsid w:val="00351A27"/>
    <w:rsid w:val="003705E1"/>
    <w:rsid w:val="0038726D"/>
    <w:rsid w:val="003921A0"/>
    <w:rsid w:val="003C4063"/>
    <w:rsid w:val="003F3D33"/>
    <w:rsid w:val="003F4374"/>
    <w:rsid w:val="0042081A"/>
    <w:rsid w:val="00425CBC"/>
    <w:rsid w:val="00471EB8"/>
    <w:rsid w:val="0048422B"/>
    <w:rsid w:val="004B7D9E"/>
    <w:rsid w:val="004C6675"/>
    <w:rsid w:val="004E5706"/>
    <w:rsid w:val="004E7D06"/>
    <w:rsid w:val="004F1608"/>
    <w:rsid w:val="005812C1"/>
    <w:rsid w:val="00583A25"/>
    <w:rsid w:val="00592B48"/>
    <w:rsid w:val="005B028B"/>
    <w:rsid w:val="005E78E6"/>
    <w:rsid w:val="005F2093"/>
    <w:rsid w:val="00600357"/>
    <w:rsid w:val="00644488"/>
    <w:rsid w:val="00665997"/>
    <w:rsid w:val="00671F4F"/>
    <w:rsid w:val="006A73A5"/>
    <w:rsid w:val="006B1298"/>
    <w:rsid w:val="006C6430"/>
    <w:rsid w:val="006E39FA"/>
    <w:rsid w:val="006E67B5"/>
    <w:rsid w:val="00705129"/>
    <w:rsid w:val="00720F00"/>
    <w:rsid w:val="007225E8"/>
    <w:rsid w:val="00770BE5"/>
    <w:rsid w:val="00777228"/>
    <w:rsid w:val="00795911"/>
    <w:rsid w:val="007A3DAF"/>
    <w:rsid w:val="007B2BD5"/>
    <w:rsid w:val="007B5CF4"/>
    <w:rsid w:val="007C2D8B"/>
    <w:rsid w:val="007D2E8D"/>
    <w:rsid w:val="007E0E35"/>
    <w:rsid w:val="007E703A"/>
    <w:rsid w:val="007F48E2"/>
    <w:rsid w:val="00811758"/>
    <w:rsid w:val="008221D4"/>
    <w:rsid w:val="00862A99"/>
    <w:rsid w:val="008A6065"/>
    <w:rsid w:val="009013CA"/>
    <w:rsid w:val="00927134"/>
    <w:rsid w:val="00941457"/>
    <w:rsid w:val="0094225F"/>
    <w:rsid w:val="00975D97"/>
    <w:rsid w:val="00976A8E"/>
    <w:rsid w:val="00984EB1"/>
    <w:rsid w:val="00986215"/>
    <w:rsid w:val="00992D86"/>
    <w:rsid w:val="009A6144"/>
    <w:rsid w:val="009B3369"/>
    <w:rsid w:val="009B6A2B"/>
    <w:rsid w:val="00A038C9"/>
    <w:rsid w:val="00A0643C"/>
    <w:rsid w:val="00A10A1A"/>
    <w:rsid w:val="00A12B39"/>
    <w:rsid w:val="00A24C39"/>
    <w:rsid w:val="00A25FA5"/>
    <w:rsid w:val="00A53EFD"/>
    <w:rsid w:val="00A82CBD"/>
    <w:rsid w:val="00A9192E"/>
    <w:rsid w:val="00AA0835"/>
    <w:rsid w:val="00AA247E"/>
    <w:rsid w:val="00AA57B2"/>
    <w:rsid w:val="00AC1682"/>
    <w:rsid w:val="00AD1CE0"/>
    <w:rsid w:val="00AE1C3F"/>
    <w:rsid w:val="00AE5AAA"/>
    <w:rsid w:val="00B06598"/>
    <w:rsid w:val="00B777F0"/>
    <w:rsid w:val="00B84A24"/>
    <w:rsid w:val="00B85051"/>
    <w:rsid w:val="00B9518B"/>
    <w:rsid w:val="00BD1684"/>
    <w:rsid w:val="00BD4BF8"/>
    <w:rsid w:val="00BF5167"/>
    <w:rsid w:val="00BF62A2"/>
    <w:rsid w:val="00C0329C"/>
    <w:rsid w:val="00C06D23"/>
    <w:rsid w:val="00C40F6F"/>
    <w:rsid w:val="00C41E36"/>
    <w:rsid w:val="00C5639A"/>
    <w:rsid w:val="00C5767D"/>
    <w:rsid w:val="00C666F0"/>
    <w:rsid w:val="00CE7B15"/>
    <w:rsid w:val="00D06C01"/>
    <w:rsid w:val="00D53AE7"/>
    <w:rsid w:val="00D77226"/>
    <w:rsid w:val="00DD0E2F"/>
    <w:rsid w:val="00DD232C"/>
    <w:rsid w:val="00E06D84"/>
    <w:rsid w:val="00E264A6"/>
    <w:rsid w:val="00E36902"/>
    <w:rsid w:val="00E4305B"/>
    <w:rsid w:val="00E74C29"/>
    <w:rsid w:val="00E76D91"/>
    <w:rsid w:val="00E7799C"/>
    <w:rsid w:val="00E8271F"/>
    <w:rsid w:val="00EB23F6"/>
    <w:rsid w:val="00ED6EE9"/>
    <w:rsid w:val="00F134C7"/>
    <w:rsid w:val="00F20009"/>
    <w:rsid w:val="00F268D6"/>
    <w:rsid w:val="00F344EE"/>
    <w:rsid w:val="00F67026"/>
    <w:rsid w:val="00F704B0"/>
    <w:rsid w:val="00F94EC0"/>
    <w:rsid w:val="00FC4A4B"/>
    <w:rsid w:val="00FE1201"/>
    <w:rsid w:val="00FE7B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9B6784"/>
  <w15:docId w15:val="{71382804-AC16-4649-B344-429BDB10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84A24"/>
    <w:rPr>
      <w:rFonts w:ascii="Calibri" w:eastAsia="Calibri" w:hAnsi="Calibri" w:cs="Times New Roman"/>
    </w:rPr>
  </w:style>
  <w:style w:type="paragraph" w:styleId="Heading1">
    <w:name w:val="heading 1"/>
    <w:basedOn w:val="Normal"/>
    <w:next w:val="Normal"/>
    <w:link w:val="Heading1Char"/>
    <w:uiPriority w:val="9"/>
    <w:qFormat/>
    <w:rsid w:val="00B84A24"/>
    <w:pPr>
      <w:spacing w:after="0" w:line="240" w:lineRule="auto"/>
      <w:ind w:firstLine="709"/>
      <w:jc w:val="both"/>
      <w:outlineLvl w:val="0"/>
    </w:pPr>
    <w:rPr>
      <w:rFonts w:ascii="Times New Roman" w:hAnsi="Times New Roman"/>
      <w:b/>
      <w:sz w:val="28"/>
      <w:szCs w:val="28"/>
    </w:rPr>
  </w:style>
  <w:style w:type="paragraph" w:styleId="Heading2">
    <w:name w:val="heading 2"/>
    <w:basedOn w:val="Normal"/>
    <w:next w:val="Normal"/>
    <w:link w:val="Heading2Char"/>
    <w:uiPriority w:val="9"/>
    <w:semiHidden/>
    <w:unhideWhenUsed/>
    <w:qFormat/>
    <w:rsid w:val="003705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4A24"/>
    <w:rPr>
      <w:rFonts w:ascii="Times New Roman" w:eastAsia="Calibri" w:hAnsi="Times New Roman" w:cs="Times New Roman"/>
      <w:b/>
      <w:sz w:val="28"/>
      <w:szCs w:val="28"/>
    </w:rPr>
  </w:style>
  <w:style w:type="table" w:styleId="TableGrid">
    <w:name w:val="Table Grid"/>
    <w:basedOn w:val="TableNormal"/>
    <w:uiPriority w:val="59"/>
    <w:rsid w:val="00B84A24"/>
    <w:pPr>
      <w:spacing w:after="0" w:line="240" w:lineRule="auto"/>
    </w:pPr>
    <w:rPr>
      <w:rFonts w:ascii="Calibri" w:eastAsia="Calibri" w:hAnsi="Calibri" w:cs="Times New Roman"/>
      <w:lang w:bidi="lo-L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A10A1A"/>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A10A1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705E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705E1"/>
    <w:pPr>
      <w:ind w:left="720"/>
      <w:contextualSpacing/>
    </w:pPr>
    <w:rPr>
      <w:rFonts w:eastAsia="Times New Roman"/>
      <w:lang w:eastAsia="lv-LV"/>
    </w:rPr>
  </w:style>
  <w:style w:type="paragraph" w:customStyle="1" w:styleId="qowt-li-18280161360">
    <w:name w:val="qowt-li-1828016136_0"/>
    <w:basedOn w:val="Normal"/>
    <w:rsid w:val="0077722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qowt-font1-timesnewroman">
    <w:name w:val="qowt-font1-timesnewroman"/>
    <w:basedOn w:val="DefaultParagraphFont"/>
    <w:rsid w:val="00777228"/>
  </w:style>
  <w:style w:type="paragraph" w:customStyle="1" w:styleId="qowt-stl-footer">
    <w:name w:val="qowt-stl-footer"/>
    <w:basedOn w:val="Normal"/>
    <w:rsid w:val="00777228"/>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qowt-stl-header">
    <w:name w:val="qowt-stl-header"/>
    <w:basedOn w:val="Normal"/>
    <w:rsid w:val="0077722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qowt-field">
    <w:name w:val="qowt-field"/>
    <w:basedOn w:val="DefaultParagraphFont"/>
    <w:rsid w:val="00777228"/>
  </w:style>
  <w:style w:type="paragraph" w:styleId="Header">
    <w:name w:val="header"/>
    <w:basedOn w:val="Normal"/>
    <w:link w:val="HeaderChar"/>
    <w:unhideWhenUsed/>
    <w:rsid w:val="00D53AE7"/>
    <w:pPr>
      <w:tabs>
        <w:tab w:val="center" w:pos="4153"/>
        <w:tab w:val="right" w:pos="8306"/>
      </w:tabs>
      <w:spacing w:after="0" w:line="240" w:lineRule="auto"/>
    </w:pPr>
  </w:style>
  <w:style w:type="character" w:customStyle="1" w:styleId="HeaderChar">
    <w:name w:val="Header Char"/>
    <w:basedOn w:val="DefaultParagraphFont"/>
    <w:link w:val="Header"/>
    <w:rsid w:val="00D53AE7"/>
    <w:rPr>
      <w:rFonts w:ascii="Calibri" w:eastAsia="Calibri" w:hAnsi="Calibri" w:cs="Times New Roman"/>
    </w:rPr>
  </w:style>
  <w:style w:type="paragraph" w:styleId="Footer">
    <w:name w:val="footer"/>
    <w:basedOn w:val="Normal"/>
    <w:link w:val="FooterChar"/>
    <w:uiPriority w:val="99"/>
    <w:unhideWhenUsed/>
    <w:rsid w:val="00D53AE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53AE7"/>
    <w:rPr>
      <w:rFonts w:ascii="Calibri" w:eastAsia="Calibri" w:hAnsi="Calibri" w:cs="Times New Roman"/>
    </w:rPr>
  </w:style>
  <w:style w:type="character" w:customStyle="1" w:styleId="xdtextbox1">
    <w:name w:val="xdtextbox1"/>
    <w:basedOn w:val="DefaultParagraphFont"/>
    <w:rsid w:val="002E6DE5"/>
    <w:rPr>
      <w:color w:val="auto"/>
      <w:bdr w:val="single" w:sz="8" w:space="1" w:color="DCDCDC" w:frame="1"/>
      <w:shd w:val="clear" w:color="auto" w:fill="FFFFFF"/>
    </w:rPr>
  </w:style>
  <w:style w:type="paragraph" w:styleId="FootnoteText">
    <w:name w:val="footnote text"/>
    <w:basedOn w:val="Normal"/>
    <w:link w:val="FootnoteTextChar"/>
    <w:uiPriority w:val="99"/>
    <w:semiHidden/>
    <w:unhideWhenUsed/>
    <w:rsid w:val="00BD4B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4BF8"/>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BD4BF8"/>
    <w:rPr>
      <w:vertAlign w:val="superscript"/>
    </w:rPr>
  </w:style>
  <w:style w:type="character" w:styleId="CommentReference">
    <w:name w:val="annotation reference"/>
    <w:basedOn w:val="DefaultParagraphFont"/>
    <w:uiPriority w:val="99"/>
    <w:semiHidden/>
    <w:unhideWhenUsed/>
    <w:rsid w:val="007E0E35"/>
    <w:rPr>
      <w:sz w:val="16"/>
      <w:szCs w:val="16"/>
    </w:rPr>
  </w:style>
  <w:style w:type="paragraph" w:styleId="CommentText">
    <w:name w:val="annotation text"/>
    <w:basedOn w:val="Normal"/>
    <w:link w:val="CommentTextChar"/>
    <w:uiPriority w:val="99"/>
    <w:semiHidden/>
    <w:unhideWhenUsed/>
    <w:rsid w:val="007E0E35"/>
    <w:pPr>
      <w:spacing w:line="240" w:lineRule="auto"/>
    </w:pPr>
    <w:rPr>
      <w:sz w:val="20"/>
      <w:szCs w:val="20"/>
    </w:rPr>
  </w:style>
  <w:style w:type="character" w:customStyle="1" w:styleId="CommentTextChar">
    <w:name w:val="Comment Text Char"/>
    <w:basedOn w:val="DefaultParagraphFont"/>
    <w:link w:val="CommentText"/>
    <w:uiPriority w:val="99"/>
    <w:semiHidden/>
    <w:rsid w:val="007E0E3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E0E35"/>
    <w:rPr>
      <w:b/>
      <w:bCs/>
    </w:rPr>
  </w:style>
  <w:style w:type="character" w:customStyle="1" w:styleId="CommentSubjectChar">
    <w:name w:val="Comment Subject Char"/>
    <w:basedOn w:val="CommentTextChar"/>
    <w:link w:val="CommentSubject"/>
    <w:uiPriority w:val="99"/>
    <w:semiHidden/>
    <w:rsid w:val="007E0E3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E0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E35"/>
    <w:rPr>
      <w:rFonts w:ascii="Tahoma" w:eastAsia="Calibri" w:hAnsi="Tahoma" w:cs="Tahoma"/>
      <w:sz w:val="16"/>
      <w:szCs w:val="16"/>
    </w:rPr>
  </w:style>
  <w:style w:type="paragraph" w:styleId="Revision">
    <w:name w:val="Revision"/>
    <w:hidden/>
    <w:uiPriority w:val="99"/>
    <w:semiHidden/>
    <w:rsid w:val="0094145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503724">
      <w:bodyDiv w:val="1"/>
      <w:marLeft w:val="0"/>
      <w:marRight w:val="0"/>
      <w:marTop w:val="0"/>
      <w:marBottom w:val="0"/>
      <w:divBdr>
        <w:top w:val="none" w:sz="0" w:space="0" w:color="auto"/>
        <w:left w:val="none" w:sz="0" w:space="0" w:color="auto"/>
        <w:bottom w:val="none" w:sz="0" w:space="0" w:color="auto"/>
        <w:right w:val="none" w:sz="0" w:space="0" w:color="auto"/>
      </w:divBdr>
      <w:divsChild>
        <w:div w:id="749812990">
          <w:marLeft w:val="0"/>
          <w:marRight w:val="0"/>
          <w:marTop w:val="0"/>
          <w:marBottom w:val="0"/>
          <w:divBdr>
            <w:top w:val="none" w:sz="0" w:space="0" w:color="auto"/>
            <w:left w:val="none" w:sz="0" w:space="0" w:color="auto"/>
            <w:bottom w:val="none" w:sz="0" w:space="0" w:color="auto"/>
            <w:right w:val="none" w:sz="0" w:space="0" w:color="auto"/>
          </w:divBdr>
          <w:divsChild>
            <w:div w:id="918636777">
              <w:marLeft w:val="0"/>
              <w:marRight w:val="0"/>
              <w:marTop w:val="0"/>
              <w:marBottom w:val="0"/>
              <w:divBdr>
                <w:top w:val="none" w:sz="0" w:space="0" w:color="auto"/>
                <w:left w:val="none" w:sz="0" w:space="0" w:color="auto"/>
                <w:bottom w:val="none" w:sz="0" w:space="0" w:color="auto"/>
                <w:right w:val="none" w:sz="0" w:space="0" w:color="auto"/>
              </w:divBdr>
            </w:div>
          </w:divsChild>
        </w:div>
        <w:div w:id="2095275366">
          <w:marLeft w:val="0"/>
          <w:marRight w:val="0"/>
          <w:marTop w:val="0"/>
          <w:marBottom w:val="0"/>
          <w:divBdr>
            <w:top w:val="none" w:sz="0" w:space="0" w:color="auto"/>
            <w:left w:val="none" w:sz="0" w:space="0" w:color="auto"/>
            <w:bottom w:val="none" w:sz="0" w:space="0" w:color="auto"/>
            <w:right w:val="none" w:sz="0" w:space="0" w:color="auto"/>
          </w:divBdr>
        </w:div>
        <w:div w:id="1191913544">
          <w:marLeft w:val="0"/>
          <w:marRight w:val="0"/>
          <w:marTop w:val="0"/>
          <w:marBottom w:val="0"/>
          <w:divBdr>
            <w:top w:val="none" w:sz="0" w:space="0" w:color="auto"/>
            <w:left w:val="none" w:sz="0" w:space="0" w:color="auto"/>
            <w:bottom w:val="none" w:sz="0" w:space="0" w:color="auto"/>
            <w:right w:val="none" w:sz="0" w:space="0" w:color="auto"/>
          </w:divBdr>
        </w:div>
        <w:div w:id="1267008022">
          <w:marLeft w:val="0"/>
          <w:marRight w:val="0"/>
          <w:marTop w:val="0"/>
          <w:marBottom w:val="0"/>
          <w:divBdr>
            <w:top w:val="none" w:sz="0" w:space="0" w:color="auto"/>
            <w:left w:val="none" w:sz="0" w:space="0" w:color="auto"/>
            <w:bottom w:val="none" w:sz="0" w:space="0" w:color="auto"/>
            <w:right w:val="none" w:sz="0" w:space="0" w:color="auto"/>
          </w:divBdr>
          <w:divsChild>
            <w:div w:id="14998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69800">
      <w:bodyDiv w:val="1"/>
      <w:marLeft w:val="0"/>
      <w:marRight w:val="0"/>
      <w:marTop w:val="0"/>
      <w:marBottom w:val="0"/>
      <w:divBdr>
        <w:top w:val="none" w:sz="0" w:space="0" w:color="auto"/>
        <w:left w:val="none" w:sz="0" w:space="0" w:color="auto"/>
        <w:bottom w:val="none" w:sz="0" w:space="0" w:color="auto"/>
        <w:right w:val="none" w:sz="0" w:space="0" w:color="auto"/>
      </w:divBdr>
    </w:div>
    <w:div w:id="530994871">
      <w:bodyDiv w:val="1"/>
      <w:marLeft w:val="0"/>
      <w:marRight w:val="0"/>
      <w:marTop w:val="0"/>
      <w:marBottom w:val="0"/>
      <w:divBdr>
        <w:top w:val="none" w:sz="0" w:space="0" w:color="auto"/>
        <w:left w:val="none" w:sz="0" w:space="0" w:color="auto"/>
        <w:bottom w:val="none" w:sz="0" w:space="0" w:color="auto"/>
        <w:right w:val="none" w:sz="0" w:space="0" w:color="auto"/>
      </w:divBdr>
    </w:div>
    <w:div w:id="796489582">
      <w:bodyDiv w:val="1"/>
      <w:marLeft w:val="0"/>
      <w:marRight w:val="0"/>
      <w:marTop w:val="0"/>
      <w:marBottom w:val="0"/>
      <w:divBdr>
        <w:top w:val="none" w:sz="0" w:space="0" w:color="auto"/>
        <w:left w:val="none" w:sz="0" w:space="0" w:color="auto"/>
        <w:bottom w:val="none" w:sz="0" w:space="0" w:color="auto"/>
        <w:right w:val="none" w:sz="0" w:space="0" w:color="auto"/>
      </w:divBdr>
    </w:div>
    <w:div w:id="170119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allto:%282006.,%202007.,%202008"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allto:%282006.,%202007.,%202008"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CD06D2-58DF-4318-93BE-5728D12D1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11</Pages>
  <Words>16703</Words>
  <Characters>9522</Characters>
  <Application>Microsoft Office Word</Application>
  <DocSecurity>0</DocSecurity>
  <Lines>79</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EK audita Nr. Nr.2013/LV/REGIO/C2/1242/1 piemēroto finanšu korekciju VSIA „Bērnu klīniskā universitātes slimnīca” īstenotajos ERAF projektos</vt:lpstr>
      <vt:lpstr/>
    </vt:vector>
  </TitlesOfParts>
  <Company>Veselības ministrija</Company>
  <LinksUpToDate>false</LinksUpToDate>
  <CharactersWithSpaces>26173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EK audita Nr. Nr.2013/LV/REGIO/C2/1242/1 piemēroto finanšu korekciju VSIA „Bērnu klīniskā universitātes slimnīca” īstenotajos ERAF projektos</dc:title>
  <dc:subject>Informatīvais ziņojums</dc:subject>
  <dc:creator>Inga Baranova</dc:creator>
  <dc:description>67876035, inga.baranova@vm.gov.lv</dc:description>
  <cp:lastModifiedBy>Inga Baranova</cp:lastModifiedBy>
  <cp:revision>5</cp:revision>
  <cp:lastPrinted>2016-12-16T13:04:00Z</cp:lastPrinted>
  <dcterms:created xsi:type="dcterms:W3CDTF">2017-01-10T08:58:00Z</dcterms:created>
  <dcterms:modified xsi:type="dcterms:W3CDTF">2017-01-11T12:42:00Z</dcterms:modified>
</cp:coreProperties>
</file>