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B828" w14:textId="77777777" w:rsidR="00223267" w:rsidRPr="00BC5544" w:rsidRDefault="00223267" w:rsidP="00223267">
      <w:pPr>
        <w:ind w:left="170"/>
        <w:jc w:val="center"/>
        <w:rPr>
          <w:b/>
          <w:bCs/>
          <w:sz w:val="22"/>
          <w:szCs w:val="28"/>
        </w:rPr>
      </w:pPr>
      <w:r w:rsidRPr="00BC5544">
        <w:rPr>
          <w:b/>
          <w:sz w:val="22"/>
          <w:szCs w:val="28"/>
        </w:rPr>
        <w:t>Ministru kabineta rīkojuma projekta „Par finanšu līdzekļu piešķiršanu no valsts pamatbudžeta programmas „Līdzekļi neparedzētiem gadījumiem””</w:t>
      </w:r>
    </w:p>
    <w:p w14:paraId="3B59BFE2" w14:textId="77777777" w:rsidR="00223267" w:rsidRPr="00BC5544" w:rsidRDefault="00223267" w:rsidP="00223267">
      <w:pPr>
        <w:jc w:val="center"/>
        <w:rPr>
          <w:b/>
          <w:bCs/>
          <w:sz w:val="22"/>
          <w:szCs w:val="28"/>
        </w:rPr>
      </w:pPr>
      <w:r w:rsidRPr="00BC5544">
        <w:rPr>
          <w:b/>
          <w:bCs/>
          <w:sz w:val="22"/>
          <w:szCs w:val="28"/>
        </w:rPr>
        <w:t>sākotnējās ietekmes novērtējuma ziņojums (anotācija)</w:t>
      </w:r>
    </w:p>
    <w:p w14:paraId="7D230369" w14:textId="77777777" w:rsidR="00223267" w:rsidRPr="008819D5" w:rsidRDefault="00223267" w:rsidP="00223267">
      <w:pPr>
        <w:jc w:val="center"/>
        <w:rPr>
          <w:b/>
          <w:bCs/>
          <w:sz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18"/>
        <w:gridCol w:w="1768"/>
        <w:gridCol w:w="1123"/>
        <w:gridCol w:w="436"/>
        <w:gridCol w:w="10"/>
        <w:gridCol w:w="994"/>
        <w:gridCol w:w="1440"/>
        <w:gridCol w:w="1440"/>
        <w:gridCol w:w="1503"/>
      </w:tblGrid>
      <w:tr w:rsidR="00223267" w14:paraId="0DB9BF6F" w14:textId="77777777" w:rsidTr="00FB4D9F">
        <w:tc>
          <w:tcPr>
            <w:tcW w:w="9351" w:type="dxa"/>
            <w:gridSpan w:val="10"/>
          </w:tcPr>
          <w:p w14:paraId="4346C9D5" w14:textId="77777777" w:rsidR="00223267" w:rsidRDefault="00223267" w:rsidP="00FB4D9F">
            <w:pPr>
              <w:jc w:val="center"/>
            </w:pPr>
            <w:r w:rsidRPr="00802643">
              <w:rPr>
                <w:b/>
                <w:bCs/>
              </w:rPr>
              <w:t>I. Tiesību akta projekta izstrādes nepieciešamība</w:t>
            </w:r>
          </w:p>
        </w:tc>
      </w:tr>
      <w:tr w:rsidR="00223267" w14:paraId="7DE5C947" w14:textId="77777777" w:rsidTr="00FB4D9F">
        <w:tc>
          <w:tcPr>
            <w:tcW w:w="637" w:type="dxa"/>
            <w:gridSpan w:val="2"/>
          </w:tcPr>
          <w:p w14:paraId="29F1AAA4" w14:textId="77777777" w:rsidR="00223267" w:rsidRDefault="00223267" w:rsidP="00FB4D9F">
            <w:pPr>
              <w:jc w:val="both"/>
            </w:pPr>
            <w:r>
              <w:t>1.</w:t>
            </w:r>
          </w:p>
        </w:tc>
        <w:tc>
          <w:tcPr>
            <w:tcW w:w="3337" w:type="dxa"/>
            <w:gridSpan w:val="4"/>
          </w:tcPr>
          <w:p w14:paraId="372C1A97" w14:textId="77777777" w:rsidR="00223267" w:rsidRDefault="00223267" w:rsidP="00FB4D9F">
            <w:pPr>
              <w:jc w:val="both"/>
            </w:pPr>
            <w:r>
              <w:t> Pamatojums</w:t>
            </w:r>
          </w:p>
        </w:tc>
        <w:tc>
          <w:tcPr>
            <w:tcW w:w="5377" w:type="dxa"/>
            <w:gridSpan w:val="4"/>
          </w:tcPr>
          <w:p w14:paraId="3204D17F" w14:textId="77777777" w:rsidR="00223267" w:rsidRDefault="00223267" w:rsidP="00E86EB8">
            <w:pPr>
              <w:jc w:val="both"/>
            </w:pPr>
            <w:r>
              <w:t>Ministru kabineta 2017. gada 17. janvāra rīkojums Nr.27 “Par ārkārtējās situācijas izsludināšanu” un Ministru kabineta 2017. gada 17. janvāra rīkojum</w:t>
            </w:r>
            <w:r w:rsidR="00E86EB8">
              <w:t>a</w:t>
            </w:r>
            <w:r>
              <w:t xml:space="preserve"> Nr.28 “Par pasākumiem Āfrikas cūku mēra izplatīšanās ierobežošanai”</w:t>
            </w:r>
            <w:r w:rsidR="00E86EB8">
              <w:t xml:space="preserve"> </w:t>
            </w:r>
            <w:r w:rsidR="001A31DC">
              <w:t xml:space="preserve">2. un </w:t>
            </w:r>
            <w:r w:rsidR="00E86EB8">
              <w:t>5.punkts</w:t>
            </w:r>
            <w:r>
              <w:t>.</w:t>
            </w:r>
          </w:p>
        </w:tc>
      </w:tr>
      <w:tr w:rsidR="008553A0" w14:paraId="506D1A8F" w14:textId="77777777" w:rsidTr="00FB4D9F">
        <w:tc>
          <w:tcPr>
            <w:tcW w:w="637" w:type="dxa"/>
            <w:gridSpan w:val="2"/>
          </w:tcPr>
          <w:p w14:paraId="7367A851" w14:textId="77777777" w:rsidR="008553A0" w:rsidRDefault="008553A0" w:rsidP="008553A0">
            <w:pPr>
              <w:jc w:val="both"/>
            </w:pPr>
            <w:r>
              <w:t>2.</w:t>
            </w:r>
          </w:p>
        </w:tc>
        <w:tc>
          <w:tcPr>
            <w:tcW w:w="3337" w:type="dxa"/>
            <w:gridSpan w:val="4"/>
          </w:tcPr>
          <w:p w14:paraId="6AB1319F" w14:textId="77777777" w:rsidR="008553A0" w:rsidRPr="00FD460E" w:rsidRDefault="008553A0" w:rsidP="008553A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FD460E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77" w:type="dxa"/>
            <w:gridSpan w:val="4"/>
          </w:tcPr>
          <w:p w14:paraId="2AC986E4" w14:textId="4144A379" w:rsidR="008553A0" w:rsidRDefault="008553A0" w:rsidP="008553A0">
            <w:pPr>
              <w:pStyle w:val="Bezatstarpm"/>
              <w:jc w:val="both"/>
            </w:pPr>
            <w:r w:rsidRPr="000C3337">
              <w:t xml:space="preserve">Ministru kabineta 2017. gada 16. janvāra Krīzes vadības padomes sēdē </w:t>
            </w:r>
            <w:r>
              <w:t xml:space="preserve">tika </w:t>
            </w:r>
            <w:r w:rsidRPr="000C3337">
              <w:t>nolemts izsludināt ārkārtējo situāciju Ādažu, Krimuldas un Salaspils novados, jo 2017. gada 13. janvārī valsts zinātniskais institūts “BIOR” konstatēja Āfrikas cūku mēri (turpmāk – ĀCM) Krimuldas novada Krimuldas pagasta novietnē “</w:t>
            </w:r>
            <w:proofErr w:type="spellStart"/>
            <w:r w:rsidRPr="000C3337">
              <w:t>Rukas</w:t>
            </w:r>
            <w:proofErr w:type="spellEnd"/>
            <w:r w:rsidRPr="000C3337">
              <w:t>”. Novietnē atr</w:t>
            </w:r>
            <w:r>
              <w:t>a</w:t>
            </w:r>
            <w:r w:rsidRPr="000C3337">
              <w:t>d</w:t>
            </w:r>
            <w:r>
              <w:t>ā</w:t>
            </w:r>
            <w:r w:rsidRPr="000C3337">
              <w:t>s 5023</w:t>
            </w:r>
            <w:r w:rsidR="006A2FC9">
              <w:t> </w:t>
            </w:r>
            <w:r w:rsidRPr="000C3337">
              <w:t xml:space="preserve">cūku sugas dzīvnieki. </w:t>
            </w:r>
            <w:r>
              <w:t>Tie pēc iespējas īsākā laikā piespiedu kārtā bija jānogalina</w:t>
            </w:r>
            <w:r w:rsidR="006A2FC9">
              <w:t>,</w:t>
            </w:r>
            <w:r>
              <w:t xml:space="preserve"> un bija nepieciešams iznīcināt lielu apjomu dzīvnieku izcelsmes blakusproduktu. </w:t>
            </w:r>
          </w:p>
          <w:p w14:paraId="1048A269" w14:textId="68EE2598" w:rsidR="008553A0" w:rsidRDefault="006A2FC9" w:rsidP="008553A0">
            <w:pPr>
              <w:pStyle w:val="Bezatstarpm"/>
              <w:jc w:val="both"/>
            </w:pPr>
            <w:r>
              <w:t>Tā kā</w:t>
            </w:r>
            <w:r w:rsidR="008553A0" w:rsidRPr="00D95431">
              <w:t xml:space="preserve"> šāda mēroga </w:t>
            </w:r>
            <w:r>
              <w:t xml:space="preserve">slimības </w:t>
            </w:r>
            <w:r w:rsidR="008553A0" w:rsidRPr="00D95431">
              <w:t xml:space="preserve">uzliesmojums Latvijā tika konstatēts pirmo reizi, </w:t>
            </w:r>
            <w:r w:rsidR="008553A0">
              <w:t>Pārtikas un veterinārais dienests (turpmāk – PVD) lūdza Igaunijas Pārtikas un veterinār</w:t>
            </w:r>
            <w:r>
              <w:t>o</w:t>
            </w:r>
            <w:r w:rsidR="008553A0">
              <w:t xml:space="preserve"> dienest</w:t>
            </w:r>
            <w:r>
              <w:t>u</w:t>
            </w:r>
            <w:r w:rsidR="008553A0">
              <w:t xml:space="preserve"> sniegt </w:t>
            </w:r>
            <w:r w:rsidR="00E86EB8">
              <w:t>konsultācijas</w:t>
            </w:r>
            <w:r w:rsidR="008553A0">
              <w:t xml:space="preserve"> un tehnisku palīdzību cūku piespiedu nogalināšan</w:t>
            </w:r>
            <w:r>
              <w:t>ā</w:t>
            </w:r>
            <w:r w:rsidR="008553A0">
              <w:t xml:space="preserve">. </w:t>
            </w:r>
            <w:r w:rsidR="008553A0" w:rsidRPr="00D95431">
              <w:t>Igaunijas ekspertu darbs un konsultācijas</w:t>
            </w:r>
            <w:r w:rsidR="008553A0">
              <w:t>, kā arī tehniskā palīdzība cūku nogalināšanā</w:t>
            </w:r>
            <w:r w:rsidR="008553A0" w:rsidRPr="00D95431">
              <w:t xml:space="preserve"> deva neatsveramu ieguldījumu un ļāva ietaupīt būtiskus valsts </w:t>
            </w:r>
            <w:r w:rsidR="008553A0">
              <w:t xml:space="preserve">finanšu </w:t>
            </w:r>
            <w:r w:rsidR="008553A0" w:rsidRPr="00D95431">
              <w:t>resursus.</w:t>
            </w:r>
            <w:r w:rsidR="008553A0">
              <w:t xml:space="preserve"> </w:t>
            </w:r>
          </w:p>
          <w:p w14:paraId="4D8B57DB" w14:textId="0706525A" w:rsidR="008553A0" w:rsidRDefault="008553A0" w:rsidP="008553A0">
            <w:pPr>
              <w:pStyle w:val="Bezatstarpm"/>
              <w:jc w:val="both"/>
              <w:rPr>
                <w:szCs w:val="22"/>
              </w:rPr>
            </w:pPr>
            <w:r>
              <w:t xml:space="preserve">Anotācijai pielikumā pievienota PVD sagatavota informācija par faktiskajiem izdevumiem, </w:t>
            </w:r>
            <w:r w:rsidR="006A2FC9">
              <w:t>kas radās, nogalinot</w:t>
            </w:r>
            <w:r>
              <w:t xml:space="preserve"> cūk</w:t>
            </w:r>
            <w:r w:rsidR="006A2FC9">
              <w:t>as</w:t>
            </w:r>
            <w:r>
              <w:t xml:space="preserve"> novietnē “</w:t>
            </w:r>
            <w:proofErr w:type="spellStart"/>
            <w:r>
              <w:t>Rukas</w:t>
            </w:r>
            <w:proofErr w:type="spellEnd"/>
            <w:r>
              <w:t xml:space="preserve">” un </w:t>
            </w:r>
            <w:r w:rsidR="006A2FC9">
              <w:t xml:space="preserve">sadedzinot </w:t>
            </w:r>
            <w:r>
              <w:t>dzīvnieku izcelsmes blakusproduktu</w:t>
            </w:r>
            <w:r w:rsidR="006A2FC9">
              <w:t>s iekārtā</w:t>
            </w:r>
            <w:r>
              <w:t xml:space="preserve"> “</w:t>
            </w:r>
            <w:proofErr w:type="spellStart"/>
            <w:r>
              <w:t>Hurican</w:t>
            </w:r>
            <w:proofErr w:type="spellEnd"/>
            <w:r>
              <w:t xml:space="preserve"> PRO 1000”. </w:t>
            </w:r>
            <w:r w:rsidR="006A2FC9">
              <w:t>V</w:t>
            </w:r>
            <w:r w:rsidR="006A2FC9" w:rsidRPr="00D95431">
              <w:t xml:space="preserve">isas </w:t>
            </w:r>
            <w:r w:rsidR="006A2FC9">
              <w:t>a</w:t>
            </w:r>
            <w:r w:rsidRPr="00D95431">
              <w:t xml:space="preserve">tlīdzības tabulā </w:t>
            </w:r>
            <w:r w:rsidR="006A2FC9">
              <w:t>norādī</w:t>
            </w:r>
            <w:r w:rsidRPr="00D95431">
              <w:t xml:space="preserve">tās personas ir veikušas darbu </w:t>
            </w:r>
            <w:r w:rsidRPr="00D95431">
              <w:rPr>
                <w:bCs/>
              </w:rPr>
              <w:t>tikai saistībā ar cūku nogalināšanu</w:t>
            </w:r>
            <w:r w:rsidRPr="00D95431">
              <w:t xml:space="preserve">. Strādājošajiem pie </w:t>
            </w:r>
            <w:r>
              <w:t>“</w:t>
            </w:r>
            <w:proofErr w:type="spellStart"/>
            <w:r w:rsidRPr="00D95431">
              <w:t>Hurikan</w:t>
            </w:r>
            <w:proofErr w:type="spellEnd"/>
            <w:r w:rsidRPr="00D95431">
              <w:t xml:space="preserve"> </w:t>
            </w:r>
            <w:r>
              <w:t xml:space="preserve">PRO 1000” </w:t>
            </w:r>
            <w:r w:rsidR="006A2FC9">
              <w:t xml:space="preserve">iekārtas </w:t>
            </w:r>
            <w:r w:rsidR="006A2FC9" w:rsidRPr="00D95431">
              <w:t xml:space="preserve">neveidojās </w:t>
            </w:r>
            <w:r w:rsidRPr="00D95431">
              <w:t xml:space="preserve">virsstundas, tādēļ tabulā šīs personas nav iekļautas. </w:t>
            </w:r>
            <w:r>
              <w:t>PVD piecus</w:t>
            </w:r>
            <w:r w:rsidRPr="00D95431">
              <w:t xml:space="preserve"> uzņēmuma līgum</w:t>
            </w:r>
            <w:r>
              <w:t>us</w:t>
            </w:r>
            <w:r w:rsidRPr="00D95431">
              <w:t xml:space="preserve"> noslē</w:t>
            </w:r>
            <w:r>
              <w:t>dza</w:t>
            </w:r>
            <w:r w:rsidRPr="00D95431">
              <w:t xml:space="preserve"> ar fiziskām personām par </w:t>
            </w:r>
            <w:r w:rsidR="006A2FC9">
              <w:t>t</w:t>
            </w:r>
            <w:r w:rsidRPr="00D95431">
              <w:t>ādu darb</w:t>
            </w:r>
            <w:r w:rsidR="006A2FC9">
              <w:t>u izpildi kā</w:t>
            </w:r>
            <w:r w:rsidRPr="00D95431">
              <w:t xml:space="preserve"> mājas cūku pārvietošana, fiksācija un nogalināšana ĀCM skartajā novietnē</w:t>
            </w:r>
            <w:r>
              <w:t xml:space="preserve"> “</w:t>
            </w:r>
            <w:proofErr w:type="spellStart"/>
            <w:r>
              <w:t>Rukas</w:t>
            </w:r>
            <w:proofErr w:type="spellEnd"/>
            <w:r>
              <w:t>”</w:t>
            </w:r>
            <w:r w:rsidRPr="00D95431">
              <w:t xml:space="preserve">. Excel tabulā </w:t>
            </w:r>
            <w:r w:rsidR="006A2FC9">
              <w:t>no</w:t>
            </w:r>
            <w:r w:rsidRPr="00D95431">
              <w:t>rādī</w:t>
            </w:r>
            <w:r>
              <w:t>ts</w:t>
            </w:r>
            <w:r w:rsidRPr="00D95431">
              <w:t xml:space="preserve"> faktiski nostrādāt</w:t>
            </w:r>
            <w:r>
              <w:t>ais</w:t>
            </w:r>
            <w:r w:rsidRPr="00D95431">
              <w:t xml:space="preserve"> laik</w:t>
            </w:r>
            <w:r>
              <w:t>s</w:t>
            </w:r>
            <w:r w:rsidRPr="00D95431">
              <w:t xml:space="preserve">, par kuru ir </w:t>
            </w:r>
            <w:r w:rsidR="006A2FC9">
              <w:t>samaksāta atlīdzība</w:t>
            </w:r>
            <w:r w:rsidRPr="00D95431">
              <w:t xml:space="preserve"> </w:t>
            </w:r>
            <w:r w:rsidR="006A2FC9" w:rsidRPr="00D95431">
              <w:t xml:space="preserve">EUR </w:t>
            </w:r>
            <w:r w:rsidRPr="00D95431">
              <w:t>12</w:t>
            </w:r>
            <w:r w:rsidR="006A2FC9">
              <w:t>,</w:t>
            </w:r>
            <w:r w:rsidRPr="00D95431">
              <w:t>50 stundā</w:t>
            </w:r>
            <w:r w:rsidR="006A2FC9">
              <w:t>, kā</w:t>
            </w:r>
            <w:r>
              <w:t xml:space="preserve"> arī</w:t>
            </w:r>
            <w:r w:rsidRPr="00D95431">
              <w:t xml:space="preserve"> darba devēja valsts sociālās apdrošināšanas obligātās iemaksas. </w:t>
            </w:r>
            <w:r>
              <w:t>Dzīvnieku izcelsmes blakusproduktu transportēšanu no novietnes “</w:t>
            </w:r>
            <w:proofErr w:type="spellStart"/>
            <w:r>
              <w:t>Rukas</w:t>
            </w:r>
            <w:proofErr w:type="spellEnd"/>
            <w:r>
              <w:t>” uz “</w:t>
            </w:r>
            <w:proofErr w:type="spellStart"/>
            <w:r>
              <w:t>Hurikan</w:t>
            </w:r>
            <w:proofErr w:type="spellEnd"/>
            <w:r>
              <w:t xml:space="preserve"> PRO 1000” </w:t>
            </w:r>
            <w:r w:rsidR="006A2FC9">
              <w:t xml:space="preserve">iekārtu </w:t>
            </w:r>
            <w:r>
              <w:t>Lauceses pagastā nodrošināja SIA “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”. </w:t>
            </w:r>
            <w:r w:rsidRPr="00645A1C">
              <w:rPr>
                <w:szCs w:val="22"/>
              </w:rPr>
              <w:t>PVD norēķinā</w:t>
            </w:r>
            <w:r>
              <w:rPr>
                <w:szCs w:val="22"/>
              </w:rPr>
              <w:t>jā</w:t>
            </w:r>
            <w:r w:rsidRPr="00645A1C">
              <w:rPr>
                <w:szCs w:val="22"/>
              </w:rPr>
              <w:t xml:space="preserve">s ar </w:t>
            </w:r>
            <w:r>
              <w:rPr>
                <w:szCs w:val="22"/>
              </w:rPr>
              <w:t>SIA “</w:t>
            </w:r>
            <w:proofErr w:type="spellStart"/>
            <w:r w:rsidRPr="00645A1C">
              <w:rPr>
                <w:szCs w:val="22"/>
              </w:rPr>
              <w:t>Baltic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645A1C">
              <w:rPr>
                <w:szCs w:val="22"/>
              </w:rPr>
              <w:t>Trade</w:t>
            </w:r>
            <w:proofErr w:type="spellEnd"/>
            <w:r>
              <w:rPr>
                <w:szCs w:val="22"/>
              </w:rPr>
              <w:t>”</w:t>
            </w:r>
            <w:r w:rsidRPr="00645A1C">
              <w:rPr>
                <w:szCs w:val="22"/>
              </w:rPr>
              <w:t xml:space="preserve"> par transportēšanas pakalpojumiem atbilstoši līgumam pēc nobrauktajiem kilometriem. Atšifrējumu</w:t>
            </w:r>
            <w:r>
              <w:rPr>
                <w:szCs w:val="22"/>
              </w:rPr>
              <w:t xml:space="preserve"> PVD</w:t>
            </w:r>
            <w:r w:rsidRPr="00645A1C">
              <w:rPr>
                <w:szCs w:val="22"/>
              </w:rPr>
              <w:t xml:space="preserve"> pārbaud</w:t>
            </w:r>
            <w:r>
              <w:rPr>
                <w:szCs w:val="22"/>
              </w:rPr>
              <w:t>īja</w:t>
            </w:r>
            <w:r w:rsidRPr="00645A1C">
              <w:rPr>
                <w:szCs w:val="22"/>
              </w:rPr>
              <w:t xml:space="preserve"> Globālās pozicionēšanas sistēmā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lastRenderedPageBreak/>
              <w:t xml:space="preserve">(turpmāk – GPS). Anotācijas pielikumā </w:t>
            </w:r>
            <w:r w:rsidRPr="00645A1C">
              <w:rPr>
                <w:szCs w:val="22"/>
              </w:rPr>
              <w:t>pievieno</w:t>
            </w:r>
            <w:r>
              <w:rPr>
                <w:szCs w:val="22"/>
              </w:rPr>
              <w:t xml:space="preserve">tas izdrukas no GPS. </w:t>
            </w:r>
          </w:p>
          <w:p w14:paraId="75B651DC" w14:textId="17A94824" w:rsidR="008553A0" w:rsidRDefault="006A2FC9" w:rsidP="008553A0">
            <w:pPr>
              <w:pStyle w:val="Bezatstarpm"/>
              <w:jc w:val="both"/>
              <w:rPr>
                <w:szCs w:val="22"/>
              </w:rPr>
            </w:pPr>
            <w:r>
              <w:rPr>
                <w:szCs w:val="22"/>
              </w:rPr>
              <w:t>Pēc</w:t>
            </w:r>
            <w:r w:rsidR="008553A0">
              <w:rPr>
                <w:szCs w:val="22"/>
              </w:rPr>
              <w:t xml:space="preserve"> PVD sniegt</w:t>
            </w:r>
            <w:r>
              <w:rPr>
                <w:szCs w:val="22"/>
              </w:rPr>
              <w:t>ās</w:t>
            </w:r>
            <w:r w:rsidR="008553A0">
              <w:rPr>
                <w:szCs w:val="22"/>
              </w:rPr>
              <w:t xml:space="preserve"> informācij</w:t>
            </w:r>
            <w:r>
              <w:rPr>
                <w:szCs w:val="22"/>
              </w:rPr>
              <w:t>as,</w:t>
            </w:r>
            <w:r w:rsidR="008553A0">
              <w:rPr>
                <w:szCs w:val="22"/>
              </w:rPr>
              <w:t xml:space="preserve"> iekārta “</w:t>
            </w:r>
            <w:proofErr w:type="spellStart"/>
            <w:r w:rsidR="008553A0">
              <w:rPr>
                <w:szCs w:val="22"/>
              </w:rPr>
              <w:t>Hurican</w:t>
            </w:r>
            <w:proofErr w:type="spellEnd"/>
            <w:r w:rsidR="008553A0">
              <w:rPr>
                <w:szCs w:val="22"/>
              </w:rPr>
              <w:t xml:space="preserve"> PRO 1000” </w:t>
            </w:r>
            <w:r>
              <w:rPr>
                <w:szCs w:val="22"/>
              </w:rPr>
              <w:t>vienas</w:t>
            </w:r>
            <w:r w:rsidR="008553A0">
              <w:rPr>
                <w:szCs w:val="22"/>
              </w:rPr>
              <w:t xml:space="preserve"> tonnas dzīvnieku izcelsmes blakusproduktu sadedzināšanai patērē 50</w:t>
            </w:r>
            <w:r>
              <w:rPr>
                <w:szCs w:val="22"/>
              </w:rPr>
              <w:t>–</w:t>
            </w:r>
            <w:r w:rsidR="008553A0">
              <w:rPr>
                <w:szCs w:val="22"/>
              </w:rPr>
              <w:t>130 litru dīzeļdegvielas</w:t>
            </w:r>
            <w:r w:rsidR="00E86EB8">
              <w:rPr>
                <w:szCs w:val="22"/>
              </w:rPr>
              <w:t xml:space="preserve"> un</w:t>
            </w:r>
            <w:r w:rsidR="008553A0">
              <w:rPr>
                <w:szCs w:val="22"/>
              </w:rPr>
              <w:t xml:space="preserve"> </w:t>
            </w:r>
            <w:r w:rsidR="00E86EB8">
              <w:rPr>
                <w:szCs w:val="22"/>
              </w:rPr>
              <w:t xml:space="preserve">visa 2017. gada 19. janvārī AS “Virši-A” iegādātā degviela tika izmantota dzīvnieku izcelsmes blakusproduktu sadedzināšanai. </w:t>
            </w:r>
            <w:r w:rsidR="008553A0">
              <w:rPr>
                <w:szCs w:val="22"/>
              </w:rPr>
              <w:t xml:space="preserve">VAKS LPKS nodrošināja divu automašīnu transportēšanu uz ĀCM skarto novietni, </w:t>
            </w:r>
            <w:r>
              <w:rPr>
                <w:szCs w:val="22"/>
              </w:rPr>
              <w:t xml:space="preserve">jo </w:t>
            </w:r>
            <w:r w:rsidR="008553A0">
              <w:rPr>
                <w:szCs w:val="22"/>
              </w:rPr>
              <w:t>tās bija nepieciešamas dzīvnieku nogalināšanas procesā.</w:t>
            </w:r>
          </w:p>
          <w:p w14:paraId="6E6F54F0" w14:textId="67B5097A" w:rsidR="008553A0" w:rsidRDefault="008553A0" w:rsidP="008553A0">
            <w:pPr>
              <w:pStyle w:val="Bezatstarpm"/>
              <w:jc w:val="both"/>
              <w:rPr>
                <w:szCs w:val="22"/>
              </w:rPr>
            </w:pPr>
            <w:r>
              <w:rPr>
                <w:szCs w:val="22"/>
              </w:rPr>
              <w:t>SIA “</w:t>
            </w:r>
            <w:proofErr w:type="spellStart"/>
            <w:r>
              <w:rPr>
                <w:szCs w:val="22"/>
              </w:rPr>
              <w:t>Alviri</w:t>
            </w:r>
            <w:proofErr w:type="spellEnd"/>
            <w:r>
              <w:rPr>
                <w:szCs w:val="22"/>
              </w:rPr>
              <w:t xml:space="preserve">” sniedza dezinfekcijas un mazgāšanas pakalpojumus, par ko sastādīts pieņemšanas-nodošanas akts Nr.408/0117. </w:t>
            </w:r>
            <w:r w:rsidR="006A2FC9">
              <w:rPr>
                <w:szCs w:val="22"/>
              </w:rPr>
              <w:t>M</w:t>
            </w:r>
            <w:r>
              <w:rPr>
                <w:szCs w:val="22"/>
              </w:rPr>
              <w:t xml:space="preserve">azgātas un dezinficētas tika divas kravas automašīnas un trīs traktori. </w:t>
            </w:r>
          </w:p>
          <w:p w14:paraId="401A6A4E" w14:textId="27398907" w:rsidR="008553A0" w:rsidRPr="00F835D4" w:rsidRDefault="008553A0" w:rsidP="008553A0">
            <w:pPr>
              <w:pStyle w:val="Bezatstarpm"/>
              <w:jc w:val="both"/>
              <w:rPr>
                <w:szCs w:val="22"/>
              </w:rPr>
            </w:pPr>
            <w:r>
              <w:rPr>
                <w:szCs w:val="22"/>
              </w:rPr>
              <w:t>Saskaņā ar SIA “</w:t>
            </w:r>
            <w:proofErr w:type="spellStart"/>
            <w:r>
              <w:rPr>
                <w:szCs w:val="22"/>
              </w:rPr>
              <w:t>Grow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Energy</w:t>
            </w:r>
            <w:proofErr w:type="spellEnd"/>
            <w:r>
              <w:rPr>
                <w:szCs w:val="22"/>
              </w:rPr>
              <w:t>” iesniegto informāciju uzņēmumā likvidētas 430,265 tonnas dzīvnieku izcelsmes blakusproduktu. SIA “</w:t>
            </w:r>
            <w:proofErr w:type="spellStart"/>
            <w:r>
              <w:rPr>
                <w:szCs w:val="22"/>
              </w:rPr>
              <w:t>Grow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Energy</w:t>
            </w:r>
            <w:proofErr w:type="spellEnd"/>
            <w:r>
              <w:rPr>
                <w:szCs w:val="22"/>
              </w:rPr>
              <w:t>” Zemkopības ministrijā iesniedza detalizētu informāciju par faktiskajiem izdevumiem, kas radās</w:t>
            </w:r>
            <w:r w:rsidR="006A2FC9">
              <w:rPr>
                <w:szCs w:val="22"/>
              </w:rPr>
              <w:t>,</w:t>
            </w:r>
            <w:r>
              <w:rPr>
                <w:szCs w:val="22"/>
              </w:rPr>
              <w:t xml:space="preserve"> uzņēmuma</w:t>
            </w:r>
            <w:r w:rsidR="006A2FC9">
              <w:rPr>
                <w:szCs w:val="22"/>
              </w:rPr>
              <w:t>m</w:t>
            </w:r>
            <w:r>
              <w:rPr>
                <w:szCs w:val="22"/>
              </w:rPr>
              <w:t xml:space="preserve"> pārstrādājot 430,265 tonnas dzīvnieku izcelsmes blakusproduktu. Anotācijai pielikumā pievienota SIA “</w:t>
            </w:r>
            <w:proofErr w:type="spellStart"/>
            <w:r>
              <w:rPr>
                <w:szCs w:val="22"/>
              </w:rPr>
              <w:t>Grow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Energy</w:t>
            </w:r>
            <w:proofErr w:type="spellEnd"/>
            <w:r>
              <w:rPr>
                <w:szCs w:val="22"/>
              </w:rPr>
              <w:t>” iesniegtā detalizētā informācija.</w:t>
            </w:r>
          </w:p>
        </w:tc>
      </w:tr>
      <w:tr w:rsidR="00223267" w14:paraId="7602E148" w14:textId="77777777" w:rsidTr="00FB4D9F">
        <w:tc>
          <w:tcPr>
            <w:tcW w:w="637" w:type="dxa"/>
            <w:gridSpan w:val="2"/>
          </w:tcPr>
          <w:p w14:paraId="04A0D331" w14:textId="77777777" w:rsidR="00223267" w:rsidRDefault="008553A0" w:rsidP="00FB4D9F">
            <w:pPr>
              <w:jc w:val="both"/>
            </w:pPr>
            <w:r>
              <w:lastRenderedPageBreak/>
              <w:t>3</w:t>
            </w:r>
            <w:r w:rsidR="00223267">
              <w:t>.</w:t>
            </w:r>
          </w:p>
        </w:tc>
        <w:tc>
          <w:tcPr>
            <w:tcW w:w="3337" w:type="dxa"/>
            <w:gridSpan w:val="4"/>
          </w:tcPr>
          <w:p w14:paraId="28D2C037" w14:textId="77777777" w:rsidR="00223267" w:rsidRDefault="00223267" w:rsidP="00FB4D9F">
            <w:pPr>
              <w:jc w:val="both"/>
            </w:pPr>
            <w:r>
              <w:t>Projekta izstrādē iesaistītās institūcijas</w:t>
            </w:r>
          </w:p>
        </w:tc>
        <w:tc>
          <w:tcPr>
            <w:tcW w:w="5377" w:type="dxa"/>
            <w:gridSpan w:val="4"/>
          </w:tcPr>
          <w:p w14:paraId="3824C769" w14:textId="77777777" w:rsidR="00223267" w:rsidRDefault="008553A0" w:rsidP="008553A0">
            <w:pPr>
              <w:jc w:val="both"/>
            </w:pPr>
            <w:r>
              <w:t>PVD</w:t>
            </w:r>
            <w:r w:rsidR="00223267">
              <w:t xml:space="preserve"> </w:t>
            </w:r>
            <w:r>
              <w:t>un SIA “</w:t>
            </w:r>
            <w:proofErr w:type="spellStart"/>
            <w:r>
              <w:t>Grow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”</w:t>
            </w:r>
          </w:p>
        </w:tc>
      </w:tr>
      <w:tr w:rsidR="00223267" w14:paraId="55C391B0" w14:textId="77777777" w:rsidTr="00FB4D9F">
        <w:tc>
          <w:tcPr>
            <w:tcW w:w="637" w:type="dxa"/>
            <w:gridSpan w:val="2"/>
          </w:tcPr>
          <w:p w14:paraId="678974B3" w14:textId="77777777" w:rsidR="00223267" w:rsidRDefault="008553A0" w:rsidP="00FB4D9F">
            <w:pPr>
              <w:jc w:val="both"/>
            </w:pPr>
            <w:r>
              <w:t>4</w:t>
            </w:r>
            <w:r w:rsidR="00223267">
              <w:t>.</w:t>
            </w:r>
          </w:p>
        </w:tc>
        <w:tc>
          <w:tcPr>
            <w:tcW w:w="3337" w:type="dxa"/>
            <w:gridSpan w:val="4"/>
          </w:tcPr>
          <w:p w14:paraId="1F4EE673" w14:textId="77777777" w:rsidR="00223267" w:rsidRDefault="00223267" w:rsidP="00FB4D9F">
            <w:pPr>
              <w:jc w:val="both"/>
            </w:pPr>
            <w:r>
              <w:t>Cita informācija</w:t>
            </w:r>
          </w:p>
        </w:tc>
        <w:tc>
          <w:tcPr>
            <w:tcW w:w="5377" w:type="dxa"/>
            <w:gridSpan w:val="4"/>
          </w:tcPr>
          <w:p w14:paraId="30EB8113" w14:textId="77777777" w:rsidR="00223267" w:rsidRDefault="00223267" w:rsidP="00FB4D9F">
            <w:pPr>
              <w:jc w:val="both"/>
            </w:pPr>
            <w:r>
              <w:t>Nav.</w:t>
            </w:r>
          </w:p>
        </w:tc>
      </w:tr>
      <w:tr w:rsidR="00223267" w14:paraId="35687036" w14:textId="77777777" w:rsidTr="00FB4D9F">
        <w:tc>
          <w:tcPr>
            <w:tcW w:w="9351" w:type="dxa"/>
            <w:gridSpan w:val="10"/>
          </w:tcPr>
          <w:p w14:paraId="4AB8FA55" w14:textId="77777777" w:rsidR="00223267" w:rsidRDefault="00223267" w:rsidP="00FB4D9F">
            <w:pPr>
              <w:jc w:val="center"/>
            </w:pPr>
            <w:r w:rsidRPr="00802643">
              <w:rPr>
                <w:b/>
                <w:bCs/>
              </w:rPr>
              <w:t>II. Tiesību akta projekta ietekme uz sabiedrību</w:t>
            </w:r>
          </w:p>
        </w:tc>
      </w:tr>
      <w:tr w:rsidR="008553A0" w14:paraId="06880CD3" w14:textId="77777777" w:rsidTr="00FB4D9F">
        <w:tc>
          <w:tcPr>
            <w:tcW w:w="519" w:type="dxa"/>
          </w:tcPr>
          <w:p w14:paraId="02A59F96" w14:textId="77777777" w:rsidR="008553A0" w:rsidRDefault="008553A0" w:rsidP="008553A0">
            <w:pPr>
              <w:jc w:val="both"/>
            </w:pPr>
            <w:r>
              <w:t>1.</w:t>
            </w:r>
          </w:p>
        </w:tc>
        <w:tc>
          <w:tcPr>
            <w:tcW w:w="3445" w:type="dxa"/>
            <w:gridSpan w:val="4"/>
          </w:tcPr>
          <w:p w14:paraId="26E7FA69" w14:textId="77777777" w:rsidR="008553A0" w:rsidRPr="00FD460E" w:rsidRDefault="008553A0" w:rsidP="008553A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FD460E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5387" w:type="dxa"/>
            <w:gridSpan w:val="5"/>
          </w:tcPr>
          <w:p w14:paraId="2C7E5B79" w14:textId="77777777" w:rsidR="008553A0" w:rsidRDefault="008553A0" w:rsidP="008553A0">
            <w:pPr>
              <w:jc w:val="both"/>
            </w:pPr>
            <w:r>
              <w:t>Sabiedrības mērķgrupa ir SIA “</w:t>
            </w:r>
            <w:proofErr w:type="spellStart"/>
            <w:r>
              <w:t>Grow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” un PVD.</w:t>
            </w:r>
          </w:p>
        </w:tc>
      </w:tr>
      <w:tr w:rsidR="008553A0" w14:paraId="4433EA35" w14:textId="77777777" w:rsidTr="00FB4D9F">
        <w:tc>
          <w:tcPr>
            <w:tcW w:w="519" w:type="dxa"/>
          </w:tcPr>
          <w:p w14:paraId="2C60A24A" w14:textId="77777777" w:rsidR="008553A0" w:rsidRDefault="008553A0" w:rsidP="008553A0">
            <w:pPr>
              <w:jc w:val="both"/>
            </w:pPr>
            <w:r>
              <w:t>2.</w:t>
            </w:r>
          </w:p>
        </w:tc>
        <w:tc>
          <w:tcPr>
            <w:tcW w:w="3445" w:type="dxa"/>
            <w:gridSpan w:val="4"/>
          </w:tcPr>
          <w:p w14:paraId="123ECE19" w14:textId="77777777" w:rsidR="008553A0" w:rsidRPr="00FD460E" w:rsidRDefault="008553A0" w:rsidP="008553A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FD460E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387" w:type="dxa"/>
            <w:gridSpan w:val="5"/>
          </w:tcPr>
          <w:p w14:paraId="0E754710" w14:textId="77777777" w:rsidR="008553A0" w:rsidRDefault="008553A0" w:rsidP="008553A0">
            <w:pPr>
              <w:jc w:val="both"/>
            </w:pPr>
            <w:r>
              <w:t>Projekts šo jomu neskar.</w:t>
            </w:r>
          </w:p>
        </w:tc>
      </w:tr>
      <w:tr w:rsidR="008553A0" w14:paraId="596DEB56" w14:textId="77777777" w:rsidTr="00FB4D9F">
        <w:tc>
          <w:tcPr>
            <w:tcW w:w="519" w:type="dxa"/>
          </w:tcPr>
          <w:p w14:paraId="16ACD257" w14:textId="77777777" w:rsidR="008553A0" w:rsidRDefault="008553A0" w:rsidP="008553A0">
            <w:pPr>
              <w:jc w:val="both"/>
            </w:pPr>
            <w:r>
              <w:t>3.</w:t>
            </w:r>
          </w:p>
        </w:tc>
        <w:tc>
          <w:tcPr>
            <w:tcW w:w="3445" w:type="dxa"/>
            <w:gridSpan w:val="4"/>
          </w:tcPr>
          <w:p w14:paraId="7F0E1A56" w14:textId="77777777" w:rsidR="008553A0" w:rsidRPr="00FD460E" w:rsidRDefault="008553A0" w:rsidP="008553A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FD460E">
              <w:rPr>
                <w:lang w:val="lv-LV"/>
              </w:rPr>
              <w:t>Administratīvo izmaksu monetārs novērtējums</w:t>
            </w:r>
          </w:p>
        </w:tc>
        <w:tc>
          <w:tcPr>
            <w:tcW w:w="5387" w:type="dxa"/>
            <w:gridSpan w:val="5"/>
          </w:tcPr>
          <w:p w14:paraId="5B154110" w14:textId="77777777" w:rsidR="008553A0" w:rsidRDefault="008553A0" w:rsidP="008553A0">
            <w:pPr>
              <w:jc w:val="both"/>
            </w:pPr>
            <w:r w:rsidRPr="00FD460E">
              <w:t>Projekts šo jomu neskar.</w:t>
            </w:r>
          </w:p>
        </w:tc>
      </w:tr>
      <w:tr w:rsidR="00223267" w14:paraId="7A51885C" w14:textId="77777777" w:rsidTr="00FB4D9F">
        <w:tc>
          <w:tcPr>
            <w:tcW w:w="519" w:type="dxa"/>
          </w:tcPr>
          <w:p w14:paraId="68EA2AFD" w14:textId="77777777" w:rsidR="00223267" w:rsidRDefault="008553A0" w:rsidP="00FB4D9F">
            <w:pPr>
              <w:jc w:val="both"/>
            </w:pPr>
            <w:r>
              <w:t>4</w:t>
            </w:r>
            <w:r w:rsidR="00223267">
              <w:t>.</w:t>
            </w:r>
          </w:p>
        </w:tc>
        <w:tc>
          <w:tcPr>
            <w:tcW w:w="3445" w:type="dxa"/>
            <w:gridSpan w:val="4"/>
          </w:tcPr>
          <w:p w14:paraId="7A802990" w14:textId="77777777" w:rsidR="00223267" w:rsidRDefault="00223267" w:rsidP="00FB4D9F">
            <w:pPr>
              <w:jc w:val="both"/>
            </w:pPr>
            <w:r>
              <w:t>Cita informācija</w:t>
            </w:r>
          </w:p>
        </w:tc>
        <w:tc>
          <w:tcPr>
            <w:tcW w:w="5387" w:type="dxa"/>
            <w:gridSpan w:val="5"/>
          </w:tcPr>
          <w:p w14:paraId="21C76A9B" w14:textId="77777777" w:rsidR="00223267" w:rsidRDefault="00223267" w:rsidP="00FB4D9F">
            <w:pPr>
              <w:jc w:val="both"/>
            </w:pPr>
            <w:r>
              <w:t>Nav.</w:t>
            </w:r>
          </w:p>
        </w:tc>
      </w:tr>
      <w:tr w:rsidR="00223267" w14:paraId="1D7B62FB" w14:textId="77777777" w:rsidTr="00FB4D9F">
        <w:tc>
          <w:tcPr>
            <w:tcW w:w="9351" w:type="dxa"/>
            <w:gridSpan w:val="10"/>
          </w:tcPr>
          <w:p w14:paraId="24E91946" w14:textId="77777777" w:rsidR="00223267" w:rsidRDefault="00223267" w:rsidP="00FB4D9F">
            <w:pPr>
              <w:jc w:val="center"/>
            </w:pPr>
            <w:r>
              <w:t> </w:t>
            </w:r>
            <w:r w:rsidRPr="0080264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223267" w14:paraId="47DF2446" w14:textId="77777777" w:rsidTr="00FB4D9F">
        <w:tc>
          <w:tcPr>
            <w:tcW w:w="2405" w:type="dxa"/>
            <w:gridSpan w:val="3"/>
            <w:vMerge w:val="restart"/>
          </w:tcPr>
          <w:p w14:paraId="2190F4C7" w14:textId="77777777" w:rsidR="00223267" w:rsidRDefault="00223267" w:rsidP="00FB4D9F">
            <w:pPr>
              <w:jc w:val="center"/>
            </w:pPr>
            <w:r w:rsidRPr="00802643">
              <w:rPr>
                <w:b/>
                <w:bCs/>
              </w:rPr>
              <w:t>Rādītāji</w:t>
            </w:r>
          </w:p>
        </w:tc>
        <w:tc>
          <w:tcPr>
            <w:tcW w:w="2563" w:type="dxa"/>
            <w:gridSpan w:val="4"/>
            <w:vMerge w:val="restart"/>
          </w:tcPr>
          <w:p w14:paraId="510B359B" w14:textId="77777777" w:rsidR="00223267" w:rsidRDefault="00223267" w:rsidP="00FB4D9F">
            <w:pPr>
              <w:jc w:val="center"/>
            </w:pPr>
            <w:proofErr w:type="gramStart"/>
            <w:r>
              <w:rPr>
                <w:b/>
                <w:bCs/>
              </w:rPr>
              <w:t>2017</w:t>
            </w:r>
            <w:r w:rsidRPr="00802643">
              <w:rPr>
                <w:b/>
                <w:bCs/>
              </w:rPr>
              <w:t>.gads</w:t>
            </w:r>
            <w:proofErr w:type="gramEnd"/>
          </w:p>
        </w:tc>
        <w:tc>
          <w:tcPr>
            <w:tcW w:w="4383" w:type="dxa"/>
            <w:gridSpan w:val="3"/>
          </w:tcPr>
          <w:p w14:paraId="361467CE" w14:textId="77777777" w:rsidR="00223267" w:rsidRPr="00802643" w:rsidRDefault="00223267" w:rsidP="00FB4D9F">
            <w:pPr>
              <w:tabs>
                <w:tab w:val="left" w:pos="3480"/>
              </w:tabs>
              <w:jc w:val="center"/>
              <w:rPr>
                <w:b/>
              </w:rPr>
            </w:pPr>
            <w:r w:rsidRPr="00802643">
              <w:rPr>
                <w:b/>
              </w:rPr>
              <w:t xml:space="preserve">Turpmākie trīs gadi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euro</w:t>
            </w:r>
            <w:proofErr w:type="spellEnd"/>
            <w:r>
              <w:rPr>
                <w:b/>
              </w:rPr>
              <w:t>)</w:t>
            </w:r>
          </w:p>
        </w:tc>
      </w:tr>
      <w:tr w:rsidR="00223267" w14:paraId="3B211560" w14:textId="77777777" w:rsidTr="00FB4D9F">
        <w:tc>
          <w:tcPr>
            <w:tcW w:w="2405" w:type="dxa"/>
            <w:gridSpan w:val="3"/>
            <w:vMerge/>
          </w:tcPr>
          <w:p w14:paraId="567F747C" w14:textId="77777777" w:rsidR="00223267" w:rsidRDefault="00223267" w:rsidP="00FB4D9F">
            <w:pPr>
              <w:jc w:val="both"/>
            </w:pPr>
          </w:p>
        </w:tc>
        <w:tc>
          <w:tcPr>
            <w:tcW w:w="2563" w:type="dxa"/>
            <w:gridSpan w:val="4"/>
            <w:vMerge/>
          </w:tcPr>
          <w:p w14:paraId="72A497D4" w14:textId="77777777" w:rsidR="00223267" w:rsidRDefault="00223267" w:rsidP="00FB4D9F">
            <w:pPr>
              <w:jc w:val="both"/>
            </w:pPr>
          </w:p>
        </w:tc>
        <w:tc>
          <w:tcPr>
            <w:tcW w:w="1440" w:type="dxa"/>
          </w:tcPr>
          <w:p w14:paraId="2F61979A" w14:textId="77777777" w:rsidR="00223267" w:rsidRPr="00BE099C" w:rsidRDefault="00223267" w:rsidP="00FB4D9F">
            <w:pPr>
              <w:jc w:val="center"/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2018</w:t>
            </w:r>
            <w:r w:rsidRPr="00BE099C">
              <w:rPr>
                <w:b/>
                <w:bCs/>
              </w:rPr>
              <w:t>.gads</w:t>
            </w:r>
            <w:proofErr w:type="gramEnd"/>
          </w:p>
        </w:tc>
        <w:tc>
          <w:tcPr>
            <w:tcW w:w="1440" w:type="dxa"/>
          </w:tcPr>
          <w:p w14:paraId="4E01C4E3" w14:textId="77777777" w:rsidR="00223267" w:rsidRPr="00BE099C" w:rsidRDefault="00223267" w:rsidP="00FB4D9F">
            <w:pPr>
              <w:jc w:val="center"/>
            </w:pPr>
            <w:r w:rsidRPr="00BE099C">
              <w:rPr>
                <w:b/>
                <w:bCs/>
              </w:rPr>
              <w:t xml:space="preserve"> </w:t>
            </w:r>
            <w:proofErr w:type="gramStart"/>
            <w:r w:rsidRPr="00BE099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BE099C">
              <w:rPr>
                <w:b/>
                <w:bCs/>
              </w:rPr>
              <w:t>.gads</w:t>
            </w:r>
            <w:proofErr w:type="gramEnd"/>
          </w:p>
        </w:tc>
        <w:tc>
          <w:tcPr>
            <w:tcW w:w="1503" w:type="dxa"/>
          </w:tcPr>
          <w:p w14:paraId="34EB1F6B" w14:textId="77777777" w:rsidR="00223267" w:rsidRPr="00BE099C" w:rsidRDefault="00223267" w:rsidP="00FB4D9F">
            <w:pPr>
              <w:ind w:right="4"/>
              <w:jc w:val="center"/>
            </w:pPr>
            <w:r w:rsidRPr="00BE099C">
              <w:rPr>
                <w:b/>
                <w:bCs/>
              </w:rPr>
              <w:t xml:space="preserve"> </w:t>
            </w:r>
            <w:proofErr w:type="gramStart"/>
            <w:r w:rsidRPr="00BE099C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E099C">
              <w:rPr>
                <w:b/>
                <w:bCs/>
              </w:rPr>
              <w:t>.gads</w:t>
            </w:r>
            <w:proofErr w:type="gramEnd"/>
          </w:p>
        </w:tc>
      </w:tr>
      <w:tr w:rsidR="00223267" w14:paraId="0A930579" w14:textId="77777777" w:rsidTr="00FB4D9F">
        <w:tc>
          <w:tcPr>
            <w:tcW w:w="2405" w:type="dxa"/>
            <w:gridSpan w:val="3"/>
            <w:vMerge/>
          </w:tcPr>
          <w:p w14:paraId="7F3DE4FB" w14:textId="77777777" w:rsidR="00223267" w:rsidRDefault="00223267" w:rsidP="00FB4D9F">
            <w:pPr>
              <w:jc w:val="both"/>
            </w:pPr>
          </w:p>
        </w:tc>
        <w:tc>
          <w:tcPr>
            <w:tcW w:w="1123" w:type="dxa"/>
          </w:tcPr>
          <w:p w14:paraId="04865A9D" w14:textId="77777777" w:rsidR="00223267" w:rsidRDefault="00223267" w:rsidP="00FB4D9F">
            <w:pPr>
              <w:jc w:val="both"/>
            </w:pPr>
            <w:r>
              <w:t> Saskaņā ar valsts budžetu kārtējam gadam</w:t>
            </w:r>
          </w:p>
        </w:tc>
        <w:tc>
          <w:tcPr>
            <w:tcW w:w="1440" w:type="dxa"/>
            <w:gridSpan w:val="3"/>
          </w:tcPr>
          <w:p w14:paraId="314EDC07" w14:textId="77777777" w:rsidR="00223267" w:rsidRDefault="00223267" w:rsidP="00FB4D9F">
            <w:pPr>
              <w:ind w:left="-61"/>
              <w:jc w:val="both"/>
            </w:pPr>
            <w:r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>aiņas kārtējā gadā, salīdzinot ar budžetu kārtējam gadam</w:t>
            </w:r>
          </w:p>
        </w:tc>
        <w:tc>
          <w:tcPr>
            <w:tcW w:w="1440" w:type="dxa"/>
          </w:tcPr>
          <w:p w14:paraId="395BCBB7" w14:textId="77777777" w:rsidR="00223267" w:rsidRDefault="00223267" w:rsidP="00FB4D9F">
            <w:pPr>
              <w:ind w:left="-108"/>
              <w:jc w:val="both"/>
            </w:pPr>
            <w:r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(n) gadu</w:t>
            </w:r>
          </w:p>
        </w:tc>
        <w:tc>
          <w:tcPr>
            <w:tcW w:w="1440" w:type="dxa"/>
          </w:tcPr>
          <w:p w14:paraId="11A2F6C9" w14:textId="77777777" w:rsidR="00223267" w:rsidRDefault="00223267" w:rsidP="00FB4D9F">
            <w:pPr>
              <w:tabs>
                <w:tab w:val="left" w:pos="0"/>
              </w:tabs>
              <w:ind w:right="-108"/>
              <w:jc w:val="both"/>
            </w:pPr>
            <w:r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(n) gadu</w:t>
            </w:r>
          </w:p>
        </w:tc>
        <w:tc>
          <w:tcPr>
            <w:tcW w:w="1503" w:type="dxa"/>
          </w:tcPr>
          <w:p w14:paraId="33E2458D" w14:textId="77777777" w:rsidR="00223267" w:rsidRDefault="00223267" w:rsidP="00FB4D9F">
            <w:pPr>
              <w:jc w:val="both"/>
            </w:pPr>
            <w:r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(n) gadu</w:t>
            </w:r>
          </w:p>
        </w:tc>
      </w:tr>
      <w:tr w:rsidR="00223267" w14:paraId="519C1360" w14:textId="77777777" w:rsidTr="00FB4D9F">
        <w:tc>
          <w:tcPr>
            <w:tcW w:w="2405" w:type="dxa"/>
            <w:gridSpan w:val="3"/>
          </w:tcPr>
          <w:p w14:paraId="45459EDD" w14:textId="77777777" w:rsidR="00223267" w:rsidRDefault="00223267" w:rsidP="00FB4D9F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14:paraId="1AEC6F10" w14:textId="77777777" w:rsidR="00223267" w:rsidRDefault="00223267" w:rsidP="00FB4D9F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</w:tcPr>
          <w:p w14:paraId="7B6D6611" w14:textId="77777777" w:rsidR="00223267" w:rsidRDefault="00223267" w:rsidP="00FB4D9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EF18F4A" w14:textId="77777777" w:rsidR="00223267" w:rsidRDefault="00223267" w:rsidP="00FB4D9F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0412E021" w14:textId="77777777" w:rsidR="00223267" w:rsidRDefault="00223267" w:rsidP="00FB4D9F">
            <w:pPr>
              <w:jc w:val="center"/>
            </w:pPr>
            <w:r>
              <w:t>5</w:t>
            </w:r>
          </w:p>
        </w:tc>
        <w:tc>
          <w:tcPr>
            <w:tcW w:w="1503" w:type="dxa"/>
          </w:tcPr>
          <w:p w14:paraId="632D0816" w14:textId="77777777" w:rsidR="00223267" w:rsidRDefault="00223267" w:rsidP="00FB4D9F">
            <w:pPr>
              <w:jc w:val="center"/>
            </w:pPr>
            <w:r>
              <w:t>6</w:t>
            </w:r>
          </w:p>
        </w:tc>
      </w:tr>
      <w:tr w:rsidR="00223267" w14:paraId="77F72EC2" w14:textId="77777777" w:rsidTr="00FB4D9F">
        <w:tc>
          <w:tcPr>
            <w:tcW w:w="2405" w:type="dxa"/>
            <w:gridSpan w:val="3"/>
          </w:tcPr>
          <w:p w14:paraId="6BA02C7A" w14:textId="77777777" w:rsidR="00223267" w:rsidRDefault="00223267" w:rsidP="00FB4D9F">
            <w:pPr>
              <w:jc w:val="both"/>
            </w:pPr>
            <w:r>
              <w:t>1. Budžeta ieņēmumi:</w:t>
            </w:r>
          </w:p>
        </w:tc>
        <w:tc>
          <w:tcPr>
            <w:tcW w:w="1123" w:type="dxa"/>
          </w:tcPr>
          <w:p w14:paraId="7AD74605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2FA617D7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11ED6DD9" w14:textId="77777777" w:rsidR="00223267" w:rsidRDefault="008553A0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5C9BD008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6088B791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61ED1F13" w14:textId="77777777" w:rsidTr="00FB4D9F">
        <w:tc>
          <w:tcPr>
            <w:tcW w:w="2405" w:type="dxa"/>
            <w:gridSpan w:val="3"/>
          </w:tcPr>
          <w:p w14:paraId="60C9B6B2" w14:textId="77777777" w:rsidR="00223267" w:rsidRDefault="00223267" w:rsidP="00FB4D9F">
            <w:pPr>
              <w:jc w:val="both"/>
            </w:pPr>
            <w:r>
              <w:t xml:space="preserve">1.1. valsts pamatbudžets, tai </w:t>
            </w:r>
            <w:r>
              <w:lastRenderedPageBreak/>
              <w:t>skaitā ieņēmumi no maksas pakalpo-</w:t>
            </w:r>
            <w:proofErr w:type="spellStart"/>
            <w:r>
              <w:t>jumiem</w:t>
            </w:r>
            <w:proofErr w:type="spellEnd"/>
            <w:r>
              <w:t xml:space="preserve"> un citi pašu ieņēmumi</w:t>
            </w:r>
          </w:p>
        </w:tc>
        <w:tc>
          <w:tcPr>
            <w:tcW w:w="1123" w:type="dxa"/>
          </w:tcPr>
          <w:p w14:paraId="3572ABFF" w14:textId="77777777" w:rsidR="00223267" w:rsidRDefault="00223267" w:rsidP="00FB4D9F">
            <w:pPr>
              <w:jc w:val="center"/>
            </w:pPr>
            <w:r>
              <w:lastRenderedPageBreak/>
              <w:t>0</w:t>
            </w:r>
          </w:p>
        </w:tc>
        <w:tc>
          <w:tcPr>
            <w:tcW w:w="1440" w:type="dxa"/>
            <w:gridSpan w:val="3"/>
          </w:tcPr>
          <w:p w14:paraId="0B3D2D9B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50B503A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5E118E65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6290A3E9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6411ED0D" w14:textId="77777777" w:rsidTr="00FB4D9F">
        <w:tc>
          <w:tcPr>
            <w:tcW w:w="2405" w:type="dxa"/>
            <w:gridSpan w:val="3"/>
          </w:tcPr>
          <w:p w14:paraId="60CDF84A" w14:textId="77777777" w:rsidR="00223267" w:rsidRDefault="00223267" w:rsidP="00FB4D9F">
            <w:pPr>
              <w:jc w:val="both"/>
            </w:pPr>
            <w:r>
              <w:t>1.2. valsts speciālais budžets</w:t>
            </w:r>
          </w:p>
        </w:tc>
        <w:tc>
          <w:tcPr>
            <w:tcW w:w="1123" w:type="dxa"/>
          </w:tcPr>
          <w:p w14:paraId="58BB074C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1A13D557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05EC1F36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E75FB5C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1F38E0B9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1683D302" w14:textId="77777777" w:rsidTr="00FB4D9F">
        <w:tc>
          <w:tcPr>
            <w:tcW w:w="2405" w:type="dxa"/>
            <w:gridSpan w:val="3"/>
          </w:tcPr>
          <w:p w14:paraId="1EBFEF61" w14:textId="77777777" w:rsidR="00223267" w:rsidRDefault="00223267" w:rsidP="00FB4D9F">
            <w:pPr>
              <w:jc w:val="both"/>
            </w:pPr>
            <w:r>
              <w:t>1.3. pašvaldību budžets</w:t>
            </w:r>
          </w:p>
        </w:tc>
        <w:tc>
          <w:tcPr>
            <w:tcW w:w="1123" w:type="dxa"/>
          </w:tcPr>
          <w:p w14:paraId="444F260B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2B734A9D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010241FB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EA9DE99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65CD780F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470185F3" w14:textId="77777777" w:rsidTr="00FB4D9F">
        <w:tc>
          <w:tcPr>
            <w:tcW w:w="2405" w:type="dxa"/>
            <w:gridSpan w:val="3"/>
          </w:tcPr>
          <w:p w14:paraId="5A42BB5B" w14:textId="77777777" w:rsidR="00223267" w:rsidRDefault="00223267" w:rsidP="00FB4D9F">
            <w:pPr>
              <w:jc w:val="both"/>
            </w:pPr>
            <w:r>
              <w:t>2. Budžeta izdevumi:</w:t>
            </w:r>
          </w:p>
        </w:tc>
        <w:tc>
          <w:tcPr>
            <w:tcW w:w="1123" w:type="dxa"/>
          </w:tcPr>
          <w:p w14:paraId="4D1A84C6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0D647D4B" w14:textId="02B4B635" w:rsidR="00223267" w:rsidRPr="009941DE" w:rsidRDefault="001353E3" w:rsidP="00553EF8">
            <w:pPr>
              <w:jc w:val="center"/>
            </w:pPr>
            <w:r>
              <w:t>12</w:t>
            </w:r>
            <w:r w:rsidR="00553EF8">
              <w:t>7</w:t>
            </w:r>
            <w:r>
              <w:t xml:space="preserve"> </w:t>
            </w:r>
            <w:r w:rsidR="00553EF8">
              <w:t>903</w:t>
            </w:r>
          </w:p>
        </w:tc>
        <w:tc>
          <w:tcPr>
            <w:tcW w:w="1440" w:type="dxa"/>
          </w:tcPr>
          <w:p w14:paraId="63276628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79870A68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4CA73DFA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1D2516A9" w14:textId="77777777" w:rsidTr="00FB4D9F">
        <w:tc>
          <w:tcPr>
            <w:tcW w:w="2405" w:type="dxa"/>
            <w:gridSpan w:val="3"/>
          </w:tcPr>
          <w:p w14:paraId="207C84DC" w14:textId="77777777" w:rsidR="00223267" w:rsidRDefault="00223267" w:rsidP="00FB4D9F">
            <w:pPr>
              <w:jc w:val="both"/>
            </w:pPr>
            <w:r>
              <w:t>2.1. valsts pamatbudžets</w:t>
            </w:r>
          </w:p>
        </w:tc>
        <w:tc>
          <w:tcPr>
            <w:tcW w:w="1123" w:type="dxa"/>
          </w:tcPr>
          <w:p w14:paraId="6401ADA2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2F6F0528" w14:textId="0E950CE9" w:rsidR="00223267" w:rsidRPr="009941DE" w:rsidRDefault="001353E3" w:rsidP="00553EF8">
            <w:pPr>
              <w:jc w:val="center"/>
            </w:pPr>
            <w:r>
              <w:t>12</w:t>
            </w:r>
            <w:r w:rsidR="00553EF8">
              <w:t>7 903</w:t>
            </w:r>
          </w:p>
        </w:tc>
        <w:tc>
          <w:tcPr>
            <w:tcW w:w="1440" w:type="dxa"/>
          </w:tcPr>
          <w:p w14:paraId="5125992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2A728F1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07E95316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4AEFD679" w14:textId="77777777" w:rsidTr="00FB4D9F">
        <w:tc>
          <w:tcPr>
            <w:tcW w:w="2405" w:type="dxa"/>
            <w:gridSpan w:val="3"/>
          </w:tcPr>
          <w:p w14:paraId="32E3168E" w14:textId="77777777" w:rsidR="00223267" w:rsidRDefault="00223267" w:rsidP="00FB4D9F">
            <w:pPr>
              <w:jc w:val="both"/>
            </w:pPr>
            <w:r>
              <w:t>2.2. valsts speciālais budžets</w:t>
            </w:r>
          </w:p>
        </w:tc>
        <w:tc>
          <w:tcPr>
            <w:tcW w:w="1123" w:type="dxa"/>
          </w:tcPr>
          <w:p w14:paraId="4CE5122A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0AF6A12A" w14:textId="77777777" w:rsidR="00223267" w:rsidRPr="009941DE" w:rsidRDefault="00223267" w:rsidP="00FB4D9F">
            <w:pPr>
              <w:jc w:val="center"/>
            </w:pPr>
            <w:r w:rsidRPr="009941DE">
              <w:t>0</w:t>
            </w:r>
          </w:p>
        </w:tc>
        <w:tc>
          <w:tcPr>
            <w:tcW w:w="1440" w:type="dxa"/>
          </w:tcPr>
          <w:p w14:paraId="32917BC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12478CD8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5DF2E95F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3C36AF52" w14:textId="77777777" w:rsidTr="00FB4D9F">
        <w:tc>
          <w:tcPr>
            <w:tcW w:w="2405" w:type="dxa"/>
            <w:gridSpan w:val="3"/>
          </w:tcPr>
          <w:p w14:paraId="6E03CE8C" w14:textId="77777777" w:rsidR="00223267" w:rsidRDefault="00223267" w:rsidP="00FB4D9F">
            <w:pPr>
              <w:jc w:val="both"/>
            </w:pPr>
            <w:r>
              <w:t>2.3. pašvaldību budžets</w:t>
            </w:r>
          </w:p>
        </w:tc>
        <w:tc>
          <w:tcPr>
            <w:tcW w:w="1123" w:type="dxa"/>
          </w:tcPr>
          <w:p w14:paraId="2317D4F6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64519DD5" w14:textId="77777777" w:rsidR="00223267" w:rsidRPr="009941DE" w:rsidRDefault="00223267" w:rsidP="00FB4D9F">
            <w:pPr>
              <w:jc w:val="center"/>
            </w:pPr>
            <w:r w:rsidRPr="009941DE">
              <w:t>0</w:t>
            </w:r>
          </w:p>
        </w:tc>
        <w:tc>
          <w:tcPr>
            <w:tcW w:w="1440" w:type="dxa"/>
          </w:tcPr>
          <w:p w14:paraId="2A20E4A0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AEF8559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61DB7C26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78566687" w14:textId="77777777" w:rsidTr="00FB4D9F">
        <w:tc>
          <w:tcPr>
            <w:tcW w:w="2405" w:type="dxa"/>
            <w:gridSpan w:val="3"/>
          </w:tcPr>
          <w:p w14:paraId="18F0BDC0" w14:textId="77777777" w:rsidR="00223267" w:rsidRDefault="00223267" w:rsidP="00FB4D9F">
            <w:pPr>
              <w:jc w:val="both"/>
            </w:pPr>
            <w:r>
              <w:t>3. Finansiālā ietekme:</w:t>
            </w:r>
          </w:p>
        </w:tc>
        <w:tc>
          <w:tcPr>
            <w:tcW w:w="1123" w:type="dxa"/>
          </w:tcPr>
          <w:p w14:paraId="66AC23D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74E919E5" w14:textId="65A28A0E" w:rsidR="00223267" w:rsidRPr="009941DE" w:rsidRDefault="00926D7A" w:rsidP="00553EF8">
            <w:pPr>
              <w:jc w:val="center"/>
            </w:pPr>
            <w:r>
              <w:t>–</w:t>
            </w:r>
            <w:r w:rsidR="001353E3">
              <w:t>12</w:t>
            </w:r>
            <w:r w:rsidR="00553EF8">
              <w:t>7</w:t>
            </w:r>
            <w:r w:rsidR="001353E3">
              <w:t xml:space="preserve"> </w:t>
            </w:r>
            <w:r w:rsidR="00553EF8">
              <w:t>903</w:t>
            </w:r>
          </w:p>
        </w:tc>
        <w:tc>
          <w:tcPr>
            <w:tcW w:w="1440" w:type="dxa"/>
          </w:tcPr>
          <w:p w14:paraId="2D935802" w14:textId="77777777" w:rsidR="00223267" w:rsidRDefault="008553A0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08A41B46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1AB6F80A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349B348F" w14:textId="77777777" w:rsidTr="00FB4D9F">
        <w:tc>
          <w:tcPr>
            <w:tcW w:w="2405" w:type="dxa"/>
            <w:gridSpan w:val="3"/>
          </w:tcPr>
          <w:p w14:paraId="25A85383" w14:textId="77777777" w:rsidR="00223267" w:rsidRDefault="00223267" w:rsidP="00FB4D9F">
            <w:pPr>
              <w:jc w:val="both"/>
            </w:pPr>
            <w:r>
              <w:t>3.1. valsts pamatbudžets</w:t>
            </w:r>
          </w:p>
        </w:tc>
        <w:tc>
          <w:tcPr>
            <w:tcW w:w="1123" w:type="dxa"/>
          </w:tcPr>
          <w:p w14:paraId="459895D7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09B93D5D" w14:textId="3A9F41DF" w:rsidR="00223267" w:rsidRPr="009941DE" w:rsidRDefault="00223267" w:rsidP="00553EF8">
            <w:pPr>
              <w:jc w:val="center"/>
            </w:pPr>
            <w:r>
              <w:t>–</w:t>
            </w:r>
            <w:r w:rsidR="001353E3">
              <w:t>12</w:t>
            </w:r>
            <w:r w:rsidR="00553EF8">
              <w:t>7</w:t>
            </w:r>
            <w:r w:rsidR="001353E3">
              <w:t xml:space="preserve"> </w:t>
            </w:r>
            <w:r w:rsidR="00553EF8">
              <w:t>903</w:t>
            </w:r>
          </w:p>
        </w:tc>
        <w:tc>
          <w:tcPr>
            <w:tcW w:w="1440" w:type="dxa"/>
          </w:tcPr>
          <w:p w14:paraId="2273CD9D" w14:textId="77777777" w:rsidR="00223267" w:rsidRDefault="008553A0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FA3B5A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567DD683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5769ED6D" w14:textId="77777777" w:rsidTr="00FB4D9F">
        <w:tc>
          <w:tcPr>
            <w:tcW w:w="2405" w:type="dxa"/>
            <w:gridSpan w:val="3"/>
          </w:tcPr>
          <w:p w14:paraId="413C2B0A" w14:textId="77777777" w:rsidR="00223267" w:rsidRDefault="00223267" w:rsidP="00FB4D9F">
            <w:pPr>
              <w:jc w:val="both"/>
            </w:pPr>
            <w:r>
              <w:t>3.2. speciālais budžets</w:t>
            </w:r>
          </w:p>
        </w:tc>
        <w:tc>
          <w:tcPr>
            <w:tcW w:w="1123" w:type="dxa"/>
          </w:tcPr>
          <w:p w14:paraId="3C4BF759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495CED92" w14:textId="77777777" w:rsidR="00223267" w:rsidRPr="009941DE" w:rsidRDefault="00223267" w:rsidP="00FB4D9F">
            <w:pPr>
              <w:jc w:val="center"/>
            </w:pPr>
            <w:r w:rsidRPr="009941DE">
              <w:t>0</w:t>
            </w:r>
          </w:p>
        </w:tc>
        <w:tc>
          <w:tcPr>
            <w:tcW w:w="1440" w:type="dxa"/>
          </w:tcPr>
          <w:p w14:paraId="0D12C485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2409EAED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2B8639F3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58F47EF0" w14:textId="77777777" w:rsidTr="00FB4D9F">
        <w:tc>
          <w:tcPr>
            <w:tcW w:w="2405" w:type="dxa"/>
            <w:gridSpan w:val="3"/>
          </w:tcPr>
          <w:p w14:paraId="15C659BF" w14:textId="77777777" w:rsidR="00223267" w:rsidRDefault="00223267" w:rsidP="00FB4D9F">
            <w:pPr>
              <w:jc w:val="both"/>
            </w:pPr>
            <w:r>
              <w:t>3.3. pašvaldību budžets</w:t>
            </w:r>
          </w:p>
        </w:tc>
        <w:tc>
          <w:tcPr>
            <w:tcW w:w="1123" w:type="dxa"/>
          </w:tcPr>
          <w:p w14:paraId="756DC47B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3"/>
          </w:tcPr>
          <w:p w14:paraId="0F17A98F" w14:textId="77777777" w:rsidR="00223267" w:rsidRPr="009941DE" w:rsidRDefault="00223267" w:rsidP="00FB4D9F">
            <w:pPr>
              <w:jc w:val="center"/>
            </w:pPr>
            <w:r w:rsidRPr="009941DE">
              <w:t>0</w:t>
            </w:r>
          </w:p>
        </w:tc>
        <w:tc>
          <w:tcPr>
            <w:tcW w:w="1440" w:type="dxa"/>
          </w:tcPr>
          <w:p w14:paraId="19D084A1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F7CD85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2385A415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3CBB3952" w14:textId="77777777" w:rsidTr="00FB4D9F">
        <w:tc>
          <w:tcPr>
            <w:tcW w:w="2405" w:type="dxa"/>
            <w:gridSpan w:val="3"/>
            <w:vMerge w:val="restart"/>
          </w:tcPr>
          <w:p w14:paraId="36B697B4" w14:textId="77777777" w:rsidR="00223267" w:rsidRDefault="00223267" w:rsidP="00FB4D9F">
            <w:pPr>
              <w:jc w:val="both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1123" w:type="dxa"/>
            <w:vMerge w:val="restart"/>
          </w:tcPr>
          <w:p w14:paraId="15E6980E" w14:textId="77777777" w:rsidR="00223267" w:rsidRDefault="00223267" w:rsidP="00FB4D9F">
            <w:pPr>
              <w:jc w:val="center"/>
            </w:pPr>
            <w:r>
              <w:t>X</w:t>
            </w:r>
          </w:p>
        </w:tc>
        <w:tc>
          <w:tcPr>
            <w:tcW w:w="1440" w:type="dxa"/>
            <w:gridSpan w:val="3"/>
          </w:tcPr>
          <w:p w14:paraId="4A640563" w14:textId="77777777" w:rsidR="00223267" w:rsidRPr="009941DE" w:rsidRDefault="00223267" w:rsidP="00FB4D9F">
            <w:pPr>
              <w:jc w:val="center"/>
            </w:pPr>
            <w:r w:rsidRPr="009941DE">
              <w:t>0</w:t>
            </w:r>
          </w:p>
        </w:tc>
        <w:tc>
          <w:tcPr>
            <w:tcW w:w="1440" w:type="dxa"/>
          </w:tcPr>
          <w:p w14:paraId="7A2F788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0A30FEBD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14A944A5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75A26AA6" w14:textId="77777777" w:rsidTr="00FB4D9F">
        <w:tc>
          <w:tcPr>
            <w:tcW w:w="2405" w:type="dxa"/>
            <w:gridSpan w:val="3"/>
            <w:vMerge/>
          </w:tcPr>
          <w:p w14:paraId="7592CE49" w14:textId="77777777" w:rsidR="00223267" w:rsidRDefault="00223267" w:rsidP="00FB4D9F">
            <w:pPr>
              <w:jc w:val="both"/>
            </w:pPr>
          </w:p>
        </w:tc>
        <w:tc>
          <w:tcPr>
            <w:tcW w:w="1123" w:type="dxa"/>
            <w:vMerge/>
          </w:tcPr>
          <w:p w14:paraId="1C00BC02" w14:textId="77777777" w:rsidR="00223267" w:rsidRDefault="00223267" w:rsidP="00FB4D9F">
            <w:pPr>
              <w:jc w:val="both"/>
            </w:pPr>
          </w:p>
        </w:tc>
        <w:tc>
          <w:tcPr>
            <w:tcW w:w="1440" w:type="dxa"/>
            <w:gridSpan w:val="3"/>
          </w:tcPr>
          <w:p w14:paraId="63396B5F" w14:textId="77777777" w:rsidR="00223267" w:rsidRPr="009941DE" w:rsidRDefault="00223267" w:rsidP="00FB4D9F">
            <w:pPr>
              <w:jc w:val="center"/>
            </w:pPr>
            <w:r w:rsidRPr="009941DE">
              <w:t>0</w:t>
            </w:r>
          </w:p>
        </w:tc>
        <w:tc>
          <w:tcPr>
            <w:tcW w:w="1440" w:type="dxa"/>
          </w:tcPr>
          <w:p w14:paraId="2CD902C4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1C4BD838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24B2ACF8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399B03FA" w14:textId="77777777" w:rsidTr="00FB4D9F">
        <w:tc>
          <w:tcPr>
            <w:tcW w:w="2405" w:type="dxa"/>
            <w:gridSpan w:val="3"/>
            <w:vMerge/>
          </w:tcPr>
          <w:p w14:paraId="72E26A39" w14:textId="77777777" w:rsidR="00223267" w:rsidRDefault="00223267" w:rsidP="00FB4D9F">
            <w:pPr>
              <w:jc w:val="both"/>
            </w:pPr>
          </w:p>
        </w:tc>
        <w:tc>
          <w:tcPr>
            <w:tcW w:w="1123" w:type="dxa"/>
            <w:vMerge/>
          </w:tcPr>
          <w:p w14:paraId="7311F9BA" w14:textId="77777777" w:rsidR="00223267" w:rsidRDefault="00223267" w:rsidP="00FB4D9F">
            <w:pPr>
              <w:jc w:val="both"/>
            </w:pPr>
          </w:p>
        </w:tc>
        <w:tc>
          <w:tcPr>
            <w:tcW w:w="1440" w:type="dxa"/>
            <w:gridSpan w:val="3"/>
          </w:tcPr>
          <w:p w14:paraId="13A63980" w14:textId="2656262F" w:rsidR="00223267" w:rsidRPr="009941DE" w:rsidRDefault="00223267" w:rsidP="00553EF8">
            <w:pPr>
              <w:jc w:val="center"/>
            </w:pPr>
            <w:r>
              <w:t>+</w:t>
            </w:r>
            <w:r w:rsidR="001353E3">
              <w:t>12</w:t>
            </w:r>
            <w:r w:rsidR="00553EF8">
              <w:t>7</w:t>
            </w:r>
            <w:r w:rsidR="001353E3">
              <w:t xml:space="preserve"> </w:t>
            </w:r>
            <w:r w:rsidR="00553EF8">
              <w:t>903</w:t>
            </w:r>
          </w:p>
        </w:tc>
        <w:tc>
          <w:tcPr>
            <w:tcW w:w="1440" w:type="dxa"/>
          </w:tcPr>
          <w:p w14:paraId="6AF8B0C0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1A19A01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0F9DF3B4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6C11EB15" w14:textId="77777777" w:rsidTr="00FB4D9F">
        <w:tc>
          <w:tcPr>
            <w:tcW w:w="2405" w:type="dxa"/>
            <w:gridSpan w:val="3"/>
          </w:tcPr>
          <w:p w14:paraId="0AF46185" w14:textId="77777777" w:rsidR="00223267" w:rsidRDefault="00223267" w:rsidP="00FB4D9F">
            <w:pPr>
              <w:jc w:val="both"/>
            </w:pPr>
            <w:r>
              <w:t>5. Precizēta finansiālā ietekme:</w:t>
            </w:r>
          </w:p>
        </w:tc>
        <w:tc>
          <w:tcPr>
            <w:tcW w:w="1123" w:type="dxa"/>
            <w:vMerge w:val="restart"/>
          </w:tcPr>
          <w:p w14:paraId="5C4DDAAB" w14:textId="77777777" w:rsidR="00223267" w:rsidRDefault="00223267" w:rsidP="00FB4D9F">
            <w:pPr>
              <w:jc w:val="center"/>
            </w:pPr>
            <w:r>
              <w:t>X</w:t>
            </w:r>
          </w:p>
        </w:tc>
        <w:tc>
          <w:tcPr>
            <w:tcW w:w="1440" w:type="dxa"/>
            <w:gridSpan w:val="3"/>
          </w:tcPr>
          <w:p w14:paraId="31CACA88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BC89946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9ACF269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2ADC9A23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2708300F" w14:textId="77777777" w:rsidTr="00FB4D9F">
        <w:tc>
          <w:tcPr>
            <w:tcW w:w="2405" w:type="dxa"/>
            <w:gridSpan w:val="3"/>
          </w:tcPr>
          <w:p w14:paraId="06747194" w14:textId="77777777" w:rsidR="00223267" w:rsidRDefault="00223267" w:rsidP="00FB4D9F">
            <w:pPr>
              <w:jc w:val="both"/>
            </w:pPr>
            <w:r>
              <w:t>5.1. valsts pamatbudžets</w:t>
            </w:r>
          </w:p>
        </w:tc>
        <w:tc>
          <w:tcPr>
            <w:tcW w:w="1123" w:type="dxa"/>
            <w:vMerge/>
          </w:tcPr>
          <w:p w14:paraId="3C35F270" w14:textId="77777777" w:rsidR="00223267" w:rsidRDefault="00223267" w:rsidP="00FB4D9F">
            <w:pPr>
              <w:jc w:val="both"/>
            </w:pPr>
          </w:p>
        </w:tc>
        <w:tc>
          <w:tcPr>
            <w:tcW w:w="1440" w:type="dxa"/>
            <w:gridSpan w:val="3"/>
          </w:tcPr>
          <w:p w14:paraId="7CA28AF3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02B98B6F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2326DE3E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2528BDDB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6D341EFF" w14:textId="77777777" w:rsidTr="00FB4D9F">
        <w:tc>
          <w:tcPr>
            <w:tcW w:w="2405" w:type="dxa"/>
            <w:gridSpan w:val="3"/>
          </w:tcPr>
          <w:p w14:paraId="00287D74" w14:textId="77777777" w:rsidR="00223267" w:rsidRDefault="00223267" w:rsidP="00FB4D9F">
            <w:pPr>
              <w:jc w:val="both"/>
            </w:pPr>
            <w:r>
              <w:t>5.2. speciālais budžets</w:t>
            </w:r>
          </w:p>
        </w:tc>
        <w:tc>
          <w:tcPr>
            <w:tcW w:w="1123" w:type="dxa"/>
            <w:vMerge/>
          </w:tcPr>
          <w:p w14:paraId="2C6181FD" w14:textId="77777777" w:rsidR="00223267" w:rsidRDefault="00223267" w:rsidP="00FB4D9F">
            <w:pPr>
              <w:jc w:val="both"/>
            </w:pPr>
          </w:p>
        </w:tc>
        <w:tc>
          <w:tcPr>
            <w:tcW w:w="1440" w:type="dxa"/>
            <w:gridSpan w:val="3"/>
          </w:tcPr>
          <w:p w14:paraId="33C49F41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191E4866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39CC24FB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67B3864D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44483BD3" w14:textId="77777777" w:rsidTr="00FB4D9F">
        <w:tc>
          <w:tcPr>
            <w:tcW w:w="2405" w:type="dxa"/>
            <w:gridSpan w:val="3"/>
          </w:tcPr>
          <w:p w14:paraId="0396137A" w14:textId="77777777" w:rsidR="00223267" w:rsidRDefault="00223267" w:rsidP="00FB4D9F">
            <w:pPr>
              <w:jc w:val="both"/>
            </w:pPr>
            <w:r>
              <w:t> 5.3. pašvaldību budžets</w:t>
            </w:r>
          </w:p>
        </w:tc>
        <w:tc>
          <w:tcPr>
            <w:tcW w:w="1123" w:type="dxa"/>
            <w:vMerge/>
          </w:tcPr>
          <w:p w14:paraId="2F75E618" w14:textId="77777777" w:rsidR="00223267" w:rsidRDefault="00223267" w:rsidP="00FB4D9F">
            <w:pPr>
              <w:jc w:val="both"/>
            </w:pPr>
          </w:p>
        </w:tc>
        <w:tc>
          <w:tcPr>
            <w:tcW w:w="1440" w:type="dxa"/>
            <w:gridSpan w:val="3"/>
          </w:tcPr>
          <w:p w14:paraId="5908F817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8226E3C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BEBD281" w14:textId="77777777" w:rsidR="00223267" w:rsidRDefault="00223267" w:rsidP="00FB4D9F">
            <w:pPr>
              <w:jc w:val="center"/>
            </w:pPr>
            <w:r>
              <w:t>0</w:t>
            </w:r>
          </w:p>
        </w:tc>
        <w:tc>
          <w:tcPr>
            <w:tcW w:w="1503" w:type="dxa"/>
          </w:tcPr>
          <w:p w14:paraId="50F78F7B" w14:textId="77777777" w:rsidR="00223267" w:rsidRDefault="00223267" w:rsidP="00FB4D9F">
            <w:pPr>
              <w:jc w:val="center"/>
            </w:pPr>
            <w:r>
              <w:t>0</w:t>
            </w:r>
          </w:p>
        </w:tc>
      </w:tr>
      <w:tr w:rsidR="00223267" w14:paraId="4D832E92" w14:textId="77777777" w:rsidTr="00FB4D9F">
        <w:tc>
          <w:tcPr>
            <w:tcW w:w="2405" w:type="dxa"/>
            <w:gridSpan w:val="3"/>
          </w:tcPr>
          <w:p w14:paraId="222BD4D6" w14:textId="77777777" w:rsidR="00223267" w:rsidRDefault="00223267" w:rsidP="00FB4D9F">
            <w:pPr>
              <w:jc w:val="both"/>
            </w:pPr>
            <w:r>
              <w:t>6. 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946" w:type="dxa"/>
            <w:gridSpan w:val="7"/>
          </w:tcPr>
          <w:p w14:paraId="0690DEA7" w14:textId="6EE26C16" w:rsidR="00223267" w:rsidRDefault="00223267" w:rsidP="001353E3">
            <w:pPr>
              <w:jc w:val="both"/>
              <w:rPr>
                <w:szCs w:val="22"/>
              </w:rPr>
            </w:pPr>
            <w:r>
              <w:t>Ar rīkojuma projektu paredzēt</w:t>
            </w:r>
            <w:r w:rsidR="008553A0">
              <w:t>s</w:t>
            </w:r>
            <w:r>
              <w:t xml:space="preserve"> </w:t>
            </w:r>
            <w:r w:rsidR="008553A0">
              <w:t xml:space="preserve">samaksāt </w:t>
            </w:r>
            <w:r w:rsidR="001353E3">
              <w:t>SIA “</w:t>
            </w:r>
            <w:proofErr w:type="spellStart"/>
            <w:r w:rsidR="001353E3">
              <w:t>Grow</w:t>
            </w:r>
            <w:proofErr w:type="spellEnd"/>
            <w:r w:rsidR="001353E3">
              <w:t xml:space="preserve"> </w:t>
            </w:r>
            <w:proofErr w:type="spellStart"/>
            <w:r w:rsidR="001353E3">
              <w:t>Energy</w:t>
            </w:r>
            <w:proofErr w:type="spellEnd"/>
            <w:r w:rsidR="001353E3">
              <w:t xml:space="preserve">” </w:t>
            </w:r>
            <w:r w:rsidR="00BE48B0">
              <w:t>100 098,27</w:t>
            </w:r>
            <w:r w:rsidR="001353E3">
              <w:t xml:space="preserve"> </w:t>
            </w:r>
            <w:proofErr w:type="spellStart"/>
            <w:r w:rsidR="001353E3" w:rsidRPr="001353E3">
              <w:rPr>
                <w:i/>
              </w:rPr>
              <w:t>euro</w:t>
            </w:r>
            <w:proofErr w:type="spellEnd"/>
            <w:r w:rsidR="001353E3">
              <w:t xml:space="preserve">. </w:t>
            </w:r>
            <w:r w:rsidR="001353E3">
              <w:rPr>
                <w:bCs/>
                <w:szCs w:val="28"/>
              </w:rPr>
              <w:t>SIA “</w:t>
            </w:r>
            <w:proofErr w:type="spellStart"/>
            <w:r w:rsidR="001353E3">
              <w:rPr>
                <w:bCs/>
                <w:szCs w:val="28"/>
              </w:rPr>
              <w:t>Grow</w:t>
            </w:r>
            <w:proofErr w:type="spellEnd"/>
            <w:r w:rsidR="001353E3">
              <w:rPr>
                <w:bCs/>
                <w:szCs w:val="28"/>
              </w:rPr>
              <w:t xml:space="preserve"> </w:t>
            </w:r>
            <w:proofErr w:type="spellStart"/>
            <w:r w:rsidR="001353E3">
              <w:rPr>
                <w:bCs/>
                <w:szCs w:val="28"/>
              </w:rPr>
              <w:t>Energy</w:t>
            </w:r>
            <w:proofErr w:type="spellEnd"/>
            <w:r w:rsidR="001353E3">
              <w:rPr>
                <w:bCs/>
                <w:szCs w:val="28"/>
              </w:rPr>
              <w:t xml:space="preserve">” </w:t>
            </w:r>
            <w:r w:rsidR="006A2FC9">
              <w:rPr>
                <w:bCs/>
                <w:szCs w:val="28"/>
              </w:rPr>
              <w:t>vienas</w:t>
            </w:r>
            <w:r w:rsidR="001353E3">
              <w:rPr>
                <w:bCs/>
                <w:szCs w:val="28"/>
              </w:rPr>
              <w:t xml:space="preserve"> tonna</w:t>
            </w:r>
            <w:r w:rsidR="006A2FC9">
              <w:rPr>
                <w:bCs/>
                <w:szCs w:val="28"/>
              </w:rPr>
              <w:t>s</w:t>
            </w:r>
            <w:r w:rsidR="001353E3">
              <w:rPr>
                <w:bCs/>
                <w:szCs w:val="28"/>
              </w:rPr>
              <w:t xml:space="preserve"> dzīvnieku izcelsmes blakusproduktu pārstrāde izmaksā 23</w:t>
            </w:r>
            <w:r w:rsidR="00BE48B0">
              <w:rPr>
                <w:bCs/>
                <w:szCs w:val="28"/>
              </w:rPr>
              <w:t>2,64</w:t>
            </w:r>
            <w:r w:rsidR="001353E3">
              <w:rPr>
                <w:bCs/>
                <w:szCs w:val="28"/>
              </w:rPr>
              <w:t xml:space="preserve"> </w:t>
            </w:r>
            <w:proofErr w:type="spellStart"/>
            <w:r w:rsidR="001353E3" w:rsidRPr="000C3337">
              <w:rPr>
                <w:bCs/>
                <w:i/>
                <w:szCs w:val="28"/>
              </w:rPr>
              <w:t>euro</w:t>
            </w:r>
            <w:proofErr w:type="spellEnd"/>
            <w:r w:rsidR="001353E3">
              <w:rPr>
                <w:bCs/>
                <w:i/>
                <w:szCs w:val="28"/>
              </w:rPr>
              <w:t xml:space="preserve"> </w:t>
            </w:r>
            <w:r w:rsidR="001353E3">
              <w:rPr>
                <w:bCs/>
                <w:szCs w:val="28"/>
              </w:rPr>
              <w:t xml:space="preserve">(t.sk. par </w:t>
            </w:r>
            <w:r w:rsidR="00BE48B0">
              <w:rPr>
                <w:bCs/>
                <w:szCs w:val="28"/>
              </w:rPr>
              <w:t>dzīvnieku izcelsmes blakusproduktu transportēšanu un savākšanu – 12</w:t>
            </w:r>
            <w:r w:rsidR="00F8086C">
              <w:rPr>
                <w:bCs/>
                <w:szCs w:val="28"/>
              </w:rPr>
              <w:t> </w:t>
            </w:r>
            <w:r w:rsidR="00BE48B0">
              <w:rPr>
                <w:bCs/>
                <w:szCs w:val="28"/>
              </w:rPr>
              <w:t>462</w:t>
            </w:r>
            <w:r w:rsidR="00F8086C">
              <w:rPr>
                <w:bCs/>
                <w:szCs w:val="28"/>
              </w:rPr>
              <w:t>,</w:t>
            </w:r>
            <w:r w:rsidR="00BE48B0">
              <w:rPr>
                <w:bCs/>
                <w:szCs w:val="28"/>
              </w:rPr>
              <w:t xml:space="preserve">64 </w:t>
            </w:r>
            <w:proofErr w:type="spellStart"/>
            <w:r w:rsidR="00BE48B0" w:rsidRPr="00BE48B0">
              <w:rPr>
                <w:bCs/>
                <w:i/>
                <w:szCs w:val="28"/>
              </w:rPr>
              <w:t>euro</w:t>
            </w:r>
            <w:proofErr w:type="spellEnd"/>
            <w:r w:rsidR="00BE48B0">
              <w:rPr>
                <w:bCs/>
                <w:szCs w:val="28"/>
              </w:rPr>
              <w:t xml:space="preserve">, par dzīvnieku izcelsmes blakusproduktu pārstrādi un utilizēšanu – 46 622,77 </w:t>
            </w:r>
            <w:proofErr w:type="spellStart"/>
            <w:r w:rsidR="00BE48B0" w:rsidRPr="00BE48B0">
              <w:rPr>
                <w:bCs/>
                <w:i/>
                <w:szCs w:val="28"/>
              </w:rPr>
              <w:t>euro</w:t>
            </w:r>
            <w:proofErr w:type="spellEnd"/>
            <w:r w:rsidR="00BE48B0">
              <w:rPr>
                <w:bCs/>
                <w:szCs w:val="28"/>
              </w:rPr>
              <w:t xml:space="preserve"> un pārējās izmaksas par utilizācijas rūpnīcas amortizāciju, konteineru amortizāciju un remontiem – 41 012,86 </w:t>
            </w:r>
            <w:proofErr w:type="spellStart"/>
            <w:r w:rsidR="00BE48B0" w:rsidRPr="00BE48B0">
              <w:rPr>
                <w:bCs/>
                <w:i/>
                <w:szCs w:val="28"/>
              </w:rPr>
              <w:t>euro</w:t>
            </w:r>
            <w:proofErr w:type="spellEnd"/>
            <w:r w:rsidR="001353E3">
              <w:rPr>
                <w:bCs/>
                <w:szCs w:val="28"/>
              </w:rPr>
              <w:t xml:space="preserve">). </w:t>
            </w:r>
            <w:r w:rsidR="001353E3">
              <w:rPr>
                <w:szCs w:val="22"/>
              </w:rPr>
              <w:t>Anotācijai pielikumā pievienota SIA “</w:t>
            </w:r>
            <w:proofErr w:type="spellStart"/>
            <w:r w:rsidR="001353E3">
              <w:rPr>
                <w:szCs w:val="22"/>
              </w:rPr>
              <w:t>Grow</w:t>
            </w:r>
            <w:proofErr w:type="spellEnd"/>
            <w:r w:rsidR="001353E3">
              <w:rPr>
                <w:szCs w:val="22"/>
              </w:rPr>
              <w:t xml:space="preserve"> </w:t>
            </w:r>
            <w:proofErr w:type="spellStart"/>
            <w:r w:rsidR="001353E3">
              <w:rPr>
                <w:szCs w:val="22"/>
              </w:rPr>
              <w:t>Energy</w:t>
            </w:r>
            <w:proofErr w:type="spellEnd"/>
            <w:r w:rsidR="001353E3">
              <w:rPr>
                <w:szCs w:val="22"/>
              </w:rPr>
              <w:t>” iesniegtā detalizētā informācija par faktiskajām izmaksām, lai pārstrādātu 430,265 tonnas dzīvnieku izcelsmes blakusproduktu.</w:t>
            </w:r>
          </w:p>
          <w:p w14:paraId="7EBA5606" w14:textId="6E8DE11D" w:rsidR="001353E3" w:rsidRPr="00F32818" w:rsidRDefault="001353E3" w:rsidP="009416F4">
            <w:pPr>
              <w:jc w:val="both"/>
            </w:pPr>
            <w:r>
              <w:rPr>
                <w:szCs w:val="22"/>
              </w:rPr>
              <w:t xml:space="preserve">Ar rīkojuma projektu tiek paredzēts samaksāt PVD 27 803,47 </w:t>
            </w:r>
            <w:proofErr w:type="spellStart"/>
            <w:r w:rsidRPr="002F51E1">
              <w:rPr>
                <w:i/>
                <w:szCs w:val="22"/>
              </w:rPr>
              <w:t>euro</w:t>
            </w:r>
            <w:proofErr w:type="spellEnd"/>
            <w:r>
              <w:rPr>
                <w:szCs w:val="22"/>
              </w:rPr>
              <w:t xml:space="preserve">, t.sk. </w:t>
            </w:r>
            <w:r w:rsidR="002F51E1">
              <w:rPr>
                <w:szCs w:val="22"/>
              </w:rPr>
              <w:t xml:space="preserve">atlīdzībām 10 315,98 </w:t>
            </w:r>
            <w:proofErr w:type="spellStart"/>
            <w:r w:rsidR="002F51E1" w:rsidRPr="002F51E1">
              <w:rPr>
                <w:i/>
                <w:szCs w:val="22"/>
              </w:rPr>
              <w:t>euro</w:t>
            </w:r>
            <w:proofErr w:type="spellEnd"/>
            <w:r w:rsidR="002F51E1">
              <w:rPr>
                <w:szCs w:val="22"/>
              </w:rPr>
              <w:t xml:space="preserve"> un par precēm un pakalpojumiem 17 487,49 </w:t>
            </w:r>
            <w:proofErr w:type="spellStart"/>
            <w:r w:rsidR="002F51E1" w:rsidRPr="002F51E1">
              <w:rPr>
                <w:i/>
                <w:szCs w:val="22"/>
              </w:rPr>
              <w:t>euro</w:t>
            </w:r>
            <w:proofErr w:type="spellEnd"/>
            <w:r w:rsidR="002F51E1">
              <w:rPr>
                <w:szCs w:val="22"/>
              </w:rPr>
              <w:t>.</w:t>
            </w:r>
            <w:r w:rsidR="00BE48B0">
              <w:rPr>
                <w:szCs w:val="22"/>
              </w:rPr>
              <w:t xml:space="preserve"> No tā par </w:t>
            </w:r>
            <w:r w:rsidR="00BE48B0" w:rsidRPr="009416F4">
              <w:rPr>
                <w:szCs w:val="22"/>
              </w:rPr>
              <w:t xml:space="preserve">dzīvnieku </w:t>
            </w:r>
            <w:r w:rsidR="009416F4">
              <w:rPr>
                <w:szCs w:val="22"/>
              </w:rPr>
              <w:t>iznīcināšanu</w:t>
            </w:r>
            <w:r w:rsidR="00BE48B0" w:rsidRPr="009416F4">
              <w:rPr>
                <w:szCs w:val="22"/>
              </w:rPr>
              <w:t xml:space="preserve"> </w:t>
            </w:r>
            <w:r w:rsidR="00BE48B0">
              <w:rPr>
                <w:szCs w:val="22"/>
              </w:rPr>
              <w:t xml:space="preserve">– 5826,52 </w:t>
            </w:r>
            <w:proofErr w:type="spellStart"/>
            <w:r w:rsidR="00BE48B0" w:rsidRPr="00553EF8">
              <w:rPr>
                <w:i/>
                <w:szCs w:val="22"/>
              </w:rPr>
              <w:t>euro</w:t>
            </w:r>
            <w:proofErr w:type="spellEnd"/>
            <w:r w:rsidR="00BE48B0">
              <w:rPr>
                <w:szCs w:val="22"/>
              </w:rPr>
              <w:t xml:space="preserve"> un par </w:t>
            </w:r>
            <w:r w:rsidR="00BE48B0" w:rsidRPr="009416F4">
              <w:rPr>
                <w:szCs w:val="22"/>
              </w:rPr>
              <w:t>dzīvnieku nogalināšanu</w:t>
            </w:r>
            <w:r w:rsidR="00BE48B0">
              <w:rPr>
                <w:szCs w:val="22"/>
              </w:rPr>
              <w:t xml:space="preserve"> – 21 976,95</w:t>
            </w:r>
            <w:r w:rsidR="00553EF8">
              <w:rPr>
                <w:szCs w:val="22"/>
              </w:rPr>
              <w:t xml:space="preserve"> </w:t>
            </w:r>
            <w:proofErr w:type="spellStart"/>
            <w:r w:rsidR="00553EF8" w:rsidRPr="00553EF8">
              <w:rPr>
                <w:i/>
                <w:szCs w:val="22"/>
              </w:rPr>
              <w:t>euro</w:t>
            </w:r>
            <w:proofErr w:type="spellEnd"/>
            <w:r w:rsidR="00553EF8">
              <w:rPr>
                <w:szCs w:val="22"/>
              </w:rPr>
              <w:t>.</w:t>
            </w:r>
            <w:r w:rsidR="002F51E1">
              <w:rPr>
                <w:szCs w:val="22"/>
              </w:rPr>
              <w:t xml:space="preserve"> </w:t>
            </w:r>
            <w:r w:rsidR="002F51E1">
              <w:t>Anotācija</w:t>
            </w:r>
            <w:r w:rsidR="00A82671">
              <w:t>s</w:t>
            </w:r>
            <w:r w:rsidR="002F51E1">
              <w:t xml:space="preserve"> pielikumā pievienota PVD sagatavota informācija par faktiskajiem izdevumiem, </w:t>
            </w:r>
            <w:r w:rsidR="00A82671">
              <w:lastRenderedPageBreak/>
              <w:t xml:space="preserve">kas radās, nogalinot </w:t>
            </w:r>
            <w:r w:rsidR="002F51E1">
              <w:t>cūk</w:t>
            </w:r>
            <w:r w:rsidR="00A82671">
              <w:t>as</w:t>
            </w:r>
            <w:r w:rsidR="002F51E1">
              <w:t xml:space="preserve"> novietnē “</w:t>
            </w:r>
            <w:proofErr w:type="spellStart"/>
            <w:r w:rsidR="002F51E1">
              <w:t>Rukas</w:t>
            </w:r>
            <w:proofErr w:type="spellEnd"/>
            <w:r w:rsidR="002F51E1">
              <w:t xml:space="preserve">” un </w:t>
            </w:r>
            <w:r w:rsidR="00A82671">
              <w:t xml:space="preserve">sadedzinot </w:t>
            </w:r>
            <w:r w:rsidR="002F51E1">
              <w:t>dzīvnieku izcelsmes blakusproduktu</w:t>
            </w:r>
            <w:r w:rsidR="00A82671">
              <w:t>s iekārtā</w:t>
            </w:r>
            <w:r w:rsidR="002F51E1">
              <w:t xml:space="preserve"> “</w:t>
            </w:r>
            <w:proofErr w:type="spellStart"/>
            <w:r w:rsidR="002F51E1">
              <w:t>Hurican</w:t>
            </w:r>
            <w:proofErr w:type="spellEnd"/>
            <w:r w:rsidR="002F51E1">
              <w:t xml:space="preserve"> PRO 1000”.</w:t>
            </w:r>
          </w:p>
        </w:tc>
      </w:tr>
      <w:tr w:rsidR="00223267" w14:paraId="11C086FC" w14:textId="77777777" w:rsidTr="00FB4D9F">
        <w:tc>
          <w:tcPr>
            <w:tcW w:w="2405" w:type="dxa"/>
            <w:gridSpan w:val="3"/>
          </w:tcPr>
          <w:p w14:paraId="3C9E83C3" w14:textId="77777777" w:rsidR="00223267" w:rsidRDefault="00223267" w:rsidP="00FB4D9F">
            <w:pPr>
              <w:jc w:val="both"/>
            </w:pPr>
            <w:r>
              <w:lastRenderedPageBreak/>
              <w:t>6.1. detalizēts ieņēmumu aprēķins</w:t>
            </w:r>
          </w:p>
        </w:tc>
        <w:tc>
          <w:tcPr>
            <w:tcW w:w="6946" w:type="dxa"/>
            <w:gridSpan w:val="7"/>
          </w:tcPr>
          <w:p w14:paraId="283198D2" w14:textId="77777777" w:rsidR="00223267" w:rsidRDefault="00223267" w:rsidP="00FB4D9F">
            <w:pPr>
              <w:jc w:val="both"/>
            </w:pPr>
          </w:p>
        </w:tc>
      </w:tr>
      <w:tr w:rsidR="00223267" w14:paraId="75878DBA" w14:textId="77777777" w:rsidTr="00FB4D9F">
        <w:tc>
          <w:tcPr>
            <w:tcW w:w="2405" w:type="dxa"/>
            <w:gridSpan w:val="3"/>
          </w:tcPr>
          <w:p w14:paraId="22072B18" w14:textId="77777777" w:rsidR="00223267" w:rsidRDefault="00223267" w:rsidP="00FB4D9F">
            <w:pPr>
              <w:jc w:val="both"/>
            </w:pPr>
            <w:r>
              <w:t>6.2. detalizēts izdevumu aprēķins</w:t>
            </w:r>
          </w:p>
        </w:tc>
        <w:tc>
          <w:tcPr>
            <w:tcW w:w="6946" w:type="dxa"/>
            <w:gridSpan w:val="7"/>
          </w:tcPr>
          <w:p w14:paraId="080CFE61" w14:textId="77777777" w:rsidR="00223267" w:rsidRDefault="00223267" w:rsidP="00FB4D9F">
            <w:pPr>
              <w:jc w:val="both"/>
            </w:pPr>
          </w:p>
        </w:tc>
      </w:tr>
      <w:tr w:rsidR="00223267" w14:paraId="30929C1B" w14:textId="77777777" w:rsidTr="00FB4D9F">
        <w:tc>
          <w:tcPr>
            <w:tcW w:w="2405" w:type="dxa"/>
            <w:gridSpan w:val="3"/>
          </w:tcPr>
          <w:p w14:paraId="6C550524" w14:textId="77777777" w:rsidR="00223267" w:rsidRDefault="00223267" w:rsidP="00FB4D9F">
            <w:pPr>
              <w:jc w:val="both"/>
            </w:pPr>
            <w:r>
              <w:t>7. Cita informācija</w:t>
            </w:r>
          </w:p>
        </w:tc>
        <w:tc>
          <w:tcPr>
            <w:tcW w:w="6946" w:type="dxa"/>
            <w:gridSpan w:val="7"/>
          </w:tcPr>
          <w:p w14:paraId="14B31790" w14:textId="75A89C02" w:rsidR="00223267" w:rsidRDefault="002F51E1" w:rsidP="002F51E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Pateicoties Igaunijas Pārtikas un veterinārā dienesta sniegtajiem padomiem un tehniskajai palīdzībai cūku piespiedu nogalināšanā, kā arī SIA “</w:t>
            </w:r>
            <w:proofErr w:type="spellStart"/>
            <w:r>
              <w:rPr>
                <w:bCs/>
                <w:color w:val="000000"/>
              </w:rPr>
              <w:t>Grow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Energy</w:t>
            </w:r>
            <w:proofErr w:type="spellEnd"/>
            <w:r>
              <w:rPr>
                <w:bCs/>
                <w:color w:val="000000"/>
              </w:rPr>
              <w:t>” atsaucībai un palīdzībai dzīvnieku izcelsmes blakusproduktu pārstrādē, visas novietnē “</w:t>
            </w:r>
            <w:proofErr w:type="spellStart"/>
            <w:r>
              <w:rPr>
                <w:bCs/>
                <w:color w:val="000000"/>
              </w:rPr>
              <w:t>Rukas</w:t>
            </w:r>
            <w:proofErr w:type="spellEnd"/>
            <w:r>
              <w:rPr>
                <w:bCs/>
                <w:color w:val="000000"/>
              </w:rPr>
              <w:t>” esošās cūkas tika nogalinātas un sadedzinātas</w:t>
            </w:r>
            <w:r w:rsidR="00A82671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pārstrādātas</w:t>
            </w:r>
            <w:r w:rsidR="00A82671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vienas nedēļas laikā. </w:t>
            </w:r>
          </w:p>
          <w:p w14:paraId="359BAEED" w14:textId="77777777" w:rsidR="002F51E1" w:rsidRPr="00442743" w:rsidRDefault="002F51E1" w:rsidP="002F51E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Eiropas Komisijas apstiprinātā Āfrikas cūku mēra uzraudzības un apkarošanas programma neparedz līdzfinansējumu par cūku nogalināšanu un iznīcināšanu. </w:t>
            </w:r>
          </w:p>
        </w:tc>
      </w:tr>
    </w:tbl>
    <w:p w14:paraId="037B81C4" w14:textId="77777777" w:rsidR="00223267" w:rsidRPr="008819D5" w:rsidRDefault="00223267" w:rsidP="00223267">
      <w:pPr>
        <w:jc w:val="both"/>
        <w:rPr>
          <w:sz w:val="16"/>
        </w:rPr>
      </w:pPr>
    </w:p>
    <w:p w14:paraId="342DFA65" w14:textId="77777777" w:rsidR="00223267" w:rsidRDefault="00223267" w:rsidP="00223267">
      <w:pPr>
        <w:jc w:val="both"/>
      </w:pPr>
      <w:r>
        <w:t>Anotācijas IV, V, VI un VII sadaļa – projekts šo jomu neskar.</w:t>
      </w:r>
    </w:p>
    <w:p w14:paraId="62EBC563" w14:textId="77777777" w:rsidR="00223267" w:rsidRDefault="00223267" w:rsidP="00223267">
      <w:pPr>
        <w:jc w:val="both"/>
        <w:rPr>
          <w:sz w:val="18"/>
          <w:szCs w:val="28"/>
        </w:rPr>
      </w:pPr>
    </w:p>
    <w:p w14:paraId="7C070CEB" w14:textId="77777777" w:rsidR="00BC5544" w:rsidRPr="008819D5" w:rsidRDefault="00BC5544" w:rsidP="00223267">
      <w:pPr>
        <w:jc w:val="both"/>
        <w:rPr>
          <w:sz w:val="18"/>
          <w:szCs w:val="28"/>
        </w:rPr>
      </w:pPr>
    </w:p>
    <w:p w14:paraId="0A0058DC" w14:textId="77777777" w:rsidR="00223267" w:rsidRPr="00FD4E14" w:rsidRDefault="00223267" w:rsidP="00223267">
      <w:pPr>
        <w:jc w:val="both"/>
        <w:rPr>
          <w:color w:val="000000"/>
          <w:szCs w:val="28"/>
        </w:rPr>
      </w:pPr>
      <w:r w:rsidRPr="00FD4E14">
        <w:rPr>
          <w:color w:val="000000"/>
          <w:szCs w:val="28"/>
        </w:rPr>
        <w:t xml:space="preserve">Zemkopības ministrs </w:t>
      </w:r>
      <w:r w:rsidRPr="00FD4E14">
        <w:rPr>
          <w:color w:val="000000"/>
          <w:szCs w:val="28"/>
        </w:rPr>
        <w:tab/>
      </w:r>
      <w:r w:rsidRPr="00FD4E14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FD4E14">
        <w:rPr>
          <w:color w:val="000000"/>
          <w:szCs w:val="28"/>
        </w:rPr>
        <w:tab/>
      </w:r>
      <w:r w:rsidRPr="00FD4E14">
        <w:rPr>
          <w:color w:val="000000"/>
          <w:szCs w:val="28"/>
        </w:rPr>
        <w:tab/>
      </w:r>
      <w:r w:rsidRPr="00FD4E14">
        <w:rPr>
          <w:color w:val="000000"/>
          <w:szCs w:val="28"/>
        </w:rPr>
        <w:tab/>
      </w:r>
      <w:r w:rsidRPr="00FD4E14">
        <w:rPr>
          <w:color w:val="000000"/>
          <w:szCs w:val="28"/>
        </w:rPr>
        <w:tab/>
      </w:r>
      <w:r w:rsidRPr="00FD4E14">
        <w:rPr>
          <w:color w:val="000000"/>
          <w:szCs w:val="28"/>
        </w:rPr>
        <w:tab/>
        <w:t>Jānis Dūklavs</w:t>
      </w:r>
    </w:p>
    <w:p w14:paraId="4A5DA6FE" w14:textId="77777777" w:rsidR="00223267" w:rsidRDefault="00223267" w:rsidP="00223267">
      <w:pPr>
        <w:rPr>
          <w:sz w:val="16"/>
        </w:rPr>
      </w:pPr>
    </w:p>
    <w:p w14:paraId="05DC4B86" w14:textId="77777777" w:rsidR="00223267" w:rsidRDefault="00223267" w:rsidP="00223267">
      <w:pPr>
        <w:rPr>
          <w:sz w:val="16"/>
        </w:rPr>
      </w:pPr>
    </w:p>
    <w:p w14:paraId="2E4653F1" w14:textId="77777777" w:rsidR="00BC5544" w:rsidRDefault="00BC5544" w:rsidP="00223267">
      <w:pPr>
        <w:rPr>
          <w:sz w:val="16"/>
        </w:rPr>
      </w:pPr>
    </w:p>
    <w:p w14:paraId="5B0EFDA5" w14:textId="77777777" w:rsidR="00BC5544" w:rsidRDefault="00BC5544" w:rsidP="00223267">
      <w:pPr>
        <w:rPr>
          <w:sz w:val="16"/>
        </w:rPr>
      </w:pPr>
    </w:p>
    <w:p w14:paraId="69258C83" w14:textId="77777777" w:rsidR="00BC5544" w:rsidRDefault="00BC5544" w:rsidP="00223267">
      <w:pPr>
        <w:rPr>
          <w:sz w:val="16"/>
        </w:rPr>
      </w:pPr>
    </w:p>
    <w:p w14:paraId="608C7B2B" w14:textId="77777777" w:rsidR="00BC5544" w:rsidRDefault="00BC5544" w:rsidP="00223267">
      <w:pPr>
        <w:rPr>
          <w:sz w:val="16"/>
        </w:rPr>
      </w:pPr>
    </w:p>
    <w:p w14:paraId="085E0AF3" w14:textId="77777777" w:rsidR="00BC5544" w:rsidRDefault="00BC5544" w:rsidP="00223267">
      <w:pPr>
        <w:rPr>
          <w:sz w:val="16"/>
        </w:rPr>
      </w:pPr>
    </w:p>
    <w:p w14:paraId="1AD6B617" w14:textId="77777777" w:rsidR="00BC5544" w:rsidRDefault="00BC5544" w:rsidP="00223267">
      <w:pPr>
        <w:rPr>
          <w:sz w:val="16"/>
        </w:rPr>
      </w:pPr>
    </w:p>
    <w:p w14:paraId="3A145178" w14:textId="77777777" w:rsidR="00BC5544" w:rsidRDefault="00BC5544" w:rsidP="00223267">
      <w:pPr>
        <w:rPr>
          <w:sz w:val="16"/>
        </w:rPr>
      </w:pPr>
    </w:p>
    <w:p w14:paraId="38863C84" w14:textId="77777777" w:rsidR="00BC5544" w:rsidRDefault="00BC5544" w:rsidP="00223267">
      <w:pPr>
        <w:rPr>
          <w:sz w:val="16"/>
        </w:rPr>
      </w:pPr>
    </w:p>
    <w:p w14:paraId="10CC5837" w14:textId="77777777" w:rsidR="00BC5544" w:rsidRDefault="00BC5544" w:rsidP="00223267">
      <w:pPr>
        <w:rPr>
          <w:sz w:val="16"/>
        </w:rPr>
      </w:pPr>
    </w:p>
    <w:p w14:paraId="0A60FBAB" w14:textId="77777777" w:rsidR="00BC5544" w:rsidRDefault="00BC5544" w:rsidP="00223267">
      <w:pPr>
        <w:rPr>
          <w:sz w:val="16"/>
        </w:rPr>
      </w:pPr>
    </w:p>
    <w:p w14:paraId="45A37FC0" w14:textId="77777777" w:rsidR="00BC5544" w:rsidRDefault="00BC5544" w:rsidP="00223267">
      <w:pPr>
        <w:rPr>
          <w:sz w:val="16"/>
        </w:rPr>
      </w:pPr>
    </w:p>
    <w:p w14:paraId="2C68BE2B" w14:textId="77777777" w:rsidR="00BC5544" w:rsidRDefault="00BC5544" w:rsidP="00223267">
      <w:pPr>
        <w:rPr>
          <w:sz w:val="16"/>
        </w:rPr>
      </w:pPr>
    </w:p>
    <w:p w14:paraId="49545428" w14:textId="77777777" w:rsidR="00BC5544" w:rsidRDefault="00BC5544" w:rsidP="00223267">
      <w:pPr>
        <w:rPr>
          <w:sz w:val="16"/>
        </w:rPr>
      </w:pPr>
    </w:p>
    <w:p w14:paraId="432D68E2" w14:textId="77777777" w:rsidR="00BC5544" w:rsidRDefault="00BC5544" w:rsidP="00223267">
      <w:pPr>
        <w:rPr>
          <w:sz w:val="16"/>
        </w:rPr>
      </w:pPr>
    </w:p>
    <w:p w14:paraId="401D8496" w14:textId="77777777" w:rsidR="00BC5544" w:rsidRDefault="00BC5544" w:rsidP="00223267">
      <w:pPr>
        <w:rPr>
          <w:sz w:val="16"/>
        </w:rPr>
      </w:pPr>
    </w:p>
    <w:p w14:paraId="47744A34" w14:textId="77777777" w:rsidR="00BC5544" w:rsidRDefault="00BC5544" w:rsidP="00223267">
      <w:pPr>
        <w:rPr>
          <w:sz w:val="16"/>
        </w:rPr>
      </w:pPr>
    </w:p>
    <w:p w14:paraId="534F9351" w14:textId="77777777" w:rsidR="00BC5544" w:rsidRDefault="00BC5544" w:rsidP="00223267">
      <w:pPr>
        <w:rPr>
          <w:sz w:val="16"/>
        </w:rPr>
      </w:pPr>
    </w:p>
    <w:p w14:paraId="2ED36FE1" w14:textId="77777777" w:rsidR="00BC5544" w:rsidRDefault="00BC5544" w:rsidP="00223267">
      <w:pPr>
        <w:rPr>
          <w:sz w:val="16"/>
        </w:rPr>
      </w:pPr>
    </w:p>
    <w:p w14:paraId="0077E255" w14:textId="77777777" w:rsidR="00BC5544" w:rsidRDefault="00BC5544" w:rsidP="00223267">
      <w:pPr>
        <w:rPr>
          <w:sz w:val="16"/>
        </w:rPr>
      </w:pPr>
    </w:p>
    <w:p w14:paraId="12329752" w14:textId="77777777" w:rsidR="00BC5544" w:rsidRDefault="00BC5544" w:rsidP="00223267">
      <w:pPr>
        <w:rPr>
          <w:sz w:val="16"/>
        </w:rPr>
      </w:pPr>
    </w:p>
    <w:p w14:paraId="39E3E05C" w14:textId="77777777" w:rsidR="00BC5544" w:rsidRDefault="00BC5544" w:rsidP="00223267">
      <w:pPr>
        <w:rPr>
          <w:sz w:val="16"/>
        </w:rPr>
      </w:pPr>
    </w:p>
    <w:p w14:paraId="7622F7E8" w14:textId="77777777" w:rsidR="00BC5544" w:rsidRDefault="00BC5544" w:rsidP="00223267">
      <w:pPr>
        <w:rPr>
          <w:sz w:val="16"/>
        </w:rPr>
      </w:pPr>
    </w:p>
    <w:p w14:paraId="368D7691" w14:textId="77777777" w:rsidR="00BC5544" w:rsidRDefault="00BC5544" w:rsidP="00223267">
      <w:pPr>
        <w:rPr>
          <w:sz w:val="16"/>
        </w:rPr>
      </w:pPr>
    </w:p>
    <w:p w14:paraId="6C0A791B" w14:textId="77777777" w:rsidR="00BC5544" w:rsidRDefault="00BC5544" w:rsidP="00223267">
      <w:pPr>
        <w:rPr>
          <w:sz w:val="16"/>
        </w:rPr>
      </w:pPr>
    </w:p>
    <w:p w14:paraId="68D4F83E" w14:textId="77777777" w:rsidR="00BC5544" w:rsidRDefault="00BC5544" w:rsidP="00223267">
      <w:pPr>
        <w:rPr>
          <w:sz w:val="16"/>
        </w:rPr>
      </w:pPr>
    </w:p>
    <w:p w14:paraId="4D44510B" w14:textId="77777777" w:rsidR="00BC5544" w:rsidRDefault="00BC5544" w:rsidP="00223267">
      <w:pPr>
        <w:rPr>
          <w:sz w:val="16"/>
        </w:rPr>
      </w:pPr>
    </w:p>
    <w:p w14:paraId="50E5E9C3" w14:textId="77777777" w:rsidR="00BC5544" w:rsidRDefault="00BC5544" w:rsidP="00223267">
      <w:pPr>
        <w:rPr>
          <w:sz w:val="16"/>
        </w:rPr>
      </w:pPr>
    </w:p>
    <w:p w14:paraId="1F45C4B8" w14:textId="77777777" w:rsidR="00BC5544" w:rsidRDefault="00BC5544" w:rsidP="00223267">
      <w:pPr>
        <w:rPr>
          <w:sz w:val="16"/>
        </w:rPr>
      </w:pPr>
    </w:p>
    <w:p w14:paraId="52988961" w14:textId="77777777" w:rsidR="00BC5544" w:rsidRDefault="00BC5544" w:rsidP="00223267">
      <w:pPr>
        <w:rPr>
          <w:sz w:val="16"/>
        </w:rPr>
      </w:pPr>
    </w:p>
    <w:p w14:paraId="40DB3377" w14:textId="77777777" w:rsidR="00BC5544" w:rsidRDefault="00BC5544" w:rsidP="00223267">
      <w:pPr>
        <w:rPr>
          <w:sz w:val="16"/>
        </w:rPr>
      </w:pPr>
    </w:p>
    <w:p w14:paraId="34524548" w14:textId="77777777" w:rsidR="00BC5544" w:rsidRDefault="00BC5544" w:rsidP="00223267">
      <w:pPr>
        <w:rPr>
          <w:sz w:val="16"/>
        </w:rPr>
      </w:pPr>
    </w:p>
    <w:p w14:paraId="5338A7F5" w14:textId="77777777" w:rsidR="00BC5544" w:rsidRDefault="00BC5544" w:rsidP="00223267">
      <w:pPr>
        <w:rPr>
          <w:sz w:val="16"/>
        </w:rPr>
      </w:pPr>
    </w:p>
    <w:p w14:paraId="3F9042D0" w14:textId="77777777" w:rsidR="00BC5544" w:rsidRDefault="00BC5544" w:rsidP="00223267">
      <w:pPr>
        <w:rPr>
          <w:sz w:val="16"/>
        </w:rPr>
      </w:pPr>
    </w:p>
    <w:p w14:paraId="1C5FF31E" w14:textId="77777777" w:rsidR="00BC5544" w:rsidRDefault="00BC5544" w:rsidP="00223267">
      <w:pPr>
        <w:rPr>
          <w:sz w:val="16"/>
        </w:rPr>
      </w:pPr>
    </w:p>
    <w:p w14:paraId="27FE794D" w14:textId="77777777" w:rsidR="00BC5544" w:rsidRDefault="00BC5544" w:rsidP="00223267">
      <w:pPr>
        <w:rPr>
          <w:sz w:val="16"/>
        </w:rPr>
      </w:pPr>
    </w:p>
    <w:p w14:paraId="688049AD" w14:textId="77777777" w:rsidR="00BC5544" w:rsidRDefault="00BC5544" w:rsidP="00223267">
      <w:pPr>
        <w:rPr>
          <w:sz w:val="16"/>
        </w:rPr>
      </w:pPr>
    </w:p>
    <w:p w14:paraId="1C974F5C" w14:textId="77777777" w:rsidR="00BC5544" w:rsidRDefault="00BC5544" w:rsidP="00223267">
      <w:pPr>
        <w:rPr>
          <w:sz w:val="16"/>
        </w:rPr>
      </w:pPr>
    </w:p>
    <w:p w14:paraId="73CC4A45" w14:textId="77777777" w:rsidR="00BC5544" w:rsidRDefault="00BC5544" w:rsidP="00223267">
      <w:pPr>
        <w:rPr>
          <w:sz w:val="16"/>
        </w:rPr>
      </w:pPr>
    </w:p>
    <w:p w14:paraId="7F4A2EB3" w14:textId="77777777" w:rsidR="00BC5544" w:rsidRDefault="00BC5544" w:rsidP="00223267">
      <w:pPr>
        <w:rPr>
          <w:sz w:val="16"/>
        </w:rPr>
      </w:pPr>
    </w:p>
    <w:p w14:paraId="5BEE901F" w14:textId="77777777" w:rsidR="00BC5544" w:rsidRDefault="00BC5544" w:rsidP="00223267">
      <w:pPr>
        <w:rPr>
          <w:sz w:val="16"/>
        </w:rPr>
      </w:pPr>
    </w:p>
    <w:p w14:paraId="6A1BE248" w14:textId="77777777" w:rsidR="00BC5544" w:rsidRDefault="00BC5544" w:rsidP="00223267">
      <w:pPr>
        <w:rPr>
          <w:sz w:val="16"/>
        </w:rPr>
      </w:pPr>
    </w:p>
    <w:p w14:paraId="4AC4C902" w14:textId="77777777" w:rsidR="00BC5544" w:rsidRDefault="00BC5544" w:rsidP="00223267">
      <w:pPr>
        <w:rPr>
          <w:sz w:val="16"/>
        </w:rPr>
      </w:pPr>
    </w:p>
    <w:p w14:paraId="6F4A00B6" w14:textId="77777777" w:rsidR="00223267" w:rsidRPr="008819D5" w:rsidRDefault="00223267" w:rsidP="00223267">
      <w:pPr>
        <w:rPr>
          <w:sz w:val="16"/>
        </w:rPr>
      </w:pPr>
    </w:p>
    <w:p w14:paraId="5942CB04" w14:textId="77777777" w:rsidR="00BC5544" w:rsidRDefault="00BC5544" w:rsidP="00223267">
      <w:pPr>
        <w:jc w:val="both"/>
        <w:rPr>
          <w:sz w:val="20"/>
          <w:szCs w:val="20"/>
        </w:rPr>
      </w:pPr>
      <w:r>
        <w:rPr>
          <w:sz w:val="20"/>
          <w:szCs w:val="20"/>
        </w:rPr>
        <w:t>08.02.2017. 13:39</w:t>
      </w:r>
    </w:p>
    <w:p w14:paraId="66ACFE7B" w14:textId="77777777" w:rsidR="00BC5544" w:rsidRDefault="00BC5544" w:rsidP="00223267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987</w:t>
      </w:r>
      <w:r>
        <w:rPr>
          <w:sz w:val="20"/>
          <w:szCs w:val="20"/>
        </w:rPr>
        <w:fldChar w:fldCharType="end"/>
      </w:r>
    </w:p>
    <w:p w14:paraId="028BADF3" w14:textId="15AB9AD0" w:rsidR="00223267" w:rsidRPr="003F2C13" w:rsidRDefault="00223267" w:rsidP="0022326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S.Vanaga</w:t>
      </w:r>
    </w:p>
    <w:p w14:paraId="4B3A98A7" w14:textId="35879AB1" w:rsidR="00CF04E1" w:rsidRDefault="00223267" w:rsidP="00BC5544">
      <w:pPr>
        <w:jc w:val="both"/>
      </w:pPr>
      <w:r w:rsidRPr="003F2C13">
        <w:rPr>
          <w:sz w:val="20"/>
          <w:szCs w:val="20"/>
        </w:rPr>
        <w:t>67027</w:t>
      </w:r>
      <w:r>
        <w:rPr>
          <w:sz w:val="20"/>
          <w:szCs w:val="20"/>
        </w:rPr>
        <w:t>363</w:t>
      </w:r>
      <w:r w:rsidRPr="003F2C13">
        <w:rPr>
          <w:sz w:val="20"/>
          <w:szCs w:val="20"/>
        </w:rPr>
        <w:t xml:space="preserve">, </w:t>
      </w:r>
      <w:r>
        <w:rPr>
          <w:sz w:val="20"/>
          <w:szCs w:val="20"/>
        </w:rPr>
        <w:t>Sanita.Vanaga</w:t>
      </w:r>
      <w:r w:rsidRPr="003F2C13">
        <w:rPr>
          <w:sz w:val="20"/>
          <w:szCs w:val="20"/>
        </w:rPr>
        <w:t>@zm.gov.lv</w:t>
      </w:r>
    </w:p>
    <w:sectPr w:rsidR="00CF04E1" w:rsidSect="00BC554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68AE" w14:textId="77777777" w:rsidR="008553A0" w:rsidRDefault="008553A0" w:rsidP="008553A0">
      <w:r>
        <w:separator/>
      </w:r>
    </w:p>
  </w:endnote>
  <w:endnote w:type="continuationSeparator" w:id="0">
    <w:p w14:paraId="00F4F32E" w14:textId="77777777" w:rsidR="008553A0" w:rsidRDefault="008553A0" w:rsidP="0085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6560" w14:textId="076D028A" w:rsidR="0099082C" w:rsidRPr="00BC5544" w:rsidRDefault="00BC5544" w:rsidP="00BC5544">
    <w:pPr>
      <w:pStyle w:val="Kjene"/>
    </w:pPr>
    <w:r w:rsidRPr="00BC5544">
      <w:rPr>
        <w:sz w:val="20"/>
        <w:szCs w:val="20"/>
      </w:rPr>
      <w:t>ZManot_080217_ABPlikvid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DAB8" w14:textId="549D8FB7" w:rsidR="0099082C" w:rsidRPr="00BC5544" w:rsidRDefault="00BC5544" w:rsidP="00BC5544">
    <w:pPr>
      <w:pStyle w:val="Kjene"/>
    </w:pPr>
    <w:r w:rsidRPr="00BC5544">
      <w:rPr>
        <w:sz w:val="20"/>
        <w:szCs w:val="20"/>
      </w:rPr>
      <w:t>ZManot_080217_ABPlikvid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CBBE" w14:textId="77777777" w:rsidR="008553A0" w:rsidRDefault="008553A0" w:rsidP="008553A0">
      <w:r>
        <w:separator/>
      </w:r>
    </w:p>
  </w:footnote>
  <w:footnote w:type="continuationSeparator" w:id="0">
    <w:p w14:paraId="0719D576" w14:textId="77777777" w:rsidR="008553A0" w:rsidRDefault="008553A0" w:rsidP="0085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30514" w14:textId="65F89067" w:rsidR="0099082C" w:rsidRDefault="00261C8A" w:rsidP="0099082C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BC5544">
      <w:rPr>
        <w:rStyle w:val="Lappusesnumurs"/>
        <w:noProof/>
      </w:rPr>
      <w:t>3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67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6624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3EC4"/>
    <w:rsid w:val="000A44BF"/>
    <w:rsid w:val="000A4D40"/>
    <w:rsid w:val="000A64CD"/>
    <w:rsid w:val="000A7317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2DC4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53E3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197F"/>
    <w:rsid w:val="001A31DC"/>
    <w:rsid w:val="001A5595"/>
    <w:rsid w:val="001B0335"/>
    <w:rsid w:val="001C7399"/>
    <w:rsid w:val="001D4790"/>
    <w:rsid w:val="001D77C9"/>
    <w:rsid w:val="001D78FA"/>
    <w:rsid w:val="001E0991"/>
    <w:rsid w:val="001E0A5A"/>
    <w:rsid w:val="001E3427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3267"/>
    <w:rsid w:val="00224A1C"/>
    <w:rsid w:val="00230584"/>
    <w:rsid w:val="00233082"/>
    <w:rsid w:val="00233D63"/>
    <w:rsid w:val="00236357"/>
    <w:rsid w:val="00240911"/>
    <w:rsid w:val="00242D0B"/>
    <w:rsid w:val="0024382B"/>
    <w:rsid w:val="00245A54"/>
    <w:rsid w:val="00252530"/>
    <w:rsid w:val="00261C8A"/>
    <w:rsid w:val="002646A7"/>
    <w:rsid w:val="00266ECA"/>
    <w:rsid w:val="002723C7"/>
    <w:rsid w:val="002744AB"/>
    <w:rsid w:val="00285A15"/>
    <w:rsid w:val="00285C6C"/>
    <w:rsid w:val="00291F81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1C9D"/>
    <w:rsid w:val="002B39E0"/>
    <w:rsid w:val="002B3D2A"/>
    <w:rsid w:val="002B4D46"/>
    <w:rsid w:val="002B578F"/>
    <w:rsid w:val="002C267B"/>
    <w:rsid w:val="002D2E5E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51E1"/>
    <w:rsid w:val="002F7EAA"/>
    <w:rsid w:val="00302B4C"/>
    <w:rsid w:val="00304026"/>
    <w:rsid w:val="0030545D"/>
    <w:rsid w:val="00307EE4"/>
    <w:rsid w:val="003118DA"/>
    <w:rsid w:val="00313C3C"/>
    <w:rsid w:val="00315557"/>
    <w:rsid w:val="003219DE"/>
    <w:rsid w:val="00322B85"/>
    <w:rsid w:val="00325A59"/>
    <w:rsid w:val="00327379"/>
    <w:rsid w:val="003300ED"/>
    <w:rsid w:val="003302EC"/>
    <w:rsid w:val="003309CF"/>
    <w:rsid w:val="00334BEF"/>
    <w:rsid w:val="003415CB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7644"/>
    <w:rsid w:val="00384C7B"/>
    <w:rsid w:val="00387C1B"/>
    <w:rsid w:val="003900A3"/>
    <w:rsid w:val="00393A46"/>
    <w:rsid w:val="003947A2"/>
    <w:rsid w:val="00394F15"/>
    <w:rsid w:val="003972A8"/>
    <w:rsid w:val="003A0DA1"/>
    <w:rsid w:val="003A16D8"/>
    <w:rsid w:val="003A262B"/>
    <w:rsid w:val="003A2748"/>
    <w:rsid w:val="003A37E0"/>
    <w:rsid w:val="003A4FFA"/>
    <w:rsid w:val="003A6A20"/>
    <w:rsid w:val="003B05F5"/>
    <w:rsid w:val="003B3E9F"/>
    <w:rsid w:val="003C2BCB"/>
    <w:rsid w:val="003C722E"/>
    <w:rsid w:val="003D2C4B"/>
    <w:rsid w:val="003D4938"/>
    <w:rsid w:val="003D4D41"/>
    <w:rsid w:val="003D5C85"/>
    <w:rsid w:val="003D6997"/>
    <w:rsid w:val="003D755A"/>
    <w:rsid w:val="003D7FF0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72651"/>
    <w:rsid w:val="004728B6"/>
    <w:rsid w:val="00474375"/>
    <w:rsid w:val="00477661"/>
    <w:rsid w:val="004820AB"/>
    <w:rsid w:val="0048214F"/>
    <w:rsid w:val="0048317E"/>
    <w:rsid w:val="004842F2"/>
    <w:rsid w:val="00485698"/>
    <w:rsid w:val="0048753B"/>
    <w:rsid w:val="004876A4"/>
    <w:rsid w:val="00492DD0"/>
    <w:rsid w:val="004935E6"/>
    <w:rsid w:val="00493D93"/>
    <w:rsid w:val="004953DA"/>
    <w:rsid w:val="004A322B"/>
    <w:rsid w:val="004A3BB2"/>
    <w:rsid w:val="004A7279"/>
    <w:rsid w:val="004C4A7A"/>
    <w:rsid w:val="004C53F1"/>
    <w:rsid w:val="004C7A10"/>
    <w:rsid w:val="004D00FF"/>
    <w:rsid w:val="004D1127"/>
    <w:rsid w:val="004D2B20"/>
    <w:rsid w:val="004D3052"/>
    <w:rsid w:val="004D3961"/>
    <w:rsid w:val="004D3E8B"/>
    <w:rsid w:val="004D48F9"/>
    <w:rsid w:val="004D4D2A"/>
    <w:rsid w:val="004E01A7"/>
    <w:rsid w:val="004E4D45"/>
    <w:rsid w:val="004F16A6"/>
    <w:rsid w:val="004F7B69"/>
    <w:rsid w:val="005047FE"/>
    <w:rsid w:val="00510BAC"/>
    <w:rsid w:val="00511FA6"/>
    <w:rsid w:val="005121C7"/>
    <w:rsid w:val="00514D0B"/>
    <w:rsid w:val="00515411"/>
    <w:rsid w:val="00515882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3EF8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5360"/>
    <w:rsid w:val="005A5A68"/>
    <w:rsid w:val="005A6154"/>
    <w:rsid w:val="005A69BD"/>
    <w:rsid w:val="005B00B1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C6CB6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204A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1C"/>
    <w:rsid w:val="00645A85"/>
    <w:rsid w:val="00650B7B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72F8"/>
    <w:rsid w:val="006978C9"/>
    <w:rsid w:val="006A2FC9"/>
    <w:rsid w:val="006A317E"/>
    <w:rsid w:val="006A673D"/>
    <w:rsid w:val="006A72CE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B44"/>
    <w:rsid w:val="006D3DF9"/>
    <w:rsid w:val="006D56C8"/>
    <w:rsid w:val="006D748F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43529"/>
    <w:rsid w:val="0075001A"/>
    <w:rsid w:val="00750384"/>
    <w:rsid w:val="00751B0A"/>
    <w:rsid w:val="00754B4F"/>
    <w:rsid w:val="00755CC0"/>
    <w:rsid w:val="007571CF"/>
    <w:rsid w:val="00757D14"/>
    <w:rsid w:val="007621E0"/>
    <w:rsid w:val="00767D06"/>
    <w:rsid w:val="007710A5"/>
    <w:rsid w:val="00777358"/>
    <w:rsid w:val="0077794A"/>
    <w:rsid w:val="00782F07"/>
    <w:rsid w:val="00783C6B"/>
    <w:rsid w:val="00786E61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2F8E"/>
    <w:rsid w:val="007E516D"/>
    <w:rsid w:val="007E66AB"/>
    <w:rsid w:val="007F1DF0"/>
    <w:rsid w:val="007F50B7"/>
    <w:rsid w:val="007F658A"/>
    <w:rsid w:val="007F7921"/>
    <w:rsid w:val="00805170"/>
    <w:rsid w:val="00810785"/>
    <w:rsid w:val="00811BE8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DC"/>
    <w:rsid w:val="008430EE"/>
    <w:rsid w:val="00843D6E"/>
    <w:rsid w:val="00846B34"/>
    <w:rsid w:val="008553A0"/>
    <w:rsid w:val="008575FD"/>
    <w:rsid w:val="00862E6B"/>
    <w:rsid w:val="0086440A"/>
    <w:rsid w:val="00871E07"/>
    <w:rsid w:val="008720D0"/>
    <w:rsid w:val="0087210F"/>
    <w:rsid w:val="00872810"/>
    <w:rsid w:val="00875FC6"/>
    <w:rsid w:val="008776E6"/>
    <w:rsid w:val="00877A3D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2DD"/>
    <w:rsid w:val="008B7505"/>
    <w:rsid w:val="008B7E32"/>
    <w:rsid w:val="008C118B"/>
    <w:rsid w:val="008C2496"/>
    <w:rsid w:val="008D275C"/>
    <w:rsid w:val="008D2A81"/>
    <w:rsid w:val="008E15CF"/>
    <w:rsid w:val="008E1F90"/>
    <w:rsid w:val="008E4558"/>
    <w:rsid w:val="008F1B1C"/>
    <w:rsid w:val="008F22A8"/>
    <w:rsid w:val="008F6771"/>
    <w:rsid w:val="009018B4"/>
    <w:rsid w:val="009018BB"/>
    <w:rsid w:val="0090552F"/>
    <w:rsid w:val="009126D8"/>
    <w:rsid w:val="009152B6"/>
    <w:rsid w:val="00916C35"/>
    <w:rsid w:val="00920041"/>
    <w:rsid w:val="009243EE"/>
    <w:rsid w:val="00924984"/>
    <w:rsid w:val="0092534A"/>
    <w:rsid w:val="00926D7A"/>
    <w:rsid w:val="00931E49"/>
    <w:rsid w:val="00932B8A"/>
    <w:rsid w:val="00934975"/>
    <w:rsid w:val="00934AB1"/>
    <w:rsid w:val="00937D47"/>
    <w:rsid w:val="00940577"/>
    <w:rsid w:val="009416F4"/>
    <w:rsid w:val="00942D6C"/>
    <w:rsid w:val="009453E4"/>
    <w:rsid w:val="00945F41"/>
    <w:rsid w:val="009460F0"/>
    <w:rsid w:val="00952F69"/>
    <w:rsid w:val="0095376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63B2"/>
    <w:rsid w:val="00980A90"/>
    <w:rsid w:val="00982AB1"/>
    <w:rsid w:val="00983389"/>
    <w:rsid w:val="009935B5"/>
    <w:rsid w:val="0099640A"/>
    <w:rsid w:val="009A0071"/>
    <w:rsid w:val="009A2886"/>
    <w:rsid w:val="009A7D72"/>
    <w:rsid w:val="009B2129"/>
    <w:rsid w:val="009B3F2D"/>
    <w:rsid w:val="009B6E9A"/>
    <w:rsid w:val="009B6F34"/>
    <w:rsid w:val="009B7C27"/>
    <w:rsid w:val="009D4F91"/>
    <w:rsid w:val="009D723F"/>
    <w:rsid w:val="009E2864"/>
    <w:rsid w:val="009E3E8F"/>
    <w:rsid w:val="009F348F"/>
    <w:rsid w:val="009F49EC"/>
    <w:rsid w:val="00A04918"/>
    <w:rsid w:val="00A10A3B"/>
    <w:rsid w:val="00A10BC6"/>
    <w:rsid w:val="00A11A60"/>
    <w:rsid w:val="00A201FA"/>
    <w:rsid w:val="00A2473B"/>
    <w:rsid w:val="00A24DE6"/>
    <w:rsid w:val="00A25608"/>
    <w:rsid w:val="00A2699A"/>
    <w:rsid w:val="00A26D48"/>
    <w:rsid w:val="00A27F8C"/>
    <w:rsid w:val="00A32F70"/>
    <w:rsid w:val="00A335C9"/>
    <w:rsid w:val="00A35B4D"/>
    <w:rsid w:val="00A4010C"/>
    <w:rsid w:val="00A419BC"/>
    <w:rsid w:val="00A434EF"/>
    <w:rsid w:val="00A47D19"/>
    <w:rsid w:val="00A5052F"/>
    <w:rsid w:val="00A5151A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2671"/>
    <w:rsid w:val="00A83A28"/>
    <w:rsid w:val="00A869DE"/>
    <w:rsid w:val="00A916F2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B778F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50A68"/>
    <w:rsid w:val="00B539C1"/>
    <w:rsid w:val="00B570C3"/>
    <w:rsid w:val="00B606A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1CED"/>
    <w:rsid w:val="00BB3CE9"/>
    <w:rsid w:val="00BB4782"/>
    <w:rsid w:val="00BC09DC"/>
    <w:rsid w:val="00BC40B4"/>
    <w:rsid w:val="00BC5544"/>
    <w:rsid w:val="00BC5E70"/>
    <w:rsid w:val="00BC6D57"/>
    <w:rsid w:val="00BD0A8E"/>
    <w:rsid w:val="00BD135C"/>
    <w:rsid w:val="00BD716B"/>
    <w:rsid w:val="00BE48B0"/>
    <w:rsid w:val="00BE4E9C"/>
    <w:rsid w:val="00BE75CE"/>
    <w:rsid w:val="00BF00BB"/>
    <w:rsid w:val="00BF0920"/>
    <w:rsid w:val="00BF40B5"/>
    <w:rsid w:val="00C010E8"/>
    <w:rsid w:val="00C0257A"/>
    <w:rsid w:val="00C02CA3"/>
    <w:rsid w:val="00C03EEC"/>
    <w:rsid w:val="00C13F3E"/>
    <w:rsid w:val="00C13F44"/>
    <w:rsid w:val="00C16F32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20AD"/>
    <w:rsid w:val="00CB525B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1051"/>
    <w:rsid w:val="00D94445"/>
    <w:rsid w:val="00D95431"/>
    <w:rsid w:val="00D95D1B"/>
    <w:rsid w:val="00D962B0"/>
    <w:rsid w:val="00D96AAA"/>
    <w:rsid w:val="00DA6802"/>
    <w:rsid w:val="00DB4060"/>
    <w:rsid w:val="00DB592C"/>
    <w:rsid w:val="00DB7C89"/>
    <w:rsid w:val="00DC0293"/>
    <w:rsid w:val="00DC4427"/>
    <w:rsid w:val="00DC704E"/>
    <w:rsid w:val="00DD3947"/>
    <w:rsid w:val="00DE058B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A6D"/>
    <w:rsid w:val="00E43C43"/>
    <w:rsid w:val="00E4416E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67A0C"/>
    <w:rsid w:val="00E8005A"/>
    <w:rsid w:val="00E809CD"/>
    <w:rsid w:val="00E83C2B"/>
    <w:rsid w:val="00E84212"/>
    <w:rsid w:val="00E86CD9"/>
    <w:rsid w:val="00E86EB8"/>
    <w:rsid w:val="00E877AD"/>
    <w:rsid w:val="00E90101"/>
    <w:rsid w:val="00E94D2A"/>
    <w:rsid w:val="00E96B16"/>
    <w:rsid w:val="00EA1E40"/>
    <w:rsid w:val="00EA7250"/>
    <w:rsid w:val="00EB00EF"/>
    <w:rsid w:val="00EB3C4B"/>
    <w:rsid w:val="00EC568A"/>
    <w:rsid w:val="00ED19EB"/>
    <w:rsid w:val="00ED2F53"/>
    <w:rsid w:val="00ED3023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1926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2818"/>
    <w:rsid w:val="00F331F4"/>
    <w:rsid w:val="00F3417D"/>
    <w:rsid w:val="00F34E82"/>
    <w:rsid w:val="00F358E8"/>
    <w:rsid w:val="00F36CD4"/>
    <w:rsid w:val="00F417D7"/>
    <w:rsid w:val="00F4209F"/>
    <w:rsid w:val="00F43341"/>
    <w:rsid w:val="00F45D51"/>
    <w:rsid w:val="00F504D1"/>
    <w:rsid w:val="00F513FF"/>
    <w:rsid w:val="00F525F6"/>
    <w:rsid w:val="00F54BAE"/>
    <w:rsid w:val="00F609FA"/>
    <w:rsid w:val="00F7110D"/>
    <w:rsid w:val="00F726AB"/>
    <w:rsid w:val="00F7388E"/>
    <w:rsid w:val="00F749C1"/>
    <w:rsid w:val="00F75DEF"/>
    <w:rsid w:val="00F8086C"/>
    <w:rsid w:val="00F80A20"/>
    <w:rsid w:val="00F82A7B"/>
    <w:rsid w:val="00F835D4"/>
    <w:rsid w:val="00F8464A"/>
    <w:rsid w:val="00F86A3A"/>
    <w:rsid w:val="00F90CB0"/>
    <w:rsid w:val="00F9493B"/>
    <w:rsid w:val="00F94A76"/>
    <w:rsid w:val="00F97750"/>
    <w:rsid w:val="00F97F31"/>
    <w:rsid w:val="00FA08BC"/>
    <w:rsid w:val="00FA2C9C"/>
    <w:rsid w:val="00FA43F5"/>
    <w:rsid w:val="00FA728C"/>
    <w:rsid w:val="00FA7651"/>
    <w:rsid w:val="00FB142C"/>
    <w:rsid w:val="00FB1FE9"/>
    <w:rsid w:val="00FB3111"/>
    <w:rsid w:val="00FB68A6"/>
    <w:rsid w:val="00FC3CE8"/>
    <w:rsid w:val="00FD233D"/>
    <w:rsid w:val="00FD57F3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798C28"/>
  <w15:chartTrackingRefBased/>
  <w15:docId w15:val="{2461E520-57C4-4D41-A6B8-E4B11A6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3267"/>
    <w:rPr>
      <w:sz w:val="24"/>
      <w:szCs w:val="24"/>
      <w:lang w:val="lv-LV" w:eastAsia="lv-LV"/>
    </w:rPr>
  </w:style>
  <w:style w:type="paragraph" w:styleId="Virsraksts1">
    <w:name w:val="heading 1"/>
    <w:basedOn w:val="Parasts"/>
    <w:link w:val="Virsraksts1Rakstz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42DC"/>
    <w:rPr>
      <w:b/>
      <w:bCs/>
      <w:kern w:val="36"/>
      <w:sz w:val="48"/>
      <w:szCs w:val="48"/>
      <w:lang w:val="lv-LV" w:eastAsia="lv-LV"/>
    </w:rPr>
  </w:style>
  <w:style w:type="character" w:styleId="Izclums">
    <w:name w:val="Emphasis"/>
    <w:basedOn w:val="Noklusjumarindkopasfonts"/>
    <w:qFormat/>
    <w:rsid w:val="00F142DC"/>
    <w:rPr>
      <w:i/>
      <w:iCs/>
    </w:rPr>
  </w:style>
  <w:style w:type="paragraph" w:styleId="Galvene">
    <w:name w:val="header"/>
    <w:basedOn w:val="Parasts"/>
    <w:link w:val="GalveneRakstz"/>
    <w:rsid w:val="00223267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rsid w:val="00223267"/>
    <w:rPr>
      <w:sz w:val="24"/>
      <w:szCs w:val="24"/>
      <w:lang w:val="x-none" w:eastAsia="lv-LV"/>
    </w:rPr>
  </w:style>
  <w:style w:type="paragraph" w:styleId="Kjene">
    <w:name w:val="footer"/>
    <w:basedOn w:val="Parasts"/>
    <w:link w:val="KjeneRakstz"/>
    <w:rsid w:val="00223267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rsid w:val="00223267"/>
    <w:rPr>
      <w:sz w:val="24"/>
      <w:szCs w:val="24"/>
      <w:lang w:val="x-none" w:eastAsia="lv-LV"/>
    </w:rPr>
  </w:style>
  <w:style w:type="character" w:styleId="Lappusesnumurs">
    <w:name w:val="page number"/>
    <w:basedOn w:val="Noklusjumarindkopasfonts"/>
    <w:rsid w:val="00223267"/>
  </w:style>
  <w:style w:type="paragraph" w:styleId="Bezatstarpm">
    <w:name w:val="No Spacing"/>
    <w:uiPriority w:val="1"/>
    <w:qFormat/>
    <w:rsid w:val="00223267"/>
    <w:rPr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223267"/>
    <w:rPr>
      <w:b/>
      <w:bCs/>
    </w:rPr>
  </w:style>
  <w:style w:type="paragraph" w:customStyle="1" w:styleId="naisf">
    <w:name w:val="naisf"/>
    <w:basedOn w:val="Parasts"/>
    <w:rsid w:val="00223267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645A1C"/>
    <w:pPr>
      <w:ind w:left="720"/>
    </w:pPr>
    <w:rPr>
      <w:rFonts w:eastAsiaTheme="minorHAnsi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1C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1C8A"/>
    <w:rPr>
      <w:rFonts w:ascii="Segoe UI" w:hAnsi="Segoe UI" w:cs="Segoe UI"/>
      <w:sz w:val="18"/>
      <w:szCs w:val="1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A2FC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A2FC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A2FC9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2FC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2FC9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6452</Characters>
  <Application>Microsoft Office Word</Application>
  <DocSecurity>0</DocSecurity>
  <Lines>403</Lines>
  <Paragraphs>201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Zemkopibas Ministrija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Vanaga</dc:creator>
  <cp:keywords/>
  <dc:description/>
  <cp:lastModifiedBy>Sanita Žagare</cp:lastModifiedBy>
  <cp:revision>4</cp:revision>
  <cp:lastPrinted>2017-02-06T10:58:00Z</cp:lastPrinted>
  <dcterms:created xsi:type="dcterms:W3CDTF">2017-02-08T10:55:00Z</dcterms:created>
  <dcterms:modified xsi:type="dcterms:W3CDTF">2017-02-08T11:40:00Z</dcterms:modified>
</cp:coreProperties>
</file>