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58" w:rsidRPr="00614E71" w:rsidRDefault="00CC297D" w:rsidP="00E97B4D">
      <w:pPr>
        <w:jc w:val="center"/>
        <w:rPr>
          <w:rFonts w:cs="Times New Roman"/>
          <w:szCs w:val="28"/>
        </w:rPr>
      </w:pPr>
      <w:bookmarkStart w:id="0" w:name="OLE_LINK4"/>
      <w:bookmarkStart w:id="1" w:name="OLE_LINK3"/>
      <w:bookmarkStart w:id="2" w:name="OLE_LINK2"/>
      <w:bookmarkStart w:id="3" w:name="OLE_LINK1"/>
      <w:r w:rsidRPr="00614E71">
        <w:rPr>
          <w:rFonts w:eastAsia="Times New Roman" w:cs="Times New Roman"/>
          <w:b/>
          <w:szCs w:val="28"/>
          <w:lang w:eastAsia="lv-LV"/>
        </w:rPr>
        <w:t>Likumprojekta „</w:t>
      </w:r>
      <w:r w:rsidR="00377B04" w:rsidRPr="00614E71">
        <w:rPr>
          <w:rFonts w:cs="Times New Roman"/>
          <w:b/>
          <w:szCs w:val="28"/>
        </w:rPr>
        <w:t>Grozījumi Enerģētikas likumā</w:t>
      </w:r>
      <w:r w:rsidRPr="00614E71">
        <w:rPr>
          <w:rFonts w:eastAsia="Times New Roman" w:cs="Times New Roman"/>
          <w:b/>
          <w:szCs w:val="28"/>
          <w:lang w:eastAsia="lv-LV"/>
        </w:rPr>
        <w:t xml:space="preserve">” </w:t>
      </w:r>
      <w:bookmarkEnd w:id="0"/>
      <w:bookmarkEnd w:id="1"/>
      <w:r w:rsidRPr="00614E71">
        <w:rPr>
          <w:rFonts w:eastAsia="Times New Roman" w:cs="Times New Roman"/>
          <w:b/>
          <w:szCs w:val="28"/>
          <w:lang w:eastAsia="lv-LV"/>
        </w:rPr>
        <w:t>sākotnējās ietekmes novērtējuma ziņojums</w:t>
      </w:r>
      <w:bookmarkEnd w:id="2"/>
      <w:bookmarkEnd w:id="3"/>
      <w:r w:rsidR="00DF66AF" w:rsidRPr="00614E71">
        <w:rPr>
          <w:rFonts w:eastAsia="Times New Roman" w:cs="Times New Roman"/>
          <w:b/>
          <w:szCs w:val="28"/>
          <w:lang w:eastAsia="lv-LV"/>
        </w:rPr>
        <w:t xml:space="preserve"> </w:t>
      </w:r>
      <w:r w:rsidRPr="00614E71">
        <w:rPr>
          <w:rFonts w:eastAsia="Times New Roman" w:cs="Times New Roman"/>
          <w:b/>
          <w:szCs w:val="28"/>
          <w:lang w:eastAsia="lv-LV"/>
        </w:rPr>
        <w:t>(anotācija)</w:t>
      </w:r>
    </w:p>
    <w:p w:rsidR="00E97B4D" w:rsidRPr="00614E71" w:rsidRDefault="00E97B4D" w:rsidP="00E97B4D">
      <w:pPr>
        <w:jc w:val="center"/>
        <w:rPr>
          <w:rFonts w:cs="Times New Roman"/>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66"/>
        <w:gridCol w:w="1978"/>
        <w:gridCol w:w="6661"/>
      </w:tblGrid>
      <w:tr w:rsidR="00614E71" w:rsidRPr="00614E71" w:rsidTr="00B12626">
        <w:trPr>
          <w:trHeight w:val="324"/>
          <w:tblCellSpacing w:w="15" w:type="dxa"/>
        </w:trPr>
        <w:tc>
          <w:tcPr>
            <w:tcW w:w="9145" w:type="dxa"/>
            <w:gridSpan w:val="3"/>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b/>
                <w:bCs/>
                <w:szCs w:val="28"/>
                <w:lang w:eastAsia="lv-LV"/>
              </w:rPr>
              <w:t>I. Tiesību akta projekta izstrādes nepieciešamība</w:t>
            </w:r>
          </w:p>
        </w:tc>
      </w:tr>
      <w:tr w:rsidR="00614E71" w:rsidRPr="00614E71" w:rsidTr="00B12626">
        <w:trPr>
          <w:trHeight w:val="324"/>
          <w:tblCellSpacing w:w="15" w:type="dxa"/>
        </w:trPr>
        <w:tc>
          <w:tcPr>
            <w:tcW w:w="521"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1.</w:t>
            </w:r>
          </w:p>
        </w:tc>
        <w:tc>
          <w:tcPr>
            <w:tcW w:w="1948"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Pamatojums</w:t>
            </w:r>
          </w:p>
        </w:tc>
        <w:tc>
          <w:tcPr>
            <w:tcW w:w="6616" w:type="dxa"/>
            <w:tcBorders>
              <w:top w:val="outset" w:sz="6" w:space="0" w:color="auto"/>
              <w:left w:val="outset" w:sz="6" w:space="0" w:color="auto"/>
              <w:bottom w:val="outset" w:sz="6" w:space="0" w:color="auto"/>
              <w:right w:val="outset" w:sz="6" w:space="0" w:color="auto"/>
            </w:tcBorders>
            <w:hideMark/>
          </w:tcPr>
          <w:p w:rsidR="00DA6858" w:rsidRPr="00614E71" w:rsidRDefault="00DA6858" w:rsidP="00E97B4D">
            <w:pPr>
              <w:jc w:val="both"/>
              <w:rPr>
                <w:rFonts w:eastAsia="Times New Roman" w:cs="Times New Roman"/>
                <w:szCs w:val="28"/>
              </w:rPr>
            </w:pPr>
            <w:r w:rsidRPr="00614E71">
              <w:rPr>
                <w:rFonts w:eastAsia="Times New Roman" w:cs="Times New Roman"/>
                <w:szCs w:val="28"/>
              </w:rPr>
              <w:t xml:space="preserve">Likumprojekts </w:t>
            </w:r>
            <w:r w:rsidR="00E97B4D" w:rsidRPr="00614E71">
              <w:rPr>
                <w:rFonts w:eastAsia="Times New Roman" w:cs="Times New Roman"/>
                <w:szCs w:val="28"/>
              </w:rPr>
              <w:t xml:space="preserve">„Grozījumi Enerģētikas likumā” </w:t>
            </w:r>
            <w:r w:rsidRPr="00614E71">
              <w:rPr>
                <w:rFonts w:eastAsia="Times New Roman" w:cs="Times New Roman"/>
                <w:szCs w:val="28"/>
              </w:rPr>
              <w:t>(turpmāk – Likumprojekts) izstrādāts:</w:t>
            </w:r>
          </w:p>
          <w:p w:rsidR="00DA6858" w:rsidRPr="00614E71" w:rsidRDefault="00DA6858" w:rsidP="00DA6858">
            <w:pPr>
              <w:pStyle w:val="ListParagraph"/>
              <w:numPr>
                <w:ilvl w:val="0"/>
                <w:numId w:val="9"/>
              </w:numPr>
              <w:spacing w:after="0" w:line="240" w:lineRule="auto"/>
              <w:jc w:val="both"/>
              <w:rPr>
                <w:rFonts w:ascii="Times New Roman" w:eastAsia="Times New Roman" w:hAnsi="Times New Roman" w:cs="Times New Roman"/>
                <w:sz w:val="28"/>
                <w:szCs w:val="28"/>
              </w:rPr>
            </w:pPr>
            <w:r w:rsidRPr="00614E71">
              <w:rPr>
                <w:rFonts w:ascii="Times New Roman" w:eastAsia="Times New Roman" w:hAnsi="Times New Roman" w:cs="Times New Roman"/>
                <w:sz w:val="28"/>
                <w:szCs w:val="28"/>
              </w:rPr>
              <w:t xml:space="preserve">lai izpildītu ar Ministru kabineta 2014.gada 22.aprīļa protokola Nr.24 26.§, </w:t>
            </w:r>
            <w:r w:rsidR="006711A8" w:rsidRPr="00614E71">
              <w:rPr>
                <w:rFonts w:ascii="Times New Roman" w:eastAsia="Times New Roman" w:hAnsi="Times New Roman" w:cs="Times New Roman"/>
                <w:sz w:val="28"/>
                <w:szCs w:val="28"/>
              </w:rPr>
              <w:t>„Informatīvais ziņojums „</w:t>
            </w:r>
            <w:r w:rsidRPr="00614E71">
              <w:rPr>
                <w:rFonts w:ascii="Times New Roman" w:eastAsia="Times New Roman" w:hAnsi="Times New Roman" w:cs="Times New Roman"/>
                <w:sz w:val="28"/>
                <w:szCs w:val="28"/>
              </w:rPr>
              <w:t>Nozaru administratīvo pārkāpumu kodifikācijas ieviešanas sistēma”” TA-775 uzliktās saistības;</w:t>
            </w:r>
          </w:p>
          <w:p w:rsidR="00DA6858" w:rsidRPr="00614E71" w:rsidRDefault="00DA6858" w:rsidP="00DA6858">
            <w:pPr>
              <w:pStyle w:val="ListParagraph"/>
              <w:numPr>
                <w:ilvl w:val="0"/>
                <w:numId w:val="9"/>
              </w:numPr>
              <w:spacing w:after="0" w:line="240" w:lineRule="auto"/>
              <w:jc w:val="both"/>
              <w:rPr>
                <w:rFonts w:eastAsia="Times New Roman" w:cs="Times New Roman"/>
                <w:sz w:val="28"/>
                <w:szCs w:val="28"/>
                <w:lang w:eastAsia="lv-LV"/>
              </w:rPr>
            </w:pPr>
            <w:r w:rsidRPr="00614E71">
              <w:rPr>
                <w:rFonts w:ascii="Times New Roman" w:eastAsia="Times New Roman" w:hAnsi="Times New Roman" w:cs="Times New Roman"/>
                <w:sz w:val="28"/>
                <w:szCs w:val="28"/>
              </w:rPr>
              <w:t xml:space="preserve">lai izpildītu ar Ministru kabineta 2013.gada 4.februāra rīkojums Nr.38 (prot. Nr.5 30.§) </w:t>
            </w:r>
            <w:r w:rsidR="006711A8" w:rsidRPr="00614E71">
              <w:rPr>
                <w:rFonts w:ascii="Times New Roman" w:eastAsia="Times New Roman" w:hAnsi="Times New Roman" w:cs="Times New Roman"/>
                <w:sz w:val="28"/>
                <w:szCs w:val="28"/>
              </w:rPr>
              <w:t>„</w:t>
            </w:r>
            <w:r w:rsidRPr="00614E71">
              <w:rPr>
                <w:rFonts w:ascii="Times New Roman" w:eastAsia="Times New Roman" w:hAnsi="Times New Roman" w:cs="Times New Roman"/>
                <w:sz w:val="28"/>
                <w:szCs w:val="28"/>
              </w:rPr>
              <w:t>Par Administratīvo sodu sistēmas attīstības koncepciju” uzliktās saistības.</w:t>
            </w:r>
          </w:p>
        </w:tc>
      </w:tr>
      <w:tr w:rsidR="00614E71" w:rsidRPr="00614E71" w:rsidTr="00B12626">
        <w:trPr>
          <w:trHeight w:val="20"/>
          <w:tblCellSpacing w:w="15" w:type="dxa"/>
        </w:trPr>
        <w:tc>
          <w:tcPr>
            <w:tcW w:w="521"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2.</w:t>
            </w:r>
          </w:p>
        </w:tc>
        <w:tc>
          <w:tcPr>
            <w:tcW w:w="1948" w:type="dxa"/>
            <w:tcBorders>
              <w:top w:val="outset" w:sz="6" w:space="0" w:color="auto"/>
              <w:left w:val="outset" w:sz="6" w:space="0" w:color="auto"/>
              <w:bottom w:val="outset" w:sz="6" w:space="0" w:color="auto"/>
              <w:right w:val="outset" w:sz="6" w:space="0" w:color="auto"/>
            </w:tcBorders>
            <w:hideMark/>
          </w:tcPr>
          <w:p w:rsidR="00614E71" w:rsidRPr="00614E71" w:rsidRDefault="00DA6858" w:rsidP="00A02B75">
            <w:pPr>
              <w:rPr>
                <w:rFonts w:eastAsia="Times New Roman" w:cs="Times New Roman"/>
                <w:szCs w:val="28"/>
                <w:lang w:eastAsia="lv-LV"/>
              </w:rPr>
            </w:pPr>
            <w:r w:rsidRPr="00614E71">
              <w:rPr>
                <w:rFonts w:eastAsia="Times New Roman" w:cs="Times New Roman"/>
                <w:szCs w:val="28"/>
                <w:lang w:eastAsia="lv-LV"/>
              </w:rPr>
              <w:t>Pašreizējā situācija un problēmas, kuru risināšanai tiesību akta projekts izstrādāts, tiesiskā regulējuma mērķis un būtība</w:t>
            </w:r>
          </w:p>
          <w:p w:rsidR="00614E71" w:rsidRPr="00614E71" w:rsidRDefault="00614E71" w:rsidP="00614E71">
            <w:pPr>
              <w:rPr>
                <w:rFonts w:eastAsia="Times New Roman" w:cs="Times New Roman"/>
                <w:szCs w:val="28"/>
                <w:lang w:eastAsia="lv-LV"/>
              </w:rPr>
            </w:pPr>
          </w:p>
          <w:p w:rsidR="00614E71" w:rsidRPr="00614E71" w:rsidRDefault="00614E71" w:rsidP="00614E71">
            <w:pPr>
              <w:rPr>
                <w:rFonts w:eastAsia="Times New Roman" w:cs="Times New Roman"/>
                <w:szCs w:val="28"/>
                <w:lang w:eastAsia="lv-LV"/>
              </w:rPr>
            </w:pPr>
          </w:p>
          <w:p w:rsidR="00DA6858" w:rsidRPr="00614E71" w:rsidRDefault="00DA6858" w:rsidP="00614E71">
            <w:pPr>
              <w:jc w:val="right"/>
              <w:rPr>
                <w:rFonts w:eastAsia="Times New Roman" w:cs="Times New Roman"/>
                <w:szCs w:val="28"/>
                <w:lang w:eastAsia="lv-LV"/>
              </w:rPr>
            </w:pPr>
          </w:p>
        </w:tc>
        <w:tc>
          <w:tcPr>
            <w:tcW w:w="6616" w:type="dxa"/>
            <w:tcBorders>
              <w:top w:val="outset" w:sz="6" w:space="0" w:color="auto"/>
              <w:left w:val="outset" w:sz="6" w:space="0" w:color="auto"/>
              <w:bottom w:val="outset" w:sz="6" w:space="0" w:color="auto"/>
              <w:right w:val="outset" w:sz="6" w:space="0" w:color="auto"/>
            </w:tcBorders>
            <w:hideMark/>
          </w:tcPr>
          <w:p w:rsidR="00DA6858" w:rsidRPr="00614E71" w:rsidRDefault="00DA6858" w:rsidP="00E97B4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8"/>
                <w:szCs w:val="28"/>
                <w:lang w:val="lv-LV"/>
              </w:rPr>
            </w:pPr>
            <w:r w:rsidRPr="00614E71">
              <w:rPr>
                <w:sz w:val="28"/>
                <w:szCs w:val="28"/>
                <w:lang w:val="lv-LV"/>
              </w:rPr>
              <w:t>2014.gada 22.aprīlī Ministru kabinetā tika apsti</w:t>
            </w:r>
            <w:r w:rsidR="00C651D3" w:rsidRPr="00614E71">
              <w:rPr>
                <w:sz w:val="28"/>
                <w:szCs w:val="28"/>
                <w:lang w:val="lv-LV"/>
              </w:rPr>
              <w:t xml:space="preserve">prināts informatīvais ziņojums </w:t>
            </w:r>
            <w:r w:rsidR="00C651D3" w:rsidRPr="00614E71">
              <w:rPr>
                <w:szCs w:val="28"/>
                <w:lang w:val="lv-LV" w:eastAsia="lv-LV"/>
              </w:rPr>
              <w:t>„</w:t>
            </w:r>
            <w:r w:rsidRPr="00614E71">
              <w:rPr>
                <w:sz w:val="28"/>
                <w:szCs w:val="28"/>
                <w:lang w:val="lv-LV"/>
              </w:rPr>
              <w:t xml:space="preserve">Nozaru administratīvo pārkāpumu kodifikācijas ieviešanas sistēma” (prot.nr.24, 26§), saskaņā </w:t>
            </w:r>
            <w:r w:rsidR="00892150">
              <w:rPr>
                <w:sz w:val="28"/>
                <w:szCs w:val="28"/>
                <w:lang w:val="lv-LV"/>
              </w:rPr>
              <w:t>ar kuru informatīvā ziņojuma 1.</w:t>
            </w:r>
            <w:r w:rsidRPr="00614E71">
              <w:rPr>
                <w:sz w:val="28"/>
                <w:szCs w:val="28"/>
                <w:lang w:val="lv-LV"/>
              </w:rPr>
              <w:t>pielikumā minētajām atbildīgajām ministrijām ir pienākums to kompetencē esošajos nozares likumos izstrādāt grozījumus, lai tajos tiktu ietverti administratīvie pārkāpumi un kompetentās iestādes par administratīvo sodu piemērošanu, pamatojoties uz to, ka 2017.gada 1.janvārī spēku zaudēs Latvijas Administratīvo pārkāpumu kodekss (turpmāk – LAPK).</w:t>
            </w:r>
          </w:p>
          <w:p w:rsidR="00DA6858" w:rsidRPr="00614E71" w:rsidRDefault="00DA6858" w:rsidP="00033D8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bCs/>
                <w:sz w:val="28"/>
                <w:szCs w:val="28"/>
                <w:lang w:val="lv-LV" w:eastAsia="lv-LV"/>
              </w:rPr>
            </w:pPr>
            <w:r w:rsidRPr="00614E71">
              <w:rPr>
                <w:bCs/>
                <w:sz w:val="28"/>
                <w:szCs w:val="28"/>
                <w:shd w:val="clear" w:color="auto" w:fill="FFFFFF"/>
                <w:lang w:val="lv-LV"/>
              </w:rPr>
              <w:t>L</w:t>
            </w:r>
            <w:r w:rsidRPr="00614E71">
              <w:rPr>
                <w:sz w:val="28"/>
                <w:szCs w:val="28"/>
                <w:lang w:val="lv-LV"/>
              </w:rPr>
              <w:t>ikumprojekta galvenā būtība ir papildināt</w:t>
            </w:r>
            <w:r w:rsidRPr="00614E71">
              <w:rPr>
                <w:bCs/>
                <w:sz w:val="28"/>
                <w:szCs w:val="28"/>
                <w:lang w:val="lv-LV" w:eastAsia="lv-LV"/>
              </w:rPr>
              <w:t xml:space="preserve"> spēkā esošo normatīvo regulējumu tādā apmērā, cik tas nepieciešams, lai pārņemtu Administratīvo pārkāpumu kodeksa tiesību normas. Likumprojekts izstrādāts, lai iekļautu </w:t>
            </w:r>
            <w:r w:rsidR="00E97B4D" w:rsidRPr="00614E71">
              <w:rPr>
                <w:bCs/>
                <w:sz w:val="28"/>
                <w:szCs w:val="28"/>
                <w:lang w:val="lv-LV" w:eastAsia="lv-LV"/>
              </w:rPr>
              <w:t xml:space="preserve">Enerģētikas </w:t>
            </w:r>
            <w:r w:rsidRPr="00614E71">
              <w:rPr>
                <w:bCs/>
                <w:sz w:val="28"/>
                <w:szCs w:val="28"/>
                <w:lang w:val="lv-LV" w:eastAsia="lv-LV"/>
              </w:rPr>
              <w:t>likumā administratīvos pārkāpumus</w:t>
            </w:r>
            <w:r w:rsidR="00E97B4D" w:rsidRPr="00614E71">
              <w:rPr>
                <w:sz w:val="28"/>
                <w:szCs w:val="28"/>
                <w:lang w:val="lv-LV"/>
              </w:rPr>
              <w:t xml:space="preserve"> par normatīvajos aktos noteikto prasību un aprobežojumu</w:t>
            </w:r>
            <w:r w:rsidR="00E97B4D" w:rsidRPr="00614E71">
              <w:rPr>
                <w:bCs/>
                <w:sz w:val="28"/>
                <w:szCs w:val="28"/>
                <w:lang w:val="lv-LV" w:eastAsia="lv-LV"/>
              </w:rPr>
              <w:t xml:space="preserve"> neievērošanu enerģētikas </w:t>
            </w:r>
            <w:r w:rsidRPr="00614E71">
              <w:rPr>
                <w:bCs/>
                <w:sz w:val="28"/>
                <w:szCs w:val="28"/>
                <w:lang w:val="lv-LV" w:eastAsia="lv-LV"/>
              </w:rPr>
              <w:t>jomā, kas noteikti LAPK</w:t>
            </w:r>
            <w:r w:rsidR="00326C14" w:rsidRPr="00614E71">
              <w:rPr>
                <w:bCs/>
                <w:sz w:val="28"/>
                <w:szCs w:val="28"/>
                <w:lang w:val="lv-LV" w:eastAsia="lv-LV"/>
              </w:rPr>
              <w:t xml:space="preserve">  94., 98. un 98.</w:t>
            </w:r>
            <w:r w:rsidR="00326C14" w:rsidRPr="00614E71">
              <w:rPr>
                <w:bCs/>
                <w:sz w:val="28"/>
                <w:szCs w:val="28"/>
                <w:vertAlign w:val="superscript"/>
                <w:lang w:val="lv-LV" w:eastAsia="lv-LV"/>
              </w:rPr>
              <w:t xml:space="preserve">1 </w:t>
            </w:r>
            <w:r w:rsidR="00326C14" w:rsidRPr="00614E71">
              <w:rPr>
                <w:bCs/>
                <w:sz w:val="28"/>
                <w:szCs w:val="28"/>
                <w:lang w:val="lv-LV" w:eastAsia="lv-LV"/>
              </w:rPr>
              <w:t>pantā</w:t>
            </w:r>
            <w:r w:rsidRPr="00614E71">
              <w:rPr>
                <w:bCs/>
                <w:sz w:val="28"/>
                <w:szCs w:val="28"/>
                <w:lang w:val="lv-LV" w:eastAsia="lv-LV"/>
              </w:rPr>
              <w:t>, kā arī lai noteiktu kompetento iestādi, kas var piemērot administratīvos sodus.</w:t>
            </w:r>
          </w:p>
          <w:p w:rsidR="00033D87" w:rsidRPr="00614E71" w:rsidRDefault="00DA6858" w:rsidP="00033D87">
            <w:pPr>
              <w:jc w:val="both"/>
              <w:rPr>
                <w:szCs w:val="28"/>
              </w:rPr>
            </w:pPr>
            <w:r w:rsidRPr="00614E71">
              <w:rPr>
                <w:bCs/>
                <w:szCs w:val="28"/>
                <w:lang w:eastAsia="lv-LV"/>
              </w:rPr>
              <w:t xml:space="preserve">Likumprojekts papildina </w:t>
            </w:r>
            <w:r w:rsidR="00E97B4D" w:rsidRPr="00614E71">
              <w:rPr>
                <w:bCs/>
                <w:szCs w:val="28"/>
                <w:lang w:eastAsia="lv-LV"/>
              </w:rPr>
              <w:t xml:space="preserve">Enerģētikas </w:t>
            </w:r>
            <w:r w:rsidRPr="00614E71">
              <w:rPr>
                <w:bCs/>
                <w:szCs w:val="28"/>
                <w:lang w:eastAsia="lv-LV"/>
              </w:rPr>
              <w:t xml:space="preserve">likumu ar jaunu </w:t>
            </w:r>
            <w:r w:rsidR="00E97B4D" w:rsidRPr="00614E71">
              <w:rPr>
                <w:rFonts w:cs="Times New Roman"/>
                <w:szCs w:val="28"/>
              </w:rPr>
              <w:t>XVI</w:t>
            </w:r>
            <w:r w:rsidRPr="00614E71">
              <w:rPr>
                <w:bCs/>
                <w:szCs w:val="28"/>
                <w:lang w:eastAsia="lv-LV"/>
              </w:rPr>
              <w:t xml:space="preserve"> </w:t>
            </w:r>
            <w:r w:rsidRPr="00614E71">
              <w:rPr>
                <w:rFonts w:eastAsia="Times New Roman" w:cs="Times New Roman"/>
                <w:bCs/>
                <w:szCs w:val="28"/>
                <w:lang w:eastAsia="lv-LV"/>
              </w:rPr>
              <w:t xml:space="preserve">nodaļu: </w:t>
            </w:r>
            <w:r w:rsidR="00E97B4D" w:rsidRPr="00614E71">
              <w:rPr>
                <w:rFonts w:eastAsia="Times New Roman" w:cs="Times New Roman"/>
                <w:bCs/>
                <w:szCs w:val="28"/>
                <w:lang w:eastAsia="lv-LV"/>
              </w:rPr>
              <w:t>„Administratīvā atbildība enerģētikas jomā un kompetence sodu piemērošanā</w:t>
            </w:r>
            <w:r w:rsidRPr="00614E71">
              <w:rPr>
                <w:bCs/>
                <w:szCs w:val="28"/>
                <w:lang w:eastAsia="lv-LV"/>
              </w:rPr>
              <w:t>”, kas sastāv no diviem</w:t>
            </w:r>
            <w:r w:rsidR="00033D87" w:rsidRPr="00614E71">
              <w:rPr>
                <w:bCs/>
                <w:szCs w:val="28"/>
                <w:lang w:eastAsia="lv-LV"/>
              </w:rPr>
              <w:t xml:space="preserve"> jauniem pantiem. Likumproj</w:t>
            </w:r>
            <w:r w:rsidR="00DD0074" w:rsidRPr="00614E71">
              <w:rPr>
                <w:bCs/>
                <w:szCs w:val="28"/>
                <w:lang w:eastAsia="lv-LV"/>
              </w:rPr>
              <w:t xml:space="preserve">ekta 117.panta piecās daļās ir </w:t>
            </w:r>
            <w:r w:rsidR="00033D87" w:rsidRPr="00614E71">
              <w:rPr>
                <w:bCs/>
                <w:szCs w:val="28"/>
                <w:lang w:eastAsia="lv-LV"/>
              </w:rPr>
              <w:t>noteikti pārkāpumu veidi un naudas soda apmēri,</w:t>
            </w:r>
            <w:r w:rsidR="00045AC2" w:rsidRPr="00614E71">
              <w:rPr>
                <w:bCs/>
                <w:szCs w:val="28"/>
                <w:lang w:eastAsia="lv-LV"/>
              </w:rPr>
              <w:t xml:space="preserve"> </w:t>
            </w:r>
            <w:r w:rsidR="00033D87" w:rsidRPr="00614E71">
              <w:rPr>
                <w:bCs/>
                <w:szCs w:val="28"/>
                <w:lang w:eastAsia="lv-LV"/>
              </w:rPr>
              <w:t>savukārt</w:t>
            </w:r>
            <w:r w:rsidRPr="00614E71">
              <w:rPr>
                <w:bCs/>
                <w:szCs w:val="28"/>
                <w:lang w:eastAsia="lv-LV"/>
              </w:rPr>
              <w:t xml:space="preserve"> </w:t>
            </w:r>
            <w:r w:rsidR="00033D87" w:rsidRPr="00614E71">
              <w:rPr>
                <w:bCs/>
                <w:szCs w:val="28"/>
                <w:lang w:eastAsia="lv-LV"/>
              </w:rPr>
              <w:t xml:space="preserve">118.pantā ir noteikts, ka </w:t>
            </w:r>
            <w:r w:rsidR="00033D87" w:rsidRPr="00614E71">
              <w:rPr>
                <w:szCs w:val="28"/>
              </w:rPr>
              <w:t>administratīvo pārkāpumu procesu veic pašvaldību administratīvās komisijas.</w:t>
            </w:r>
          </w:p>
          <w:p w:rsidR="00DA6858" w:rsidRPr="00614E71" w:rsidRDefault="008960AC" w:rsidP="006711A8">
            <w:pPr>
              <w:jc w:val="both"/>
              <w:rPr>
                <w:szCs w:val="28"/>
              </w:rPr>
            </w:pPr>
            <w:r w:rsidRPr="00614E71">
              <w:rPr>
                <w:szCs w:val="28"/>
              </w:rPr>
              <w:t>Ņemot vērā, ka</w:t>
            </w:r>
            <w:r w:rsidR="00C651D3" w:rsidRPr="00614E71">
              <w:rPr>
                <w:szCs w:val="28"/>
              </w:rPr>
              <w:t xml:space="preserve"> Saeimā tiek virzīts </w:t>
            </w:r>
            <w:r w:rsidR="00C651D3" w:rsidRPr="00614E71">
              <w:rPr>
                <w:szCs w:val="28"/>
                <w:lang w:eastAsia="lv-LV"/>
              </w:rPr>
              <w:t xml:space="preserve">likumprojekts </w:t>
            </w:r>
            <w:r w:rsidR="00C651D3" w:rsidRPr="00614E71">
              <w:rPr>
                <w:rFonts w:eastAsia="Times New Roman" w:cs="Times New Roman"/>
                <w:szCs w:val="28"/>
                <w:lang w:eastAsia="lv-LV"/>
              </w:rPr>
              <w:t>„</w:t>
            </w:r>
            <w:r w:rsidR="00C651D3" w:rsidRPr="00614E71">
              <w:rPr>
                <w:szCs w:val="28"/>
                <w:lang w:eastAsia="lv-LV"/>
              </w:rPr>
              <w:t>Administratīvo pārkāpumu procesa likums” (</w:t>
            </w:r>
            <w:r w:rsidR="00C651D3" w:rsidRPr="00614E71">
              <w:rPr>
                <w:szCs w:val="28"/>
              </w:rPr>
              <w:t>pieņemts 1.lasījumā</w:t>
            </w:r>
            <w:r w:rsidR="00C651D3" w:rsidRPr="00614E71">
              <w:rPr>
                <w:szCs w:val="28"/>
                <w:lang w:eastAsia="lv-LV"/>
              </w:rPr>
              <w:t xml:space="preserve">, reģ.nr. 16/Lp12) </w:t>
            </w:r>
            <w:r w:rsidR="00C651D3" w:rsidRPr="00614E71">
              <w:rPr>
                <w:szCs w:val="28"/>
              </w:rPr>
              <w:t xml:space="preserve">kurā noteikts, ka naudas soda apmēru likumā vai pašvaldību saistošajos noteikumos izsaka naudas soda vienībās, kur vienas naudas soda vienības vērtība ir pieci </w:t>
            </w:r>
            <w:r w:rsidR="00C651D3" w:rsidRPr="00614E71">
              <w:rPr>
                <w:i/>
                <w:szCs w:val="28"/>
              </w:rPr>
              <w:t xml:space="preserve">euro, </w:t>
            </w:r>
            <w:r w:rsidR="00C651D3" w:rsidRPr="00614E71">
              <w:rPr>
                <w:szCs w:val="28"/>
              </w:rPr>
              <w:t xml:space="preserve">Likumprojektā </w:t>
            </w:r>
            <w:r w:rsidR="00C019FB" w:rsidRPr="00614E71">
              <w:rPr>
                <w:szCs w:val="28"/>
              </w:rPr>
              <w:t xml:space="preserve">ir ievērots </w:t>
            </w:r>
            <w:r w:rsidR="006711A8" w:rsidRPr="00614E71">
              <w:rPr>
                <w:szCs w:val="28"/>
              </w:rPr>
              <w:t xml:space="preserve">arī šis </w:t>
            </w:r>
            <w:r w:rsidRPr="00614E71">
              <w:rPr>
                <w:szCs w:val="28"/>
              </w:rPr>
              <w:t xml:space="preserve">topošais </w:t>
            </w:r>
            <w:r w:rsidR="00C019FB" w:rsidRPr="00614E71">
              <w:rPr>
                <w:szCs w:val="28"/>
              </w:rPr>
              <w:t>vienot</w:t>
            </w:r>
            <w:r w:rsidRPr="00614E71">
              <w:rPr>
                <w:szCs w:val="28"/>
              </w:rPr>
              <w:t>ais</w:t>
            </w:r>
            <w:r w:rsidR="00C019FB" w:rsidRPr="00614E71">
              <w:rPr>
                <w:szCs w:val="28"/>
              </w:rPr>
              <w:t xml:space="preserve"> princips, </w:t>
            </w:r>
            <w:r w:rsidR="00C019FB" w:rsidRPr="00614E71">
              <w:rPr>
                <w:rFonts w:eastAsia="Calibri"/>
              </w:rPr>
              <w:t>sodošo normu sankcij</w:t>
            </w:r>
            <w:r w:rsidR="006711A8" w:rsidRPr="00614E71">
              <w:rPr>
                <w:rFonts w:eastAsia="Calibri"/>
              </w:rPr>
              <w:t>u apmēra norādīšanai.</w:t>
            </w:r>
            <w:r w:rsidR="00C019FB" w:rsidRPr="00614E71">
              <w:rPr>
                <w:rFonts w:eastAsia="Calibri"/>
              </w:rPr>
              <w:t xml:space="preserve"> </w:t>
            </w:r>
          </w:p>
        </w:tc>
      </w:tr>
      <w:tr w:rsidR="00614E71" w:rsidRPr="00614E71" w:rsidTr="00B12626">
        <w:trPr>
          <w:trHeight w:val="372"/>
          <w:tblCellSpacing w:w="15" w:type="dxa"/>
        </w:trPr>
        <w:tc>
          <w:tcPr>
            <w:tcW w:w="521"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3.</w:t>
            </w:r>
          </w:p>
        </w:tc>
        <w:tc>
          <w:tcPr>
            <w:tcW w:w="1948"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Projekta izstrādē iesaistītās institūcijas</w:t>
            </w:r>
          </w:p>
        </w:tc>
        <w:tc>
          <w:tcPr>
            <w:tcW w:w="6616" w:type="dxa"/>
            <w:tcBorders>
              <w:top w:val="outset" w:sz="6" w:space="0" w:color="auto"/>
              <w:left w:val="outset" w:sz="6" w:space="0" w:color="auto"/>
              <w:bottom w:val="outset" w:sz="6" w:space="0" w:color="auto"/>
              <w:right w:val="outset" w:sz="6" w:space="0" w:color="auto"/>
            </w:tcBorders>
            <w:hideMark/>
          </w:tcPr>
          <w:p w:rsidR="00892150" w:rsidRDefault="00DA6858" w:rsidP="008960AC">
            <w:pPr>
              <w:widowControl w:val="0"/>
              <w:suppressAutoHyphens/>
              <w:autoSpaceDE w:val="0"/>
              <w:autoSpaceDN w:val="0"/>
              <w:adjustRightInd w:val="0"/>
              <w:jc w:val="both"/>
              <w:rPr>
                <w:rFonts w:eastAsia="Calibri" w:cs="Times New Roman"/>
                <w:szCs w:val="28"/>
              </w:rPr>
            </w:pPr>
            <w:r w:rsidRPr="00614E71">
              <w:rPr>
                <w:rFonts w:eastAsia="Calibri" w:cs="Times New Roman"/>
                <w:szCs w:val="28"/>
              </w:rPr>
              <w:t xml:space="preserve">Likumprojekts ir izstrādāts </w:t>
            </w:r>
            <w:r w:rsidR="009E061E" w:rsidRPr="00614E71">
              <w:rPr>
                <w:rFonts w:eastAsia="Calibri" w:cs="Times New Roman"/>
                <w:szCs w:val="28"/>
              </w:rPr>
              <w:t xml:space="preserve">pamatojoties uz 110 pašvaldību sniegtajiem atzinumiem, kā arī AS </w:t>
            </w:r>
            <w:r w:rsidR="006711A8" w:rsidRPr="00614E71">
              <w:rPr>
                <w:rFonts w:eastAsia="Times New Roman" w:cs="Times New Roman"/>
                <w:szCs w:val="28"/>
                <w:lang w:eastAsia="lv-LV"/>
              </w:rPr>
              <w:t>„</w:t>
            </w:r>
            <w:r w:rsidR="009E061E" w:rsidRPr="00614E71">
              <w:rPr>
                <w:rFonts w:eastAsia="Calibri" w:cs="Times New Roman"/>
                <w:szCs w:val="28"/>
              </w:rPr>
              <w:t>Latvijas Gāze</w:t>
            </w:r>
            <w:r w:rsidR="006711A8" w:rsidRPr="00614E71">
              <w:rPr>
                <w:rFonts w:eastAsia="Calibri" w:cs="Times New Roman"/>
                <w:szCs w:val="28"/>
              </w:rPr>
              <w:t>”</w:t>
            </w:r>
            <w:r w:rsidR="009E061E" w:rsidRPr="00614E71">
              <w:rPr>
                <w:rFonts w:eastAsia="Calibri" w:cs="Times New Roman"/>
                <w:szCs w:val="28"/>
              </w:rPr>
              <w:t xml:space="preserve">, AS </w:t>
            </w:r>
            <w:r w:rsidR="006711A8" w:rsidRPr="00614E71">
              <w:rPr>
                <w:rFonts w:eastAsia="Times New Roman" w:cs="Times New Roman"/>
                <w:szCs w:val="28"/>
                <w:lang w:eastAsia="lv-LV"/>
              </w:rPr>
              <w:t>„</w:t>
            </w:r>
            <w:r w:rsidR="009E061E" w:rsidRPr="00614E71">
              <w:rPr>
                <w:rFonts w:eastAsia="Calibri" w:cs="Times New Roman"/>
                <w:szCs w:val="28"/>
              </w:rPr>
              <w:t>Sadales tīkls</w:t>
            </w:r>
            <w:r w:rsidR="006711A8" w:rsidRPr="00614E71">
              <w:rPr>
                <w:rFonts w:eastAsia="Calibri" w:cs="Times New Roman"/>
                <w:szCs w:val="28"/>
              </w:rPr>
              <w:t>”</w:t>
            </w:r>
            <w:r w:rsidR="009E061E" w:rsidRPr="00614E71">
              <w:rPr>
                <w:rFonts w:eastAsia="Calibri" w:cs="Times New Roman"/>
                <w:szCs w:val="28"/>
              </w:rPr>
              <w:t xml:space="preserve"> un AS </w:t>
            </w:r>
            <w:r w:rsidR="006711A8" w:rsidRPr="00614E71">
              <w:rPr>
                <w:rFonts w:eastAsia="Times New Roman" w:cs="Times New Roman"/>
                <w:szCs w:val="28"/>
                <w:lang w:eastAsia="lv-LV"/>
              </w:rPr>
              <w:t>„</w:t>
            </w:r>
            <w:r w:rsidR="009E061E" w:rsidRPr="00614E71">
              <w:rPr>
                <w:rFonts w:eastAsia="Calibri" w:cs="Times New Roman"/>
                <w:szCs w:val="28"/>
              </w:rPr>
              <w:t>Latvenergo</w:t>
            </w:r>
            <w:r w:rsidR="006711A8" w:rsidRPr="00614E71">
              <w:rPr>
                <w:rFonts w:eastAsia="Calibri" w:cs="Times New Roman"/>
                <w:szCs w:val="28"/>
              </w:rPr>
              <w:t>”</w:t>
            </w:r>
            <w:r w:rsidR="009E061E" w:rsidRPr="00614E71">
              <w:rPr>
                <w:rFonts w:eastAsia="Calibri" w:cs="Times New Roman"/>
                <w:szCs w:val="28"/>
              </w:rPr>
              <w:t xml:space="preserve"> atzinumiem.</w:t>
            </w:r>
            <w:r w:rsidR="00F20233" w:rsidRPr="00614E71">
              <w:rPr>
                <w:rFonts w:eastAsia="Calibri" w:cs="Times New Roman"/>
                <w:szCs w:val="28"/>
              </w:rPr>
              <w:t xml:space="preserve"> </w:t>
            </w:r>
          </w:p>
          <w:p w:rsidR="00F20233" w:rsidRPr="00614E71" w:rsidRDefault="00F20233" w:rsidP="008960AC">
            <w:pPr>
              <w:widowControl w:val="0"/>
              <w:suppressAutoHyphens/>
              <w:autoSpaceDE w:val="0"/>
              <w:autoSpaceDN w:val="0"/>
              <w:adjustRightInd w:val="0"/>
              <w:jc w:val="both"/>
              <w:rPr>
                <w:rFonts w:eastAsia="Calibri" w:cs="Times New Roman"/>
                <w:szCs w:val="28"/>
              </w:rPr>
            </w:pPr>
            <w:r w:rsidRPr="00614E71">
              <w:rPr>
                <w:rFonts w:eastAsia="Calibri" w:cs="Times New Roman"/>
                <w:szCs w:val="28"/>
              </w:rPr>
              <w:t>Tā, piemēram, laika periodā no 2010.-</w:t>
            </w:r>
            <w:r w:rsidR="00790D76" w:rsidRPr="00614E71">
              <w:rPr>
                <w:rFonts w:eastAsia="Calibri" w:cs="Times New Roman"/>
                <w:szCs w:val="28"/>
              </w:rPr>
              <w:t xml:space="preserve">2012.gada, AS </w:t>
            </w:r>
            <w:r w:rsidR="00790D76" w:rsidRPr="00614E71">
              <w:rPr>
                <w:rFonts w:eastAsia="Times New Roman" w:cs="Times New Roman"/>
                <w:szCs w:val="28"/>
                <w:lang w:eastAsia="lv-LV"/>
              </w:rPr>
              <w:t>„</w:t>
            </w:r>
            <w:r w:rsidR="00790D76" w:rsidRPr="00614E71">
              <w:rPr>
                <w:rFonts w:eastAsia="Calibri" w:cs="Times New Roman"/>
                <w:szCs w:val="28"/>
              </w:rPr>
              <w:t xml:space="preserve">Latvijas Gāze” ir konstatējusi 343 patvaļīgas dabasgāzes patēriņa gadījumus, bet par dabasgāzes piegādes tirdzniecības un lietošanas noteikumu pārkāpšanu, </w:t>
            </w:r>
            <w:r w:rsidR="00AE71C5" w:rsidRPr="00614E71">
              <w:rPr>
                <w:rFonts w:eastAsia="Calibri" w:cs="Times New Roman"/>
                <w:szCs w:val="28"/>
              </w:rPr>
              <w:t>324 reizes</w:t>
            </w:r>
            <w:r w:rsidR="00790D76" w:rsidRPr="00614E71">
              <w:rPr>
                <w:rFonts w:eastAsia="Calibri" w:cs="Times New Roman"/>
                <w:szCs w:val="28"/>
              </w:rPr>
              <w:t xml:space="preserve"> </w:t>
            </w:r>
            <w:r w:rsidR="00AE71C5" w:rsidRPr="00614E71">
              <w:rPr>
                <w:rFonts w:eastAsia="Calibri" w:cs="Times New Roman"/>
                <w:szCs w:val="28"/>
              </w:rPr>
              <w:t xml:space="preserve">lūgusi </w:t>
            </w:r>
            <w:r w:rsidR="00790D76" w:rsidRPr="00614E71">
              <w:rPr>
                <w:rFonts w:eastAsia="Calibri" w:cs="Times New Roman"/>
                <w:szCs w:val="28"/>
              </w:rPr>
              <w:t>policiju uzsākt administratīvo lietvedību.</w:t>
            </w:r>
            <w:r w:rsidR="00AE71C5" w:rsidRPr="00614E71">
              <w:rPr>
                <w:rFonts w:eastAsia="Calibri" w:cs="Times New Roman"/>
                <w:szCs w:val="28"/>
              </w:rPr>
              <w:t xml:space="preserve"> Savukārt, AS „Sadales tīkls”</w:t>
            </w:r>
            <w:r w:rsidR="0044001E" w:rsidRPr="00614E71">
              <w:rPr>
                <w:rFonts w:eastAsia="Calibri" w:cs="Times New Roman"/>
                <w:szCs w:val="28"/>
              </w:rPr>
              <w:t xml:space="preserve"> ir konstatējusi 4657 </w:t>
            </w:r>
            <w:r w:rsidR="00AE71C5" w:rsidRPr="00614E71">
              <w:rPr>
                <w:rFonts w:eastAsia="Calibri" w:cs="Times New Roman"/>
                <w:szCs w:val="28"/>
              </w:rPr>
              <w:t>nelikumīgu elektroenerģijas izmanto</w:t>
            </w:r>
            <w:r w:rsidR="0044001E" w:rsidRPr="00614E71">
              <w:rPr>
                <w:rFonts w:eastAsia="Calibri" w:cs="Times New Roman"/>
                <w:szCs w:val="28"/>
              </w:rPr>
              <w:t>šanas</w:t>
            </w:r>
            <w:r w:rsidR="00AE71C5" w:rsidRPr="00614E71">
              <w:rPr>
                <w:rFonts w:eastAsia="Calibri" w:cs="Times New Roman"/>
                <w:szCs w:val="28"/>
              </w:rPr>
              <w:t xml:space="preserve"> pārkāpumus un ierosinājusi 600 administratīvā procesa lietas, turklāt, pār</w:t>
            </w:r>
            <w:r w:rsidR="0085771A" w:rsidRPr="00614E71">
              <w:rPr>
                <w:rFonts w:eastAsia="Calibri" w:cs="Times New Roman"/>
                <w:szCs w:val="28"/>
              </w:rPr>
              <w:t xml:space="preserve">kāpumi nereti tiek realizēti bīstamā veidā gan no elektrodrošības, gan ugunsdrošības viedokļa un ir konstatēti arī letāli gadījumi. Attiecībā uz pašvaldībām augstāk minētajā laika periodā par </w:t>
            </w:r>
            <w:r w:rsidR="0085771A" w:rsidRPr="00614E71">
              <w:t>elektroenerģijas, siltumenerģijas vai gāzes piegādes, tirdzniecības un lietošanas noteikumu pārkāpšanu, kā arī patvaļīgu šo energoresursu patērēšanu ir konstatē</w:t>
            </w:r>
            <w:r w:rsidR="0044001E" w:rsidRPr="00614E71">
              <w:t>ti</w:t>
            </w:r>
            <w:r w:rsidR="0085771A" w:rsidRPr="00614E71">
              <w:t xml:space="preserve"> administratīv</w:t>
            </w:r>
            <w:r w:rsidR="0044001E" w:rsidRPr="00614E71">
              <w:t>ie</w:t>
            </w:r>
            <w:r w:rsidR="0085771A" w:rsidRPr="00614E71">
              <w:t xml:space="preserve"> pārkāpum</w:t>
            </w:r>
            <w:r w:rsidR="0044001E" w:rsidRPr="00614E71">
              <w:t>i</w:t>
            </w:r>
            <w:r w:rsidR="0085771A" w:rsidRPr="00614E71">
              <w:t xml:space="preserve">, piemēram, </w:t>
            </w:r>
            <w:r w:rsidR="0044001E" w:rsidRPr="00614E71">
              <w:t xml:space="preserve">Rēzeknes novadā 65, Gulbenes novadā 41, Balvu novadā 13, Alūksnes novadā 15, Ogres novadā 6, </w:t>
            </w:r>
            <w:r w:rsidR="00995978" w:rsidRPr="00614E71">
              <w:t xml:space="preserve">Skrīveru novadā 4, Liepājas novadā 42, Dagdas novadā 12, </w:t>
            </w:r>
            <w:r w:rsidR="00265D5B" w:rsidRPr="00614E71">
              <w:t xml:space="preserve">Carnikavas novadā 6, bet </w:t>
            </w:r>
            <w:r w:rsidR="00265D5B" w:rsidRPr="00614E71">
              <w:rPr>
                <w:rFonts w:eastAsia="Calibri" w:cs="Times New Roman"/>
                <w:szCs w:val="28"/>
              </w:rPr>
              <w:t>Rīgas Pašvaldības policijas darbinieki bija uzsākuši 23 administratīvā pārkāpuma lietas.</w:t>
            </w:r>
          </w:p>
          <w:p w:rsidR="00DA6858" w:rsidRPr="00614E71" w:rsidRDefault="00F068AE" w:rsidP="008960AC">
            <w:pPr>
              <w:widowControl w:val="0"/>
              <w:suppressAutoHyphens/>
              <w:autoSpaceDE w:val="0"/>
              <w:autoSpaceDN w:val="0"/>
              <w:adjustRightInd w:val="0"/>
              <w:jc w:val="both"/>
              <w:rPr>
                <w:rFonts w:eastAsia="Calibri" w:cs="Times New Roman"/>
                <w:szCs w:val="28"/>
              </w:rPr>
            </w:pPr>
            <w:r w:rsidRPr="00614E71">
              <w:rPr>
                <w:rFonts w:eastAsia="Calibri" w:cs="Times New Roman"/>
                <w:szCs w:val="28"/>
              </w:rPr>
              <w:t xml:space="preserve">Saskaņā ar </w:t>
            </w:r>
            <w:r w:rsidRPr="00614E71">
              <w:rPr>
                <w:rFonts w:cs="Times New Roman"/>
                <w:szCs w:val="28"/>
              </w:rPr>
              <w:t>Ministru kabineta 2014</w:t>
            </w:r>
            <w:r w:rsidR="006711A8" w:rsidRPr="00614E71">
              <w:rPr>
                <w:rFonts w:cs="Times New Roman"/>
                <w:szCs w:val="28"/>
              </w:rPr>
              <w:t xml:space="preserve">.gada 22.aprīļa protokollēmuma </w:t>
            </w:r>
            <w:r w:rsidR="006711A8" w:rsidRPr="00614E71">
              <w:rPr>
                <w:rFonts w:eastAsia="Times New Roman" w:cs="Times New Roman"/>
                <w:szCs w:val="28"/>
                <w:lang w:eastAsia="lv-LV"/>
              </w:rPr>
              <w:t>„</w:t>
            </w:r>
            <w:r w:rsidR="006711A8" w:rsidRPr="00614E71">
              <w:rPr>
                <w:rFonts w:cs="Times New Roman"/>
                <w:bCs/>
                <w:szCs w:val="28"/>
                <w:shd w:val="clear" w:color="auto" w:fill="FFFFFF"/>
              </w:rPr>
              <w:t xml:space="preserve">Informatīvais ziņojums </w:t>
            </w:r>
            <w:r w:rsidR="006711A8" w:rsidRPr="00614E71">
              <w:rPr>
                <w:rFonts w:eastAsia="Times New Roman" w:cs="Times New Roman"/>
                <w:szCs w:val="28"/>
                <w:lang w:eastAsia="lv-LV"/>
              </w:rPr>
              <w:t>„</w:t>
            </w:r>
            <w:r w:rsidRPr="00614E71">
              <w:rPr>
                <w:rFonts w:cs="Times New Roman"/>
                <w:bCs/>
                <w:szCs w:val="28"/>
                <w:shd w:val="clear" w:color="auto" w:fill="FFFFFF"/>
              </w:rPr>
              <w:t xml:space="preserve">Nozaru administratīvo pārkāpumu kodifikācijas ieviešanas sistēma”” (TA-775) </w:t>
            </w:r>
            <w:r w:rsidRPr="00614E71">
              <w:rPr>
                <w:rFonts w:cs="Times New Roman"/>
                <w:szCs w:val="28"/>
              </w:rPr>
              <w:t xml:space="preserve">(prot. nr.24 26.§) </w:t>
            </w:r>
            <w:r w:rsidRPr="00614E71">
              <w:rPr>
                <w:rFonts w:cs="Times New Roman"/>
                <w:bCs/>
                <w:szCs w:val="28"/>
                <w:shd w:val="clear" w:color="auto" w:fill="FFFFFF"/>
              </w:rPr>
              <w:t xml:space="preserve">3.punktu, likumprojekts ir izskatīts un atbalstīts Tieslietu ministrijas </w:t>
            </w:r>
            <w:r w:rsidR="006711A8" w:rsidRPr="00614E71">
              <w:rPr>
                <w:rFonts w:eastAsia="Times New Roman" w:cs="Times New Roman"/>
                <w:szCs w:val="28"/>
                <w:lang w:eastAsia="lv-LV"/>
              </w:rPr>
              <w:t>„</w:t>
            </w:r>
            <w:r w:rsidRPr="00614E71">
              <w:rPr>
                <w:rFonts w:cs="Times New Roman"/>
                <w:szCs w:val="28"/>
              </w:rPr>
              <w:t>Pastāvīgajā Latvijas Administratīvo pārkāpumu kodeksa darba grupā”.</w:t>
            </w:r>
          </w:p>
        </w:tc>
      </w:tr>
      <w:tr w:rsidR="00614E71" w:rsidRPr="00614E71" w:rsidTr="00B12626">
        <w:trPr>
          <w:tblCellSpacing w:w="15" w:type="dxa"/>
        </w:trPr>
        <w:tc>
          <w:tcPr>
            <w:tcW w:w="521"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4.</w:t>
            </w:r>
          </w:p>
        </w:tc>
        <w:tc>
          <w:tcPr>
            <w:tcW w:w="1948"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6616" w:type="dxa"/>
            <w:tcBorders>
              <w:top w:val="outset" w:sz="6" w:space="0" w:color="auto"/>
              <w:left w:val="outset" w:sz="6" w:space="0" w:color="auto"/>
              <w:bottom w:val="outset" w:sz="6" w:space="0" w:color="auto"/>
              <w:right w:val="outset" w:sz="6" w:space="0" w:color="auto"/>
            </w:tcBorders>
            <w:hideMark/>
          </w:tcPr>
          <w:p w:rsidR="00DA6858" w:rsidRPr="00614E71" w:rsidRDefault="00E64B54" w:rsidP="00E64B5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bCs/>
                <w:sz w:val="28"/>
                <w:szCs w:val="28"/>
                <w:lang w:val="lv-LV" w:eastAsia="lv-LV"/>
              </w:rPr>
            </w:pPr>
            <w:r w:rsidRPr="00614E71">
              <w:rPr>
                <w:bCs/>
                <w:sz w:val="28"/>
                <w:szCs w:val="28"/>
                <w:lang w:val="lv-LV" w:eastAsia="lv-LV"/>
              </w:rPr>
              <w:t>Administratīvie pārkāpumi</w:t>
            </w:r>
            <w:r w:rsidRPr="00614E71">
              <w:rPr>
                <w:sz w:val="28"/>
                <w:szCs w:val="28"/>
                <w:lang w:val="lv-LV"/>
              </w:rPr>
              <w:t xml:space="preserve"> par normatīvajos aktos noteikto prasību un aprobežojumu</w:t>
            </w:r>
            <w:r w:rsidRPr="00614E71">
              <w:rPr>
                <w:bCs/>
                <w:sz w:val="28"/>
                <w:szCs w:val="28"/>
                <w:lang w:val="lv-LV" w:eastAsia="lv-LV"/>
              </w:rPr>
              <w:t xml:space="preserve"> neievērošanu elektrotīklu ekspluatācijas aizsargjoslās, kas noteikti LAPK  93.</w:t>
            </w:r>
            <w:r w:rsidRPr="00614E71">
              <w:rPr>
                <w:bCs/>
                <w:sz w:val="28"/>
                <w:szCs w:val="28"/>
                <w:vertAlign w:val="superscript"/>
                <w:lang w:val="lv-LV" w:eastAsia="lv-LV"/>
              </w:rPr>
              <w:t xml:space="preserve"> </w:t>
            </w:r>
            <w:r w:rsidRPr="00614E71">
              <w:rPr>
                <w:bCs/>
                <w:sz w:val="28"/>
                <w:szCs w:val="28"/>
                <w:lang w:val="lv-LV" w:eastAsia="lv-LV"/>
              </w:rPr>
              <w:t>pantā, kā arī lai noteiktu kompetento iestādi, kas var piemērot administratīvos sodus, tiks iekļauti Aizsargjoslu likumā.</w:t>
            </w:r>
          </w:p>
        </w:tc>
      </w:tr>
    </w:tbl>
    <w:p w:rsidR="00DA6858" w:rsidRPr="00614E71" w:rsidRDefault="00DA6858" w:rsidP="00DA6858">
      <w:pPr>
        <w:rPr>
          <w:rFonts w:eastAsia="Times New Roman" w:cs="Times New Roman"/>
          <w:szCs w:val="28"/>
          <w:lang w:eastAsia="lv-LV"/>
        </w:rPr>
      </w:pPr>
      <w:r w:rsidRPr="00614E71">
        <w:rPr>
          <w:rFonts w:eastAsia="Times New Roman" w:cs="Times New Roman"/>
          <w:szCs w:val="28"/>
          <w:lang w:eastAsia="lv-LV"/>
        </w:rPr>
        <w:t>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74"/>
        <w:gridCol w:w="4698"/>
        <w:gridCol w:w="4033"/>
      </w:tblGrid>
      <w:tr w:rsidR="00614E71" w:rsidRPr="00614E71" w:rsidTr="00B12626">
        <w:trPr>
          <w:trHeight w:val="444"/>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b/>
                <w:bCs/>
                <w:szCs w:val="28"/>
                <w:lang w:eastAsia="lv-LV"/>
              </w:rPr>
              <w:t>II. Tiesību akta projekta ietekme uz sabiedrību, tautsaimniecības attīstību un administratīvo slogu</w:t>
            </w:r>
          </w:p>
        </w:tc>
      </w:tr>
      <w:tr w:rsidR="00614E71" w:rsidRPr="00614E71" w:rsidTr="00D63109">
        <w:trPr>
          <w:trHeight w:val="372"/>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1.</w:t>
            </w:r>
          </w:p>
        </w:tc>
        <w:tc>
          <w:tcPr>
            <w:tcW w:w="2552"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Sabiedrības mērķgrupas, kuras tiesiskais regulējums ietekmē vai varētu ietekmēt</w:t>
            </w:r>
          </w:p>
        </w:tc>
        <w:tc>
          <w:tcPr>
            <w:tcW w:w="2149" w:type="pct"/>
            <w:tcBorders>
              <w:top w:val="outset" w:sz="6" w:space="0" w:color="auto"/>
              <w:left w:val="outset" w:sz="6" w:space="0" w:color="auto"/>
              <w:bottom w:val="outset" w:sz="6" w:space="0" w:color="auto"/>
              <w:right w:val="outset" w:sz="6" w:space="0" w:color="auto"/>
            </w:tcBorders>
            <w:hideMark/>
          </w:tcPr>
          <w:p w:rsidR="00DA6858" w:rsidRPr="00614E71" w:rsidRDefault="00F068AE" w:rsidP="00A02B75">
            <w:pPr>
              <w:jc w:val="both"/>
              <w:rPr>
                <w:rFonts w:eastAsia="Calibri" w:cs="Times New Roman"/>
                <w:szCs w:val="28"/>
              </w:rPr>
            </w:pPr>
            <w:r w:rsidRPr="00614E71">
              <w:rPr>
                <w:rFonts w:eastAsia="Calibri" w:cs="Times New Roman"/>
                <w:szCs w:val="28"/>
              </w:rPr>
              <w:t xml:space="preserve">Energosistēmu lietotāji un </w:t>
            </w:r>
            <w:r w:rsidRPr="00614E71">
              <w:rPr>
                <w:rFonts w:eastAsia="Times New Roman" w:cs="Times New Roman"/>
                <w:bCs/>
                <w:szCs w:val="28"/>
                <w:lang w:eastAsia="lv-LV"/>
              </w:rPr>
              <w:t>pašvaldību administratīvās komisijas</w:t>
            </w:r>
            <w:r w:rsidRPr="00614E71">
              <w:rPr>
                <w:rFonts w:cs="Times New Roman"/>
                <w:noProof/>
                <w:sz w:val="24"/>
                <w:szCs w:val="24"/>
              </w:rPr>
              <w:t>.</w:t>
            </w:r>
          </w:p>
        </w:tc>
      </w:tr>
      <w:tr w:rsidR="00614E71" w:rsidRPr="00614E71" w:rsidTr="00D63109">
        <w:trPr>
          <w:trHeight w:val="408"/>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2.</w:t>
            </w:r>
          </w:p>
        </w:tc>
        <w:tc>
          <w:tcPr>
            <w:tcW w:w="2552"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Tiesiskā regulējuma ietekme uz tautsaimniecību un administratīvo slogu</w:t>
            </w:r>
          </w:p>
        </w:tc>
        <w:tc>
          <w:tcPr>
            <w:tcW w:w="2149"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jc w:val="both"/>
              <w:rPr>
                <w:rFonts w:eastAsia="Times New Roman" w:cs="Times New Roman"/>
                <w:szCs w:val="28"/>
                <w:lang w:eastAsia="lv-LV"/>
              </w:rPr>
            </w:pPr>
            <w:r w:rsidRPr="00614E71">
              <w:rPr>
                <w:rFonts w:eastAsia="Times New Roman" w:cs="Times New Roman"/>
                <w:szCs w:val="28"/>
                <w:lang w:eastAsia="lv-LV"/>
              </w:rPr>
              <w:t>Projekts šo jomu neskar</w:t>
            </w:r>
          </w:p>
        </w:tc>
      </w:tr>
      <w:tr w:rsidR="00614E71" w:rsidRPr="00614E71" w:rsidTr="00D63109">
        <w:trPr>
          <w:trHeight w:val="408"/>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3.</w:t>
            </w:r>
          </w:p>
        </w:tc>
        <w:tc>
          <w:tcPr>
            <w:tcW w:w="2552"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Administratīvo izmaksu monetārs novērtējums</w:t>
            </w:r>
          </w:p>
        </w:tc>
        <w:tc>
          <w:tcPr>
            <w:tcW w:w="2149"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Projekts šo jomu neskar</w:t>
            </w:r>
          </w:p>
        </w:tc>
      </w:tr>
      <w:tr w:rsidR="00DA6858" w:rsidRPr="00614E71" w:rsidTr="00D63109">
        <w:trPr>
          <w:trHeight w:val="276"/>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4.</w:t>
            </w:r>
          </w:p>
        </w:tc>
        <w:tc>
          <w:tcPr>
            <w:tcW w:w="2552"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2149"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rPr>
                <w:rFonts w:eastAsia="Times New Roman" w:cs="Times New Roman"/>
                <w:szCs w:val="28"/>
                <w:lang w:eastAsia="lv-LV"/>
              </w:rPr>
            </w:pPr>
            <w:r w:rsidRPr="00614E71">
              <w:rPr>
                <w:rFonts w:eastAsia="Times New Roman" w:cs="Times New Roman"/>
                <w:szCs w:val="28"/>
                <w:lang w:eastAsia="lv-LV"/>
              </w:rPr>
              <w:t>Nav</w:t>
            </w:r>
          </w:p>
        </w:tc>
      </w:tr>
    </w:tbl>
    <w:p w:rsidR="00DA6858" w:rsidRPr="00614E71" w:rsidRDefault="00DA6858" w:rsidP="00DA6858">
      <w:pPr>
        <w:rPr>
          <w:rFonts w:eastAsia="Times New Roman" w:cs="Times New Roman"/>
          <w:szCs w:val="28"/>
          <w:lang w:eastAsia="lv-LV"/>
        </w:rPr>
      </w:pPr>
    </w:p>
    <w:tbl>
      <w:tblPr>
        <w:tblW w:w="5085" w:type="pct"/>
        <w:tblCellSpacing w:w="20" w:type="dxa"/>
        <w:tblInd w:w="-3" w:type="dxa"/>
        <w:tblBorders>
          <w:top w:val="outset" w:sz="6" w:space="0" w:color="auto"/>
          <w:bottom w:val="outset" w:sz="6" w:space="0" w:color="414142"/>
          <w:right w:val="outset" w:sz="6" w:space="0" w:color="auto"/>
          <w:insideH w:val="outset" w:sz="6" w:space="0" w:color="auto"/>
          <w:insideV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17"/>
      </w:tblGrid>
      <w:tr w:rsidR="00614E71" w:rsidRPr="00614E71" w:rsidTr="00B12626">
        <w:trPr>
          <w:trHeight w:val="360"/>
          <w:tblCellSpacing w:w="20" w:type="dxa"/>
        </w:trPr>
        <w:tc>
          <w:tcPr>
            <w:tcW w:w="9137" w:type="dxa"/>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eastAsia="Times New Roman" w:cs="Times New Roman"/>
                <w:szCs w:val="28"/>
                <w:lang w:eastAsia="lv-LV"/>
              </w:rPr>
              <w:t> </w:t>
            </w:r>
            <w:r w:rsidRPr="00614E71">
              <w:rPr>
                <w:rFonts w:eastAsia="Times New Roman" w:cs="Times New Roman"/>
                <w:b/>
                <w:bCs/>
                <w:szCs w:val="28"/>
                <w:lang w:eastAsia="lv-LV"/>
              </w:rPr>
              <w:t>III. Tiesību akta projekta ietekme uz valsts budžetu un pašvaldību budžetiem</w:t>
            </w:r>
          </w:p>
        </w:tc>
      </w:tr>
      <w:tr w:rsidR="00614E71" w:rsidRPr="00614E71" w:rsidTr="00B12626">
        <w:trPr>
          <w:trHeight w:val="360"/>
          <w:tblCellSpacing w:w="20" w:type="dxa"/>
        </w:trPr>
        <w:tc>
          <w:tcPr>
            <w:tcW w:w="9137" w:type="dxa"/>
            <w:vAlign w:val="center"/>
          </w:tcPr>
          <w:p w:rsidR="00DA6858" w:rsidRPr="00614E71" w:rsidRDefault="00DA6858" w:rsidP="00A02B75">
            <w:pPr>
              <w:jc w:val="center"/>
              <w:rPr>
                <w:rFonts w:eastAsia="Times New Roman" w:cs="Times New Roman"/>
                <w:b/>
                <w:bCs/>
                <w:szCs w:val="28"/>
                <w:lang w:eastAsia="lv-LV"/>
              </w:rPr>
            </w:pPr>
            <w:r w:rsidRPr="00614E71">
              <w:rPr>
                <w:rFonts w:cs="Times New Roman"/>
                <w:szCs w:val="28"/>
                <w:lang w:eastAsia="lv-LV"/>
              </w:rPr>
              <w:t>Projekts šo jomu neskar</w:t>
            </w:r>
          </w:p>
        </w:tc>
      </w:tr>
      <w:tr w:rsidR="00614E71" w:rsidRPr="00614E71" w:rsidTr="00B12626">
        <w:trPr>
          <w:trHeight w:val="450"/>
          <w:tblCellSpacing w:w="20" w:type="dxa"/>
        </w:trPr>
        <w:tc>
          <w:tcPr>
            <w:tcW w:w="9137" w:type="dxa"/>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eastAsia="Times New Roman" w:cs="Times New Roman"/>
                <w:b/>
                <w:bCs/>
                <w:szCs w:val="28"/>
                <w:lang w:eastAsia="lv-LV"/>
              </w:rPr>
              <w:t>IV. Tiesību akta projekta ietekme uz spēkā esošo tiesību normu sistēmu</w:t>
            </w:r>
          </w:p>
        </w:tc>
      </w:tr>
      <w:tr w:rsidR="00614E71" w:rsidRPr="00614E71" w:rsidTr="00B12626">
        <w:trPr>
          <w:tblCellSpacing w:w="20" w:type="dxa"/>
        </w:trPr>
        <w:tc>
          <w:tcPr>
            <w:tcW w:w="9137" w:type="dxa"/>
            <w:hideMark/>
          </w:tcPr>
          <w:p w:rsidR="00DA6858" w:rsidRPr="00614E71" w:rsidRDefault="00DA6858" w:rsidP="00A02B75">
            <w:pPr>
              <w:jc w:val="center"/>
              <w:rPr>
                <w:rFonts w:eastAsia="Times New Roman" w:cs="Times New Roman"/>
                <w:szCs w:val="28"/>
                <w:lang w:eastAsia="lv-LV"/>
              </w:rPr>
            </w:pPr>
            <w:r w:rsidRPr="00614E71">
              <w:rPr>
                <w:rFonts w:cs="Times New Roman"/>
                <w:szCs w:val="28"/>
                <w:lang w:eastAsia="lv-LV"/>
              </w:rPr>
              <w:t>Projekts šo jomu neskar</w:t>
            </w:r>
          </w:p>
        </w:tc>
      </w:tr>
      <w:tr w:rsidR="00614E71" w:rsidRPr="00614E71" w:rsidTr="00B12626">
        <w:trPr>
          <w:tblCellSpacing w:w="20" w:type="dxa"/>
        </w:trPr>
        <w:tc>
          <w:tcPr>
            <w:tcW w:w="9137" w:type="dxa"/>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eastAsia="Times New Roman" w:cs="Times New Roman"/>
                <w:b/>
                <w:bCs/>
                <w:szCs w:val="28"/>
                <w:lang w:eastAsia="lv-LV"/>
              </w:rPr>
              <w:t>V. Tiesību akta projekta atbilstība Latvijas Republikas starptautiskajām saistībām</w:t>
            </w:r>
          </w:p>
        </w:tc>
      </w:tr>
      <w:tr w:rsidR="00614E71" w:rsidRPr="00614E71" w:rsidTr="00B12626">
        <w:trPr>
          <w:tblCellSpacing w:w="20" w:type="dxa"/>
        </w:trPr>
        <w:tc>
          <w:tcPr>
            <w:tcW w:w="9137" w:type="dxa"/>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cs="Times New Roman"/>
                <w:szCs w:val="28"/>
                <w:lang w:eastAsia="lv-LV"/>
              </w:rPr>
              <w:t>Projekts šo jomu neskar</w:t>
            </w:r>
          </w:p>
        </w:tc>
      </w:tr>
    </w:tbl>
    <w:p w:rsidR="00DA6858" w:rsidRPr="00614E71" w:rsidRDefault="00DA6858" w:rsidP="00DA6858">
      <w:pPr>
        <w:rPr>
          <w:rFonts w:eastAsia="Times New Roman" w:cs="Times New Roman"/>
          <w:szCs w:val="28"/>
          <w:lang w:eastAsia="lv-LV"/>
        </w:rPr>
      </w:pPr>
      <w:r w:rsidRPr="00614E71">
        <w:rPr>
          <w:rFonts w:eastAsia="Times New Roman" w:cs="Times New Roman"/>
          <w:szCs w:val="28"/>
          <w:lang w:eastAsia="lv-LV"/>
        </w:rPr>
        <w:t> </w:t>
      </w:r>
    </w:p>
    <w:tbl>
      <w:tblPr>
        <w:tblW w:w="5088" w:type="pct"/>
        <w:tblCellSpacing w:w="15" w:type="dxa"/>
        <w:tblInd w:w="-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3"/>
        <w:gridCol w:w="2062"/>
        <w:gridCol w:w="6819"/>
      </w:tblGrid>
      <w:tr w:rsidR="00614E71" w:rsidRPr="00614E71" w:rsidTr="00B12626">
        <w:trPr>
          <w:trHeight w:val="336"/>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b/>
                <w:bCs/>
                <w:szCs w:val="28"/>
                <w:lang w:eastAsia="lv-LV"/>
              </w:rPr>
              <w:t>VI. Sabiedrības līdzdalība un komunikācijas aktivitātes</w:t>
            </w:r>
          </w:p>
        </w:tc>
      </w:tr>
      <w:tr w:rsidR="00614E71" w:rsidRPr="00614E71" w:rsidTr="00B12626">
        <w:trPr>
          <w:trHeight w:val="432"/>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1.</w:t>
            </w:r>
          </w:p>
        </w:tc>
        <w:tc>
          <w:tcPr>
            <w:tcW w:w="1111"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Plānotās sabiedrības līdzdalības un komunikācijas aktivitātes saistībā ar projektu</w:t>
            </w:r>
          </w:p>
        </w:tc>
        <w:tc>
          <w:tcPr>
            <w:tcW w:w="3668" w:type="pct"/>
            <w:tcBorders>
              <w:top w:val="outset" w:sz="6" w:space="0" w:color="auto"/>
              <w:left w:val="outset" w:sz="6" w:space="0" w:color="auto"/>
              <w:bottom w:val="outset" w:sz="6" w:space="0" w:color="auto"/>
              <w:right w:val="outset" w:sz="6" w:space="0" w:color="auto"/>
            </w:tcBorders>
            <w:hideMark/>
          </w:tcPr>
          <w:p w:rsidR="00DA6858" w:rsidRPr="00614E71" w:rsidRDefault="00F068AE" w:rsidP="00A02B75">
            <w:pPr>
              <w:widowControl w:val="0"/>
              <w:suppressAutoHyphens/>
              <w:autoSpaceDE w:val="0"/>
              <w:autoSpaceDN w:val="0"/>
              <w:adjustRightInd w:val="0"/>
              <w:jc w:val="both"/>
              <w:rPr>
                <w:rFonts w:cs="Times New Roman"/>
                <w:szCs w:val="28"/>
                <w:lang w:eastAsia="lv-LV"/>
              </w:rPr>
            </w:pPr>
            <w:r w:rsidRPr="00614E71">
              <w:rPr>
                <w:rFonts w:eastAsia="Calibri" w:cs="Times New Roman"/>
                <w:szCs w:val="28"/>
              </w:rPr>
              <w:t xml:space="preserve">Saskaņā ar </w:t>
            </w:r>
            <w:r w:rsidRPr="00614E71">
              <w:rPr>
                <w:rFonts w:cs="Times New Roman"/>
                <w:szCs w:val="28"/>
              </w:rPr>
              <w:t>Ministru kabineta 2014</w:t>
            </w:r>
            <w:r w:rsidR="006711A8" w:rsidRPr="00614E71">
              <w:rPr>
                <w:rFonts w:cs="Times New Roman"/>
                <w:szCs w:val="28"/>
              </w:rPr>
              <w:t xml:space="preserve">.gada 22.aprīļa protokollēmuma </w:t>
            </w:r>
            <w:r w:rsidR="006711A8" w:rsidRPr="00614E71">
              <w:rPr>
                <w:rFonts w:eastAsia="Times New Roman" w:cs="Times New Roman"/>
                <w:szCs w:val="28"/>
                <w:lang w:eastAsia="lv-LV"/>
              </w:rPr>
              <w:t>„</w:t>
            </w:r>
            <w:r w:rsidR="006711A8" w:rsidRPr="00614E71">
              <w:rPr>
                <w:rFonts w:cs="Times New Roman"/>
                <w:bCs/>
                <w:szCs w:val="28"/>
                <w:shd w:val="clear" w:color="auto" w:fill="FFFFFF"/>
              </w:rPr>
              <w:t xml:space="preserve">Informatīvais ziņojums </w:t>
            </w:r>
            <w:r w:rsidR="006711A8" w:rsidRPr="00614E71">
              <w:rPr>
                <w:rFonts w:eastAsia="Times New Roman" w:cs="Times New Roman"/>
                <w:szCs w:val="28"/>
                <w:lang w:eastAsia="lv-LV"/>
              </w:rPr>
              <w:t>„</w:t>
            </w:r>
            <w:r w:rsidRPr="00614E71">
              <w:rPr>
                <w:rFonts w:cs="Times New Roman"/>
                <w:bCs/>
                <w:szCs w:val="28"/>
                <w:shd w:val="clear" w:color="auto" w:fill="FFFFFF"/>
              </w:rPr>
              <w:t xml:space="preserve">Nozaru administratīvo pārkāpumu kodifikācijas ieviešanas sistēma”” (TA-775) </w:t>
            </w:r>
            <w:r w:rsidRPr="00614E71">
              <w:rPr>
                <w:rFonts w:cs="Times New Roman"/>
                <w:szCs w:val="28"/>
              </w:rPr>
              <w:t xml:space="preserve">(prot. nr.24 26.§) </w:t>
            </w:r>
            <w:r w:rsidRPr="00614E71">
              <w:rPr>
                <w:rFonts w:cs="Times New Roman"/>
                <w:bCs/>
                <w:szCs w:val="28"/>
                <w:shd w:val="clear" w:color="auto" w:fill="FFFFFF"/>
              </w:rPr>
              <w:t xml:space="preserve">3.punktu, likumprojekts ir izskatīts un atbalstīts Tieslietu ministrijas </w:t>
            </w:r>
            <w:r w:rsidR="006711A8" w:rsidRPr="00614E71">
              <w:rPr>
                <w:rFonts w:eastAsia="Times New Roman" w:cs="Times New Roman"/>
                <w:szCs w:val="28"/>
                <w:lang w:eastAsia="lv-LV"/>
              </w:rPr>
              <w:t>„</w:t>
            </w:r>
            <w:r w:rsidRPr="00614E71">
              <w:rPr>
                <w:rFonts w:cs="Times New Roman"/>
                <w:szCs w:val="28"/>
              </w:rPr>
              <w:t>Pastāvīgajā Latvijas Administratīvo pārkāpumu kodeksa darba grupā”.</w:t>
            </w:r>
          </w:p>
        </w:tc>
      </w:tr>
      <w:tr w:rsidR="00614E71" w:rsidRPr="00614E71" w:rsidTr="00B12626">
        <w:trPr>
          <w:trHeight w:val="264"/>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2.</w:t>
            </w:r>
          </w:p>
        </w:tc>
        <w:tc>
          <w:tcPr>
            <w:tcW w:w="1111"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Sabiedrības līdzdalība projekta izstrādē</w:t>
            </w:r>
          </w:p>
        </w:tc>
        <w:tc>
          <w:tcPr>
            <w:tcW w:w="3668" w:type="pct"/>
            <w:tcBorders>
              <w:top w:val="outset" w:sz="6" w:space="0" w:color="auto"/>
              <w:left w:val="outset" w:sz="6" w:space="0" w:color="auto"/>
              <w:bottom w:val="outset" w:sz="6" w:space="0" w:color="auto"/>
              <w:right w:val="outset" w:sz="6" w:space="0" w:color="auto"/>
            </w:tcBorders>
            <w:hideMark/>
          </w:tcPr>
          <w:p w:rsidR="00DA6858" w:rsidRPr="00614E71" w:rsidRDefault="00F068AE" w:rsidP="00892150">
            <w:pPr>
              <w:rPr>
                <w:rFonts w:eastAsia="Times New Roman" w:cs="Times New Roman"/>
                <w:szCs w:val="28"/>
                <w:lang w:eastAsia="lv-LV"/>
              </w:rPr>
            </w:pPr>
            <w:r w:rsidRPr="00614E71">
              <w:rPr>
                <w:rStyle w:val="st1"/>
                <w:rFonts w:cs="Times New Roman"/>
                <w:bCs/>
                <w:szCs w:val="28"/>
              </w:rPr>
              <w:t>S</w:t>
            </w:r>
            <w:r w:rsidRPr="00614E71">
              <w:rPr>
                <w:rFonts w:cs="Times New Roman"/>
                <w:iCs/>
                <w:szCs w:val="28"/>
              </w:rPr>
              <w:t>abiedrības līdzdalība projekta izstrādē nodrošināta</w:t>
            </w:r>
            <w:r w:rsidR="00892150">
              <w:rPr>
                <w:rFonts w:cs="Times New Roman"/>
                <w:iCs/>
                <w:szCs w:val="28"/>
              </w:rPr>
              <w:t xml:space="preserve"> likumprojektu </w:t>
            </w:r>
            <w:r w:rsidRPr="00614E71">
              <w:rPr>
                <w:rFonts w:cs="Times New Roman"/>
                <w:iCs/>
                <w:szCs w:val="28"/>
              </w:rPr>
              <w:t xml:space="preserve">publicējot Ekonomikas ministrijas </w:t>
            </w:r>
            <w:r w:rsidR="00892150">
              <w:rPr>
                <w:rFonts w:cs="Times New Roman"/>
                <w:iCs/>
                <w:szCs w:val="28"/>
              </w:rPr>
              <w:t>tīmekļvietnē</w:t>
            </w:r>
            <w:r w:rsidRPr="00614E71">
              <w:rPr>
                <w:rFonts w:cs="Times New Roman"/>
                <w:iCs/>
                <w:szCs w:val="28"/>
              </w:rPr>
              <w:t>, kā arī tiks nodrošināta turpmākā likumprojekta saskaņošanas gaitā pēc tā izsludināšanas Valsts sekretāru sanāksmē.</w:t>
            </w:r>
          </w:p>
        </w:tc>
      </w:tr>
      <w:tr w:rsidR="00614E71" w:rsidRPr="00614E71" w:rsidTr="00B12626">
        <w:trPr>
          <w:trHeight w:val="372"/>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3.</w:t>
            </w:r>
          </w:p>
        </w:tc>
        <w:tc>
          <w:tcPr>
            <w:tcW w:w="1111"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Sabiedrības līdzdalības rezultāti</w:t>
            </w:r>
          </w:p>
        </w:tc>
        <w:tc>
          <w:tcPr>
            <w:tcW w:w="3668"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Projekts šo jomu neskar</w:t>
            </w:r>
            <w:r w:rsidR="00892150">
              <w:rPr>
                <w:rFonts w:eastAsia="Times New Roman" w:cs="Times New Roman"/>
                <w:szCs w:val="28"/>
                <w:lang w:eastAsia="lv-LV"/>
              </w:rPr>
              <w:t>.</w:t>
            </w:r>
          </w:p>
        </w:tc>
      </w:tr>
      <w:tr w:rsidR="00614E71" w:rsidRPr="00614E71" w:rsidTr="00B12626">
        <w:trPr>
          <w:trHeight w:val="372"/>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4.</w:t>
            </w:r>
          </w:p>
        </w:tc>
        <w:tc>
          <w:tcPr>
            <w:tcW w:w="1111"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rPr>
                <w:rFonts w:eastAsia="Times New Roman" w:cs="Times New Roman"/>
                <w:szCs w:val="28"/>
                <w:lang w:eastAsia="lv-LV"/>
              </w:rPr>
            </w:pPr>
            <w:r w:rsidRPr="00614E71">
              <w:rPr>
                <w:rFonts w:eastAsia="Times New Roman" w:cs="Times New Roman"/>
                <w:szCs w:val="28"/>
                <w:lang w:eastAsia="lv-LV"/>
              </w:rPr>
              <w:t>Nav</w:t>
            </w:r>
          </w:p>
        </w:tc>
      </w:tr>
    </w:tbl>
    <w:p w:rsidR="00DA6858" w:rsidRPr="00614E71" w:rsidRDefault="00DA6858" w:rsidP="00DA6858">
      <w:pPr>
        <w:rPr>
          <w:rFonts w:eastAsia="Times New Roman" w:cs="Times New Roman"/>
          <w:szCs w:val="28"/>
          <w:lang w:eastAsia="lv-LV"/>
        </w:rPr>
      </w:pPr>
      <w:r w:rsidRPr="00614E71">
        <w:rPr>
          <w:rFonts w:eastAsia="Times New Roman" w:cs="Times New Roman"/>
          <w:szCs w:val="28"/>
          <w:lang w:eastAsia="lv-LV"/>
        </w:rPr>
        <w:t> </w:t>
      </w:r>
    </w:p>
    <w:tbl>
      <w:tblPr>
        <w:tblW w:w="5088" w:type="pct"/>
        <w:tblCellSpacing w:w="15" w:type="dxa"/>
        <w:tblInd w:w="-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5"/>
        <w:gridCol w:w="5512"/>
        <w:gridCol w:w="3157"/>
      </w:tblGrid>
      <w:tr w:rsidR="00614E71" w:rsidRPr="00614E71" w:rsidTr="00B12626">
        <w:trPr>
          <w:trHeight w:val="30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b/>
                <w:bCs/>
                <w:szCs w:val="28"/>
                <w:lang w:eastAsia="lv-LV"/>
              </w:rPr>
              <w:t> VII. Tiesību akta projekta izpildes nodrošināšana un tās ietekme uz institūcijām</w:t>
            </w:r>
          </w:p>
        </w:tc>
      </w:tr>
      <w:tr w:rsidR="00614E71" w:rsidRPr="00614E71" w:rsidTr="00B12626">
        <w:tblPrEx>
          <w:jc w:val="center"/>
          <w:tblInd w:w="0" w:type="dxa"/>
        </w:tblPrEx>
        <w:trPr>
          <w:trHeight w:val="336"/>
          <w:tblCellSpacing w:w="15" w:type="dxa"/>
          <w:jc w:val="center"/>
        </w:trPr>
        <w:tc>
          <w:tcPr>
            <w:tcW w:w="273"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1.</w:t>
            </w:r>
          </w:p>
        </w:tc>
        <w:tc>
          <w:tcPr>
            <w:tcW w:w="2994"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Projekta izpildē iesaistītās institūcijas</w:t>
            </w:r>
          </w:p>
        </w:tc>
        <w:tc>
          <w:tcPr>
            <w:tcW w:w="1668" w:type="pct"/>
            <w:tcBorders>
              <w:top w:val="outset" w:sz="6" w:space="0" w:color="auto"/>
              <w:left w:val="outset" w:sz="6" w:space="0" w:color="auto"/>
              <w:bottom w:val="outset" w:sz="6" w:space="0" w:color="auto"/>
              <w:right w:val="outset" w:sz="6" w:space="0" w:color="auto"/>
            </w:tcBorders>
            <w:hideMark/>
          </w:tcPr>
          <w:p w:rsidR="00DA6858" w:rsidRPr="00614E71" w:rsidRDefault="00F068AE" w:rsidP="00A02B75">
            <w:pPr>
              <w:rPr>
                <w:rFonts w:eastAsia="Times New Roman" w:cs="Times New Roman"/>
                <w:szCs w:val="28"/>
                <w:lang w:eastAsia="lv-LV"/>
              </w:rPr>
            </w:pPr>
            <w:r w:rsidRPr="00614E71">
              <w:rPr>
                <w:rFonts w:eastAsia="Times New Roman" w:cs="Times New Roman"/>
                <w:bCs/>
                <w:szCs w:val="28"/>
                <w:lang w:eastAsia="lv-LV"/>
              </w:rPr>
              <w:t>Pašvaldību administratīvās komisijas.</w:t>
            </w:r>
          </w:p>
        </w:tc>
      </w:tr>
      <w:tr w:rsidR="00614E71" w:rsidRPr="00614E71" w:rsidTr="00B12626">
        <w:tblPrEx>
          <w:jc w:val="center"/>
          <w:tblInd w:w="0" w:type="dxa"/>
        </w:tblPrEx>
        <w:trPr>
          <w:trHeight w:val="360"/>
          <w:tblCellSpacing w:w="15" w:type="dxa"/>
          <w:jc w:val="center"/>
        </w:trPr>
        <w:tc>
          <w:tcPr>
            <w:tcW w:w="273"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2.</w:t>
            </w:r>
          </w:p>
        </w:tc>
        <w:tc>
          <w:tcPr>
            <w:tcW w:w="2994"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 xml:space="preserve">Projekta izpildes ietekme uz pārvaldes funkcijām un institucionālo struktūru. </w:t>
            </w:r>
          </w:p>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Jaunu institūciju izveide, esošu institūciju likvidācija vai reorganizācija, to ietekme uz institūcijas cilvēkresursiem</w:t>
            </w:r>
          </w:p>
        </w:tc>
        <w:tc>
          <w:tcPr>
            <w:tcW w:w="1668"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bCs/>
                <w:szCs w:val="28"/>
                <w:lang w:eastAsia="lv-LV"/>
              </w:rPr>
              <w:t>Projekts neparedz veidot jaunas valsts institūcijas</w:t>
            </w:r>
          </w:p>
        </w:tc>
      </w:tr>
      <w:tr w:rsidR="00614E71" w:rsidRPr="00614E71" w:rsidTr="00B12626">
        <w:tblPrEx>
          <w:jc w:val="center"/>
          <w:tblInd w:w="0" w:type="dxa"/>
        </w:tblPrEx>
        <w:trPr>
          <w:trHeight w:val="312"/>
          <w:tblCellSpacing w:w="15" w:type="dxa"/>
          <w:jc w:val="center"/>
        </w:trPr>
        <w:tc>
          <w:tcPr>
            <w:tcW w:w="273"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3.</w:t>
            </w:r>
          </w:p>
        </w:tc>
        <w:tc>
          <w:tcPr>
            <w:tcW w:w="2994"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1668" w:type="pct"/>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rPr>
                <w:rFonts w:eastAsia="Times New Roman" w:cs="Times New Roman"/>
                <w:szCs w:val="28"/>
                <w:lang w:eastAsia="lv-LV"/>
              </w:rPr>
            </w:pPr>
            <w:r w:rsidRPr="00614E71">
              <w:rPr>
                <w:rFonts w:eastAsia="Times New Roman" w:cs="Times New Roman"/>
                <w:szCs w:val="28"/>
                <w:lang w:eastAsia="lv-LV"/>
              </w:rPr>
              <w:t>Nav</w:t>
            </w:r>
          </w:p>
        </w:tc>
      </w:tr>
    </w:tbl>
    <w:p w:rsidR="00DA6858" w:rsidRPr="00614E71" w:rsidRDefault="00DA6858" w:rsidP="00DA6858">
      <w:pPr>
        <w:rPr>
          <w:rFonts w:cs="Times New Roman"/>
          <w:szCs w:val="28"/>
        </w:rPr>
      </w:pPr>
    </w:p>
    <w:p w:rsidR="00DA6858" w:rsidRPr="00614E71" w:rsidRDefault="00DA6858" w:rsidP="00DA6858">
      <w:pPr>
        <w:jc w:val="both"/>
        <w:rPr>
          <w:rFonts w:cs="Times New Roman"/>
          <w:szCs w:val="28"/>
        </w:rPr>
      </w:pPr>
      <w:r w:rsidRPr="00614E71">
        <w:rPr>
          <w:rFonts w:cs="Times New Roman"/>
          <w:szCs w:val="28"/>
        </w:rPr>
        <w:t>Iesniedzējs:</w:t>
      </w:r>
    </w:p>
    <w:p w:rsidR="00DA6858" w:rsidRPr="00614E71" w:rsidRDefault="00DA6858" w:rsidP="00DA6858">
      <w:pPr>
        <w:jc w:val="both"/>
        <w:rPr>
          <w:rFonts w:cs="Times New Roman"/>
          <w:szCs w:val="28"/>
        </w:rPr>
      </w:pPr>
    </w:p>
    <w:p w:rsidR="00DA6858" w:rsidRPr="00614E71" w:rsidRDefault="00DA6858" w:rsidP="00DA6858">
      <w:pPr>
        <w:tabs>
          <w:tab w:val="right" w:pos="8080"/>
        </w:tabs>
        <w:jc w:val="both"/>
        <w:rPr>
          <w:rFonts w:cs="Times New Roman"/>
          <w:szCs w:val="28"/>
        </w:rPr>
      </w:pPr>
      <w:r w:rsidRPr="00614E71">
        <w:rPr>
          <w:rFonts w:cs="Times New Roman"/>
          <w:szCs w:val="28"/>
        </w:rPr>
        <w:t>Ministru prezidenta biedrs,</w:t>
      </w:r>
    </w:p>
    <w:p w:rsidR="00DA6858" w:rsidRPr="00614E71" w:rsidRDefault="00DA6858" w:rsidP="00DA6858">
      <w:pPr>
        <w:tabs>
          <w:tab w:val="right" w:pos="8080"/>
        </w:tabs>
        <w:jc w:val="both"/>
        <w:rPr>
          <w:rFonts w:cs="Times New Roman"/>
          <w:szCs w:val="28"/>
        </w:rPr>
      </w:pPr>
      <w:r w:rsidRPr="00614E71">
        <w:rPr>
          <w:rFonts w:cs="Times New Roman"/>
          <w:szCs w:val="28"/>
        </w:rPr>
        <w:t>ekonomikas ministrs</w:t>
      </w:r>
      <w:r w:rsidRPr="00614E71">
        <w:rPr>
          <w:rFonts w:cs="Times New Roman"/>
          <w:szCs w:val="28"/>
        </w:rPr>
        <w:tab/>
        <w:t xml:space="preserve">A. Ašeradens       </w:t>
      </w:r>
    </w:p>
    <w:p w:rsidR="00DA6858" w:rsidRPr="00614E71" w:rsidRDefault="00DA6858" w:rsidP="00DA6858">
      <w:pPr>
        <w:tabs>
          <w:tab w:val="right" w:pos="8080"/>
        </w:tabs>
        <w:jc w:val="both"/>
        <w:rPr>
          <w:rFonts w:cs="Times New Roman"/>
          <w:szCs w:val="28"/>
        </w:rPr>
      </w:pPr>
    </w:p>
    <w:p w:rsidR="00DA6858" w:rsidRPr="00614E71" w:rsidRDefault="00DA6858" w:rsidP="00DA6858">
      <w:pPr>
        <w:tabs>
          <w:tab w:val="right" w:pos="8222"/>
        </w:tabs>
        <w:jc w:val="both"/>
        <w:rPr>
          <w:rFonts w:cs="Times New Roman"/>
          <w:szCs w:val="28"/>
        </w:rPr>
      </w:pPr>
      <w:r w:rsidRPr="00614E71">
        <w:rPr>
          <w:rFonts w:cs="Times New Roman"/>
          <w:szCs w:val="28"/>
        </w:rPr>
        <w:t xml:space="preserve">Vīza: </w:t>
      </w:r>
    </w:p>
    <w:p w:rsidR="00DA6858" w:rsidRPr="00614E71" w:rsidRDefault="00DA6858" w:rsidP="00DA6858">
      <w:pPr>
        <w:tabs>
          <w:tab w:val="right" w:pos="8080"/>
        </w:tabs>
        <w:jc w:val="both"/>
        <w:rPr>
          <w:rFonts w:cs="Times New Roman"/>
          <w:szCs w:val="28"/>
        </w:rPr>
      </w:pPr>
      <w:r w:rsidRPr="00614E71">
        <w:rPr>
          <w:rFonts w:cs="Times New Roman"/>
          <w:szCs w:val="28"/>
        </w:rPr>
        <w:t xml:space="preserve">Valsts sekretārs </w:t>
      </w:r>
      <w:r w:rsidRPr="00614E71">
        <w:rPr>
          <w:rFonts w:cs="Times New Roman"/>
          <w:szCs w:val="28"/>
        </w:rPr>
        <w:tab/>
        <w:t>J. Stinka</w:t>
      </w:r>
    </w:p>
    <w:p w:rsidR="00DA6858" w:rsidRPr="00614E71" w:rsidRDefault="00DA6858" w:rsidP="00DA6858">
      <w:pPr>
        <w:tabs>
          <w:tab w:val="right" w:pos="8080"/>
        </w:tabs>
        <w:jc w:val="both"/>
        <w:rPr>
          <w:rFonts w:cs="Times New Roman"/>
          <w:szCs w:val="28"/>
        </w:rPr>
      </w:pPr>
    </w:p>
    <w:p w:rsidR="00DA6858" w:rsidRPr="00614E71" w:rsidRDefault="00DA6858" w:rsidP="00DA6858">
      <w:pPr>
        <w:tabs>
          <w:tab w:val="right" w:pos="8080"/>
        </w:tabs>
        <w:jc w:val="both"/>
        <w:rPr>
          <w:rFonts w:cs="Times New Roman"/>
          <w:szCs w:val="28"/>
        </w:rPr>
      </w:pPr>
    </w:p>
    <w:p w:rsidR="00DA6858" w:rsidRPr="00614E71" w:rsidRDefault="00DA6858" w:rsidP="00DA6858">
      <w:pPr>
        <w:rPr>
          <w:sz w:val="20"/>
          <w:szCs w:val="20"/>
        </w:rPr>
      </w:pPr>
      <w:r w:rsidRPr="00614E71">
        <w:rPr>
          <w:sz w:val="20"/>
          <w:szCs w:val="20"/>
        </w:rPr>
        <w:fldChar w:fldCharType="begin"/>
      </w:r>
      <w:r w:rsidRPr="00614E71">
        <w:rPr>
          <w:sz w:val="20"/>
          <w:szCs w:val="20"/>
        </w:rPr>
        <w:instrText xml:space="preserve"> TIME \@ "dd.MM.yyyy HH:mm" </w:instrText>
      </w:r>
      <w:r w:rsidRPr="00614E71">
        <w:rPr>
          <w:sz w:val="20"/>
          <w:szCs w:val="20"/>
        </w:rPr>
        <w:fldChar w:fldCharType="end"/>
      </w:r>
    </w:p>
    <w:p w:rsidR="00DA6858" w:rsidRPr="00614E71" w:rsidRDefault="00DA6858" w:rsidP="00DA6858">
      <w:pPr>
        <w:rPr>
          <w:sz w:val="20"/>
          <w:szCs w:val="20"/>
        </w:rPr>
      </w:pPr>
      <w:r w:rsidRPr="00614E71">
        <w:rPr>
          <w:sz w:val="20"/>
          <w:szCs w:val="20"/>
        </w:rPr>
        <w:fldChar w:fldCharType="begin"/>
      </w:r>
      <w:r w:rsidRPr="00614E71">
        <w:rPr>
          <w:sz w:val="20"/>
          <w:szCs w:val="20"/>
        </w:rPr>
        <w:instrText xml:space="preserve"> NUMWORDS   \* MERGEFORMAT </w:instrText>
      </w:r>
      <w:r w:rsidRPr="00614E71">
        <w:rPr>
          <w:sz w:val="20"/>
          <w:szCs w:val="20"/>
        </w:rPr>
        <w:fldChar w:fldCharType="separate"/>
      </w:r>
      <w:r w:rsidR="00614E71">
        <w:rPr>
          <w:noProof/>
          <w:sz w:val="20"/>
          <w:szCs w:val="20"/>
        </w:rPr>
        <w:t>800</w:t>
      </w:r>
      <w:r w:rsidRPr="00614E71">
        <w:rPr>
          <w:noProof/>
          <w:sz w:val="20"/>
          <w:szCs w:val="20"/>
        </w:rPr>
        <w:fldChar w:fldCharType="end"/>
      </w:r>
    </w:p>
    <w:p w:rsidR="00DA6858" w:rsidRPr="00614E71" w:rsidRDefault="00DA6858" w:rsidP="00DA6858">
      <w:pPr>
        <w:rPr>
          <w:sz w:val="20"/>
          <w:szCs w:val="20"/>
        </w:rPr>
      </w:pPr>
      <w:r w:rsidRPr="00614E71">
        <w:rPr>
          <w:sz w:val="20"/>
          <w:szCs w:val="20"/>
        </w:rPr>
        <w:t xml:space="preserve">G.Rēpele, </w:t>
      </w:r>
    </w:p>
    <w:p w:rsidR="006A130B" w:rsidRPr="00614E71" w:rsidRDefault="00DA6858" w:rsidP="00616A57">
      <w:pPr>
        <w:rPr>
          <w:sz w:val="20"/>
          <w:szCs w:val="20"/>
        </w:rPr>
      </w:pPr>
      <w:r w:rsidRPr="00614E71">
        <w:rPr>
          <w:noProof/>
          <w:sz w:val="20"/>
          <w:szCs w:val="20"/>
        </w:rPr>
        <w:t>67013033</w:t>
      </w:r>
      <w:r w:rsidRPr="00614E71">
        <w:rPr>
          <w:sz w:val="20"/>
          <w:szCs w:val="20"/>
        </w:rPr>
        <w:t xml:space="preserve">, </w:t>
      </w:r>
      <w:hyperlink r:id="rId8" w:history="1">
        <w:r w:rsidRPr="00614E71">
          <w:rPr>
            <w:rStyle w:val="Hyperlink"/>
            <w:color w:val="auto"/>
            <w:sz w:val="20"/>
            <w:szCs w:val="20"/>
          </w:rPr>
          <w:t>Gunta.Repele@em.gov.lv</w:t>
        </w:r>
      </w:hyperlink>
      <w:r w:rsidRPr="00614E71">
        <w:rPr>
          <w:sz w:val="20"/>
          <w:szCs w:val="20"/>
        </w:rPr>
        <w:t xml:space="preserve"> </w:t>
      </w:r>
      <w:bookmarkStart w:id="4" w:name="_GoBack"/>
      <w:bookmarkEnd w:id="4"/>
    </w:p>
    <w:sectPr w:rsidR="006A130B" w:rsidRPr="00614E71" w:rsidSect="00D63109">
      <w:headerReference w:type="default" r:id="rId9"/>
      <w:footerReference w:type="default" r:id="rId10"/>
      <w:footerReference w:type="first" r:id="rId11"/>
      <w:pgSz w:w="11906" w:h="16838" w:code="9"/>
      <w:pgMar w:top="851" w:right="1134" w:bottom="1134" w:left="1701" w:header="28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F4" w:rsidRDefault="00E16EF4">
      <w:r>
        <w:separator/>
      </w:r>
    </w:p>
  </w:endnote>
  <w:endnote w:type="continuationSeparator" w:id="0">
    <w:p w:rsidR="00E16EF4" w:rsidRDefault="00E1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58" w:rsidRPr="00DA6858" w:rsidRDefault="00DA6858" w:rsidP="00DA6858">
    <w:pPr>
      <w:jc w:val="both"/>
      <w:rPr>
        <w:rFonts w:cs="Times New Roman"/>
        <w:color w:val="000000" w:themeColor="text1"/>
        <w:sz w:val="20"/>
        <w:szCs w:val="20"/>
      </w:rPr>
    </w:pPr>
    <w:r w:rsidRPr="00645574">
      <w:rPr>
        <w:sz w:val="20"/>
        <w:szCs w:val="20"/>
      </w:rPr>
      <w:fldChar w:fldCharType="begin"/>
    </w:r>
    <w:r w:rsidRPr="00645574">
      <w:rPr>
        <w:sz w:val="20"/>
        <w:szCs w:val="20"/>
      </w:rPr>
      <w:instrText xml:space="preserve"> FILENAME   \* MERGEFORMAT </w:instrText>
    </w:r>
    <w:r w:rsidRPr="00645574">
      <w:rPr>
        <w:sz w:val="20"/>
        <w:szCs w:val="20"/>
      </w:rPr>
      <w:fldChar w:fldCharType="separate"/>
    </w:r>
    <w:r w:rsidR="00614E71">
      <w:rPr>
        <w:noProof/>
        <w:sz w:val="20"/>
        <w:szCs w:val="20"/>
      </w:rPr>
      <w:t>EManot_EL_LAPK_200217.docx</w:t>
    </w:r>
    <w:r w:rsidRPr="00645574">
      <w:rPr>
        <w:sz w:val="20"/>
        <w:szCs w:val="20"/>
      </w:rPr>
      <w:fldChar w:fldCharType="end"/>
    </w:r>
    <w:r>
      <w:rPr>
        <w:sz w:val="20"/>
        <w:szCs w:val="20"/>
      </w:rPr>
      <w:t xml:space="preserve">; </w:t>
    </w:r>
    <w:r w:rsidRPr="0058567A">
      <w:rPr>
        <w:rFonts w:eastAsia="Times New Roman" w:cs="Times New Roman"/>
        <w:sz w:val="20"/>
        <w:szCs w:val="20"/>
        <w:lang w:val="x-none" w:eastAsia="x-none"/>
      </w:rPr>
      <w:t xml:space="preserve">Likumprojekta </w:t>
    </w:r>
    <w:r>
      <w:rPr>
        <w:rFonts w:eastAsia="Times New Roman" w:cs="Times New Roman"/>
        <w:sz w:val="20"/>
        <w:szCs w:val="20"/>
        <w:lang w:eastAsia="x-none"/>
      </w:rPr>
      <w:t>„</w:t>
    </w:r>
    <w:r w:rsidRPr="0058567A">
      <w:rPr>
        <w:rFonts w:eastAsia="Times New Roman" w:cs="Times New Roman"/>
        <w:sz w:val="20"/>
        <w:szCs w:val="20"/>
        <w:lang w:eastAsia="x-none"/>
      </w:rPr>
      <w:t xml:space="preserve">Grozījumi </w:t>
    </w:r>
    <w:r>
      <w:rPr>
        <w:rFonts w:eastAsia="Times New Roman" w:cs="Times New Roman"/>
        <w:sz w:val="20"/>
        <w:szCs w:val="20"/>
        <w:lang w:eastAsia="x-none"/>
      </w:rPr>
      <w:t xml:space="preserve">Enerģētikas </w:t>
    </w:r>
    <w:r>
      <w:rPr>
        <w:rFonts w:cs="Times New Roman"/>
        <w:color w:val="000000" w:themeColor="text1"/>
        <w:sz w:val="20"/>
        <w:szCs w:val="20"/>
      </w:rPr>
      <w:t xml:space="preserve">likumā” </w:t>
    </w:r>
    <w:r w:rsidRPr="0058567A">
      <w:rPr>
        <w:rFonts w:eastAsia="Times New Roman" w:cs="Times New Roman"/>
        <w:sz w:val="20"/>
        <w:szCs w:val="20"/>
        <w:lang w:val="x-none" w:eastAsia="x-none"/>
      </w:rPr>
      <w:t>sākotnējās ietekmes novērtējuma ziņojums (anotācija)</w:t>
    </w:r>
  </w:p>
  <w:p w:rsidR="00CC297D" w:rsidRPr="00DA6858" w:rsidRDefault="00CC297D" w:rsidP="00DA6858">
    <w:pPr>
      <w:jc w:val="both"/>
      <w:rPr>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7D" w:rsidRPr="00E033A0" w:rsidRDefault="000F0E01">
    <w:pPr>
      <w:pStyle w:val="Footer"/>
      <w:rPr>
        <w:sz w:val="20"/>
        <w:szCs w:val="20"/>
      </w:rPr>
    </w:pPr>
    <w:r>
      <w:rPr>
        <w:sz w:val="20"/>
        <w:szCs w:val="20"/>
      </w:rPr>
      <w:t>EMAnot_</w:t>
    </w:r>
    <w:r w:rsidR="009142AA">
      <w:rPr>
        <w:sz w:val="20"/>
        <w:szCs w:val="20"/>
      </w:rPr>
      <w:t>15</w:t>
    </w:r>
    <w:r w:rsidR="00FA3A5F">
      <w:rPr>
        <w:sz w:val="20"/>
        <w:szCs w:val="20"/>
      </w:rPr>
      <w:t>02</w:t>
    </w:r>
    <w:r>
      <w:rPr>
        <w:sz w:val="20"/>
        <w:szCs w:val="20"/>
      </w:rPr>
      <w:t>16_</w:t>
    </w:r>
    <w:r w:rsidR="001F4C3B">
      <w:rPr>
        <w:sz w:val="20"/>
        <w:szCs w:val="20"/>
      </w:rPr>
      <w:t>kreditbiroj</w:t>
    </w:r>
    <w:r w:rsidR="00CC297D" w:rsidRPr="00E033A0">
      <w:rPr>
        <w:sz w:val="20"/>
        <w:szCs w:val="20"/>
      </w:rPr>
      <w:t xml:space="preserve">; </w:t>
    </w:r>
    <w:r w:rsidR="005F2492" w:rsidRPr="005F2492">
      <w:rPr>
        <w:rFonts w:eastAsia="Times New Roman" w:cs="Times New Roman"/>
        <w:sz w:val="20"/>
        <w:szCs w:val="20"/>
        <w:lang w:val="x-none" w:eastAsia="x-none"/>
      </w:rPr>
      <w:t>Likumprojekta „Grozījum</w:t>
    </w:r>
    <w:r>
      <w:rPr>
        <w:rFonts w:eastAsia="Times New Roman" w:cs="Times New Roman"/>
        <w:sz w:val="20"/>
        <w:szCs w:val="20"/>
        <w:lang w:eastAsia="x-none"/>
      </w:rPr>
      <w:t>s</w:t>
    </w:r>
    <w:r w:rsidR="005F2492" w:rsidRPr="005F2492">
      <w:rPr>
        <w:rFonts w:eastAsia="Times New Roman" w:cs="Times New Roman"/>
        <w:sz w:val="20"/>
        <w:szCs w:val="20"/>
        <w:lang w:val="x-none" w:eastAsia="x-none"/>
      </w:rPr>
      <w:t xml:space="preserve"> </w:t>
    </w:r>
    <w:proofErr w:type="spellStart"/>
    <w:r w:rsidR="001F4C3B">
      <w:rPr>
        <w:rFonts w:eastAsia="Times New Roman" w:cs="Times New Roman"/>
        <w:sz w:val="20"/>
        <w:szCs w:val="20"/>
        <w:lang w:eastAsia="x-none"/>
      </w:rPr>
      <w:t>Kredītinformācijas</w:t>
    </w:r>
    <w:proofErr w:type="spellEnd"/>
    <w:r w:rsidR="001F4C3B">
      <w:rPr>
        <w:rFonts w:eastAsia="Times New Roman" w:cs="Times New Roman"/>
        <w:sz w:val="20"/>
        <w:szCs w:val="20"/>
        <w:lang w:eastAsia="x-none"/>
      </w:rPr>
      <w:t xml:space="preserve"> biroju</w:t>
    </w:r>
    <w:r w:rsidR="005F2492" w:rsidRPr="005F2492">
      <w:rPr>
        <w:rFonts w:eastAsia="Times New Roman" w:cs="Times New Roman"/>
        <w:sz w:val="20"/>
        <w:szCs w:val="20"/>
        <w:lang w:val="x-none" w:eastAsia="x-none"/>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F4" w:rsidRDefault="00E16EF4">
      <w:r>
        <w:separator/>
      </w:r>
    </w:p>
  </w:footnote>
  <w:footnote w:type="continuationSeparator" w:id="0">
    <w:p w:rsidR="00E16EF4" w:rsidRDefault="00E1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25552"/>
      <w:docPartObj>
        <w:docPartGallery w:val="Page Numbers (Top of Page)"/>
        <w:docPartUnique/>
      </w:docPartObj>
    </w:sdtPr>
    <w:sdtEndPr>
      <w:rPr>
        <w:noProof/>
        <w:sz w:val="24"/>
        <w:szCs w:val="24"/>
      </w:rPr>
    </w:sdtEndPr>
    <w:sdtContent>
      <w:p w:rsidR="00CC297D" w:rsidRPr="006C3FBC" w:rsidRDefault="00CC297D">
        <w:pPr>
          <w:pStyle w:val="Header"/>
          <w:jc w:val="center"/>
          <w:rPr>
            <w:sz w:val="24"/>
            <w:szCs w:val="24"/>
          </w:rPr>
        </w:pPr>
        <w:r w:rsidRPr="006C3FBC">
          <w:rPr>
            <w:sz w:val="24"/>
            <w:szCs w:val="24"/>
          </w:rPr>
          <w:fldChar w:fldCharType="begin"/>
        </w:r>
        <w:r w:rsidRPr="006C3FBC">
          <w:rPr>
            <w:sz w:val="24"/>
            <w:szCs w:val="24"/>
          </w:rPr>
          <w:instrText xml:space="preserve"> PAGE   \* MERGEFORMAT </w:instrText>
        </w:r>
        <w:r w:rsidRPr="006C3FBC">
          <w:rPr>
            <w:sz w:val="24"/>
            <w:szCs w:val="24"/>
          </w:rPr>
          <w:fldChar w:fldCharType="separate"/>
        </w:r>
        <w:r w:rsidR="00892150">
          <w:rPr>
            <w:noProof/>
            <w:sz w:val="24"/>
            <w:szCs w:val="24"/>
          </w:rPr>
          <w:t>4</w:t>
        </w:r>
        <w:r w:rsidRPr="006C3FBC">
          <w:rPr>
            <w:noProof/>
            <w:sz w:val="24"/>
            <w:szCs w:val="24"/>
          </w:rPr>
          <w:fldChar w:fldCharType="end"/>
        </w:r>
      </w:p>
    </w:sdtContent>
  </w:sdt>
  <w:p w:rsidR="00CC297D" w:rsidRDefault="00CC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1ECA"/>
    <w:multiLevelType w:val="hybridMultilevel"/>
    <w:tmpl w:val="E4CE431C"/>
    <w:lvl w:ilvl="0" w:tplc="AF5E2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A7004B"/>
    <w:multiLevelType w:val="hybridMultilevel"/>
    <w:tmpl w:val="FACC2B6E"/>
    <w:lvl w:ilvl="0" w:tplc="4E98A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16706"/>
    <w:multiLevelType w:val="hybridMultilevel"/>
    <w:tmpl w:val="23FCCD46"/>
    <w:lvl w:ilvl="0" w:tplc="5E6A8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845630"/>
    <w:multiLevelType w:val="hybridMultilevel"/>
    <w:tmpl w:val="CB0C318A"/>
    <w:lvl w:ilvl="0" w:tplc="21D2D0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B161C7"/>
    <w:multiLevelType w:val="hybridMultilevel"/>
    <w:tmpl w:val="F7447B14"/>
    <w:lvl w:ilvl="0" w:tplc="56E887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AD90426"/>
    <w:multiLevelType w:val="hybridMultilevel"/>
    <w:tmpl w:val="B1E2A7E4"/>
    <w:lvl w:ilvl="0" w:tplc="77FED98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1"/>
  </w:num>
  <w:num w:numId="5">
    <w:abstractNumId w:val="5"/>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D"/>
    <w:rsid w:val="000148D0"/>
    <w:rsid w:val="000174F5"/>
    <w:rsid w:val="00021487"/>
    <w:rsid w:val="00023A9E"/>
    <w:rsid w:val="00033D87"/>
    <w:rsid w:val="00045AC2"/>
    <w:rsid w:val="00051C6A"/>
    <w:rsid w:val="0006216A"/>
    <w:rsid w:val="0008668D"/>
    <w:rsid w:val="000A3AE5"/>
    <w:rsid w:val="000E4CC7"/>
    <w:rsid w:val="000F0E01"/>
    <w:rsid w:val="001113B4"/>
    <w:rsid w:val="00112192"/>
    <w:rsid w:val="001239C3"/>
    <w:rsid w:val="00141DA6"/>
    <w:rsid w:val="0014464B"/>
    <w:rsid w:val="00187028"/>
    <w:rsid w:val="001873FB"/>
    <w:rsid w:val="00190C5C"/>
    <w:rsid w:val="00196C1E"/>
    <w:rsid w:val="001B7522"/>
    <w:rsid w:val="001C05DC"/>
    <w:rsid w:val="001C3961"/>
    <w:rsid w:val="001C7A0C"/>
    <w:rsid w:val="001D2FAE"/>
    <w:rsid w:val="001F08CF"/>
    <w:rsid w:val="001F4C3B"/>
    <w:rsid w:val="001F63C2"/>
    <w:rsid w:val="00225792"/>
    <w:rsid w:val="0023244F"/>
    <w:rsid w:val="00264B08"/>
    <w:rsid w:val="00265D5B"/>
    <w:rsid w:val="0027418D"/>
    <w:rsid w:val="00282956"/>
    <w:rsid w:val="00292568"/>
    <w:rsid w:val="00297273"/>
    <w:rsid w:val="002A5513"/>
    <w:rsid w:val="002B602B"/>
    <w:rsid w:val="0032290F"/>
    <w:rsid w:val="00326C14"/>
    <w:rsid w:val="003273F7"/>
    <w:rsid w:val="00350A9B"/>
    <w:rsid w:val="003708CC"/>
    <w:rsid w:val="0037725F"/>
    <w:rsid w:val="00377B04"/>
    <w:rsid w:val="00387B17"/>
    <w:rsid w:val="003D2857"/>
    <w:rsid w:val="003D2CE1"/>
    <w:rsid w:val="003E7C7B"/>
    <w:rsid w:val="00402694"/>
    <w:rsid w:val="004363F1"/>
    <w:rsid w:val="0044001E"/>
    <w:rsid w:val="00443533"/>
    <w:rsid w:val="00472EAD"/>
    <w:rsid w:val="00477EE8"/>
    <w:rsid w:val="00494A7F"/>
    <w:rsid w:val="004D230A"/>
    <w:rsid w:val="004F2409"/>
    <w:rsid w:val="004F6D3A"/>
    <w:rsid w:val="005114AE"/>
    <w:rsid w:val="00513CB7"/>
    <w:rsid w:val="00525E1C"/>
    <w:rsid w:val="00531868"/>
    <w:rsid w:val="00532FE0"/>
    <w:rsid w:val="00533DA2"/>
    <w:rsid w:val="005402D1"/>
    <w:rsid w:val="00565E94"/>
    <w:rsid w:val="0058567A"/>
    <w:rsid w:val="005C1EF9"/>
    <w:rsid w:val="005F2492"/>
    <w:rsid w:val="005F7E36"/>
    <w:rsid w:val="00607191"/>
    <w:rsid w:val="00614E71"/>
    <w:rsid w:val="00616A57"/>
    <w:rsid w:val="0064138C"/>
    <w:rsid w:val="006463FB"/>
    <w:rsid w:val="006555E5"/>
    <w:rsid w:val="00662343"/>
    <w:rsid w:val="006711A8"/>
    <w:rsid w:val="00680FBD"/>
    <w:rsid w:val="0069332E"/>
    <w:rsid w:val="006A130B"/>
    <w:rsid w:val="006C0819"/>
    <w:rsid w:val="006C3668"/>
    <w:rsid w:val="006C3FBC"/>
    <w:rsid w:val="006D5D44"/>
    <w:rsid w:val="006E6DB7"/>
    <w:rsid w:val="006F3F1E"/>
    <w:rsid w:val="00707F68"/>
    <w:rsid w:val="00716765"/>
    <w:rsid w:val="00746D91"/>
    <w:rsid w:val="0076097C"/>
    <w:rsid w:val="00763DCE"/>
    <w:rsid w:val="00790D76"/>
    <w:rsid w:val="00792A0B"/>
    <w:rsid w:val="007D228B"/>
    <w:rsid w:val="007D6711"/>
    <w:rsid w:val="007E30A4"/>
    <w:rsid w:val="00800CDC"/>
    <w:rsid w:val="008545F2"/>
    <w:rsid w:val="0085771A"/>
    <w:rsid w:val="00892150"/>
    <w:rsid w:val="008945DB"/>
    <w:rsid w:val="008960AC"/>
    <w:rsid w:val="008A5C77"/>
    <w:rsid w:val="008A7E25"/>
    <w:rsid w:val="008C3781"/>
    <w:rsid w:val="008C4225"/>
    <w:rsid w:val="008F05E8"/>
    <w:rsid w:val="009142AA"/>
    <w:rsid w:val="00923C79"/>
    <w:rsid w:val="00931E77"/>
    <w:rsid w:val="00937E6F"/>
    <w:rsid w:val="00947234"/>
    <w:rsid w:val="00955C96"/>
    <w:rsid w:val="00963B7F"/>
    <w:rsid w:val="009839B2"/>
    <w:rsid w:val="009845D2"/>
    <w:rsid w:val="00984F48"/>
    <w:rsid w:val="00995978"/>
    <w:rsid w:val="009A7734"/>
    <w:rsid w:val="009C05CD"/>
    <w:rsid w:val="009C427B"/>
    <w:rsid w:val="009E061E"/>
    <w:rsid w:val="009F7F55"/>
    <w:rsid w:val="00A11117"/>
    <w:rsid w:val="00A215A1"/>
    <w:rsid w:val="00A31A01"/>
    <w:rsid w:val="00A32D3F"/>
    <w:rsid w:val="00A33156"/>
    <w:rsid w:val="00A7775D"/>
    <w:rsid w:val="00A825C2"/>
    <w:rsid w:val="00A9344B"/>
    <w:rsid w:val="00AA29A4"/>
    <w:rsid w:val="00AD7691"/>
    <w:rsid w:val="00AE71C5"/>
    <w:rsid w:val="00AF1260"/>
    <w:rsid w:val="00AF7D29"/>
    <w:rsid w:val="00B018BB"/>
    <w:rsid w:val="00B12626"/>
    <w:rsid w:val="00B25DC8"/>
    <w:rsid w:val="00B34D9A"/>
    <w:rsid w:val="00B577C5"/>
    <w:rsid w:val="00B812A1"/>
    <w:rsid w:val="00B85756"/>
    <w:rsid w:val="00BA4E13"/>
    <w:rsid w:val="00BA69EA"/>
    <w:rsid w:val="00BB1EE2"/>
    <w:rsid w:val="00BC2169"/>
    <w:rsid w:val="00BD2CC6"/>
    <w:rsid w:val="00BE08FF"/>
    <w:rsid w:val="00C019FB"/>
    <w:rsid w:val="00C651D3"/>
    <w:rsid w:val="00C67AE2"/>
    <w:rsid w:val="00C93C93"/>
    <w:rsid w:val="00C96E69"/>
    <w:rsid w:val="00CC297D"/>
    <w:rsid w:val="00CD14F3"/>
    <w:rsid w:val="00CD611D"/>
    <w:rsid w:val="00D2454F"/>
    <w:rsid w:val="00D375F8"/>
    <w:rsid w:val="00D61ABE"/>
    <w:rsid w:val="00D63109"/>
    <w:rsid w:val="00D75B28"/>
    <w:rsid w:val="00DA6858"/>
    <w:rsid w:val="00DC2912"/>
    <w:rsid w:val="00DC2FAA"/>
    <w:rsid w:val="00DC3B8B"/>
    <w:rsid w:val="00DD0074"/>
    <w:rsid w:val="00DE267C"/>
    <w:rsid w:val="00DF052E"/>
    <w:rsid w:val="00DF66AF"/>
    <w:rsid w:val="00E11022"/>
    <w:rsid w:val="00E1109C"/>
    <w:rsid w:val="00E1136E"/>
    <w:rsid w:val="00E16EF4"/>
    <w:rsid w:val="00E3012E"/>
    <w:rsid w:val="00E31A46"/>
    <w:rsid w:val="00E449CD"/>
    <w:rsid w:val="00E60BAC"/>
    <w:rsid w:val="00E62EA5"/>
    <w:rsid w:val="00E64B54"/>
    <w:rsid w:val="00E90E7C"/>
    <w:rsid w:val="00E97B4D"/>
    <w:rsid w:val="00EB100B"/>
    <w:rsid w:val="00EB2A74"/>
    <w:rsid w:val="00EB5DAF"/>
    <w:rsid w:val="00EC3661"/>
    <w:rsid w:val="00ED060A"/>
    <w:rsid w:val="00ED0B01"/>
    <w:rsid w:val="00EF3A08"/>
    <w:rsid w:val="00F068AE"/>
    <w:rsid w:val="00F20233"/>
    <w:rsid w:val="00F25228"/>
    <w:rsid w:val="00F4279A"/>
    <w:rsid w:val="00F551B1"/>
    <w:rsid w:val="00F76F9E"/>
    <w:rsid w:val="00F95212"/>
    <w:rsid w:val="00FA3A5F"/>
    <w:rsid w:val="00FB0F2D"/>
    <w:rsid w:val="00FB2938"/>
    <w:rsid w:val="00FC07C4"/>
    <w:rsid w:val="00FD4D0A"/>
    <w:rsid w:val="00FD5C2D"/>
    <w:rsid w:val="00FE2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FE240C-16C4-417C-BB0B-0FDD387C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D"/>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CC297D"/>
    <w:pPr>
      <w:tabs>
        <w:tab w:val="center" w:pos="4153"/>
        <w:tab w:val="right" w:pos="8306"/>
      </w:tabs>
    </w:pPr>
  </w:style>
  <w:style w:type="character" w:customStyle="1" w:styleId="HeaderChar">
    <w:name w:val="Header Char"/>
    <w:basedOn w:val="DefaultParagraphFont"/>
    <w:link w:val="Header"/>
    <w:uiPriority w:val="99"/>
    <w:rsid w:val="00CC297D"/>
    <w:rPr>
      <w:rFonts w:ascii="Times New Roman" w:hAnsi="Times New Roman"/>
      <w:sz w:val="28"/>
    </w:rPr>
  </w:style>
  <w:style w:type="paragraph" w:styleId="Footer">
    <w:name w:val="footer"/>
    <w:basedOn w:val="Normal"/>
    <w:link w:val="FooterChar"/>
    <w:uiPriority w:val="99"/>
    <w:unhideWhenUsed/>
    <w:rsid w:val="00CC297D"/>
    <w:pPr>
      <w:tabs>
        <w:tab w:val="center" w:pos="4153"/>
        <w:tab w:val="right" w:pos="8306"/>
      </w:tabs>
    </w:pPr>
  </w:style>
  <w:style w:type="character" w:customStyle="1" w:styleId="FooterChar">
    <w:name w:val="Footer Char"/>
    <w:basedOn w:val="DefaultParagraphFont"/>
    <w:link w:val="Footer"/>
    <w:uiPriority w:val="99"/>
    <w:rsid w:val="00CC297D"/>
    <w:rPr>
      <w:rFonts w:ascii="Times New Roman" w:hAnsi="Times New Roman"/>
      <w:sz w:val="28"/>
    </w:rPr>
  </w:style>
  <w:style w:type="character" w:customStyle="1" w:styleId="apple-converted-space">
    <w:name w:val="apple-converted-space"/>
    <w:basedOn w:val="DefaultParagraphFont"/>
    <w:rsid w:val="00CC297D"/>
  </w:style>
  <w:style w:type="paragraph" w:styleId="BodyTextIndent">
    <w:name w:val="Body Text Indent"/>
    <w:basedOn w:val="Normal"/>
    <w:link w:val="BodyTextIndentChar"/>
    <w:rsid w:val="00CC297D"/>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CC297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02694"/>
    <w:rPr>
      <w:color w:val="0563C1" w:themeColor="hyperlink"/>
      <w:u w:val="single"/>
    </w:rPr>
  </w:style>
  <w:style w:type="paragraph" w:customStyle="1" w:styleId="labojumupamats">
    <w:name w:val="labojumu_pamats"/>
    <w:basedOn w:val="Normal"/>
    <w:rsid w:val="00FC07C4"/>
    <w:pPr>
      <w:spacing w:before="100" w:beforeAutospacing="1" w:after="100" w:afterAutospacing="1"/>
    </w:pPr>
    <w:rPr>
      <w:rFonts w:eastAsia="Times New Roman" w:cs="Times New Roman"/>
      <w:sz w:val="24"/>
      <w:szCs w:val="24"/>
      <w:lang w:eastAsia="lv-LV"/>
    </w:rPr>
  </w:style>
  <w:style w:type="paragraph" w:customStyle="1" w:styleId="tv213">
    <w:name w:val="tv213"/>
    <w:basedOn w:val="Normal"/>
    <w:rsid w:val="00141DA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7F"/>
    <w:rPr>
      <w:rFonts w:ascii="Segoe UI" w:hAnsi="Segoe UI" w:cs="Segoe UI"/>
      <w:sz w:val="18"/>
      <w:szCs w:val="18"/>
    </w:rPr>
  </w:style>
  <w:style w:type="table" w:styleId="GridTable1Light">
    <w:name w:val="Grid Table 1 Light"/>
    <w:basedOn w:val="TableNormal"/>
    <w:uiPriority w:val="46"/>
    <w:rsid w:val="00292568"/>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F76F9E"/>
  </w:style>
  <w:style w:type="character" w:customStyle="1" w:styleId="st1">
    <w:name w:val="st1"/>
    <w:uiPriority w:val="99"/>
    <w:rsid w:val="00A32D3F"/>
  </w:style>
  <w:style w:type="paragraph" w:styleId="Subtitle">
    <w:name w:val="Subtitle"/>
    <w:basedOn w:val="Normal"/>
    <w:link w:val="SubtitleChar"/>
    <w:qFormat/>
    <w:rsid w:val="001113B4"/>
    <w:pPr>
      <w:ind w:left="851"/>
      <w:jc w:val="both"/>
    </w:pPr>
    <w:rPr>
      <w:rFonts w:eastAsia="Times New Roman" w:cs="Times New Roman"/>
      <w:szCs w:val="20"/>
      <w:lang w:val="x-none" w:eastAsia="lv-LV"/>
    </w:rPr>
  </w:style>
  <w:style w:type="character" w:customStyle="1" w:styleId="SubtitleChar">
    <w:name w:val="Subtitle Char"/>
    <w:basedOn w:val="DefaultParagraphFont"/>
    <w:link w:val="Subtitle"/>
    <w:rsid w:val="001113B4"/>
    <w:rPr>
      <w:rFonts w:ascii="Times New Roman" w:eastAsia="Times New Roman" w:hAnsi="Times New Roman" w:cs="Times New Roman"/>
      <w:sz w:val="28"/>
      <w:szCs w:val="20"/>
      <w:lang w:val="x-none" w:eastAsia="lv-LV"/>
    </w:rPr>
  </w:style>
  <w:style w:type="paragraph" w:styleId="NormalWeb">
    <w:name w:val="Normal (Web)"/>
    <w:basedOn w:val="Normal"/>
    <w:rsid w:val="00DA6858"/>
    <w:pPr>
      <w:spacing w:before="100" w:beforeAutospacing="1" w:after="100" w:afterAutospacing="1"/>
    </w:pPr>
    <w:rPr>
      <w:rFonts w:eastAsia="Times New Roman" w:cs="Times New Roman"/>
      <w:sz w:val="24"/>
      <w:szCs w:val="24"/>
    </w:rPr>
  </w:style>
  <w:style w:type="character" w:styleId="PlaceholderText">
    <w:name w:val="Placeholder Text"/>
    <w:basedOn w:val="DefaultParagraphFont"/>
    <w:uiPriority w:val="99"/>
    <w:semiHidden/>
    <w:rsid w:val="00E97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8474">
      <w:bodyDiv w:val="1"/>
      <w:marLeft w:val="0"/>
      <w:marRight w:val="0"/>
      <w:marTop w:val="0"/>
      <w:marBottom w:val="0"/>
      <w:divBdr>
        <w:top w:val="none" w:sz="0" w:space="0" w:color="auto"/>
        <w:left w:val="none" w:sz="0" w:space="0" w:color="auto"/>
        <w:bottom w:val="none" w:sz="0" w:space="0" w:color="auto"/>
        <w:right w:val="none" w:sz="0" w:space="0" w:color="auto"/>
      </w:divBdr>
    </w:div>
    <w:div w:id="853303416">
      <w:bodyDiv w:val="1"/>
      <w:marLeft w:val="0"/>
      <w:marRight w:val="0"/>
      <w:marTop w:val="0"/>
      <w:marBottom w:val="0"/>
      <w:divBdr>
        <w:top w:val="none" w:sz="0" w:space="0" w:color="auto"/>
        <w:left w:val="none" w:sz="0" w:space="0" w:color="auto"/>
        <w:bottom w:val="none" w:sz="0" w:space="0" w:color="auto"/>
        <w:right w:val="none" w:sz="0" w:space="0" w:color="auto"/>
      </w:divBdr>
    </w:div>
    <w:div w:id="1317301464">
      <w:bodyDiv w:val="1"/>
      <w:marLeft w:val="0"/>
      <w:marRight w:val="0"/>
      <w:marTop w:val="0"/>
      <w:marBottom w:val="0"/>
      <w:divBdr>
        <w:top w:val="none" w:sz="0" w:space="0" w:color="auto"/>
        <w:left w:val="none" w:sz="0" w:space="0" w:color="auto"/>
        <w:bottom w:val="none" w:sz="0" w:space="0" w:color="auto"/>
        <w:right w:val="none" w:sz="0" w:space="0" w:color="auto"/>
      </w:divBdr>
    </w:div>
    <w:div w:id="1939629777">
      <w:bodyDiv w:val="1"/>
      <w:marLeft w:val="0"/>
      <w:marRight w:val="0"/>
      <w:marTop w:val="0"/>
      <w:marBottom w:val="0"/>
      <w:divBdr>
        <w:top w:val="none" w:sz="0" w:space="0" w:color="auto"/>
        <w:left w:val="none" w:sz="0" w:space="0" w:color="auto"/>
        <w:bottom w:val="none" w:sz="0" w:space="0" w:color="auto"/>
        <w:right w:val="none" w:sz="0" w:space="0" w:color="auto"/>
      </w:divBdr>
    </w:div>
    <w:div w:id="20592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epe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18B2-B0B9-4168-9F76-067F39AC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788</Words>
  <Characters>5833</Characters>
  <Application>Microsoft Office Word</Application>
  <DocSecurity>0</DocSecurity>
  <Lines>204</Lines>
  <Paragraphs>72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Gunta.Repele@em.gov.lv</dc:creator>
  <cp:keywords/>
  <dc:description/>
  <cp:lastModifiedBy>Kārlis Piģēns</cp:lastModifiedBy>
  <cp:revision>25</cp:revision>
  <cp:lastPrinted>2016-08-01T12:24:00Z</cp:lastPrinted>
  <dcterms:created xsi:type="dcterms:W3CDTF">2016-08-16T07:03:00Z</dcterms:created>
  <dcterms:modified xsi:type="dcterms:W3CDTF">2017-02-20T13:49:00Z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