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80599" w14:textId="77777777" w:rsidR="002A247F" w:rsidRPr="009059A9" w:rsidRDefault="002A247F" w:rsidP="002A247F">
      <w:pPr>
        <w:jc w:val="right"/>
        <w:rPr>
          <w:i/>
          <w:szCs w:val="28"/>
        </w:rPr>
      </w:pPr>
      <w:r w:rsidRPr="009059A9">
        <w:rPr>
          <w:i/>
          <w:szCs w:val="28"/>
        </w:rPr>
        <w:t>Projekts</w:t>
      </w:r>
    </w:p>
    <w:p w14:paraId="331CA184" w14:textId="77777777" w:rsidR="002A247F" w:rsidRPr="009059A9" w:rsidRDefault="002A247F" w:rsidP="002A247F">
      <w:pPr>
        <w:jc w:val="center"/>
        <w:rPr>
          <w:b/>
          <w:szCs w:val="28"/>
        </w:rPr>
      </w:pPr>
    </w:p>
    <w:p w14:paraId="6C6D1400" w14:textId="77777777" w:rsidR="002A247F" w:rsidRPr="009059A9" w:rsidRDefault="002A247F" w:rsidP="002A247F">
      <w:pPr>
        <w:jc w:val="center"/>
        <w:rPr>
          <w:b/>
          <w:i/>
          <w:szCs w:val="28"/>
        </w:rPr>
      </w:pPr>
      <w:r w:rsidRPr="009059A9">
        <w:rPr>
          <w:b/>
          <w:szCs w:val="28"/>
        </w:rPr>
        <w:t>LATVIJAS REPUBLIKAS MINISTRU KABINETS</w:t>
      </w:r>
    </w:p>
    <w:p w14:paraId="2FA5360B" w14:textId="77777777" w:rsidR="002A247F" w:rsidRPr="009059A9" w:rsidRDefault="002A247F" w:rsidP="002A247F">
      <w:pPr>
        <w:ind w:right="-1"/>
        <w:jc w:val="center"/>
        <w:rPr>
          <w:szCs w:val="28"/>
        </w:rPr>
      </w:pPr>
    </w:p>
    <w:p w14:paraId="70170927" w14:textId="78CBEE56" w:rsidR="002A247F" w:rsidRPr="009059A9" w:rsidRDefault="00754A95" w:rsidP="002A247F">
      <w:pPr>
        <w:ind w:right="-1"/>
        <w:rPr>
          <w:szCs w:val="28"/>
        </w:rPr>
      </w:pPr>
      <w:r w:rsidRPr="009059A9">
        <w:rPr>
          <w:szCs w:val="28"/>
        </w:rPr>
        <w:t>2017</w:t>
      </w:r>
      <w:r w:rsidR="002A247F" w:rsidRPr="009059A9">
        <w:rPr>
          <w:szCs w:val="28"/>
        </w:rPr>
        <w:t>.gada ____.__________</w:t>
      </w:r>
      <w:r w:rsidR="002A247F" w:rsidRPr="009059A9">
        <w:rPr>
          <w:szCs w:val="28"/>
        </w:rPr>
        <w:tab/>
      </w:r>
      <w:r w:rsidR="002A247F" w:rsidRPr="009059A9">
        <w:rPr>
          <w:szCs w:val="28"/>
        </w:rPr>
        <w:tab/>
      </w:r>
      <w:r w:rsidR="002A247F" w:rsidRPr="009059A9">
        <w:rPr>
          <w:szCs w:val="28"/>
        </w:rPr>
        <w:tab/>
      </w:r>
      <w:r w:rsidR="002A247F" w:rsidRPr="009059A9">
        <w:rPr>
          <w:szCs w:val="28"/>
        </w:rPr>
        <w:tab/>
        <w:t>Noteikumi Nr.______</w:t>
      </w:r>
    </w:p>
    <w:p w14:paraId="3EC7101C" w14:textId="77777777" w:rsidR="002A247F" w:rsidRPr="009059A9" w:rsidRDefault="002A247F" w:rsidP="002A247F">
      <w:pPr>
        <w:ind w:right="-1"/>
        <w:jc w:val="center"/>
        <w:rPr>
          <w:szCs w:val="28"/>
        </w:rPr>
      </w:pPr>
      <w:r w:rsidRPr="009059A9">
        <w:rPr>
          <w:szCs w:val="28"/>
        </w:rPr>
        <w:t>Rīgā                                                                                  (prot. Nr.         .§)</w:t>
      </w:r>
    </w:p>
    <w:p w14:paraId="75C1CE39" w14:textId="77777777" w:rsidR="002A247F" w:rsidRPr="009059A9" w:rsidRDefault="002A247F" w:rsidP="002A247F">
      <w:pPr>
        <w:jc w:val="center"/>
        <w:rPr>
          <w:b/>
          <w:szCs w:val="28"/>
        </w:rPr>
      </w:pPr>
    </w:p>
    <w:p w14:paraId="2711488F" w14:textId="77777777" w:rsidR="002A247F" w:rsidRPr="009059A9" w:rsidRDefault="002A247F" w:rsidP="002A247F">
      <w:pPr>
        <w:pStyle w:val="naislab"/>
        <w:spacing w:before="0" w:after="0"/>
        <w:ind w:firstLine="709"/>
        <w:jc w:val="center"/>
        <w:rPr>
          <w:b/>
          <w:sz w:val="28"/>
          <w:szCs w:val="28"/>
        </w:rPr>
      </w:pPr>
      <w:bookmarkStart w:id="0" w:name="OLE_LINK1"/>
      <w:bookmarkStart w:id="1" w:name="OLE_LINK2"/>
    </w:p>
    <w:p w14:paraId="5D19667F" w14:textId="51AD24BB" w:rsidR="002A247F" w:rsidRPr="009059A9" w:rsidRDefault="002A247F" w:rsidP="002A247F">
      <w:pPr>
        <w:pStyle w:val="naislab"/>
        <w:spacing w:before="0" w:after="0"/>
        <w:jc w:val="center"/>
        <w:rPr>
          <w:b/>
          <w:sz w:val="28"/>
          <w:szCs w:val="28"/>
        </w:rPr>
      </w:pPr>
      <w:r w:rsidRPr="009059A9">
        <w:rPr>
          <w:b/>
          <w:sz w:val="28"/>
          <w:szCs w:val="28"/>
        </w:rPr>
        <w:t xml:space="preserve">Grozījumi Ministru kabineta 2009.gada </w:t>
      </w:r>
      <w:r w:rsidR="00F35426" w:rsidRPr="009059A9">
        <w:rPr>
          <w:b/>
          <w:sz w:val="28"/>
          <w:szCs w:val="28"/>
        </w:rPr>
        <w:t xml:space="preserve">10.marta </w:t>
      </w:r>
      <w:r w:rsidRPr="009059A9">
        <w:rPr>
          <w:b/>
          <w:sz w:val="28"/>
          <w:szCs w:val="28"/>
        </w:rPr>
        <w:t>noteikumos Nr.</w:t>
      </w:r>
      <w:r w:rsidR="00F35426" w:rsidRPr="009059A9">
        <w:rPr>
          <w:b/>
          <w:sz w:val="28"/>
          <w:szCs w:val="28"/>
        </w:rPr>
        <w:t>221 “Noteikumi par elektroenerģijas ražošanu un cenu noteikšanu, ražojot elektroenerģiju koģenerācijā</w:t>
      </w:r>
      <w:r w:rsidRPr="009059A9">
        <w:rPr>
          <w:b/>
          <w:sz w:val="28"/>
          <w:szCs w:val="28"/>
        </w:rPr>
        <w:t>”</w:t>
      </w:r>
    </w:p>
    <w:p w14:paraId="327DFA18" w14:textId="77777777" w:rsidR="002A247F" w:rsidRPr="009059A9" w:rsidRDefault="002A247F" w:rsidP="002A247F">
      <w:pPr>
        <w:pStyle w:val="naislab"/>
        <w:spacing w:before="0" w:after="0"/>
        <w:ind w:firstLine="709"/>
        <w:rPr>
          <w:sz w:val="28"/>
          <w:szCs w:val="28"/>
        </w:rPr>
      </w:pPr>
    </w:p>
    <w:p w14:paraId="7A66FE8F" w14:textId="7CBD7B8F" w:rsidR="00F35426" w:rsidRPr="009059A9" w:rsidRDefault="002A247F" w:rsidP="002A247F">
      <w:pPr>
        <w:pStyle w:val="naislab"/>
        <w:spacing w:before="0" w:after="0"/>
        <w:ind w:firstLine="709"/>
        <w:rPr>
          <w:i/>
        </w:rPr>
      </w:pPr>
      <w:r w:rsidRPr="009059A9">
        <w:rPr>
          <w:i/>
        </w:rPr>
        <w:t xml:space="preserve">Izdoti saskaņā ar </w:t>
      </w:r>
      <w:r w:rsidR="00F35426" w:rsidRPr="009059A9">
        <w:rPr>
          <w:i/>
        </w:rPr>
        <w:t>Elektroenerģijas tirgus likuma 28.panta</w:t>
      </w:r>
    </w:p>
    <w:p w14:paraId="00634E3F" w14:textId="5684AC86" w:rsidR="00F35426" w:rsidRPr="009059A9" w:rsidRDefault="00F35426" w:rsidP="002A247F">
      <w:pPr>
        <w:pStyle w:val="naislab"/>
        <w:spacing w:before="0" w:after="0"/>
        <w:ind w:firstLine="709"/>
        <w:rPr>
          <w:i/>
        </w:rPr>
      </w:pPr>
      <w:r w:rsidRPr="009059A9">
        <w:rPr>
          <w:i/>
        </w:rPr>
        <w:t>otro daļu un 28.</w:t>
      </w:r>
      <w:r w:rsidRPr="009059A9">
        <w:rPr>
          <w:i/>
          <w:vertAlign w:val="superscript"/>
        </w:rPr>
        <w:t>1</w:t>
      </w:r>
      <w:r w:rsidRPr="009059A9">
        <w:rPr>
          <w:i/>
        </w:rPr>
        <w:t>panta otro daļu</w:t>
      </w:r>
    </w:p>
    <w:p w14:paraId="6FC4629C" w14:textId="77777777" w:rsidR="002A247F" w:rsidRPr="009059A9" w:rsidRDefault="002A247F" w:rsidP="002A247F">
      <w:pPr>
        <w:jc w:val="both"/>
        <w:rPr>
          <w:szCs w:val="28"/>
          <w:lang w:eastAsia="lv-LV"/>
        </w:rPr>
      </w:pPr>
      <w:bookmarkStart w:id="2" w:name="p-317659"/>
      <w:bookmarkStart w:id="3" w:name="p1"/>
      <w:bookmarkEnd w:id="2"/>
      <w:bookmarkEnd w:id="3"/>
    </w:p>
    <w:p w14:paraId="2200D1F5" w14:textId="280BF50A" w:rsidR="00FA7944" w:rsidRPr="009059A9" w:rsidRDefault="004566D1" w:rsidP="00FA7944">
      <w:pPr>
        <w:spacing w:before="60" w:after="60"/>
        <w:jc w:val="both"/>
        <w:rPr>
          <w:szCs w:val="28"/>
        </w:rPr>
      </w:pPr>
      <w:bookmarkStart w:id="4" w:name="p-317661"/>
      <w:bookmarkStart w:id="5" w:name="p3"/>
      <w:bookmarkEnd w:id="0"/>
      <w:bookmarkEnd w:id="1"/>
      <w:bookmarkEnd w:id="4"/>
      <w:bookmarkEnd w:id="5"/>
      <w:r>
        <w:rPr>
          <w:szCs w:val="28"/>
        </w:rPr>
        <w:t>1.</w:t>
      </w:r>
      <w:r w:rsidR="00FA7944" w:rsidRPr="009059A9">
        <w:rPr>
          <w:szCs w:val="28"/>
        </w:rPr>
        <w:t>Izdarīt Ministru kabineta 2009.gada 10.marta noteikumos Nr.221 “Noteikumi par elektroenerģijas ražošanu un cenu noteikšanu, ražojot elektroenerģiju koģenerācijā” (Latvijas Vēstnesis, 2009, 42. nr.; 189. nr., 205. nr., 2010, 150. nr., 2012, 142. nr., 2013, 158. nr., 234. nr., 2014, 82 .nr., 2015, 250. nr., 2016, 137.nr.) šādus grozījumus:</w:t>
      </w:r>
    </w:p>
    <w:p w14:paraId="6DDDD67F" w14:textId="69610E7D" w:rsidR="006C2E81" w:rsidRDefault="004566D1" w:rsidP="006C2E81">
      <w:pPr>
        <w:spacing w:before="60" w:after="60"/>
        <w:jc w:val="both"/>
      </w:pPr>
      <w:r>
        <w:rPr>
          <w:szCs w:val="28"/>
        </w:rPr>
        <w:t>1.</w:t>
      </w:r>
      <w:r w:rsidR="006C2E81" w:rsidRPr="006C2E81">
        <w:rPr>
          <w:szCs w:val="28"/>
        </w:rPr>
        <w:t>1.</w:t>
      </w:r>
      <w:r w:rsidR="006C2E81">
        <w:t xml:space="preserve"> Izteikt norādi, uz kāda likuma pamata noteikumi izdoti, šādā redakcijā:</w:t>
      </w:r>
    </w:p>
    <w:p w14:paraId="727AA658" w14:textId="0E9770E7" w:rsidR="006C2E81" w:rsidRDefault="006C2E81" w:rsidP="006C2E81">
      <w:pPr>
        <w:spacing w:before="60" w:after="60"/>
        <w:jc w:val="both"/>
      </w:pPr>
      <w:r>
        <w:t>“Izdoti saskaņā ar Elektroenerģijas tirgus likuma 28.panta otro daļu un 28.</w:t>
      </w:r>
      <w:r>
        <w:rPr>
          <w:vertAlign w:val="superscript"/>
        </w:rPr>
        <w:t>1</w:t>
      </w:r>
      <w:r>
        <w:t>panta otro daļu”.</w:t>
      </w:r>
    </w:p>
    <w:p w14:paraId="6BC80BFA" w14:textId="4B75B357" w:rsidR="002F52C9" w:rsidRPr="009059A9" w:rsidRDefault="004566D1" w:rsidP="00076E28">
      <w:pPr>
        <w:shd w:val="clear" w:color="auto" w:fill="FFFFFF"/>
        <w:spacing w:before="100" w:beforeAutospacing="1" w:after="100" w:afterAutospacing="1" w:line="254" w:lineRule="atLeast"/>
        <w:jc w:val="both"/>
        <w:rPr>
          <w:szCs w:val="28"/>
        </w:rPr>
      </w:pPr>
      <w:r>
        <w:rPr>
          <w:szCs w:val="28"/>
        </w:rPr>
        <w:t>1.</w:t>
      </w:r>
      <w:r w:rsidR="006C2E81">
        <w:rPr>
          <w:szCs w:val="28"/>
        </w:rPr>
        <w:t>2.</w:t>
      </w:r>
      <w:r w:rsidR="002F52C9" w:rsidRPr="009059A9">
        <w:rPr>
          <w:szCs w:val="28"/>
        </w:rPr>
        <w:t>Svītrot 1.6.apakšpunktu.</w:t>
      </w:r>
    </w:p>
    <w:p w14:paraId="3A382526" w14:textId="7D6DF9F4" w:rsidR="00076E28" w:rsidRPr="009059A9" w:rsidRDefault="004566D1" w:rsidP="00076E28">
      <w:pPr>
        <w:shd w:val="clear" w:color="auto" w:fill="FFFFFF"/>
        <w:spacing w:before="100" w:beforeAutospacing="1" w:after="100" w:afterAutospacing="1" w:line="254" w:lineRule="atLeast"/>
        <w:jc w:val="both"/>
        <w:rPr>
          <w:rFonts w:eastAsia="Times New Roman" w:cs="Times New Roman"/>
          <w:szCs w:val="28"/>
          <w:lang w:eastAsia="lv-LV"/>
        </w:rPr>
      </w:pPr>
      <w:r>
        <w:rPr>
          <w:szCs w:val="28"/>
        </w:rPr>
        <w:t>1.</w:t>
      </w:r>
      <w:r w:rsidR="006C2E81">
        <w:rPr>
          <w:szCs w:val="28"/>
        </w:rPr>
        <w:t>3</w:t>
      </w:r>
      <w:r w:rsidR="002F52C9" w:rsidRPr="009059A9">
        <w:rPr>
          <w:szCs w:val="28"/>
        </w:rPr>
        <w:t>.</w:t>
      </w:r>
      <w:r w:rsidR="00076E28" w:rsidRPr="009059A9">
        <w:rPr>
          <w:szCs w:val="28"/>
        </w:rPr>
        <w:t>Izteikt 53.2.apakšpunktu šādā redakcijā:</w:t>
      </w:r>
    </w:p>
    <w:p w14:paraId="16F5F095" w14:textId="77777777" w:rsidR="00076E28" w:rsidRPr="009059A9" w:rsidRDefault="00076E28" w:rsidP="00076E28">
      <w:pPr>
        <w:shd w:val="clear" w:color="auto" w:fill="FFFFFF"/>
        <w:spacing w:before="100" w:beforeAutospacing="1" w:after="100" w:afterAutospacing="1" w:line="254" w:lineRule="atLeast"/>
        <w:ind w:left="426"/>
        <w:jc w:val="both"/>
        <w:rPr>
          <w:rFonts w:eastAsia="Times New Roman" w:cs="Times New Roman"/>
          <w:szCs w:val="28"/>
          <w:lang w:eastAsia="lv-LV"/>
        </w:rPr>
      </w:pPr>
      <w:r w:rsidRPr="009059A9">
        <w:rPr>
          <w:rFonts w:eastAsia="Times New Roman" w:cs="Times New Roman"/>
          <w:szCs w:val="28"/>
          <w:lang w:eastAsia="lv-LV"/>
        </w:rPr>
        <w:t>“53.2. pārējām koģenerācijas elektrostacijām:</w:t>
      </w:r>
    </w:p>
    <w:p w14:paraId="741B4C6F" w14:textId="1FCAAD79" w:rsidR="00076E28" w:rsidRPr="009059A9" w:rsidRDefault="00076E28" w:rsidP="00076E28">
      <w:pPr>
        <w:pStyle w:val="NormalWeb"/>
        <w:shd w:val="clear" w:color="auto" w:fill="FFFFFF"/>
        <w:spacing w:before="0" w:beforeAutospacing="0" w:after="0" w:afterAutospacing="0"/>
        <w:ind w:left="426"/>
        <w:jc w:val="center"/>
        <w:rPr>
          <w:sz w:val="28"/>
          <w:szCs w:val="28"/>
        </w:rPr>
      </w:pPr>
      <m:oMath>
        <m:r>
          <w:rPr>
            <w:rFonts w:ascii="Cambria Math" w:hAnsi="Cambria Math"/>
            <w:sz w:val="28"/>
            <w:szCs w:val="28"/>
          </w:rPr>
          <m:t>C</m:t>
        </m:r>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m:t>
            </m:r>
            <m:sSub>
              <m:sSubPr>
                <m:ctrlPr>
                  <w:rPr>
                    <w:rFonts w:ascii="Cambria Math" w:hAnsi="Cambria Math"/>
                    <w:i/>
                    <w:sz w:val="28"/>
                    <w:szCs w:val="28"/>
                    <w:bdr w:val="none" w:sz="0" w:space="0" w:color="auto" w:frame="1"/>
                    <w:vertAlign w:val="subscript"/>
                  </w:rPr>
                </m:ctrlPr>
              </m:sSubPr>
              <m:e>
                <m:r>
                  <w:rPr>
                    <w:rFonts w:ascii="Cambria Math" w:hAnsi="Cambria Math"/>
                    <w:sz w:val="28"/>
                    <w:szCs w:val="28"/>
                    <w:bdr w:val="none" w:sz="0" w:space="0" w:color="auto" w:frame="1"/>
                    <w:vertAlign w:val="subscript"/>
                  </w:rPr>
                  <m:t>T</m:t>
                </m:r>
              </m:e>
              <m:sub>
                <m:r>
                  <w:rPr>
                    <w:rFonts w:ascii="Cambria Math" w:hAnsi="Cambria Math"/>
                    <w:sz w:val="28"/>
                    <w:szCs w:val="28"/>
                    <w:bdr w:val="none" w:sz="0" w:space="0" w:color="auto" w:frame="1"/>
                    <w:vertAlign w:val="subscript"/>
                  </w:rPr>
                  <m:t>gs</m:t>
                </m:r>
              </m:sub>
            </m:sSub>
            <m:r>
              <w:rPr>
                <w:rFonts w:ascii="Cambria Math" w:hAnsi="Cambria Math"/>
                <w:sz w:val="28"/>
                <w:szCs w:val="28"/>
                <w:bdr w:val="none" w:sz="0" w:space="0" w:color="auto" w:frame="1"/>
                <w:vertAlign w:val="subscript"/>
              </w:rPr>
              <m:t>+</m:t>
            </m:r>
            <m:sSub>
              <m:sSubPr>
                <m:ctrlPr>
                  <w:rPr>
                    <w:rFonts w:ascii="Cambria Math" w:hAnsi="Cambria Math"/>
                    <w:i/>
                    <w:sz w:val="28"/>
                    <w:szCs w:val="28"/>
                    <w:bdr w:val="none" w:sz="0" w:space="0" w:color="auto" w:frame="1"/>
                    <w:vertAlign w:val="subscript"/>
                  </w:rPr>
                </m:ctrlPr>
              </m:sSubPr>
              <m:e>
                <m:r>
                  <w:rPr>
                    <w:rFonts w:ascii="Cambria Math" w:hAnsi="Cambria Math"/>
                    <w:sz w:val="28"/>
                    <w:szCs w:val="28"/>
                    <w:bdr w:val="none" w:sz="0" w:space="0" w:color="auto" w:frame="1"/>
                    <w:vertAlign w:val="subscript"/>
                  </w:rPr>
                  <m:t>k</m:t>
                </m:r>
              </m:e>
              <m:sub>
                <m:r>
                  <w:rPr>
                    <w:rFonts w:ascii="Cambria Math" w:hAnsi="Cambria Math"/>
                    <w:sz w:val="28"/>
                    <w:szCs w:val="28"/>
                    <w:bdr w:val="none" w:sz="0" w:space="0" w:color="auto" w:frame="1"/>
                    <w:vertAlign w:val="subscript"/>
                  </w:rPr>
                  <m:t>g</m:t>
                </m:r>
              </m:sub>
            </m:sSub>
            <m:r>
              <w:rPr>
                <w:rFonts w:ascii="Cambria Math" w:hAnsi="Cambria Math"/>
                <w:sz w:val="28"/>
                <w:szCs w:val="28"/>
                <w:bdr w:val="none" w:sz="0" w:space="0" w:color="auto" w:frame="1"/>
                <w:vertAlign w:val="subscript"/>
              </w:rPr>
              <m:t xml:space="preserve">) </m:t>
            </m:r>
            <m:r>
              <m:rPr>
                <m:sty m:val="p"/>
              </m:rPr>
              <w:rPr>
                <w:rFonts w:ascii="Cambria Math" w:hAnsi="Cambria Math"/>
                <w:sz w:val="28"/>
                <w:szCs w:val="28"/>
              </w:rPr>
              <m:t xml:space="preserve">× k  </m:t>
            </m:r>
          </m:num>
          <m:den>
            <m:r>
              <m:rPr>
                <m:sty m:val="p"/>
              </m:rPr>
              <w:rPr>
                <w:rFonts w:ascii="Cambria Math" w:hAnsi="Cambria Math"/>
                <w:sz w:val="28"/>
                <w:szCs w:val="28"/>
              </w:rPr>
              <m:t xml:space="preserve">9,3 </m:t>
            </m:r>
          </m:den>
        </m:f>
        <m:r>
          <m:rPr>
            <m:sty m:val="p"/>
          </m:rPr>
          <w:rPr>
            <w:rFonts w:ascii="Cambria Math" w:hAnsi="Cambria Math"/>
            <w:sz w:val="28"/>
            <w:szCs w:val="28"/>
          </w:rPr>
          <m:t>× 3,4 × s</m:t>
        </m:r>
      </m:oMath>
      <w:r w:rsidRPr="009059A9">
        <w:rPr>
          <w:sz w:val="28"/>
          <w:szCs w:val="28"/>
        </w:rPr>
        <w:t>, kur</w:t>
      </w:r>
    </w:p>
    <w:p w14:paraId="56502307" w14:textId="073C34D9" w:rsidR="00076E28" w:rsidRPr="009059A9" w:rsidRDefault="00076E28" w:rsidP="00076E28">
      <w:pPr>
        <w:shd w:val="clear" w:color="auto" w:fill="FFFFFF"/>
        <w:spacing w:before="100" w:beforeAutospacing="1" w:after="100" w:afterAutospacing="1" w:line="254" w:lineRule="atLeast"/>
        <w:ind w:left="426" w:firstLine="300"/>
        <w:jc w:val="both"/>
        <w:rPr>
          <w:rFonts w:eastAsia="Times New Roman" w:cs="Times New Roman"/>
          <w:szCs w:val="28"/>
          <w:lang w:eastAsia="lv-LV"/>
        </w:rPr>
      </w:pPr>
      <w:proofErr w:type="spellStart"/>
      <w:r w:rsidRPr="009059A9">
        <w:rPr>
          <w:rFonts w:eastAsia="Times New Roman" w:cs="Times New Roman"/>
          <w:i/>
          <w:iCs/>
          <w:szCs w:val="28"/>
          <w:lang w:eastAsia="lv-LV"/>
        </w:rPr>
        <w:t>T</w:t>
      </w:r>
      <w:r w:rsidRPr="009059A9">
        <w:rPr>
          <w:rFonts w:eastAsia="Times New Roman" w:cs="Times New Roman"/>
          <w:i/>
          <w:iCs/>
          <w:szCs w:val="28"/>
          <w:bdr w:val="none" w:sz="0" w:space="0" w:color="auto" w:frame="1"/>
          <w:vertAlign w:val="subscript"/>
          <w:lang w:eastAsia="lv-LV"/>
        </w:rPr>
        <w:t>g</w:t>
      </w:r>
      <w:r w:rsidR="00C932AD" w:rsidRPr="009059A9">
        <w:rPr>
          <w:rFonts w:eastAsia="Times New Roman" w:cs="Times New Roman"/>
          <w:i/>
          <w:iCs/>
          <w:szCs w:val="28"/>
          <w:bdr w:val="none" w:sz="0" w:space="0" w:color="auto" w:frame="1"/>
          <w:vertAlign w:val="subscript"/>
          <w:lang w:eastAsia="lv-LV"/>
        </w:rPr>
        <w:t>s</w:t>
      </w:r>
      <w:proofErr w:type="spellEnd"/>
      <w:r w:rsidRPr="009059A9">
        <w:rPr>
          <w:rFonts w:eastAsia="Times New Roman" w:cs="Times New Roman"/>
          <w:szCs w:val="28"/>
          <w:lang w:eastAsia="lv-LV"/>
        </w:rPr>
        <w:t xml:space="preserve"> – </w:t>
      </w:r>
      <w:r w:rsidR="00C932AD" w:rsidRPr="009059A9">
        <w:rPr>
          <w:rFonts w:eastAsia="Times New Roman" w:cs="Times New Roman"/>
          <w:szCs w:val="28"/>
          <w:lang w:eastAsia="lv-LV"/>
        </w:rPr>
        <w:t>Enerģētikas likumā noteiktajā kārtībā noteiktajā dabasgāzes cenā saistītajiem lietotājiem iekļautā dabasgāzes tirdzniecības cena</w:t>
      </w:r>
      <w:r w:rsidR="00C14873" w:rsidRPr="009059A9">
        <w:rPr>
          <w:rFonts w:eastAsia="Times New Roman" w:cs="Times New Roman"/>
          <w:szCs w:val="28"/>
          <w:lang w:eastAsia="lv-LV"/>
        </w:rPr>
        <w:t xml:space="preserve"> bez pievienotās vērtības nodokļa, tirdzniecības pakalpojuma, pārvades, uzglabāšanas un sadales pakalpojuma tarifa</w:t>
      </w:r>
      <w:r w:rsidR="00C932AD" w:rsidRPr="009059A9">
        <w:rPr>
          <w:rFonts w:eastAsia="Times New Roman" w:cs="Times New Roman"/>
          <w:szCs w:val="28"/>
          <w:lang w:eastAsia="lv-LV"/>
        </w:rPr>
        <w:t xml:space="preserve"> (EUR/tūkst. n. m</w:t>
      </w:r>
      <w:r w:rsidR="00C932AD" w:rsidRPr="009059A9">
        <w:rPr>
          <w:rFonts w:eastAsia="Times New Roman" w:cs="Times New Roman"/>
          <w:szCs w:val="28"/>
          <w:vertAlign w:val="superscript"/>
          <w:lang w:eastAsia="lv-LV"/>
        </w:rPr>
        <w:t>3</w:t>
      </w:r>
      <w:r w:rsidR="00C932AD" w:rsidRPr="009059A9">
        <w:rPr>
          <w:rFonts w:eastAsia="Times New Roman" w:cs="Times New Roman"/>
          <w:szCs w:val="28"/>
          <w:lang w:eastAsia="lv-LV"/>
        </w:rPr>
        <w:t>)</w:t>
      </w:r>
      <w:r w:rsidRPr="009059A9">
        <w:rPr>
          <w:rFonts w:eastAsia="Times New Roman" w:cs="Times New Roman"/>
          <w:szCs w:val="28"/>
          <w:lang w:eastAsia="lv-LV"/>
        </w:rPr>
        <w:t>;</w:t>
      </w:r>
    </w:p>
    <w:p w14:paraId="4141663A" w14:textId="026F702C" w:rsidR="00942B19" w:rsidRPr="009059A9" w:rsidRDefault="00942B19" w:rsidP="00076E28">
      <w:pPr>
        <w:shd w:val="clear" w:color="auto" w:fill="FFFFFF"/>
        <w:spacing w:before="100" w:beforeAutospacing="1" w:after="100" w:afterAutospacing="1" w:line="254" w:lineRule="atLeast"/>
        <w:ind w:left="426" w:firstLine="300"/>
        <w:jc w:val="both"/>
        <w:rPr>
          <w:rFonts w:eastAsia="Times New Roman" w:cs="Times New Roman"/>
          <w:i/>
          <w:szCs w:val="28"/>
          <w:lang w:eastAsia="lv-LV"/>
        </w:rPr>
      </w:pPr>
      <w:r w:rsidRPr="009059A9">
        <w:rPr>
          <w:rFonts w:eastAsia="Times New Roman" w:cs="Times New Roman"/>
          <w:i/>
          <w:szCs w:val="28"/>
          <w:lang w:eastAsia="lv-LV"/>
        </w:rPr>
        <w:t>k</w:t>
      </w:r>
      <w:r w:rsidRPr="009059A9">
        <w:rPr>
          <w:rFonts w:eastAsia="Times New Roman" w:cs="Times New Roman"/>
          <w:i/>
          <w:szCs w:val="28"/>
          <w:vertAlign w:val="subscript"/>
          <w:lang w:eastAsia="lv-LV"/>
        </w:rPr>
        <w:t>g</w:t>
      </w:r>
      <w:r w:rsidRPr="009059A9">
        <w:rPr>
          <w:rFonts w:eastAsia="Times New Roman" w:cs="Times New Roman"/>
          <w:i/>
          <w:szCs w:val="28"/>
          <w:lang w:eastAsia="lv-LV"/>
        </w:rPr>
        <w:t xml:space="preserve"> -</w:t>
      </w:r>
      <w:r w:rsidR="00C932AD" w:rsidRPr="009059A9">
        <w:rPr>
          <w:rFonts w:cs="Times New Roman"/>
          <w:szCs w:val="28"/>
          <w:shd w:val="clear" w:color="auto" w:fill="FFFFFF"/>
        </w:rPr>
        <w:t xml:space="preserve"> dabasgāzes cenas diferencēšanas koeficients</w:t>
      </w:r>
      <w:r w:rsidR="00FA7944">
        <w:rPr>
          <w:rFonts w:cs="Times New Roman"/>
          <w:szCs w:val="28"/>
          <w:shd w:val="clear" w:color="auto" w:fill="FFFFFF"/>
        </w:rPr>
        <w:t>, kas atkarīgs</w:t>
      </w:r>
      <w:r w:rsidR="00C932AD" w:rsidRPr="009059A9">
        <w:rPr>
          <w:rFonts w:eastAsia="Times New Roman" w:cs="Times New Roman"/>
          <w:szCs w:val="28"/>
          <w:lang w:eastAsia="lv-LV"/>
        </w:rPr>
        <w:t xml:space="preserve"> no koģenerācijas elektrostacijā uzstādītās elektriskās jaudas</w:t>
      </w:r>
      <w:r w:rsidR="00C932AD" w:rsidRPr="009059A9">
        <w:rPr>
          <w:rFonts w:cs="Times New Roman"/>
          <w:szCs w:val="28"/>
          <w:shd w:val="clear" w:color="auto" w:fill="FFFFFF"/>
        </w:rPr>
        <w:t>.</w:t>
      </w:r>
    </w:p>
    <w:p w14:paraId="5B5CA22D" w14:textId="77777777" w:rsidR="00076E28" w:rsidRPr="009059A9" w:rsidRDefault="00076E28" w:rsidP="00076E28">
      <w:pPr>
        <w:shd w:val="clear" w:color="auto" w:fill="FFFFFF"/>
        <w:spacing w:before="100" w:beforeAutospacing="1" w:after="100" w:afterAutospacing="1" w:line="254" w:lineRule="atLeast"/>
        <w:ind w:left="426" w:firstLine="300"/>
        <w:jc w:val="both"/>
        <w:rPr>
          <w:rFonts w:eastAsia="Times New Roman" w:cs="Times New Roman"/>
          <w:szCs w:val="28"/>
          <w:lang w:eastAsia="lv-LV"/>
        </w:rPr>
      </w:pPr>
      <w:r w:rsidRPr="009059A9">
        <w:rPr>
          <w:rFonts w:eastAsia="Times New Roman" w:cs="Times New Roman"/>
          <w:i/>
          <w:iCs/>
          <w:szCs w:val="28"/>
          <w:lang w:eastAsia="lv-LV"/>
        </w:rPr>
        <w:t>k</w:t>
      </w:r>
      <w:r w:rsidRPr="009059A9">
        <w:rPr>
          <w:rFonts w:eastAsia="Times New Roman" w:cs="Times New Roman"/>
          <w:szCs w:val="28"/>
          <w:lang w:eastAsia="lv-LV"/>
        </w:rPr>
        <w:t> – cenas diferencēšanas koeficients, kas atkarīgs no koģenerācijas elektrostacijā uzstādītās elektriskās jaudas;</w:t>
      </w:r>
    </w:p>
    <w:p w14:paraId="55CB6E07" w14:textId="544315EA" w:rsidR="00076E28" w:rsidRPr="009059A9" w:rsidRDefault="00076E28" w:rsidP="00076E28">
      <w:pPr>
        <w:spacing w:before="60" w:after="60"/>
        <w:ind w:firstLine="720"/>
        <w:jc w:val="both"/>
        <w:rPr>
          <w:szCs w:val="28"/>
        </w:rPr>
      </w:pPr>
      <w:r w:rsidRPr="009059A9">
        <w:rPr>
          <w:i/>
          <w:iCs/>
          <w:szCs w:val="28"/>
        </w:rPr>
        <w:lastRenderedPageBreak/>
        <w:t>s</w:t>
      </w:r>
      <w:r w:rsidRPr="009059A9">
        <w:rPr>
          <w:szCs w:val="28"/>
        </w:rPr>
        <w:t> – cenas diferencēšanas koeficie</w:t>
      </w:r>
      <w:r w:rsidR="00C932AD" w:rsidRPr="009059A9">
        <w:rPr>
          <w:szCs w:val="28"/>
        </w:rPr>
        <w:t xml:space="preserve">nts </w:t>
      </w:r>
      <w:proofErr w:type="spellStart"/>
      <w:r w:rsidR="00C932AD" w:rsidRPr="009059A9">
        <w:rPr>
          <w:szCs w:val="28"/>
        </w:rPr>
        <w:t>pārkompensācijas</w:t>
      </w:r>
      <w:proofErr w:type="spellEnd"/>
      <w:r w:rsidR="00C932AD" w:rsidRPr="009059A9">
        <w:rPr>
          <w:szCs w:val="28"/>
        </w:rPr>
        <w:t xml:space="preserve"> novēršanai</w:t>
      </w:r>
      <w:r w:rsidRPr="009059A9">
        <w:rPr>
          <w:szCs w:val="28"/>
        </w:rPr>
        <w:t>”</w:t>
      </w:r>
    </w:p>
    <w:p w14:paraId="0DB32EA2" w14:textId="77777777" w:rsidR="00C932AD" w:rsidRPr="009059A9" w:rsidRDefault="00C932AD" w:rsidP="00076E28">
      <w:pPr>
        <w:spacing w:before="60" w:after="60"/>
        <w:ind w:firstLine="720"/>
        <w:jc w:val="both"/>
        <w:rPr>
          <w:szCs w:val="28"/>
        </w:rPr>
      </w:pPr>
    </w:p>
    <w:p w14:paraId="5A974A03" w14:textId="543BF925" w:rsidR="00C932AD" w:rsidRPr="009059A9" w:rsidRDefault="004566D1" w:rsidP="00465117">
      <w:pPr>
        <w:pStyle w:val="NormalWeb"/>
        <w:shd w:val="clear" w:color="auto" w:fill="FFFFFF"/>
        <w:spacing w:before="0" w:beforeAutospacing="0" w:after="0" w:afterAutospacing="0"/>
        <w:jc w:val="both"/>
        <w:rPr>
          <w:sz w:val="28"/>
          <w:szCs w:val="28"/>
        </w:rPr>
      </w:pPr>
      <w:r>
        <w:rPr>
          <w:sz w:val="28"/>
          <w:szCs w:val="28"/>
        </w:rPr>
        <w:t>1.</w:t>
      </w:r>
      <w:r w:rsidR="006C2E81">
        <w:rPr>
          <w:sz w:val="28"/>
          <w:szCs w:val="28"/>
        </w:rPr>
        <w:t>4</w:t>
      </w:r>
      <w:r w:rsidR="00465117" w:rsidRPr="009059A9">
        <w:rPr>
          <w:sz w:val="28"/>
          <w:szCs w:val="28"/>
        </w:rPr>
        <w:t xml:space="preserve">. </w:t>
      </w:r>
      <w:r w:rsidR="00C932AD" w:rsidRPr="009059A9">
        <w:rPr>
          <w:sz w:val="28"/>
          <w:szCs w:val="28"/>
        </w:rPr>
        <w:t xml:space="preserve">Izteikt 54.2.apakšpunktu šādā redakcijā: </w:t>
      </w:r>
    </w:p>
    <w:p w14:paraId="60ACE62A" w14:textId="28E6509C" w:rsidR="00C932AD" w:rsidRPr="009059A9" w:rsidRDefault="00C932AD" w:rsidP="00465117">
      <w:pPr>
        <w:pStyle w:val="NormalWeb"/>
        <w:shd w:val="clear" w:color="auto" w:fill="FFFFFF"/>
        <w:spacing w:before="0" w:beforeAutospacing="0" w:after="0" w:afterAutospacing="0"/>
        <w:jc w:val="both"/>
        <w:rPr>
          <w:sz w:val="28"/>
          <w:szCs w:val="28"/>
        </w:rPr>
      </w:pPr>
      <w:r w:rsidRPr="009059A9">
        <w:rPr>
          <w:sz w:val="28"/>
          <w:szCs w:val="28"/>
        </w:rPr>
        <w:t>“54.2. lieto Enerģētikas lik</w:t>
      </w:r>
      <w:r w:rsidR="00AA6F91">
        <w:rPr>
          <w:sz w:val="28"/>
          <w:szCs w:val="28"/>
        </w:rPr>
        <w:t>umā noteiktajā kārtībā noteiktajā</w:t>
      </w:r>
      <w:r w:rsidRPr="009059A9">
        <w:rPr>
          <w:sz w:val="28"/>
          <w:szCs w:val="28"/>
        </w:rPr>
        <w:t xml:space="preserve"> dabasgāzes cenā saistītajiem lietotājiem iekļauto dabasgāzes tirdzniecības cenu</w:t>
      </w:r>
      <w:r w:rsidR="00C14873" w:rsidRPr="009059A9">
        <w:t xml:space="preserve"> </w:t>
      </w:r>
      <w:r w:rsidR="00C14873" w:rsidRPr="009059A9">
        <w:rPr>
          <w:sz w:val="28"/>
          <w:szCs w:val="28"/>
        </w:rPr>
        <w:t>bez pievienotās vērtības nodokļa, tirdzniecības pakalpojuma, pārvades, uzglabāšanas un sadales pakalpojuma tarifa</w:t>
      </w:r>
      <w:r w:rsidRPr="009059A9">
        <w:rPr>
          <w:sz w:val="28"/>
          <w:szCs w:val="28"/>
        </w:rPr>
        <w:t xml:space="preserve"> </w:t>
      </w:r>
      <w:proofErr w:type="spellStart"/>
      <w:r w:rsidRPr="009059A9">
        <w:rPr>
          <w:sz w:val="28"/>
          <w:szCs w:val="28"/>
        </w:rPr>
        <w:t>T</w:t>
      </w:r>
      <w:r w:rsidRPr="009059A9">
        <w:rPr>
          <w:sz w:val="28"/>
          <w:szCs w:val="28"/>
          <w:vertAlign w:val="subscript"/>
        </w:rPr>
        <w:t>gs</w:t>
      </w:r>
      <w:proofErr w:type="spellEnd"/>
      <w:r w:rsidRPr="009059A9">
        <w:rPr>
          <w:sz w:val="28"/>
          <w:szCs w:val="28"/>
        </w:rPr>
        <w:t>.”.</w:t>
      </w:r>
    </w:p>
    <w:p w14:paraId="1D467635" w14:textId="77777777" w:rsidR="00C932AD" w:rsidRPr="009059A9" w:rsidRDefault="00C932AD" w:rsidP="00465117">
      <w:pPr>
        <w:pStyle w:val="NormalWeb"/>
        <w:shd w:val="clear" w:color="auto" w:fill="FFFFFF"/>
        <w:spacing w:before="0" w:beforeAutospacing="0" w:after="0" w:afterAutospacing="0"/>
        <w:jc w:val="both"/>
        <w:rPr>
          <w:sz w:val="28"/>
          <w:szCs w:val="28"/>
        </w:rPr>
      </w:pPr>
    </w:p>
    <w:p w14:paraId="6BCC5E16" w14:textId="1BD1F57B" w:rsidR="00465117" w:rsidRPr="009059A9" w:rsidRDefault="004566D1" w:rsidP="00465117">
      <w:pPr>
        <w:pStyle w:val="NormalWeb"/>
        <w:shd w:val="clear" w:color="auto" w:fill="FFFFFF"/>
        <w:spacing w:before="0" w:beforeAutospacing="0" w:after="0" w:afterAutospacing="0"/>
        <w:jc w:val="both"/>
        <w:rPr>
          <w:sz w:val="28"/>
          <w:szCs w:val="28"/>
        </w:rPr>
      </w:pPr>
      <w:r>
        <w:rPr>
          <w:sz w:val="28"/>
          <w:szCs w:val="28"/>
        </w:rPr>
        <w:t>1.</w:t>
      </w:r>
      <w:r w:rsidR="006C2E81">
        <w:rPr>
          <w:sz w:val="28"/>
          <w:szCs w:val="28"/>
        </w:rPr>
        <w:t>5</w:t>
      </w:r>
      <w:r w:rsidR="00C932AD" w:rsidRPr="009059A9">
        <w:rPr>
          <w:sz w:val="28"/>
          <w:szCs w:val="28"/>
        </w:rPr>
        <w:t xml:space="preserve">. </w:t>
      </w:r>
      <w:r w:rsidR="00465117" w:rsidRPr="009059A9">
        <w:rPr>
          <w:sz w:val="28"/>
          <w:szCs w:val="28"/>
        </w:rPr>
        <w:t xml:space="preserve">Papildināt noteikumus ar 54.4.apakšpunktu šādā redakcijā: </w:t>
      </w:r>
    </w:p>
    <w:p w14:paraId="134FF069" w14:textId="780CE6C4" w:rsidR="00465117" w:rsidRPr="009059A9" w:rsidRDefault="00465117" w:rsidP="00465117">
      <w:pPr>
        <w:spacing w:before="60" w:after="60"/>
        <w:jc w:val="both"/>
        <w:rPr>
          <w:szCs w:val="28"/>
        </w:rPr>
      </w:pPr>
      <w:r w:rsidRPr="009059A9">
        <w:rPr>
          <w:szCs w:val="28"/>
        </w:rPr>
        <w:t>“54.4. lieto dabasgāzes cenas diferencēšanas koeficientu k</w:t>
      </w:r>
      <w:r w:rsidRPr="009059A9">
        <w:rPr>
          <w:szCs w:val="28"/>
          <w:vertAlign w:val="subscript"/>
        </w:rPr>
        <w:t>g</w:t>
      </w:r>
      <w:r w:rsidRPr="009059A9">
        <w:rPr>
          <w:szCs w:val="28"/>
        </w:rPr>
        <w:t xml:space="preserve"> (6.pielikums)</w:t>
      </w:r>
      <w:r w:rsidR="00FA7944">
        <w:rPr>
          <w:szCs w:val="28"/>
        </w:rPr>
        <w:t>, kas atkarīgs</w:t>
      </w:r>
      <w:r w:rsidRPr="009059A9">
        <w:rPr>
          <w:szCs w:val="28"/>
        </w:rPr>
        <w:t xml:space="preserve"> no koģenerācijas elektrostacijā uzstādītās elektriskās jaudas”. </w:t>
      </w:r>
    </w:p>
    <w:p w14:paraId="7848E6DE" w14:textId="77777777" w:rsidR="00076E28" w:rsidRPr="009059A9" w:rsidRDefault="00076E28" w:rsidP="00B82F92">
      <w:pPr>
        <w:spacing w:before="60" w:after="60"/>
        <w:jc w:val="both"/>
        <w:rPr>
          <w:szCs w:val="28"/>
        </w:rPr>
      </w:pPr>
    </w:p>
    <w:p w14:paraId="464F1C71" w14:textId="60C33EE2" w:rsidR="00DF0C13" w:rsidRPr="009059A9" w:rsidRDefault="004566D1" w:rsidP="00B82F92">
      <w:pPr>
        <w:spacing w:before="60" w:after="60"/>
        <w:jc w:val="both"/>
        <w:rPr>
          <w:szCs w:val="28"/>
        </w:rPr>
      </w:pPr>
      <w:r>
        <w:rPr>
          <w:szCs w:val="28"/>
        </w:rPr>
        <w:t>1.</w:t>
      </w:r>
      <w:r w:rsidR="006C2E81">
        <w:rPr>
          <w:szCs w:val="28"/>
        </w:rPr>
        <w:t>6</w:t>
      </w:r>
      <w:r w:rsidR="00DF0C13" w:rsidRPr="009059A9">
        <w:rPr>
          <w:szCs w:val="28"/>
        </w:rPr>
        <w:t>.</w:t>
      </w:r>
      <w:r w:rsidR="00CF3AF8">
        <w:rPr>
          <w:szCs w:val="28"/>
        </w:rPr>
        <w:t xml:space="preserve">Izteikt </w:t>
      </w:r>
      <w:r w:rsidR="00DF0C13" w:rsidRPr="009059A9">
        <w:rPr>
          <w:szCs w:val="28"/>
        </w:rPr>
        <w:t>54.</w:t>
      </w:r>
      <w:r w:rsidR="00DF0C13" w:rsidRPr="009059A9">
        <w:rPr>
          <w:szCs w:val="28"/>
          <w:vertAlign w:val="superscript"/>
        </w:rPr>
        <w:t>1</w:t>
      </w:r>
      <w:r w:rsidR="00DF0C13" w:rsidRPr="009059A9">
        <w:rPr>
          <w:szCs w:val="28"/>
        </w:rPr>
        <w:t xml:space="preserve"> punktu izteikt šādā redakcijā:</w:t>
      </w:r>
    </w:p>
    <w:p w14:paraId="7674B4DA" w14:textId="495FBAE5" w:rsidR="00DF0C13" w:rsidRPr="009059A9" w:rsidRDefault="00DF0C13" w:rsidP="00B82F92">
      <w:pPr>
        <w:spacing w:before="60" w:after="60"/>
        <w:jc w:val="both"/>
        <w:rPr>
          <w:rFonts w:cs="Times New Roman"/>
          <w:szCs w:val="28"/>
        </w:rPr>
      </w:pPr>
      <w:r w:rsidRPr="009059A9">
        <w:rPr>
          <w:rFonts w:cs="Times New Roman"/>
          <w:szCs w:val="28"/>
        </w:rPr>
        <w:t>“</w:t>
      </w:r>
      <w:r w:rsidRPr="009059A9">
        <w:rPr>
          <w:rFonts w:eastAsia="Times New Roman" w:cs="Times New Roman"/>
          <w:szCs w:val="28"/>
          <w:lang w:eastAsia="lv-LV"/>
        </w:rPr>
        <w:t>54.</w:t>
      </w:r>
      <w:r w:rsidRPr="009059A9">
        <w:rPr>
          <w:rFonts w:eastAsia="Times New Roman" w:cs="Times New Roman"/>
          <w:szCs w:val="28"/>
          <w:vertAlign w:val="superscript"/>
          <w:lang w:eastAsia="lv-LV"/>
        </w:rPr>
        <w:t>1</w:t>
      </w:r>
      <w:r w:rsidRPr="009059A9">
        <w:rPr>
          <w:rFonts w:eastAsia="Times New Roman" w:cs="Times New Roman"/>
          <w:szCs w:val="28"/>
          <w:lang w:eastAsia="lv-LV"/>
        </w:rPr>
        <w:t> Šo noteikumu  </w:t>
      </w:r>
      <w:hyperlink r:id="rId8" w:anchor="piel53.2" w:tgtFrame="_blank" w:history="1">
        <w:r w:rsidRPr="009059A9">
          <w:rPr>
            <w:rStyle w:val="Hyperlink"/>
            <w:rFonts w:eastAsia="Times New Roman" w:cs="Times New Roman"/>
            <w:color w:val="auto"/>
            <w:szCs w:val="28"/>
            <w:u w:val="none"/>
            <w:lang w:eastAsia="lv-LV"/>
          </w:rPr>
          <w:t>53.2</w:t>
        </w:r>
      </w:hyperlink>
      <w:r w:rsidRPr="009059A9">
        <w:rPr>
          <w:rFonts w:eastAsia="Times New Roman" w:cs="Times New Roman"/>
          <w:szCs w:val="28"/>
          <w:lang w:eastAsia="lv-LV"/>
        </w:rPr>
        <w:t>. un </w:t>
      </w:r>
      <w:hyperlink r:id="rId9" w:anchor="piel54.2" w:tgtFrame="_blank" w:history="1">
        <w:r w:rsidRPr="009059A9">
          <w:rPr>
            <w:rStyle w:val="Hyperlink"/>
            <w:rFonts w:eastAsia="Times New Roman" w:cs="Times New Roman"/>
            <w:color w:val="auto"/>
            <w:szCs w:val="28"/>
            <w:u w:val="none"/>
            <w:lang w:eastAsia="lv-LV"/>
          </w:rPr>
          <w:t>54.2</w:t>
        </w:r>
      </w:hyperlink>
      <w:r w:rsidRPr="009059A9">
        <w:rPr>
          <w:rFonts w:eastAsia="Times New Roman" w:cs="Times New Roman"/>
          <w:szCs w:val="28"/>
          <w:lang w:eastAsia="lv-LV"/>
        </w:rPr>
        <w:t>. apakšpunktā norādītā dabasgāzes tirdzniecības cen</w:t>
      </w:r>
      <w:r w:rsidRPr="009059A9">
        <w:rPr>
          <w:rFonts w:cs="Times New Roman"/>
          <w:szCs w:val="28"/>
        </w:rPr>
        <w:t>a</w:t>
      </w:r>
      <w:r w:rsidRPr="009059A9">
        <w:rPr>
          <w:rFonts w:eastAsia="Times New Roman" w:cs="Times New Roman"/>
          <w:szCs w:val="28"/>
          <w:lang w:eastAsia="lv-LV"/>
        </w:rPr>
        <w:t xml:space="preserve"> </w:t>
      </w:r>
      <w:proofErr w:type="spellStart"/>
      <w:r w:rsidR="00FA7944">
        <w:rPr>
          <w:rFonts w:eastAsia="Times New Roman" w:cs="Times New Roman"/>
          <w:szCs w:val="28"/>
          <w:lang w:eastAsia="lv-LV"/>
        </w:rPr>
        <w:t>T</w:t>
      </w:r>
      <w:r w:rsidR="00FA7944" w:rsidRPr="00FA7944">
        <w:rPr>
          <w:rFonts w:eastAsia="Times New Roman" w:cs="Times New Roman"/>
          <w:szCs w:val="28"/>
          <w:vertAlign w:val="subscript"/>
          <w:lang w:eastAsia="lv-LV"/>
        </w:rPr>
        <w:t>gs</w:t>
      </w:r>
      <w:proofErr w:type="spellEnd"/>
      <w:r w:rsidR="00FA7944">
        <w:rPr>
          <w:rFonts w:eastAsia="Times New Roman" w:cs="Times New Roman"/>
          <w:szCs w:val="28"/>
          <w:lang w:eastAsia="lv-LV"/>
        </w:rPr>
        <w:t xml:space="preserve"> </w:t>
      </w:r>
      <w:r w:rsidRPr="009059A9">
        <w:rPr>
          <w:rFonts w:cs="Times New Roman"/>
          <w:szCs w:val="28"/>
        </w:rPr>
        <w:t xml:space="preserve">nepārsniedz </w:t>
      </w:r>
      <w:r w:rsidRPr="009059A9">
        <w:rPr>
          <w:rFonts w:eastAsia="Times New Roman" w:cs="Times New Roman"/>
          <w:szCs w:val="28"/>
          <w:lang w:eastAsia="lv-LV"/>
        </w:rPr>
        <w:t>277,46 EUR/tūkst. n.m</w:t>
      </w:r>
      <w:r w:rsidRPr="009059A9">
        <w:rPr>
          <w:rFonts w:eastAsia="Times New Roman" w:cs="Times New Roman"/>
          <w:szCs w:val="28"/>
          <w:vertAlign w:val="superscript"/>
          <w:lang w:eastAsia="lv-LV"/>
        </w:rPr>
        <w:t>3</w:t>
      </w:r>
      <w:r w:rsidRPr="009059A9">
        <w:rPr>
          <w:rFonts w:eastAsia="Times New Roman" w:cs="Times New Roman"/>
          <w:szCs w:val="28"/>
          <w:lang w:eastAsia="lv-LV"/>
        </w:rPr>
        <w:t>.”.</w:t>
      </w:r>
    </w:p>
    <w:p w14:paraId="1FCDDB2C" w14:textId="04085DEE" w:rsidR="00076E28" w:rsidRPr="009059A9" w:rsidRDefault="00076E28" w:rsidP="00B82F92">
      <w:pPr>
        <w:spacing w:before="60" w:after="60"/>
        <w:jc w:val="both"/>
        <w:rPr>
          <w:szCs w:val="28"/>
        </w:rPr>
      </w:pPr>
    </w:p>
    <w:p w14:paraId="5008279C" w14:textId="3D503DB7" w:rsidR="005545FC" w:rsidRPr="009059A9" w:rsidRDefault="004566D1" w:rsidP="00B82F92">
      <w:pPr>
        <w:spacing w:before="60" w:after="60"/>
        <w:jc w:val="both"/>
        <w:rPr>
          <w:szCs w:val="28"/>
        </w:rPr>
      </w:pPr>
      <w:r>
        <w:rPr>
          <w:szCs w:val="28"/>
        </w:rPr>
        <w:t>1.</w:t>
      </w:r>
      <w:r w:rsidR="006C2E81">
        <w:rPr>
          <w:szCs w:val="28"/>
        </w:rPr>
        <w:t>7</w:t>
      </w:r>
      <w:r w:rsidR="005545FC" w:rsidRPr="009059A9">
        <w:rPr>
          <w:szCs w:val="28"/>
        </w:rPr>
        <w:t>.</w:t>
      </w:r>
      <w:r w:rsidR="00CF3AF8">
        <w:rPr>
          <w:szCs w:val="28"/>
        </w:rPr>
        <w:t xml:space="preserve">Izteikt </w:t>
      </w:r>
      <w:r w:rsidR="005545FC" w:rsidRPr="009059A9">
        <w:rPr>
          <w:szCs w:val="28"/>
        </w:rPr>
        <w:t>54.</w:t>
      </w:r>
      <w:r w:rsidR="005545FC" w:rsidRPr="009059A9">
        <w:rPr>
          <w:szCs w:val="28"/>
          <w:vertAlign w:val="superscript"/>
        </w:rPr>
        <w:t>2</w:t>
      </w:r>
      <w:r w:rsidR="005545FC" w:rsidRPr="009059A9">
        <w:rPr>
          <w:szCs w:val="28"/>
        </w:rPr>
        <w:t xml:space="preserve"> punktu izteikt šādā redakcijā:</w:t>
      </w:r>
    </w:p>
    <w:p w14:paraId="261F4609" w14:textId="24ED9451" w:rsidR="005545FC" w:rsidRPr="009059A9" w:rsidRDefault="005545FC" w:rsidP="005545FC">
      <w:pPr>
        <w:shd w:val="clear" w:color="auto" w:fill="FFFFFF"/>
        <w:spacing w:line="293" w:lineRule="atLeast"/>
        <w:ind w:firstLine="300"/>
        <w:jc w:val="both"/>
        <w:rPr>
          <w:rFonts w:eastAsia="Times New Roman" w:cs="Times New Roman"/>
          <w:szCs w:val="28"/>
          <w:lang w:eastAsia="lv-LV"/>
        </w:rPr>
      </w:pPr>
      <w:r w:rsidRPr="009059A9">
        <w:rPr>
          <w:szCs w:val="28"/>
        </w:rPr>
        <w:t>“</w:t>
      </w:r>
      <w:r w:rsidRPr="009059A9">
        <w:rPr>
          <w:rFonts w:eastAsia="Times New Roman" w:cs="Times New Roman"/>
          <w:szCs w:val="28"/>
          <w:lang w:eastAsia="lv-LV"/>
        </w:rPr>
        <w:t>54.</w:t>
      </w:r>
      <w:r w:rsidRPr="009059A9">
        <w:rPr>
          <w:rFonts w:eastAsia="Times New Roman" w:cs="Times New Roman"/>
          <w:szCs w:val="28"/>
          <w:vertAlign w:val="superscript"/>
          <w:lang w:eastAsia="lv-LV"/>
        </w:rPr>
        <w:t>2</w:t>
      </w:r>
      <w:r w:rsidRPr="009059A9">
        <w:rPr>
          <w:rFonts w:eastAsia="Times New Roman" w:cs="Times New Roman"/>
          <w:szCs w:val="28"/>
          <w:lang w:eastAsia="lv-LV"/>
        </w:rPr>
        <w:t xml:space="preserve"> Ja </w:t>
      </w:r>
      <w:r w:rsidR="00FA7944">
        <w:rPr>
          <w:rFonts w:eastAsia="Times New Roman" w:cs="Times New Roman"/>
          <w:szCs w:val="28"/>
          <w:lang w:eastAsia="lv-LV"/>
        </w:rPr>
        <w:t>dabasgāzes tirdzniecības cena</w:t>
      </w:r>
      <w:r w:rsidRPr="009059A9">
        <w:rPr>
          <w:rFonts w:eastAsia="Times New Roman" w:cs="Times New Roman"/>
          <w:szCs w:val="28"/>
          <w:lang w:eastAsia="lv-LV"/>
        </w:rPr>
        <w:t xml:space="preserve"> ir zemāka par 277,46 EUR/tūkst. n.m</w:t>
      </w:r>
      <w:r w:rsidRPr="009059A9">
        <w:rPr>
          <w:rFonts w:eastAsia="Times New Roman" w:cs="Times New Roman"/>
          <w:szCs w:val="28"/>
          <w:vertAlign w:val="superscript"/>
          <w:lang w:eastAsia="lv-LV"/>
        </w:rPr>
        <w:t>3</w:t>
      </w:r>
      <w:r w:rsidRPr="009059A9">
        <w:rPr>
          <w:rFonts w:eastAsia="Times New Roman" w:cs="Times New Roman"/>
          <w:szCs w:val="28"/>
          <w:lang w:eastAsia="lv-LV"/>
        </w:rPr>
        <w:t>, šo noteikumu 53.2. un 54.2. apakšpunktā norādītā dabasgāzes tirdzniecības cen</w:t>
      </w:r>
      <w:r w:rsidRPr="009059A9">
        <w:rPr>
          <w:rFonts w:cs="Times New Roman"/>
          <w:szCs w:val="28"/>
        </w:rPr>
        <w:t>a</w:t>
      </w:r>
      <w:r w:rsidRPr="009059A9">
        <w:rPr>
          <w:rFonts w:eastAsia="Times New Roman" w:cs="Times New Roman"/>
          <w:szCs w:val="28"/>
          <w:lang w:eastAsia="lv-LV"/>
        </w:rPr>
        <w:t xml:space="preserve"> </w:t>
      </w:r>
      <w:proofErr w:type="spellStart"/>
      <w:r w:rsidRPr="009059A9">
        <w:rPr>
          <w:rFonts w:eastAsia="Times New Roman" w:cs="Times New Roman"/>
          <w:szCs w:val="28"/>
          <w:lang w:eastAsia="lv-LV"/>
        </w:rPr>
        <w:t>T</w:t>
      </w:r>
      <w:r w:rsidRPr="009059A9">
        <w:rPr>
          <w:rFonts w:eastAsia="Times New Roman" w:cs="Times New Roman"/>
          <w:szCs w:val="28"/>
          <w:vertAlign w:val="subscript"/>
          <w:lang w:eastAsia="lv-LV"/>
        </w:rPr>
        <w:t>gs</w:t>
      </w:r>
      <w:proofErr w:type="spellEnd"/>
      <w:r w:rsidRPr="009059A9">
        <w:rPr>
          <w:rFonts w:eastAsia="Times New Roman" w:cs="Times New Roman"/>
          <w:szCs w:val="28"/>
          <w:lang w:eastAsia="lv-LV"/>
        </w:rPr>
        <w:t xml:space="preserve"> (EUR/tūkst. n.m</w:t>
      </w:r>
      <w:r w:rsidRPr="009059A9">
        <w:rPr>
          <w:rFonts w:eastAsia="Times New Roman" w:cs="Times New Roman"/>
          <w:szCs w:val="28"/>
          <w:vertAlign w:val="superscript"/>
          <w:lang w:eastAsia="lv-LV"/>
        </w:rPr>
        <w:t>3</w:t>
      </w:r>
      <w:r w:rsidRPr="009059A9">
        <w:rPr>
          <w:rFonts w:eastAsia="Times New Roman" w:cs="Times New Roman"/>
          <w:szCs w:val="28"/>
          <w:lang w:eastAsia="lv-LV"/>
        </w:rPr>
        <w:t xml:space="preserve">) tiek noteikta atbilstoši </w:t>
      </w:r>
      <w:r w:rsidR="00FA7944">
        <w:rPr>
          <w:rFonts w:eastAsia="Times New Roman" w:cs="Times New Roman"/>
          <w:szCs w:val="28"/>
          <w:lang w:eastAsia="lv-LV"/>
        </w:rPr>
        <w:t xml:space="preserve">attiecīgajai </w:t>
      </w:r>
      <w:r w:rsidR="002E24B2" w:rsidRPr="009059A9">
        <w:rPr>
          <w:rFonts w:eastAsia="Times New Roman" w:cs="Times New Roman"/>
          <w:szCs w:val="28"/>
          <w:lang w:eastAsia="lv-LV"/>
        </w:rPr>
        <w:t>dabasgāzes tirdzniecības cen</w:t>
      </w:r>
      <w:r w:rsidR="002E24B2" w:rsidRPr="009059A9">
        <w:rPr>
          <w:rFonts w:cs="Times New Roman"/>
          <w:szCs w:val="28"/>
        </w:rPr>
        <w:t>ai</w:t>
      </w:r>
      <w:r w:rsidRPr="009059A9">
        <w:rPr>
          <w:rFonts w:eastAsia="Times New Roman" w:cs="Times New Roman"/>
          <w:szCs w:val="28"/>
          <w:lang w:eastAsia="lv-LV"/>
        </w:rPr>
        <w:t>.”</w:t>
      </w:r>
      <w:r w:rsidR="0077680D">
        <w:rPr>
          <w:rFonts w:eastAsia="Times New Roman" w:cs="Times New Roman"/>
          <w:szCs w:val="28"/>
          <w:lang w:eastAsia="lv-LV"/>
        </w:rPr>
        <w:t>.</w:t>
      </w:r>
    </w:p>
    <w:p w14:paraId="40C6890A" w14:textId="77777777" w:rsidR="005545FC" w:rsidRPr="009059A9" w:rsidRDefault="005545FC" w:rsidP="005545FC">
      <w:pPr>
        <w:shd w:val="clear" w:color="auto" w:fill="FFFFFF"/>
        <w:spacing w:line="293" w:lineRule="atLeast"/>
        <w:jc w:val="both"/>
        <w:rPr>
          <w:rFonts w:eastAsia="Times New Roman" w:cs="Times New Roman"/>
          <w:szCs w:val="28"/>
          <w:lang w:eastAsia="lv-LV"/>
        </w:rPr>
      </w:pPr>
    </w:p>
    <w:p w14:paraId="7A2C8366" w14:textId="4A5C789C" w:rsidR="005545FC" w:rsidRPr="009059A9" w:rsidRDefault="004566D1" w:rsidP="00B82F92">
      <w:pPr>
        <w:spacing w:before="60" w:after="60"/>
        <w:jc w:val="both"/>
        <w:rPr>
          <w:szCs w:val="28"/>
        </w:rPr>
      </w:pPr>
      <w:r>
        <w:rPr>
          <w:szCs w:val="28"/>
        </w:rPr>
        <w:t>1.</w:t>
      </w:r>
      <w:r w:rsidR="006C2E81">
        <w:rPr>
          <w:szCs w:val="28"/>
        </w:rPr>
        <w:t>8</w:t>
      </w:r>
      <w:r w:rsidR="0075231C" w:rsidRPr="009059A9">
        <w:rPr>
          <w:szCs w:val="28"/>
        </w:rPr>
        <w:t>. Svītrot V</w:t>
      </w:r>
      <w:r w:rsidR="00706DCF">
        <w:rPr>
          <w:szCs w:val="28"/>
        </w:rPr>
        <w:t>.</w:t>
      </w:r>
      <w:r w:rsidR="0075231C" w:rsidRPr="009059A9">
        <w:rPr>
          <w:szCs w:val="28"/>
        </w:rPr>
        <w:t xml:space="preserve"> nodaļu “Koģenerācijā ražotas elektroenerģijas izcelsmes apliecinājuma izsniegšana komersantiem”.</w:t>
      </w:r>
    </w:p>
    <w:p w14:paraId="7B66F671" w14:textId="77777777" w:rsidR="00F507B3" w:rsidRPr="009059A9" w:rsidRDefault="00F507B3" w:rsidP="00B82F92">
      <w:pPr>
        <w:spacing w:before="60" w:after="60"/>
        <w:jc w:val="both"/>
        <w:rPr>
          <w:szCs w:val="28"/>
        </w:rPr>
      </w:pPr>
    </w:p>
    <w:p w14:paraId="1EF064B7" w14:textId="588BDE6C" w:rsidR="00353488" w:rsidRPr="009059A9" w:rsidRDefault="004566D1" w:rsidP="00353488">
      <w:pPr>
        <w:spacing w:before="60" w:after="60"/>
        <w:jc w:val="both"/>
        <w:rPr>
          <w:rFonts w:eastAsiaTheme="minorEastAsia"/>
          <w:szCs w:val="28"/>
        </w:rPr>
      </w:pPr>
      <w:r>
        <w:rPr>
          <w:rFonts w:eastAsiaTheme="minorEastAsia"/>
          <w:szCs w:val="28"/>
        </w:rPr>
        <w:t>1.</w:t>
      </w:r>
      <w:r w:rsidR="006C2E81">
        <w:rPr>
          <w:rFonts w:eastAsiaTheme="minorEastAsia"/>
          <w:szCs w:val="28"/>
        </w:rPr>
        <w:t>9</w:t>
      </w:r>
      <w:r w:rsidR="00353488" w:rsidRPr="009059A9">
        <w:rPr>
          <w:rFonts w:eastAsiaTheme="minorEastAsia"/>
          <w:szCs w:val="28"/>
        </w:rPr>
        <w:t xml:space="preserve">. Papildināt noteikumus ar 87.punktu šādā redakcijā: </w:t>
      </w:r>
    </w:p>
    <w:p w14:paraId="07548AE3" w14:textId="7CDE16BE" w:rsidR="00353488" w:rsidRPr="009059A9" w:rsidRDefault="00353488" w:rsidP="00353488">
      <w:pPr>
        <w:spacing w:before="60" w:after="60"/>
        <w:jc w:val="both"/>
        <w:rPr>
          <w:rFonts w:eastAsiaTheme="minorEastAsia"/>
          <w:szCs w:val="28"/>
        </w:rPr>
      </w:pPr>
      <w:r w:rsidRPr="009059A9">
        <w:rPr>
          <w:rFonts w:eastAsiaTheme="minorEastAsia"/>
          <w:szCs w:val="28"/>
        </w:rPr>
        <w:t>“</w:t>
      </w:r>
      <w:r w:rsidR="00D30A7E">
        <w:rPr>
          <w:rFonts w:eastAsiaTheme="minorEastAsia"/>
          <w:szCs w:val="28"/>
        </w:rPr>
        <w:t xml:space="preserve">87. </w:t>
      </w:r>
      <w:r w:rsidR="009059A9">
        <w:rPr>
          <w:rFonts w:eastAsiaTheme="minorEastAsia"/>
          <w:szCs w:val="28"/>
        </w:rPr>
        <w:t>Noteikumu 53.2.apakšpunktā</w:t>
      </w:r>
      <w:r w:rsidRPr="009059A9">
        <w:rPr>
          <w:rFonts w:eastAsiaTheme="minorEastAsia"/>
          <w:szCs w:val="28"/>
        </w:rPr>
        <w:t xml:space="preserve"> izmantoto lielumu (</w:t>
      </w:r>
      <m:oMath>
        <m:sSub>
          <m:sSubPr>
            <m:ctrlPr>
              <w:rPr>
                <w:rFonts w:ascii="Cambria Math" w:hAnsi="Cambria Math"/>
                <w:i/>
                <w:szCs w:val="28"/>
                <w:bdr w:val="none" w:sz="0" w:space="0" w:color="auto" w:frame="1"/>
                <w:vertAlign w:val="subscript"/>
              </w:rPr>
            </m:ctrlPr>
          </m:sSubPr>
          <m:e>
            <m:r>
              <w:rPr>
                <w:rFonts w:ascii="Cambria Math" w:hAnsi="Cambria Math"/>
                <w:szCs w:val="28"/>
                <w:bdr w:val="none" w:sz="0" w:space="0" w:color="auto" w:frame="1"/>
                <w:vertAlign w:val="subscript"/>
              </w:rPr>
              <m:t>T</m:t>
            </m:r>
          </m:e>
          <m:sub>
            <m:r>
              <w:rPr>
                <w:rFonts w:ascii="Cambria Math" w:hAnsi="Cambria Math"/>
                <w:szCs w:val="28"/>
                <w:bdr w:val="none" w:sz="0" w:space="0" w:color="auto" w:frame="1"/>
                <w:vertAlign w:val="subscript"/>
              </w:rPr>
              <m:t>gs</m:t>
            </m:r>
          </m:sub>
        </m:sSub>
        <m:r>
          <w:rPr>
            <w:rFonts w:ascii="Cambria Math" w:hAnsi="Cambria Math"/>
            <w:szCs w:val="28"/>
            <w:bdr w:val="none" w:sz="0" w:space="0" w:color="auto" w:frame="1"/>
            <w:vertAlign w:val="subscript"/>
          </w:rPr>
          <m:t>+</m:t>
        </m:r>
        <m:sSub>
          <m:sSubPr>
            <m:ctrlPr>
              <w:rPr>
                <w:rFonts w:ascii="Cambria Math" w:hAnsi="Cambria Math"/>
                <w:i/>
                <w:szCs w:val="28"/>
                <w:bdr w:val="none" w:sz="0" w:space="0" w:color="auto" w:frame="1"/>
                <w:vertAlign w:val="subscript"/>
              </w:rPr>
            </m:ctrlPr>
          </m:sSubPr>
          <m:e>
            <m:r>
              <w:rPr>
                <w:rFonts w:ascii="Cambria Math" w:hAnsi="Cambria Math"/>
                <w:szCs w:val="28"/>
                <w:bdr w:val="none" w:sz="0" w:space="0" w:color="auto" w:frame="1"/>
                <w:vertAlign w:val="subscript"/>
              </w:rPr>
              <m:t>k</m:t>
            </m:r>
          </m:e>
          <m:sub>
            <m:r>
              <w:rPr>
                <w:rFonts w:ascii="Cambria Math" w:hAnsi="Cambria Math"/>
                <w:szCs w:val="28"/>
                <w:bdr w:val="none" w:sz="0" w:space="0" w:color="auto" w:frame="1"/>
                <w:vertAlign w:val="subscript"/>
              </w:rPr>
              <m:t>g</m:t>
            </m:r>
          </m:sub>
        </m:sSub>
      </m:oMath>
      <w:r w:rsidRPr="009059A9">
        <w:rPr>
          <w:rFonts w:eastAsiaTheme="minorEastAsia"/>
          <w:szCs w:val="28"/>
        </w:rPr>
        <w:t xml:space="preserve">) no 2017.gada 3.aprīļa līdz </w:t>
      </w:r>
      <w:r w:rsidR="005D0C07">
        <w:rPr>
          <w:rFonts w:eastAsiaTheme="minorEastAsia"/>
          <w:szCs w:val="28"/>
        </w:rPr>
        <w:t>2017.gada 30.jūnijam</w:t>
      </w:r>
      <w:r w:rsidRPr="009059A9">
        <w:rPr>
          <w:rFonts w:eastAsiaTheme="minorEastAsia"/>
          <w:szCs w:val="28"/>
        </w:rPr>
        <w:t xml:space="preserve"> nosaka atbilstoši 2017.gada 2.aprīlī spēkā esošajam regulatora apstiprinātajam dabasgāzes tirdzniecības gala tarifam dabasgāzes patēriņa apjomiem (6.pielikums) atkarībā no koģenerācijas elektrostacijā uzstādītās elektriskās jaudas.”</w:t>
      </w:r>
      <w:r w:rsidR="0077680D">
        <w:rPr>
          <w:rFonts w:eastAsiaTheme="minorEastAsia"/>
          <w:szCs w:val="28"/>
        </w:rPr>
        <w:t>.</w:t>
      </w:r>
    </w:p>
    <w:p w14:paraId="03A2FDD4" w14:textId="77777777" w:rsidR="00353488" w:rsidRPr="009059A9" w:rsidRDefault="00353488" w:rsidP="00B82F92">
      <w:pPr>
        <w:spacing w:before="60" w:after="60"/>
        <w:jc w:val="both"/>
        <w:rPr>
          <w:szCs w:val="28"/>
        </w:rPr>
      </w:pPr>
    </w:p>
    <w:p w14:paraId="3FB718B0" w14:textId="08E0C8B4" w:rsidR="0075231C" w:rsidRPr="009059A9" w:rsidRDefault="004566D1" w:rsidP="00B82F92">
      <w:pPr>
        <w:spacing w:before="60" w:after="60"/>
        <w:jc w:val="both"/>
        <w:rPr>
          <w:szCs w:val="28"/>
        </w:rPr>
      </w:pPr>
      <w:r>
        <w:rPr>
          <w:szCs w:val="28"/>
        </w:rPr>
        <w:t>1.</w:t>
      </w:r>
      <w:r w:rsidR="006C2E81">
        <w:rPr>
          <w:szCs w:val="28"/>
        </w:rPr>
        <w:t>10</w:t>
      </w:r>
      <w:r w:rsidR="00B73F9A" w:rsidRPr="009059A9">
        <w:rPr>
          <w:szCs w:val="28"/>
        </w:rPr>
        <w:t>. Izteikt 1.pielikumu šādā redakcijā:</w:t>
      </w:r>
    </w:p>
    <w:p w14:paraId="21D30169" w14:textId="79D84E56" w:rsidR="00B73F9A" w:rsidRPr="009059A9" w:rsidRDefault="00B73F9A" w:rsidP="00B82F92">
      <w:pPr>
        <w:spacing w:before="60" w:after="60"/>
        <w:jc w:val="both"/>
        <w:rPr>
          <w:szCs w:val="28"/>
        </w:rPr>
      </w:pPr>
      <w:r w:rsidRPr="009059A9">
        <w:rPr>
          <w:szCs w:val="28"/>
        </w:rPr>
        <w:t>“</w:t>
      </w:r>
    </w:p>
    <w:p w14:paraId="4B99AF09" w14:textId="61DCC9B4" w:rsidR="00B73F9A" w:rsidRPr="009059A9" w:rsidRDefault="00B73F9A" w:rsidP="00B73F9A">
      <w:pPr>
        <w:spacing w:before="60" w:after="60"/>
        <w:jc w:val="right"/>
        <w:rPr>
          <w:rFonts w:cs="Times New Roman"/>
          <w:szCs w:val="28"/>
        </w:rPr>
      </w:pPr>
      <w:r w:rsidRPr="009059A9">
        <w:rPr>
          <w:rFonts w:eastAsia="Times New Roman" w:cs="Times New Roman"/>
          <w:sz w:val="24"/>
          <w:szCs w:val="20"/>
          <w:lang w:eastAsia="lv-LV"/>
        </w:rPr>
        <w:t>1.pielikums </w:t>
      </w:r>
      <w:r w:rsidRPr="009059A9">
        <w:rPr>
          <w:rFonts w:eastAsia="Times New Roman" w:cs="Times New Roman"/>
          <w:sz w:val="24"/>
          <w:szCs w:val="20"/>
          <w:lang w:eastAsia="lv-LV"/>
        </w:rPr>
        <w:br/>
        <w:t>Ministru kabineta </w:t>
      </w:r>
      <w:r w:rsidRPr="009059A9">
        <w:rPr>
          <w:rFonts w:eastAsia="Times New Roman" w:cs="Times New Roman"/>
          <w:sz w:val="24"/>
          <w:szCs w:val="20"/>
          <w:lang w:eastAsia="lv-LV"/>
        </w:rPr>
        <w:br/>
        <w:t>2009.gada 10.marta noteikumiem Nr.221</w:t>
      </w:r>
    </w:p>
    <w:p w14:paraId="67F77112" w14:textId="77777777" w:rsidR="00B73F9A" w:rsidRPr="009059A9" w:rsidRDefault="00B73F9A" w:rsidP="00B73F9A">
      <w:pPr>
        <w:shd w:val="clear" w:color="auto" w:fill="FFFFFF"/>
        <w:jc w:val="center"/>
        <w:rPr>
          <w:rFonts w:eastAsia="Times New Roman" w:cs="Times New Roman"/>
          <w:b/>
          <w:bCs/>
          <w:szCs w:val="28"/>
          <w:lang w:eastAsia="lv-LV"/>
        </w:rPr>
      </w:pPr>
      <w:r w:rsidRPr="009059A9">
        <w:rPr>
          <w:rFonts w:eastAsia="Times New Roman" w:cs="Times New Roman"/>
          <w:b/>
          <w:bCs/>
          <w:szCs w:val="28"/>
          <w:lang w:eastAsia="lv-LV"/>
        </w:rPr>
        <w:t>Lietderības koeficienti</w:t>
      </w:r>
    </w:p>
    <w:p w14:paraId="1AB9A598" w14:textId="6F157898" w:rsidR="00B73F9A" w:rsidRPr="009059A9" w:rsidRDefault="00B73F9A" w:rsidP="00B73F9A">
      <w:pPr>
        <w:shd w:val="clear" w:color="auto" w:fill="FFFFFF"/>
        <w:spacing w:before="45" w:line="248" w:lineRule="atLeast"/>
        <w:ind w:firstLine="300"/>
        <w:jc w:val="center"/>
        <w:rPr>
          <w:rFonts w:eastAsia="Times New Roman" w:cs="Times New Roman"/>
          <w:i/>
          <w:iCs/>
          <w:sz w:val="20"/>
          <w:szCs w:val="20"/>
          <w:lang w:eastAsia="lv-LV"/>
        </w:rPr>
      </w:pPr>
      <w:r w:rsidRPr="009059A9">
        <w:rPr>
          <w:rFonts w:eastAsia="Times New Roman" w:cs="Times New Roman"/>
          <w:i/>
          <w:iCs/>
          <w:sz w:val="20"/>
          <w:szCs w:val="20"/>
          <w:lang w:eastAsia="lv-LV"/>
        </w:rPr>
        <w:t>(Pielikums grozīts ar MK </w:t>
      </w:r>
      <w:r w:rsidRPr="009059A9">
        <w:rPr>
          <w:rFonts w:eastAsia="Times New Roman" w:cs="Times New Roman"/>
          <w:i/>
          <w:iCs/>
          <w:sz w:val="20"/>
          <w:szCs w:val="20"/>
          <w:u w:val="single"/>
          <w:lang w:eastAsia="lv-LV"/>
        </w:rPr>
        <w:t>28.08.2012.</w:t>
      </w:r>
      <w:r w:rsidRPr="009059A9">
        <w:rPr>
          <w:rFonts w:eastAsia="Times New Roman" w:cs="Times New Roman"/>
          <w:i/>
          <w:iCs/>
          <w:sz w:val="20"/>
          <w:szCs w:val="20"/>
          <w:lang w:eastAsia="lv-LV"/>
        </w:rPr>
        <w:t> noteikumiem Nr.604)</w:t>
      </w:r>
    </w:p>
    <w:p w14:paraId="538244C8" w14:textId="124924B9" w:rsidR="00B73F9A" w:rsidRPr="003A355B" w:rsidRDefault="00B73F9A" w:rsidP="003A355B">
      <w:pPr>
        <w:shd w:val="clear" w:color="auto" w:fill="FFFFFF"/>
        <w:spacing w:before="100" w:beforeAutospacing="1" w:after="100" w:afterAutospacing="1" w:line="293" w:lineRule="atLeast"/>
        <w:ind w:firstLine="300"/>
        <w:jc w:val="center"/>
        <w:rPr>
          <w:rFonts w:eastAsia="Times New Roman" w:cs="Times New Roman"/>
          <w:b/>
          <w:bCs/>
          <w:sz w:val="24"/>
          <w:szCs w:val="24"/>
          <w:lang w:eastAsia="lv-LV"/>
        </w:rPr>
      </w:pPr>
      <w:r w:rsidRPr="009059A9">
        <w:rPr>
          <w:rFonts w:eastAsia="Times New Roman" w:cs="Times New Roman"/>
          <w:b/>
          <w:bCs/>
          <w:sz w:val="24"/>
          <w:szCs w:val="24"/>
          <w:lang w:eastAsia="lv-LV"/>
        </w:rPr>
        <w:lastRenderedPageBreak/>
        <w:t>I. Harmonizētie lietderības koeficienti ar klimata korekciju atsevišķai elektroenerģijas ražošanai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267"/>
        <w:gridCol w:w="1087"/>
        <w:gridCol w:w="3713"/>
        <w:gridCol w:w="996"/>
        <w:gridCol w:w="996"/>
        <w:gridCol w:w="996"/>
      </w:tblGrid>
      <w:tr w:rsidR="00B73F9A" w:rsidRPr="009059A9" w14:paraId="0E10B7F6" w14:textId="77777777" w:rsidTr="00B73F9A">
        <w:tc>
          <w:tcPr>
            <w:tcW w:w="700" w:type="pct"/>
            <w:vMerge w:val="restart"/>
            <w:tcBorders>
              <w:top w:val="outset" w:sz="6" w:space="0" w:color="414142"/>
              <w:left w:val="outset" w:sz="6" w:space="0" w:color="414142"/>
              <w:bottom w:val="outset" w:sz="6" w:space="0" w:color="414142"/>
              <w:right w:val="outset" w:sz="6" w:space="0" w:color="414142"/>
            </w:tcBorders>
            <w:vAlign w:val="center"/>
            <w:hideMark/>
          </w:tcPr>
          <w:p w14:paraId="47959EC6"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Kurināmais</w:t>
            </w:r>
          </w:p>
        </w:tc>
        <w:tc>
          <w:tcPr>
            <w:tcW w:w="600" w:type="pct"/>
            <w:vMerge w:val="restart"/>
            <w:tcBorders>
              <w:top w:val="outset" w:sz="6" w:space="0" w:color="414142"/>
              <w:left w:val="outset" w:sz="6" w:space="0" w:color="414142"/>
              <w:bottom w:val="outset" w:sz="6" w:space="0" w:color="414142"/>
              <w:right w:val="outset" w:sz="6" w:space="0" w:color="414142"/>
            </w:tcBorders>
            <w:vAlign w:val="center"/>
            <w:hideMark/>
          </w:tcPr>
          <w:p w14:paraId="51F8E95F"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Kategorija</w:t>
            </w:r>
          </w:p>
        </w:tc>
        <w:tc>
          <w:tcPr>
            <w:tcW w:w="2050" w:type="pct"/>
            <w:vMerge w:val="restart"/>
            <w:tcBorders>
              <w:top w:val="outset" w:sz="6" w:space="0" w:color="414142"/>
              <w:left w:val="outset" w:sz="6" w:space="0" w:color="414142"/>
              <w:bottom w:val="outset" w:sz="6" w:space="0" w:color="414142"/>
              <w:right w:val="outset" w:sz="6" w:space="0" w:color="414142"/>
            </w:tcBorders>
            <w:vAlign w:val="center"/>
            <w:hideMark/>
          </w:tcPr>
          <w:p w14:paraId="551DBA60"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Kurināmā veids</w:t>
            </w:r>
          </w:p>
        </w:tc>
        <w:tc>
          <w:tcPr>
            <w:tcW w:w="1650" w:type="pct"/>
            <w:gridSpan w:val="3"/>
            <w:tcBorders>
              <w:top w:val="outset" w:sz="6" w:space="0" w:color="414142"/>
              <w:left w:val="outset" w:sz="6" w:space="0" w:color="414142"/>
              <w:bottom w:val="outset" w:sz="6" w:space="0" w:color="414142"/>
              <w:right w:val="outset" w:sz="6" w:space="0" w:color="414142"/>
            </w:tcBorders>
            <w:vAlign w:val="center"/>
            <w:hideMark/>
          </w:tcPr>
          <w:p w14:paraId="7083DF0C"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Koģenerācijas elektrostacijas ekspluatācijā nodošanas gads</w:t>
            </w:r>
          </w:p>
        </w:tc>
      </w:tr>
      <w:tr w:rsidR="00B73F9A" w:rsidRPr="009059A9" w14:paraId="2D17BD50"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26E21B9" w14:textId="77777777" w:rsidR="00B73F9A" w:rsidRPr="009059A9" w:rsidRDefault="00B73F9A" w:rsidP="00B73F9A">
            <w:pPr>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6108961" w14:textId="77777777" w:rsidR="00B73F9A" w:rsidRPr="009059A9" w:rsidRDefault="00B73F9A" w:rsidP="00B73F9A">
            <w:pPr>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73198C" w14:textId="77777777" w:rsidR="00B73F9A" w:rsidRPr="009059A9" w:rsidRDefault="00B73F9A" w:rsidP="00B73F9A">
            <w:pPr>
              <w:rPr>
                <w:rFonts w:eastAsia="Times New Roman" w:cs="Times New Roman"/>
                <w:sz w:val="20"/>
                <w:szCs w:val="20"/>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A7B206"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2012.</w:t>
            </w:r>
            <w:r w:rsidRPr="009059A9">
              <w:rPr>
                <w:rFonts w:eastAsia="Times New Roman" w:cs="Times New Roman"/>
                <w:sz w:val="20"/>
                <w:szCs w:val="20"/>
                <w:lang w:eastAsia="lv-LV"/>
              </w:rPr>
              <w:br/>
              <w:t>un agrāk</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6589CA"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2012.–2015.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63DCBA"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2016.</w:t>
            </w:r>
            <w:r w:rsidRPr="009059A9">
              <w:rPr>
                <w:rFonts w:eastAsia="Times New Roman" w:cs="Times New Roman"/>
                <w:sz w:val="20"/>
                <w:szCs w:val="20"/>
                <w:lang w:eastAsia="lv-LV"/>
              </w:rPr>
              <w:br/>
              <w:t>un vēlāk</w:t>
            </w:r>
          </w:p>
        </w:tc>
      </w:tr>
      <w:tr w:rsidR="00B73F9A" w:rsidRPr="009059A9" w14:paraId="5B78CEBD" w14:textId="77777777" w:rsidTr="00B73F9A">
        <w:tc>
          <w:tcPr>
            <w:tcW w:w="700" w:type="pct"/>
            <w:vMerge w:val="restart"/>
            <w:tcBorders>
              <w:top w:val="outset" w:sz="6" w:space="0" w:color="414142"/>
              <w:left w:val="outset" w:sz="6" w:space="0" w:color="414142"/>
              <w:bottom w:val="outset" w:sz="6" w:space="0" w:color="414142"/>
              <w:right w:val="outset" w:sz="6" w:space="0" w:color="414142"/>
            </w:tcBorders>
            <w:vAlign w:val="center"/>
            <w:hideMark/>
          </w:tcPr>
          <w:p w14:paraId="02C67591"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Cietais kurināmais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298E471"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S1</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0E806F57"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 xml:space="preserve">Akmeņogles, ieskaitot antracītu, bitumena ogles, melno </w:t>
            </w:r>
            <w:proofErr w:type="spellStart"/>
            <w:r w:rsidRPr="009059A9">
              <w:rPr>
                <w:rFonts w:eastAsia="Times New Roman" w:cs="Times New Roman"/>
                <w:sz w:val="20"/>
                <w:szCs w:val="20"/>
                <w:lang w:eastAsia="lv-LV"/>
              </w:rPr>
              <w:t>lignītu</w:t>
            </w:r>
            <w:proofErr w:type="spellEnd"/>
            <w:r w:rsidRPr="009059A9">
              <w:rPr>
                <w:rFonts w:eastAsia="Times New Roman" w:cs="Times New Roman"/>
                <w:sz w:val="20"/>
                <w:szCs w:val="20"/>
                <w:lang w:eastAsia="lv-LV"/>
              </w:rPr>
              <w:t xml:space="preserve">, koksu, </w:t>
            </w:r>
            <w:proofErr w:type="spellStart"/>
            <w:r w:rsidRPr="009059A9">
              <w:rPr>
                <w:rFonts w:eastAsia="Times New Roman" w:cs="Times New Roman"/>
                <w:sz w:val="20"/>
                <w:szCs w:val="20"/>
                <w:lang w:eastAsia="lv-LV"/>
              </w:rPr>
              <w:t>puskoksu</w:t>
            </w:r>
            <w:proofErr w:type="spellEnd"/>
            <w:r w:rsidRPr="009059A9">
              <w:rPr>
                <w:rFonts w:eastAsia="Times New Roman" w:cs="Times New Roman"/>
                <w:sz w:val="20"/>
                <w:szCs w:val="20"/>
                <w:lang w:eastAsia="lv-LV"/>
              </w:rPr>
              <w:t>, naftas koksu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3C0E21"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0,442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AF70AAA"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0,442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60ED35"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0,442</w:t>
            </w:r>
          </w:p>
        </w:tc>
      </w:tr>
      <w:tr w:rsidR="00B73F9A" w:rsidRPr="009059A9" w14:paraId="4F6D0491"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4A00340" w14:textId="77777777" w:rsidR="00B73F9A" w:rsidRPr="009059A9" w:rsidRDefault="00B73F9A" w:rsidP="00B73F9A">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9A98FE2"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S2</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09019E95" w14:textId="77777777" w:rsidR="00B73F9A" w:rsidRPr="009059A9" w:rsidRDefault="00B73F9A" w:rsidP="00B73F9A">
            <w:pPr>
              <w:rPr>
                <w:rFonts w:eastAsia="Times New Roman" w:cs="Times New Roman"/>
                <w:sz w:val="20"/>
                <w:szCs w:val="20"/>
                <w:lang w:eastAsia="lv-LV"/>
              </w:rPr>
            </w:pPr>
            <w:proofErr w:type="spellStart"/>
            <w:r w:rsidRPr="009059A9">
              <w:rPr>
                <w:rFonts w:eastAsia="Times New Roman" w:cs="Times New Roman"/>
                <w:sz w:val="20"/>
                <w:szCs w:val="20"/>
                <w:lang w:eastAsia="lv-LV"/>
              </w:rPr>
              <w:t>Lignīts</w:t>
            </w:r>
            <w:proofErr w:type="spellEnd"/>
            <w:r w:rsidRPr="009059A9">
              <w:rPr>
                <w:rFonts w:eastAsia="Times New Roman" w:cs="Times New Roman"/>
                <w:sz w:val="20"/>
                <w:szCs w:val="20"/>
                <w:lang w:eastAsia="lv-LV"/>
              </w:rPr>
              <w:t xml:space="preserve">, </w:t>
            </w:r>
            <w:proofErr w:type="spellStart"/>
            <w:r w:rsidRPr="009059A9">
              <w:rPr>
                <w:rFonts w:eastAsia="Times New Roman" w:cs="Times New Roman"/>
                <w:sz w:val="20"/>
                <w:szCs w:val="20"/>
                <w:lang w:eastAsia="lv-LV"/>
              </w:rPr>
              <w:t>lignīta</w:t>
            </w:r>
            <w:proofErr w:type="spellEnd"/>
            <w:r w:rsidRPr="009059A9">
              <w:rPr>
                <w:rFonts w:eastAsia="Times New Roman" w:cs="Times New Roman"/>
                <w:sz w:val="20"/>
                <w:szCs w:val="20"/>
                <w:lang w:eastAsia="lv-LV"/>
              </w:rPr>
              <w:t xml:space="preserve"> briketes, slānekļa nafta</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E2D6690"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0,418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47123"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0,418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3528D9"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0,418</w:t>
            </w:r>
          </w:p>
        </w:tc>
      </w:tr>
      <w:tr w:rsidR="00B73F9A" w:rsidRPr="009059A9" w14:paraId="5BC90209"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55128F" w14:textId="77777777" w:rsidR="00B73F9A" w:rsidRPr="009059A9" w:rsidRDefault="00B73F9A" w:rsidP="00B73F9A">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EB5B04B"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S3</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4B391DDD"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Kūdra, kūdras briketes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3B816C"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0,390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E0F9C8"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0,390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DB3691"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0,390</w:t>
            </w:r>
          </w:p>
        </w:tc>
      </w:tr>
      <w:tr w:rsidR="00B73F9A" w:rsidRPr="009059A9" w14:paraId="117F4E56"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95FF74C" w14:textId="77777777" w:rsidR="00B73F9A" w:rsidRPr="009059A9" w:rsidRDefault="00B73F9A" w:rsidP="00B73F9A">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19F0B42"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S4</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4D7FA4FD"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Sausa biomasa, ieskaitot koksnes granulas un briketes, žāvēta šķelda, tīri koksnes atlikumi, riekstu čaumalas un olīvu un citi kauliņi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E958BA"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0,330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6FD9C34"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0,330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5E5F6A"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0,370</w:t>
            </w:r>
          </w:p>
        </w:tc>
      </w:tr>
      <w:tr w:rsidR="00B73F9A" w:rsidRPr="009059A9" w14:paraId="1AC0AF7C"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BECF136" w14:textId="77777777" w:rsidR="00B73F9A" w:rsidRPr="009059A9" w:rsidRDefault="00B73F9A" w:rsidP="00B73F9A">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BEE98C2"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S5</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7B6712C7"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 xml:space="preserve">Cita cietā biomasa ieskaitot visu veidu cieto biomasu, kas nav uzskaitīta kategorijā S4, kā arī melnais un brūnais </w:t>
            </w:r>
            <w:proofErr w:type="spellStart"/>
            <w:r w:rsidRPr="009059A9">
              <w:rPr>
                <w:rFonts w:eastAsia="Times New Roman" w:cs="Times New Roman"/>
                <w:sz w:val="20"/>
                <w:szCs w:val="20"/>
                <w:lang w:eastAsia="lv-LV"/>
              </w:rPr>
              <w:t>atsārms</w:t>
            </w:r>
            <w:proofErr w:type="spellEnd"/>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48675C"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0,250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B2130E"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0,250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91E9BD"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0,300</w:t>
            </w:r>
          </w:p>
        </w:tc>
      </w:tr>
      <w:tr w:rsidR="00B73F9A" w:rsidRPr="009059A9" w14:paraId="38885964"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D18E7E2" w14:textId="77777777" w:rsidR="00B73F9A" w:rsidRPr="009059A9" w:rsidRDefault="00B73F9A" w:rsidP="00B73F9A">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F84C003"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S6</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52C7171E"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Sadzīves un rūpnieciskie atkritumi (neatjaunojamie) un atjaunojamie/bioloģiski noārdāmie atkritumi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EC69F"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0,250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A68ABE"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0,250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52571B6"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0,250</w:t>
            </w:r>
          </w:p>
        </w:tc>
      </w:tr>
      <w:tr w:rsidR="00B73F9A" w:rsidRPr="009059A9" w14:paraId="1B8893DC" w14:textId="77777777" w:rsidTr="00B73F9A">
        <w:tc>
          <w:tcPr>
            <w:tcW w:w="700" w:type="pct"/>
            <w:vMerge w:val="restart"/>
            <w:tcBorders>
              <w:top w:val="outset" w:sz="6" w:space="0" w:color="414142"/>
              <w:left w:val="outset" w:sz="6" w:space="0" w:color="414142"/>
              <w:bottom w:val="outset" w:sz="6" w:space="0" w:color="414142"/>
              <w:right w:val="outset" w:sz="6" w:space="0" w:color="414142"/>
            </w:tcBorders>
            <w:vAlign w:val="center"/>
            <w:hideMark/>
          </w:tcPr>
          <w:p w14:paraId="61DA17FC"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Šķidrais kurināmais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6D70367"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L7</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01AA4CA1"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Mazuts, gāzeļļa, dīzeļeļļa, citi naftas produkti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A7787"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0,442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D87B58"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0,442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800A362"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0,442</w:t>
            </w:r>
          </w:p>
        </w:tc>
      </w:tr>
      <w:tr w:rsidR="00B73F9A" w:rsidRPr="009059A9" w14:paraId="2B9BEC6F"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D2DAB" w14:textId="77777777" w:rsidR="00B73F9A" w:rsidRPr="009059A9" w:rsidRDefault="00B73F9A" w:rsidP="00B73F9A">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5EDF5A6"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L8</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74F5DD29"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 xml:space="preserve">Biodegvielas, ieskaitot </w:t>
            </w:r>
            <w:proofErr w:type="spellStart"/>
            <w:r w:rsidRPr="009059A9">
              <w:rPr>
                <w:rFonts w:eastAsia="Times New Roman" w:cs="Times New Roman"/>
                <w:sz w:val="20"/>
                <w:szCs w:val="20"/>
                <w:lang w:eastAsia="lv-LV"/>
              </w:rPr>
              <w:t>biometanolu</w:t>
            </w:r>
            <w:proofErr w:type="spellEnd"/>
            <w:r w:rsidRPr="009059A9">
              <w:rPr>
                <w:rFonts w:eastAsia="Times New Roman" w:cs="Times New Roman"/>
                <w:sz w:val="20"/>
                <w:szCs w:val="20"/>
                <w:lang w:eastAsia="lv-LV"/>
              </w:rPr>
              <w:t xml:space="preserve">, bioetanolu, </w:t>
            </w:r>
            <w:proofErr w:type="spellStart"/>
            <w:r w:rsidRPr="009059A9">
              <w:rPr>
                <w:rFonts w:eastAsia="Times New Roman" w:cs="Times New Roman"/>
                <w:sz w:val="20"/>
                <w:szCs w:val="20"/>
                <w:lang w:eastAsia="lv-LV"/>
              </w:rPr>
              <w:t>biobutanolu</w:t>
            </w:r>
            <w:proofErr w:type="spellEnd"/>
            <w:r w:rsidRPr="009059A9">
              <w:rPr>
                <w:rFonts w:eastAsia="Times New Roman" w:cs="Times New Roman"/>
                <w:sz w:val="20"/>
                <w:szCs w:val="20"/>
                <w:lang w:eastAsia="lv-LV"/>
              </w:rPr>
              <w:t>, biodīzeļdegvielu un citas biodegvielas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325167"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0,442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69984A"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0,442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040760"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0,442</w:t>
            </w:r>
          </w:p>
        </w:tc>
      </w:tr>
      <w:tr w:rsidR="00B73F9A" w:rsidRPr="009059A9" w14:paraId="217EE28D"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CA183F" w14:textId="77777777" w:rsidR="00B73F9A" w:rsidRPr="009059A9" w:rsidRDefault="00B73F9A" w:rsidP="00B73F9A">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F10EC06"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L9</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073B726F"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 xml:space="preserve">Šķidrā veida atkritumi, ieskaitot bioloģiski noārdāmus atkritumus un neatjaunojamos atkritumus (ieskaitot </w:t>
            </w:r>
            <w:proofErr w:type="spellStart"/>
            <w:r w:rsidRPr="009059A9">
              <w:rPr>
                <w:rFonts w:eastAsia="Times New Roman" w:cs="Times New Roman"/>
                <w:sz w:val="20"/>
                <w:szCs w:val="20"/>
                <w:lang w:eastAsia="lv-LV"/>
              </w:rPr>
              <w:t>pirolīzes</w:t>
            </w:r>
            <w:proofErr w:type="spellEnd"/>
            <w:r w:rsidRPr="009059A9">
              <w:rPr>
                <w:rFonts w:eastAsia="Times New Roman" w:cs="Times New Roman"/>
                <w:sz w:val="20"/>
                <w:szCs w:val="20"/>
                <w:lang w:eastAsia="lv-LV"/>
              </w:rPr>
              <w:t xml:space="preserve"> eļļu, kausētus taukus, taukus un izlietotos graudus)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A1AE0C"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0,250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9EABCB"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0,250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3175BE"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0,290</w:t>
            </w:r>
          </w:p>
        </w:tc>
      </w:tr>
      <w:tr w:rsidR="00B73F9A" w:rsidRPr="009059A9" w14:paraId="08392677" w14:textId="77777777" w:rsidTr="00B73F9A">
        <w:tc>
          <w:tcPr>
            <w:tcW w:w="700" w:type="pct"/>
            <w:vMerge w:val="restart"/>
            <w:tcBorders>
              <w:top w:val="outset" w:sz="6" w:space="0" w:color="414142"/>
              <w:left w:val="outset" w:sz="6" w:space="0" w:color="414142"/>
              <w:bottom w:val="outset" w:sz="6" w:space="0" w:color="414142"/>
              <w:right w:val="outset" w:sz="6" w:space="0" w:color="414142"/>
            </w:tcBorders>
            <w:vAlign w:val="center"/>
            <w:hideMark/>
          </w:tcPr>
          <w:p w14:paraId="1BC5FD9D"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Gāzveida kurināmais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59F20F7"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G10</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14C06EA9"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 xml:space="preserve">Dabasgāze, SNG, SDG un </w:t>
            </w:r>
            <w:proofErr w:type="spellStart"/>
            <w:r w:rsidRPr="009059A9">
              <w:rPr>
                <w:rFonts w:eastAsia="Times New Roman" w:cs="Times New Roman"/>
                <w:sz w:val="20"/>
                <w:szCs w:val="20"/>
                <w:lang w:eastAsia="lv-LV"/>
              </w:rPr>
              <w:t>biometāns</w:t>
            </w:r>
            <w:proofErr w:type="spellEnd"/>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5621573"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0,533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DD9E45"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0,533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0D6719"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0,538</w:t>
            </w:r>
          </w:p>
        </w:tc>
      </w:tr>
      <w:tr w:rsidR="00B73F9A" w:rsidRPr="009059A9" w14:paraId="40DD2453"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856ACA" w14:textId="77777777" w:rsidR="00B73F9A" w:rsidRPr="009059A9" w:rsidRDefault="00B73F9A" w:rsidP="00B73F9A">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05E8CC5"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G11</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464B1CAF"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Rafinēšanas gāze, ūdeņradis un sintēzes gāze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A984B7A"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0,450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F9470BE"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0,450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B618AC"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0,450</w:t>
            </w:r>
          </w:p>
        </w:tc>
      </w:tr>
      <w:tr w:rsidR="00B73F9A" w:rsidRPr="009059A9" w14:paraId="78FC17F2"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C75393" w14:textId="77777777" w:rsidR="00B73F9A" w:rsidRPr="009059A9" w:rsidRDefault="00B73F9A" w:rsidP="00B73F9A">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FDE1CEC"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G12</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47086093"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Biogāze, kas iegūta no anaerobās sadalīšanas, atkritumu poligona un notekūdeņu attīrīšanas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6DD540"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0,428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B9AB6AA"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0,428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95E7D5C"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0,428</w:t>
            </w:r>
          </w:p>
        </w:tc>
      </w:tr>
      <w:tr w:rsidR="00B73F9A" w:rsidRPr="009059A9" w14:paraId="3FE09917"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A2FA3D5" w14:textId="77777777" w:rsidR="00B73F9A" w:rsidRPr="009059A9" w:rsidRDefault="00B73F9A" w:rsidP="00B73F9A">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0AD2B93"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G13</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5E6D705B"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Koksa gāze, domnas gāze, kalnrūpniecības gāze un citas atgūstamās gāzes (izņemot rafinēšanas gāzi)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7C379D"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0,358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6E52BB"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0,358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68C1D4"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0,358</w:t>
            </w:r>
          </w:p>
        </w:tc>
      </w:tr>
      <w:tr w:rsidR="00B73F9A" w:rsidRPr="009059A9" w14:paraId="656EBF0C" w14:textId="77777777" w:rsidTr="00B73F9A">
        <w:tc>
          <w:tcPr>
            <w:tcW w:w="700" w:type="pct"/>
            <w:vMerge w:val="restart"/>
            <w:tcBorders>
              <w:top w:val="outset" w:sz="6" w:space="0" w:color="414142"/>
              <w:left w:val="outset" w:sz="6" w:space="0" w:color="414142"/>
              <w:bottom w:val="outset" w:sz="6" w:space="0" w:color="414142"/>
              <w:right w:val="outset" w:sz="6" w:space="0" w:color="414142"/>
            </w:tcBorders>
            <w:vAlign w:val="center"/>
            <w:hideMark/>
          </w:tcPr>
          <w:p w14:paraId="265DCE3D"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Cits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7BDCD8D"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O14</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4783A0CB"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Siltuma pārpalikums (ieskaitot augstas temperatūras procesu izplūdes gāzes, eksotermiskas ķīmiskās reakcijas produktus)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FBC6E47"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DF6E2A"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89208F8"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0,300</w:t>
            </w:r>
          </w:p>
        </w:tc>
      </w:tr>
      <w:tr w:rsidR="00B73F9A" w:rsidRPr="009059A9" w14:paraId="03AD8BF2"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4A42EF6" w14:textId="77777777" w:rsidR="00B73F9A" w:rsidRPr="009059A9" w:rsidRDefault="00B73F9A" w:rsidP="00B73F9A">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9AA7A06"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O15</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6C17E5CF"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Kodolenerģija</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D827CA"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7B584F"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F7A624"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0,300</w:t>
            </w:r>
          </w:p>
        </w:tc>
      </w:tr>
      <w:tr w:rsidR="00B73F9A" w:rsidRPr="009059A9" w14:paraId="6FF033EC"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3DE86BA" w14:textId="77777777" w:rsidR="00B73F9A" w:rsidRPr="009059A9" w:rsidRDefault="00B73F9A" w:rsidP="00B73F9A">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AE34FCE"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O16</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7D79818D"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Saules enerģija</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96BF7D5"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F78B9"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29742F3"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0,300</w:t>
            </w:r>
          </w:p>
        </w:tc>
      </w:tr>
      <w:tr w:rsidR="00B73F9A" w:rsidRPr="009059A9" w14:paraId="433657B6"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D04E828" w14:textId="77777777" w:rsidR="00B73F9A" w:rsidRPr="009059A9" w:rsidRDefault="00B73F9A" w:rsidP="00B73F9A">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04B3772"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O17</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109B066E"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Ģeotermālā enerģija</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65260BC"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55DDAB"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625CD01"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0,300</w:t>
            </w:r>
          </w:p>
        </w:tc>
      </w:tr>
      <w:tr w:rsidR="00B73F9A" w:rsidRPr="009059A9" w14:paraId="0A7319EB" w14:textId="77777777" w:rsidTr="00B73F9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6CFAB60" w14:textId="77777777" w:rsidR="00B73F9A" w:rsidRPr="009059A9" w:rsidRDefault="00B73F9A" w:rsidP="00B73F9A">
            <w:pPr>
              <w:rPr>
                <w:rFonts w:eastAsia="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7EE3594"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O18</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488A2EFB"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Cita veida kurināmais, kas nav minēts šajā tabulā</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392035"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9586F7"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67995A"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0,300</w:t>
            </w:r>
          </w:p>
        </w:tc>
      </w:tr>
    </w:tbl>
    <w:p w14:paraId="7CB60889" w14:textId="77777777" w:rsidR="00B73F9A" w:rsidRPr="009059A9" w:rsidRDefault="00B73F9A" w:rsidP="00B73F9A">
      <w:pPr>
        <w:shd w:val="clear" w:color="auto" w:fill="FFFFFF"/>
        <w:spacing w:before="100" w:beforeAutospacing="1" w:after="100" w:afterAutospacing="1" w:line="293" w:lineRule="atLeast"/>
        <w:ind w:firstLine="300"/>
        <w:jc w:val="center"/>
        <w:rPr>
          <w:rFonts w:eastAsia="Times New Roman" w:cs="Times New Roman"/>
          <w:b/>
          <w:bCs/>
          <w:sz w:val="24"/>
          <w:szCs w:val="20"/>
          <w:lang w:eastAsia="lv-LV"/>
        </w:rPr>
      </w:pPr>
      <w:r w:rsidRPr="009059A9">
        <w:rPr>
          <w:rFonts w:eastAsia="Times New Roman" w:cs="Times New Roman"/>
          <w:b/>
          <w:bCs/>
          <w:sz w:val="24"/>
          <w:szCs w:val="20"/>
          <w:lang w:eastAsia="lv-LV"/>
        </w:rPr>
        <w:t>II. Lietderības koeficienti atsevišķai siltumenerģijas ražošanai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214"/>
        <w:gridCol w:w="1033"/>
        <w:gridCol w:w="3660"/>
        <w:gridCol w:w="944"/>
        <w:gridCol w:w="944"/>
        <w:gridCol w:w="1260"/>
      </w:tblGrid>
      <w:tr w:rsidR="00B73F9A" w:rsidRPr="009059A9" w14:paraId="672B72EE" w14:textId="77777777" w:rsidTr="003A355B">
        <w:tc>
          <w:tcPr>
            <w:tcW w:w="671" w:type="pct"/>
            <w:vMerge w:val="restart"/>
            <w:tcBorders>
              <w:top w:val="outset" w:sz="6" w:space="0" w:color="414142"/>
              <w:left w:val="outset" w:sz="6" w:space="0" w:color="414142"/>
              <w:bottom w:val="outset" w:sz="6" w:space="0" w:color="414142"/>
              <w:right w:val="outset" w:sz="6" w:space="0" w:color="414142"/>
            </w:tcBorders>
            <w:vAlign w:val="center"/>
            <w:hideMark/>
          </w:tcPr>
          <w:p w14:paraId="366C9EB8"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Kurināmais</w:t>
            </w:r>
          </w:p>
        </w:tc>
        <w:tc>
          <w:tcPr>
            <w:tcW w:w="571" w:type="pct"/>
            <w:vMerge w:val="restart"/>
            <w:tcBorders>
              <w:top w:val="outset" w:sz="6" w:space="0" w:color="414142"/>
              <w:left w:val="outset" w:sz="6" w:space="0" w:color="414142"/>
              <w:bottom w:val="outset" w:sz="6" w:space="0" w:color="414142"/>
              <w:right w:val="outset" w:sz="6" w:space="0" w:color="414142"/>
            </w:tcBorders>
            <w:vAlign w:val="center"/>
            <w:hideMark/>
          </w:tcPr>
          <w:p w14:paraId="0011DA2E"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Kategorija</w:t>
            </w:r>
          </w:p>
        </w:tc>
        <w:tc>
          <w:tcPr>
            <w:tcW w:w="2021" w:type="pct"/>
            <w:vMerge w:val="restart"/>
            <w:tcBorders>
              <w:top w:val="outset" w:sz="6" w:space="0" w:color="414142"/>
              <w:left w:val="outset" w:sz="6" w:space="0" w:color="414142"/>
              <w:bottom w:val="outset" w:sz="6" w:space="0" w:color="414142"/>
              <w:right w:val="outset" w:sz="6" w:space="0" w:color="414142"/>
            </w:tcBorders>
            <w:vAlign w:val="center"/>
            <w:hideMark/>
          </w:tcPr>
          <w:p w14:paraId="47EBC850"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Kurināmā veids</w:t>
            </w:r>
          </w:p>
        </w:tc>
        <w:tc>
          <w:tcPr>
            <w:tcW w:w="1737" w:type="pct"/>
            <w:gridSpan w:val="3"/>
            <w:tcBorders>
              <w:top w:val="outset" w:sz="6" w:space="0" w:color="414142"/>
              <w:left w:val="outset" w:sz="6" w:space="0" w:color="414142"/>
              <w:bottom w:val="outset" w:sz="6" w:space="0" w:color="414142"/>
              <w:right w:val="outset" w:sz="6" w:space="0" w:color="414142"/>
            </w:tcBorders>
            <w:vAlign w:val="center"/>
            <w:hideMark/>
          </w:tcPr>
          <w:p w14:paraId="3B708858"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Siltumenerģijas izmantošanas veids</w:t>
            </w:r>
          </w:p>
        </w:tc>
      </w:tr>
      <w:tr w:rsidR="00B73F9A" w:rsidRPr="009059A9" w14:paraId="09975A2B"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8E501EF" w14:textId="77777777" w:rsidR="00B73F9A" w:rsidRPr="009059A9" w:rsidRDefault="00B73F9A" w:rsidP="00B73F9A">
            <w:pPr>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487EFC3" w14:textId="77777777" w:rsidR="00B73F9A" w:rsidRPr="009059A9" w:rsidRDefault="00B73F9A" w:rsidP="00B73F9A">
            <w:pPr>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05DFAE" w14:textId="77777777" w:rsidR="00B73F9A" w:rsidRPr="009059A9" w:rsidRDefault="00B73F9A" w:rsidP="00B73F9A">
            <w:pPr>
              <w:rPr>
                <w:rFonts w:eastAsia="Times New Roman" w:cs="Times New Roman"/>
                <w:sz w:val="20"/>
                <w:szCs w:val="20"/>
                <w:lang w:eastAsia="lv-LV"/>
              </w:rPr>
            </w:pP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4263203B"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Karstais ūdens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6FD84163"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Tvaiks*</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56515785" w14:textId="77777777" w:rsidR="00B73F9A" w:rsidRPr="009059A9" w:rsidRDefault="00B73F9A" w:rsidP="00B73F9A">
            <w:pPr>
              <w:jc w:val="center"/>
              <w:rPr>
                <w:rFonts w:eastAsia="Times New Roman" w:cs="Times New Roman"/>
                <w:sz w:val="20"/>
                <w:szCs w:val="20"/>
                <w:lang w:eastAsia="lv-LV"/>
              </w:rPr>
            </w:pPr>
            <w:proofErr w:type="spellStart"/>
            <w:r w:rsidRPr="009059A9">
              <w:rPr>
                <w:rFonts w:eastAsia="Times New Roman" w:cs="Times New Roman"/>
                <w:sz w:val="20"/>
                <w:szCs w:val="20"/>
                <w:lang w:eastAsia="lv-LV"/>
              </w:rPr>
              <w:t>Dūmgāzu</w:t>
            </w:r>
            <w:proofErr w:type="spellEnd"/>
            <w:r w:rsidRPr="009059A9">
              <w:rPr>
                <w:rFonts w:eastAsia="Times New Roman" w:cs="Times New Roman"/>
                <w:sz w:val="20"/>
                <w:szCs w:val="20"/>
                <w:lang w:eastAsia="lv-LV"/>
              </w:rPr>
              <w:t xml:space="preserve"> tiešā izmantošana**</w:t>
            </w:r>
          </w:p>
        </w:tc>
      </w:tr>
      <w:tr w:rsidR="00B73F9A" w:rsidRPr="009059A9" w14:paraId="27A158A8" w14:textId="77777777" w:rsidTr="003A355B">
        <w:tc>
          <w:tcPr>
            <w:tcW w:w="671" w:type="pct"/>
            <w:vMerge w:val="restart"/>
            <w:tcBorders>
              <w:top w:val="outset" w:sz="6" w:space="0" w:color="414142"/>
              <w:left w:val="outset" w:sz="6" w:space="0" w:color="414142"/>
              <w:bottom w:val="outset" w:sz="6" w:space="0" w:color="414142"/>
              <w:right w:val="outset" w:sz="6" w:space="0" w:color="414142"/>
            </w:tcBorders>
            <w:vAlign w:val="center"/>
            <w:hideMark/>
          </w:tcPr>
          <w:p w14:paraId="0E6AD6BA"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lastRenderedPageBreak/>
              <w:t>Cietais kurināmais</w:t>
            </w: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33BC4C67"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S1</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59CBD30C"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 xml:space="preserve">Akmeņogles, ieskaitot antracītu, bitumena ogles, melno </w:t>
            </w:r>
            <w:proofErr w:type="spellStart"/>
            <w:r w:rsidRPr="009059A9">
              <w:rPr>
                <w:rFonts w:eastAsia="Times New Roman" w:cs="Times New Roman"/>
                <w:sz w:val="20"/>
                <w:szCs w:val="20"/>
                <w:lang w:eastAsia="lv-LV"/>
              </w:rPr>
              <w:t>lignītu</w:t>
            </w:r>
            <w:proofErr w:type="spellEnd"/>
            <w:r w:rsidRPr="009059A9">
              <w:rPr>
                <w:rFonts w:eastAsia="Times New Roman" w:cs="Times New Roman"/>
                <w:sz w:val="20"/>
                <w:szCs w:val="20"/>
                <w:lang w:eastAsia="lv-LV"/>
              </w:rPr>
              <w:t xml:space="preserve">, koksu, </w:t>
            </w:r>
            <w:proofErr w:type="spellStart"/>
            <w:r w:rsidRPr="009059A9">
              <w:rPr>
                <w:rFonts w:eastAsia="Times New Roman" w:cs="Times New Roman"/>
                <w:sz w:val="20"/>
                <w:szCs w:val="20"/>
                <w:lang w:eastAsia="lv-LV"/>
              </w:rPr>
              <w:t>puskoksu</w:t>
            </w:r>
            <w:proofErr w:type="spellEnd"/>
            <w:r w:rsidRPr="009059A9">
              <w:rPr>
                <w:rFonts w:eastAsia="Times New Roman" w:cs="Times New Roman"/>
                <w:sz w:val="20"/>
                <w:szCs w:val="20"/>
                <w:lang w:eastAsia="lv-LV"/>
              </w:rPr>
              <w:t>, naftas koksu</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B6C6612"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0,88</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894C444"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0,83</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4E3A24C4"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0,80</w:t>
            </w:r>
          </w:p>
        </w:tc>
      </w:tr>
      <w:tr w:rsidR="00B73F9A" w:rsidRPr="009059A9" w14:paraId="50BF0266"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D2FC9F" w14:textId="77777777" w:rsidR="00B73F9A" w:rsidRPr="009059A9" w:rsidRDefault="00B73F9A" w:rsidP="00B73F9A">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00324691"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S2</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23C9E43F" w14:textId="77777777" w:rsidR="00B73F9A" w:rsidRPr="009059A9" w:rsidRDefault="00B73F9A" w:rsidP="00B73F9A">
            <w:pPr>
              <w:rPr>
                <w:rFonts w:eastAsia="Times New Roman" w:cs="Times New Roman"/>
                <w:sz w:val="20"/>
                <w:szCs w:val="20"/>
                <w:lang w:eastAsia="lv-LV"/>
              </w:rPr>
            </w:pPr>
            <w:proofErr w:type="spellStart"/>
            <w:r w:rsidRPr="009059A9">
              <w:rPr>
                <w:rFonts w:eastAsia="Times New Roman" w:cs="Times New Roman"/>
                <w:sz w:val="20"/>
                <w:szCs w:val="20"/>
                <w:lang w:eastAsia="lv-LV"/>
              </w:rPr>
              <w:t>Lignīts</w:t>
            </w:r>
            <w:proofErr w:type="spellEnd"/>
            <w:r w:rsidRPr="009059A9">
              <w:rPr>
                <w:rFonts w:eastAsia="Times New Roman" w:cs="Times New Roman"/>
                <w:sz w:val="20"/>
                <w:szCs w:val="20"/>
                <w:lang w:eastAsia="lv-LV"/>
              </w:rPr>
              <w:t xml:space="preserve">, </w:t>
            </w:r>
            <w:proofErr w:type="spellStart"/>
            <w:r w:rsidRPr="009059A9">
              <w:rPr>
                <w:rFonts w:eastAsia="Times New Roman" w:cs="Times New Roman"/>
                <w:sz w:val="20"/>
                <w:szCs w:val="20"/>
                <w:lang w:eastAsia="lv-LV"/>
              </w:rPr>
              <w:t>lignīta</w:t>
            </w:r>
            <w:proofErr w:type="spellEnd"/>
            <w:r w:rsidRPr="009059A9">
              <w:rPr>
                <w:rFonts w:eastAsia="Times New Roman" w:cs="Times New Roman"/>
                <w:sz w:val="20"/>
                <w:szCs w:val="20"/>
                <w:lang w:eastAsia="lv-LV"/>
              </w:rPr>
              <w:t xml:space="preserve"> briketes, slānekļa nafta</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134607E1"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0,86</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0A8ED14"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0,81</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6B9BBD6D"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0,78</w:t>
            </w:r>
          </w:p>
        </w:tc>
      </w:tr>
      <w:tr w:rsidR="00B73F9A" w:rsidRPr="009059A9" w14:paraId="3E3D1B79"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ACBD58D" w14:textId="77777777" w:rsidR="00B73F9A" w:rsidRPr="009059A9" w:rsidRDefault="00B73F9A" w:rsidP="00B73F9A">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08CC5B8A"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S3</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22E08464"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Kūdra, kūdras briketes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1A43C034"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0,86</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431567F"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0,81</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63D0042D"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0,78</w:t>
            </w:r>
          </w:p>
        </w:tc>
      </w:tr>
      <w:tr w:rsidR="00B73F9A" w:rsidRPr="009059A9" w14:paraId="6432C9BB"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953C4BA" w14:textId="77777777" w:rsidR="00B73F9A" w:rsidRPr="009059A9" w:rsidRDefault="00B73F9A" w:rsidP="00B73F9A">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2DAEF042"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S4</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2B43E1E7"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Sausa biomasa, ieskaitot koksnes granulas un briketes, žāvēta šķelda, tīri koksnes atlikumi, riekstu čaumalas un olīvu un citi kauliņi</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663E3129"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0,86</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AF0CE5A"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0,81</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03295872"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0,78</w:t>
            </w:r>
          </w:p>
        </w:tc>
      </w:tr>
      <w:tr w:rsidR="00B73F9A" w:rsidRPr="009059A9" w14:paraId="1D7C4D51"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B71ED3F" w14:textId="77777777" w:rsidR="00B73F9A" w:rsidRPr="009059A9" w:rsidRDefault="00B73F9A" w:rsidP="00B73F9A">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2CA739FE"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S5</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26689047"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 xml:space="preserve">Cita cietā biomasa, ieskaitot visu veidu cieto biomasu, kas nav uzskaitīta kategorijā S4, kā arī melnais un brūnais </w:t>
            </w:r>
            <w:proofErr w:type="spellStart"/>
            <w:r w:rsidRPr="009059A9">
              <w:rPr>
                <w:rFonts w:eastAsia="Times New Roman" w:cs="Times New Roman"/>
                <w:sz w:val="20"/>
                <w:szCs w:val="20"/>
                <w:lang w:eastAsia="lv-LV"/>
              </w:rPr>
              <w:t>atsārms</w:t>
            </w:r>
            <w:proofErr w:type="spellEnd"/>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1473C6D1"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89EFD4B"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0,75</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4667F705"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0,72</w:t>
            </w:r>
          </w:p>
        </w:tc>
      </w:tr>
      <w:tr w:rsidR="00B73F9A" w:rsidRPr="009059A9" w14:paraId="67E4E1EC"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4AECF61" w14:textId="77777777" w:rsidR="00B73F9A" w:rsidRPr="009059A9" w:rsidRDefault="00B73F9A" w:rsidP="00B73F9A">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01568380"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S6</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6EFF6F02"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Sadzīves un rūpnieciskie atkritumi (neatjaunojamie) un atjaunojamie/bioloģiski noārdāmie atkritumi</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585291B1"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2AC2351"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0,75</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50D3C978"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0,72</w:t>
            </w:r>
          </w:p>
        </w:tc>
      </w:tr>
      <w:tr w:rsidR="00B73F9A" w:rsidRPr="009059A9" w14:paraId="4FBDE5D2" w14:textId="77777777" w:rsidTr="003A355B">
        <w:tc>
          <w:tcPr>
            <w:tcW w:w="671" w:type="pct"/>
            <w:vMerge w:val="restart"/>
            <w:tcBorders>
              <w:top w:val="outset" w:sz="6" w:space="0" w:color="414142"/>
              <w:left w:val="outset" w:sz="6" w:space="0" w:color="414142"/>
              <w:bottom w:val="outset" w:sz="6" w:space="0" w:color="414142"/>
              <w:right w:val="outset" w:sz="6" w:space="0" w:color="414142"/>
            </w:tcBorders>
            <w:vAlign w:val="center"/>
            <w:hideMark/>
          </w:tcPr>
          <w:p w14:paraId="52BC1910"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Šķidrais kurināmais</w:t>
            </w: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151A5E18"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L7</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2F988C0C"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Mazuts, gāzeļļa, dīzeļeļļa, citi naftas produkti</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A416D39"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0,85</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B07D46A"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0,80</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466C9C88"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0,77</w:t>
            </w:r>
          </w:p>
        </w:tc>
      </w:tr>
      <w:tr w:rsidR="00B73F9A" w:rsidRPr="009059A9" w14:paraId="2336C130"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3269004" w14:textId="77777777" w:rsidR="00B73F9A" w:rsidRPr="009059A9" w:rsidRDefault="00B73F9A" w:rsidP="00B73F9A">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396FC46B"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L8</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0FCF03FB"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 xml:space="preserve">Biodegvielas, ieskaitot </w:t>
            </w:r>
            <w:proofErr w:type="spellStart"/>
            <w:r w:rsidRPr="009059A9">
              <w:rPr>
                <w:rFonts w:eastAsia="Times New Roman" w:cs="Times New Roman"/>
                <w:sz w:val="20"/>
                <w:szCs w:val="20"/>
                <w:lang w:eastAsia="lv-LV"/>
              </w:rPr>
              <w:t>biometanolu</w:t>
            </w:r>
            <w:proofErr w:type="spellEnd"/>
            <w:r w:rsidRPr="009059A9">
              <w:rPr>
                <w:rFonts w:eastAsia="Times New Roman" w:cs="Times New Roman"/>
                <w:sz w:val="20"/>
                <w:szCs w:val="20"/>
                <w:lang w:eastAsia="lv-LV"/>
              </w:rPr>
              <w:t xml:space="preserve">, bioetanolu, </w:t>
            </w:r>
            <w:proofErr w:type="spellStart"/>
            <w:r w:rsidRPr="009059A9">
              <w:rPr>
                <w:rFonts w:eastAsia="Times New Roman" w:cs="Times New Roman"/>
                <w:sz w:val="20"/>
                <w:szCs w:val="20"/>
                <w:lang w:eastAsia="lv-LV"/>
              </w:rPr>
              <w:t>biobutanolu</w:t>
            </w:r>
            <w:proofErr w:type="spellEnd"/>
            <w:r w:rsidRPr="009059A9">
              <w:rPr>
                <w:rFonts w:eastAsia="Times New Roman" w:cs="Times New Roman"/>
                <w:sz w:val="20"/>
                <w:szCs w:val="20"/>
                <w:lang w:eastAsia="lv-LV"/>
              </w:rPr>
              <w:t>, biodīzeļdegvielu un citas biodegvielas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13D87620"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0,85</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238571B"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0,80</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76728A76"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0,77</w:t>
            </w:r>
          </w:p>
        </w:tc>
      </w:tr>
      <w:tr w:rsidR="00B73F9A" w:rsidRPr="009059A9" w14:paraId="6859BE9D"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69E0CB5" w14:textId="77777777" w:rsidR="00B73F9A" w:rsidRPr="009059A9" w:rsidRDefault="00B73F9A" w:rsidP="00B73F9A">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785A2D0E"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L9</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367F5FDB"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 xml:space="preserve">Šķidrā veida atkritumi, ieskaitot bioloģiski noārdāmus atkritumus un neatjaunojamos atkritumus (ieskaitot </w:t>
            </w:r>
            <w:proofErr w:type="spellStart"/>
            <w:r w:rsidRPr="009059A9">
              <w:rPr>
                <w:rFonts w:eastAsia="Times New Roman" w:cs="Times New Roman"/>
                <w:sz w:val="20"/>
                <w:szCs w:val="20"/>
                <w:lang w:eastAsia="lv-LV"/>
              </w:rPr>
              <w:t>pirolīzes</w:t>
            </w:r>
            <w:proofErr w:type="spellEnd"/>
            <w:r w:rsidRPr="009059A9">
              <w:rPr>
                <w:rFonts w:eastAsia="Times New Roman" w:cs="Times New Roman"/>
                <w:sz w:val="20"/>
                <w:szCs w:val="20"/>
                <w:lang w:eastAsia="lv-LV"/>
              </w:rPr>
              <w:t xml:space="preserve"> eļļu, kausētus taukus, taukus un izlietotos graudus)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4F8D3271"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0,75</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6D509BD"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0,70</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65E39F0E"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0,67</w:t>
            </w:r>
          </w:p>
        </w:tc>
      </w:tr>
      <w:tr w:rsidR="00B73F9A" w:rsidRPr="009059A9" w14:paraId="0A7D103A" w14:textId="77777777" w:rsidTr="003A355B">
        <w:tc>
          <w:tcPr>
            <w:tcW w:w="671" w:type="pct"/>
            <w:vMerge w:val="restart"/>
            <w:tcBorders>
              <w:top w:val="outset" w:sz="6" w:space="0" w:color="414142"/>
              <w:left w:val="outset" w:sz="6" w:space="0" w:color="414142"/>
              <w:bottom w:val="outset" w:sz="6" w:space="0" w:color="414142"/>
              <w:right w:val="outset" w:sz="6" w:space="0" w:color="414142"/>
            </w:tcBorders>
            <w:vAlign w:val="center"/>
            <w:hideMark/>
          </w:tcPr>
          <w:p w14:paraId="55F287C4"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Gāzveida kurināmais</w:t>
            </w: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544F5846"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G10</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02FA48C1"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 xml:space="preserve">Dabasgāze, SNG, SDG un </w:t>
            </w:r>
            <w:proofErr w:type="spellStart"/>
            <w:r w:rsidRPr="009059A9">
              <w:rPr>
                <w:rFonts w:eastAsia="Times New Roman" w:cs="Times New Roman"/>
                <w:sz w:val="20"/>
                <w:szCs w:val="20"/>
                <w:lang w:eastAsia="lv-LV"/>
              </w:rPr>
              <w:t>biometāns</w:t>
            </w:r>
            <w:proofErr w:type="spellEnd"/>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56C5C6FD"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0,92</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C6FBE90"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0,87</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65EE854F"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0,84</w:t>
            </w:r>
          </w:p>
        </w:tc>
      </w:tr>
      <w:tr w:rsidR="00B73F9A" w:rsidRPr="009059A9" w14:paraId="274EFFE5"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AE44374" w14:textId="77777777" w:rsidR="00B73F9A" w:rsidRPr="009059A9" w:rsidRDefault="00B73F9A" w:rsidP="00B73F9A">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21FCB6CC"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G11</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76FD7B1C"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Rafinēšanas gāze, ūdeņradis un sintēzes gāze</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568DA8E"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0,90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52955D51"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0,85</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4729BD46"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0,82</w:t>
            </w:r>
          </w:p>
        </w:tc>
      </w:tr>
      <w:tr w:rsidR="00B73F9A" w:rsidRPr="009059A9" w14:paraId="2FFE84A8"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CBBC963" w14:textId="77777777" w:rsidR="00B73F9A" w:rsidRPr="009059A9" w:rsidRDefault="00B73F9A" w:rsidP="00B73F9A">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6B29A298"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G12</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374F93EF"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Biogāze, kas iegūta no anaerobās sadalīšanas, atkritumu poligona un notekūdeņu attīrīšanas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2EB1544"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F9B723A"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0,75</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5979C81A"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0,72</w:t>
            </w:r>
          </w:p>
        </w:tc>
      </w:tr>
      <w:tr w:rsidR="00B73F9A" w:rsidRPr="009059A9" w14:paraId="112EF741"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33FA7F" w14:textId="77777777" w:rsidR="00B73F9A" w:rsidRPr="009059A9" w:rsidRDefault="00B73F9A" w:rsidP="00B73F9A">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2F1DAF55"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G13</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20DC1783"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Koksa gāze, domnas gāze, kalnrūpniecības gāze un citas atgūstamās gāzes (izņemot rafinēšanas gāzi)</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67EC8F1"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0,80</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8EFA2EA"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0,75</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5C49AAEC"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0,72</w:t>
            </w:r>
          </w:p>
        </w:tc>
      </w:tr>
      <w:tr w:rsidR="00B73F9A" w:rsidRPr="009059A9" w14:paraId="7F6912FF" w14:textId="77777777" w:rsidTr="003A355B">
        <w:tc>
          <w:tcPr>
            <w:tcW w:w="671" w:type="pct"/>
            <w:vMerge w:val="restart"/>
            <w:tcBorders>
              <w:top w:val="outset" w:sz="6" w:space="0" w:color="414142"/>
              <w:left w:val="outset" w:sz="6" w:space="0" w:color="414142"/>
              <w:bottom w:val="outset" w:sz="6" w:space="0" w:color="414142"/>
              <w:right w:val="outset" w:sz="6" w:space="0" w:color="414142"/>
            </w:tcBorders>
            <w:vAlign w:val="center"/>
            <w:hideMark/>
          </w:tcPr>
          <w:p w14:paraId="51D03215"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Cits</w:t>
            </w: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3B1E35AF"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O14</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10FE3D30"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Siltuma pārpalikums (ieskaitot augstas temperatūras procesu izplūdes gāzes, eksotermiskas ķīmiskās reakcijas produktus)</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047E2046"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0,92</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75A8DBFE"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0,87</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6A0C92D0"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w:t>
            </w:r>
          </w:p>
        </w:tc>
      </w:tr>
      <w:tr w:rsidR="00B73F9A" w:rsidRPr="009059A9" w14:paraId="162D0359"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AADE1" w14:textId="77777777" w:rsidR="00B73F9A" w:rsidRPr="009059A9" w:rsidRDefault="00B73F9A" w:rsidP="00B73F9A">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1DBD8AA6"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O15</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0B7CCA2A"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Kodolenerģija</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4D646827"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0,92</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1FFC712B"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0,87</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328E3FA9"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w:t>
            </w:r>
          </w:p>
        </w:tc>
      </w:tr>
      <w:tr w:rsidR="00B73F9A" w:rsidRPr="009059A9" w14:paraId="4D634172"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7E635B6" w14:textId="77777777" w:rsidR="00B73F9A" w:rsidRPr="009059A9" w:rsidRDefault="00B73F9A" w:rsidP="00B73F9A">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35A772CA"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O16</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73EB89E5"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Saules enerģija</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2E160037"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0,92</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1D1318B9"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0,87</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00A8236A"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w:t>
            </w:r>
          </w:p>
        </w:tc>
      </w:tr>
      <w:tr w:rsidR="00B73F9A" w:rsidRPr="009059A9" w14:paraId="52D9488C"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D28522" w14:textId="77777777" w:rsidR="00B73F9A" w:rsidRPr="009059A9" w:rsidRDefault="00B73F9A" w:rsidP="00B73F9A">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6E4A6308"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O17</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36C62983"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Ģeotermālā enerģija</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6B3346F3"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0,92</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2935D99B"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0,87</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11E9D692"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w:t>
            </w:r>
          </w:p>
        </w:tc>
      </w:tr>
      <w:tr w:rsidR="00B73F9A" w:rsidRPr="009059A9" w14:paraId="1D15D777" w14:textId="77777777" w:rsidTr="003A355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C114D3" w14:textId="77777777" w:rsidR="00B73F9A" w:rsidRPr="009059A9" w:rsidRDefault="00B73F9A" w:rsidP="00B73F9A">
            <w:pPr>
              <w:rPr>
                <w:rFonts w:eastAsia="Times New Roman" w:cs="Times New Roman"/>
                <w:sz w:val="20"/>
                <w:szCs w:val="20"/>
                <w:lang w:eastAsia="lv-LV"/>
              </w:rPr>
            </w:pPr>
          </w:p>
        </w:tc>
        <w:tc>
          <w:tcPr>
            <w:tcW w:w="571" w:type="pct"/>
            <w:tcBorders>
              <w:top w:val="outset" w:sz="6" w:space="0" w:color="414142"/>
              <w:left w:val="outset" w:sz="6" w:space="0" w:color="414142"/>
              <w:bottom w:val="outset" w:sz="6" w:space="0" w:color="414142"/>
              <w:right w:val="outset" w:sz="6" w:space="0" w:color="414142"/>
            </w:tcBorders>
            <w:vAlign w:val="center"/>
            <w:hideMark/>
          </w:tcPr>
          <w:p w14:paraId="2E48C70F"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O18</w:t>
            </w:r>
          </w:p>
        </w:tc>
        <w:tc>
          <w:tcPr>
            <w:tcW w:w="2021" w:type="pct"/>
            <w:tcBorders>
              <w:top w:val="outset" w:sz="6" w:space="0" w:color="414142"/>
              <w:left w:val="outset" w:sz="6" w:space="0" w:color="414142"/>
              <w:bottom w:val="outset" w:sz="6" w:space="0" w:color="414142"/>
              <w:right w:val="outset" w:sz="6" w:space="0" w:color="414142"/>
            </w:tcBorders>
            <w:vAlign w:val="center"/>
            <w:hideMark/>
          </w:tcPr>
          <w:p w14:paraId="39094D36"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Cita veida kurināmais, kas nav minēts šajā tabulā</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34E3E463"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0,92</w:t>
            </w:r>
          </w:p>
        </w:tc>
        <w:tc>
          <w:tcPr>
            <w:tcW w:w="521" w:type="pct"/>
            <w:tcBorders>
              <w:top w:val="outset" w:sz="6" w:space="0" w:color="414142"/>
              <w:left w:val="outset" w:sz="6" w:space="0" w:color="414142"/>
              <w:bottom w:val="outset" w:sz="6" w:space="0" w:color="414142"/>
              <w:right w:val="outset" w:sz="6" w:space="0" w:color="414142"/>
            </w:tcBorders>
            <w:vAlign w:val="center"/>
            <w:hideMark/>
          </w:tcPr>
          <w:p w14:paraId="25BD86A7"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0,87</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72E38297"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w:t>
            </w:r>
          </w:p>
        </w:tc>
      </w:tr>
    </w:tbl>
    <w:p w14:paraId="69F7A667" w14:textId="77777777" w:rsidR="00B73F9A" w:rsidRPr="009059A9" w:rsidRDefault="00B73F9A" w:rsidP="00B73F9A">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9059A9">
        <w:rPr>
          <w:rFonts w:eastAsia="Times New Roman" w:cs="Times New Roman"/>
          <w:sz w:val="20"/>
          <w:szCs w:val="20"/>
          <w:lang w:eastAsia="lv-LV"/>
        </w:rPr>
        <w:t>Piezīmes.</w:t>
      </w:r>
    </w:p>
    <w:p w14:paraId="5CB7A3C5" w14:textId="77777777" w:rsidR="00B73F9A" w:rsidRPr="009059A9" w:rsidRDefault="00B73F9A" w:rsidP="00B73F9A">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9059A9">
        <w:rPr>
          <w:rFonts w:eastAsia="Times New Roman" w:cs="Times New Roman"/>
          <w:sz w:val="20"/>
          <w:szCs w:val="20"/>
          <w:lang w:eastAsia="lv-LV"/>
        </w:rPr>
        <w:t>1. * Šīs vērtības jāizmanto stacijām, kas darbojas ar tvaiku un nodotas ekspluatācijā pēc 2015. gada 31. decembra. Ja šādām stacijām, aprēķinot lietderības koeficientu atsevišķai siltumenerģijas ražošanai, neņem vērā kondensāta atgūšanu, tad tabulā norādītās vērtības tvaika gadījumā ir jāpalielina par 5 procentpunktiem.</w:t>
      </w:r>
    </w:p>
    <w:p w14:paraId="0C129B0E" w14:textId="77777777" w:rsidR="00B73F9A" w:rsidRPr="009059A9" w:rsidRDefault="00B73F9A" w:rsidP="00B73F9A">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9059A9">
        <w:rPr>
          <w:rFonts w:eastAsia="Times New Roman" w:cs="Times New Roman"/>
          <w:sz w:val="20"/>
          <w:szCs w:val="20"/>
          <w:lang w:eastAsia="lv-LV"/>
        </w:rPr>
        <w:t xml:space="preserve">2. ** Šīs vērtības jāizmanto, ja </w:t>
      </w:r>
      <w:proofErr w:type="spellStart"/>
      <w:r w:rsidRPr="009059A9">
        <w:rPr>
          <w:rFonts w:eastAsia="Times New Roman" w:cs="Times New Roman"/>
          <w:sz w:val="20"/>
          <w:szCs w:val="20"/>
          <w:lang w:eastAsia="lv-LV"/>
        </w:rPr>
        <w:t>dūmgāzu</w:t>
      </w:r>
      <w:proofErr w:type="spellEnd"/>
      <w:r w:rsidRPr="009059A9">
        <w:rPr>
          <w:rFonts w:eastAsia="Times New Roman" w:cs="Times New Roman"/>
          <w:sz w:val="20"/>
          <w:szCs w:val="20"/>
          <w:lang w:eastAsia="lv-LV"/>
        </w:rPr>
        <w:t xml:space="preserve"> temperatūra ir 250 °C vai augstāka.</w:t>
      </w:r>
    </w:p>
    <w:p w14:paraId="375DD8AA" w14:textId="632C7193" w:rsidR="00076E28" w:rsidRPr="009059A9" w:rsidRDefault="00B73F9A" w:rsidP="00B82F92">
      <w:pPr>
        <w:spacing w:before="60" w:after="60"/>
        <w:jc w:val="both"/>
        <w:rPr>
          <w:szCs w:val="28"/>
        </w:rPr>
      </w:pPr>
      <w:r w:rsidRPr="009059A9">
        <w:rPr>
          <w:szCs w:val="28"/>
        </w:rPr>
        <w:t>”.</w:t>
      </w:r>
    </w:p>
    <w:p w14:paraId="214A71BB" w14:textId="32805159" w:rsidR="00B73F9A" w:rsidRPr="009059A9" w:rsidRDefault="004566D1" w:rsidP="00B73F9A">
      <w:pPr>
        <w:spacing w:before="60" w:after="60"/>
        <w:jc w:val="both"/>
        <w:rPr>
          <w:szCs w:val="28"/>
        </w:rPr>
      </w:pPr>
      <w:r>
        <w:rPr>
          <w:szCs w:val="28"/>
        </w:rPr>
        <w:lastRenderedPageBreak/>
        <w:t>1.</w:t>
      </w:r>
      <w:r w:rsidR="003D21E0" w:rsidRPr="009059A9">
        <w:rPr>
          <w:szCs w:val="28"/>
        </w:rPr>
        <w:t>1</w:t>
      </w:r>
      <w:r w:rsidR="006C2E81">
        <w:rPr>
          <w:szCs w:val="28"/>
        </w:rPr>
        <w:t>1</w:t>
      </w:r>
      <w:r w:rsidR="00B73F9A" w:rsidRPr="009059A9">
        <w:rPr>
          <w:szCs w:val="28"/>
        </w:rPr>
        <w:t>. Izteikt 2.pielikumu šādā redakcijā:</w:t>
      </w:r>
    </w:p>
    <w:p w14:paraId="725D76A4" w14:textId="77777777" w:rsidR="00B73F9A" w:rsidRPr="009059A9" w:rsidRDefault="00B73F9A" w:rsidP="00B73F9A">
      <w:pPr>
        <w:spacing w:before="60" w:after="60"/>
        <w:jc w:val="both"/>
        <w:rPr>
          <w:szCs w:val="28"/>
        </w:rPr>
      </w:pPr>
      <w:r w:rsidRPr="009059A9">
        <w:rPr>
          <w:szCs w:val="28"/>
        </w:rPr>
        <w:t>“</w:t>
      </w:r>
    </w:p>
    <w:p w14:paraId="03103E03" w14:textId="77777777" w:rsidR="00B73F9A" w:rsidRPr="009059A9" w:rsidRDefault="00B73F9A" w:rsidP="00B73F9A">
      <w:pPr>
        <w:shd w:val="clear" w:color="auto" w:fill="FFFFFF"/>
        <w:jc w:val="right"/>
        <w:rPr>
          <w:rFonts w:eastAsia="Times New Roman" w:cs="Times New Roman"/>
          <w:color w:val="414142"/>
          <w:sz w:val="24"/>
          <w:szCs w:val="20"/>
          <w:lang w:eastAsia="lv-LV"/>
        </w:rPr>
      </w:pPr>
      <w:r w:rsidRPr="009059A9">
        <w:rPr>
          <w:rFonts w:eastAsia="Times New Roman" w:cs="Times New Roman"/>
          <w:sz w:val="24"/>
          <w:szCs w:val="20"/>
          <w:lang w:eastAsia="lv-LV"/>
        </w:rPr>
        <w:t>2.pielikums </w:t>
      </w:r>
      <w:r w:rsidRPr="009059A9">
        <w:rPr>
          <w:rFonts w:eastAsia="Times New Roman" w:cs="Times New Roman"/>
          <w:sz w:val="24"/>
          <w:szCs w:val="20"/>
          <w:lang w:eastAsia="lv-LV"/>
        </w:rPr>
        <w:br/>
        <w:t>Ministru kabineta </w:t>
      </w:r>
      <w:r w:rsidRPr="009059A9">
        <w:rPr>
          <w:rFonts w:eastAsia="Times New Roman" w:cs="Times New Roman"/>
          <w:sz w:val="24"/>
          <w:szCs w:val="20"/>
          <w:lang w:eastAsia="lv-LV"/>
        </w:rPr>
        <w:br/>
        <w:t>2009.gada 10.marta noteikumiem Nr.221</w:t>
      </w:r>
    </w:p>
    <w:p w14:paraId="2127B795" w14:textId="77777777" w:rsidR="00B73F9A" w:rsidRPr="009059A9" w:rsidRDefault="00B73F9A" w:rsidP="00B73F9A">
      <w:pPr>
        <w:shd w:val="clear" w:color="auto" w:fill="FFFFFF"/>
        <w:jc w:val="center"/>
        <w:rPr>
          <w:rFonts w:eastAsia="Times New Roman" w:cs="Times New Roman"/>
          <w:b/>
          <w:bCs/>
          <w:color w:val="414142"/>
          <w:szCs w:val="28"/>
          <w:lang w:eastAsia="lv-LV"/>
        </w:rPr>
      </w:pPr>
      <w:bookmarkStart w:id="6" w:name="275504"/>
      <w:bookmarkEnd w:id="6"/>
      <w:r w:rsidRPr="009059A9">
        <w:rPr>
          <w:rFonts w:eastAsia="Times New Roman" w:cs="Times New Roman"/>
          <w:b/>
          <w:bCs/>
          <w:szCs w:val="28"/>
          <w:lang w:eastAsia="lv-LV"/>
        </w:rPr>
        <w:t>Korekcijas koeficienti z novērstajiem tīkla zudumiem, kas piemērojami lietderības koeficienta atsevišķai elektroenerģijas ražošanai aprēķinam</w:t>
      </w:r>
    </w:p>
    <w:p w14:paraId="1A126309" w14:textId="77777777" w:rsidR="00B73F9A" w:rsidRPr="009059A9" w:rsidRDefault="00B73F9A" w:rsidP="00B73F9A">
      <w:pPr>
        <w:spacing w:before="60" w:after="60"/>
        <w:jc w:val="both"/>
        <w:rPr>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835"/>
        <w:gridCol w:w="3201"/>
        <w:gridCol w:w="3019"/>
      </w:tblGrid>
      <w:tr w:rsidR="00B73F9A" w:rsidRPr="009059A9" w14:paraId="010D72DF" w14:textId="77777777" w:rsidTr="00B73F9A">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9D6B44"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Spriegums tīklā, kuram pieslēgta koģenerācijas elektrostacija</w:t>
            </w:r>
          </w:p>
        </w:tc>
        <w:tc>
          <w:tcPr>
            <w:tcW w:w="1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28C294"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Attiecībā uz elektroenerģiju,</w:t>
            </w:r>
            <w:r w:rsidRPr="009059A9">
              <w:rPr>
                <w:rFonts w:eastAsia="Times New Roman" w:cs="Times New Roman"/>
                <w:sz w:val="20"/>
                <w:szCs w:val="20"/>
                <w:lang w:eastAsia="lv-LV"/>
              </w:rPr>
              <w:br/>
              <w:t>kas nodota tīklā</w:t>
            </w:r>
          </w:p>
        </w:tc>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BD8E6C"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Attiecībā uz elektroenerģiju, kas patērēta koģenerācijas elektrostacijā</w:t>
            </w:r>
          </w:p>
        </w:tc>
      </w:tr>
      <w:tr w:rsidR="00B73F9A" w:rsidRPr="009059A9" w14:paraId="66610274" w14:textId="77777777" w:rsidTr="00B73F9A">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FC79E0"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 xml:space="preserve">345 </w:t>
            </w:r>
            <w:proofErr w:type="spellStart"/>
            <w:r w:rsidRPr="009059A9">
              <w:rPr>
                <w:rFonts w:eastAsia="Times New Roman" w:cs="Times New Roman"/>
                <w:sz w:val="20"/>
                <w:szCs w:val="20"/>
                <w:lang w:eastAsia="lv-LV"/>
              </w:rPr>
              <w:t>kV</w:t>
            </w:r>
            <w:proofErr w:type="spellEnd"/>
            <w:r w:rsidRPr="009059A9">
              <w:rPr>
                <w:rFonts w:eastAsia="Times New Roman" w:cs="Times New Roman"/>
                <w:sz w:val="20"/>
                <w:szCs w:val="20"/>
                <w:lang w:eastAsia="lv-LV"/>
              </w:rPr>
              <w:t xml:space="preserve"> vai lielāks</w:t>
            </w:r>
          </w:p>
        </w:tc>
        <w:tc>
          <w:tcPr>
            <w:tcW w:w="1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DC6E4E"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1</w:t>
            </w:r>
          </w:p>
        </w:tc>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8062F3"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0,976</w:t>
            </w:r>
          </w:p>
        </w:tc>
      </w:tr>
      <w:tr w:rsidR="00B73F9A" w:rsidRPr="009059A9" w14:paraId="603FBD3A" w14:textId="77777777" w:rsidTr="00B73F9A">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A817D9"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 xml:space="preserve">No 200 līdz 345 </w:t>
            </w:r>
            <w:proofErr w:type="spellStart"/>
            <w:r w:rsidRPr="009059A9">
              <w:rPr>
                <w:rFonts w:eastAsia="Times New Roman" w:cs="Times New Roman"/>
                <w:sz w:val="20"/>
                <w:szCs w:val="20"/>
                <w:lang w:eastAsia="lv-LV"/>
              </w:rPr>
              <w:t>kV</w:t>
            </w:r>
            <w:proofErr w:type="spellEnd"/>
            <w:r w:rsidRPr="009059A9">
              <w:rPr>
                <w:rFonts w:eastAsia="Times New Roman" w:cs="Times New Roman"/>
                <w:sz w:val="20"/>
                <w:szCs w:val="20"/>
                <w:lang w:eastAsia="lv-LV"/>
              </w:rPr>
              <w:t xml:space="preserve"> (neieskaitot)</w:t>
            </w:r>
          </w:p>
        </w:tc>
        <w:tc>
          <w:tcPr>
            <w:tcW w:w="1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A7B566"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0,972</w:t>
            </w:r>
          </w:p>
        </w:tc>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E6F487"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0,963</w:t>
            </w:r>
          </w:p>
        </w:tc>
      </w:tr>
      <w:tr w:rsidR="00B73F9A" w:rsidRPr="009059A9" w14:paraId="156DF89C" w14:textId="77777777" w:rsidTr="00B73F9A">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4B4047"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 xml:space="preserve">No 100 līdz 200 </w:t>
            </w:r>
            <w:proofErr w:type="spellStart"/>
            <w:r w:rsidRPr="009059A9">
              <w:rPr>
                <w:rFonts w:eastAsia="Times New Roman" w:cs="Times New Roman"/>
                <w:sz w:val="20"/>
                <w:szCs w:val="20"/>
                <w:lang w:eastAsia="lv-LV"/>
              </w:rPr>
              <w:t>kV</w:t>
            </w:r>
            <w:proofErr w:type="spellEnd"/>
            <w:r w:rsidRPr="009059A9">
              <w:rPr>
                <w:rFonts w:eastAsia="Times New Roman" w:cs="Times New Roman"/>
                <w:sz w:val="20"/>
                <w:szCs w:val="20"/>
                <w:lang w:eastAsia="lv-LV"/>
              </w:rPr>
              <w:t xml:space="preserve"> (neieskaitot)</w:t>
            </w:r>
          </w:p>
        </w:tc>
        <w:tc>
          <w:tcPr>
            <w:tcW w:w="1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D8DFA"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0,963</w:t>
            </w:r>
          </w:p>
        </w:tc>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C93C6"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0,951</w:t>
            </w:r>
          </w:p>
        </w:tc>
      </w:tr>
      <w:tr w:rsidR="00B73F9A" w:rsidRPr="009059A9" w14:paraId="63BACAD4" w14:textId="77777777" w:rsidTr="00B73F9A">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E73ECE"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 xml:space="preserve">No 50 līdz 100 </w:t>
            </w:r>
            <w:proofErr w:type="spellStart"/>
            <w:r w:rsidRPr="009059A9">
              <w:rPr>
                <w:rFonts w:eastAsia="Times New Roman" w:cs="Times New Roman"/>
                <w:sz w:val="20"/>
                <w:szCs w:val="20"/>
                <w:lang w:eastAsia="lv-LV"/>
              </w:rPr>
              <w:t>kV</w:t>
            </w:r>
            <w:proofErr w:type="spellEnd"/>
            <w:r w:rsidRPr="009059A9">
              <w:rPr>
                <w:rFonts w:eastAsia="Times New Roman" w:cs="Times New Roman"/>
                <w:sz w:val="20"/>
                <w:szCs w:val="20"/>
                <w:lang w:eastAsia="lv-LV"/>
              </w:rPr>
              <w:t xml:space="preserve"> (neieskaitot)</w:t>
            </w:r>
          </w:p>
        </w:tc>
        <w:tc>
          <w:tcPr>
            <w:tcW w:w="1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613F46"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0,952</w:t>
            </w:r>
          </w:p>
        </w:tc>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C5437D"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0,936</w:t>
            </w:r>
          </w:p>
        </w:tc>
      </w:tr>
      <w:tr w:rsidR="00B73F9A" w:rsidRPr="009059A9" w14:paraId="5CC5B860" w14:textId="77777777" w:rsidTr="00B73F9A">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041E9B"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 xml:space="preserve">No 12 līdz 50 </w:t>
            </w:r>
            <w:proofErr w:type="spellStart"/>
            <w:r w:rsidRPr="009059A9">
              <w:rPr>
                <w:rFonts w:eastAsia="Times New Roman" w:cs="Times New Roman"/>
                <w:sz w:val="20"/>
                <w:szCs w:val="20"/>
                <w:lang w:eastAsia="lv-LV"/>
              </w:rPr>
              <w:t>kV</w:t>
            </w:r>
            <w:proofErr w:type="spellEnd"/>
            <w:r w:rsidRPr="009059A9">
              <w:rPr>
                <w:rFonts w:eastAsia="Times New Roman" w:cs="Times New Roman"/>
                <w:sz w:val="20"/>
                <w:szCs w:val="20"/>
                <w:lang w:eastAsia="lv-LV"/>
              </w:rPr>
              <w:t xml:space="preserve"> (neieskaitot)</w:t>
            </w:r>
          </w:p>
        </w:tc>
        <w:tc>
          <w:tcPr>
            <w:tcW w:w="1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16CFE4"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0,935</w:t>
            </w:r>
          </w:p>
        </w:tc>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321E6A"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0,914</w:t>
            </w:r>
          </w:p>
        </w:tc>
      </w:tr>
      <w:tr w:rsidR="00B73F9A" w:rsidRPr="009059A9" w14:paraId="4E56FED8" w14:textId="77777777" w:rsidTr="00B73F9A">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3F1BFC"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 xml:space="preserve">No 0,45 līdz 12 </w:t>
            </w:r>
            <w:proofErr w:type="spellStart"/>
            <w:r w:rsidRPr="009059A9">
              <w:rPr>
                <w:rFonts w:eastAsia="Times New Roman" w:cs="Times New Roman"/>
                <w:sz w:val="20"/>
                <w:szCs w:val="20"/>
                <w:lang w:eastAsia="lv-LV"/>
              </w:rPr>
              <w:t>kV</w:t>
            </w:r>
            <w:proofErr w:type="spellEnd"/>
            <w:r w:rsidRPr="009059A9">
              <w:rPr>
                <w:rFonts w:eastAsia="Times New Roman" w:cs="Times New Roman"/>
                <w:sz w:val="20"/>
                <w:szCs w:val="20"/>
                <w:lang w:eastAsia="lv-LV"/>
              </w:rPr>
              <w:t xml:space="preserve"> (neieskaitot)</w:t>
            </w:r>
          </w:p>
        </w:tc>
        <w:tc>
          <w:tcPr>
            <w:tcW w:w="1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21559C"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0,918</w:t>
            </w:r>
          </w:p>
        </w:tc>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DE0AF3"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0,891</w:t>
            </w:r>
          </w:p>
        </w:tc>
      </w:tr>
      <w:tr w:rsidR="00B73F9A" w:rsidRPr="009059A9" w14:paraId="39F4BEE8" w14:textId="77777777" w:rsidTr="00B73F9A">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7B73E4" w14:textId="77777777" w:rsidR="00B73F9A" w:rsidRPr="009059A9" w:rsidRDefault="00B73F9A" w:rsidP="00B73F9A">
            <w:pPr>
              <w:rPr>
                <w:rFonts w:eastAsia="Times New Roman" w:cs="Times New Roman"/>
                <w:sz w:val="20"/>
                <w:szCs w:val="20"/>
                <w:lang w:eastAsia="lv-LV"/>
              </w:rPr>
            </w:pPr>
            <w:r w:rsidRPr="009059A9">
              <w:rPr>
                <w:rFonts w:eastAsia="Times New Roman" w:cs="Times New Roman"/>
                <w:sz w:val="20"/>
                <w:szCs w:val="20"/>
                <w:lang w:eastAsia="lv-LV"/>
              </w:rPr>
              <w:t xml:space="preserve">Mazāks par 0,45 </w:t>
            </w:r>
            <w:proofErr w:type="spellStart"/>
            <w:r w:rsidRPr="009059A9">
              <w:rPr>
                <w:rFonts w:eastAsia="Times New Roman" w:cs="Times New Roman"/>
                <w:sz w:val="20"/>
                <w:szCs w:val="20"/>
                <w:lang w:eastAsia="lv-LV"/>
              </w:rPr>
              <w:t>kV</w:t>
            </w:r>
            <w:proofErr w:type="spellEnd"/>
          </w:p>
        </w:tc>
        <w:tc>
          <w:tcPr>
            <w:tcW w:w="17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19E058"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0,888</w:t>
            </w:r>
          </w:p>
        </w:tc>
        <w:tc>
          <w:tcPr>
            <w:tcW w:w="1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C08D2D" w14:textId="77777777" w:rsidR="00B73F9A" w:rsidRPr="009059A9" w:rsidRDefault="00B73F9A" w:rsidP="00B73F9A">
            <w:pPr>
              <w:jc w:val="center"/>
              <w:rPr>
                <w:rFonts w:eastAsia="Times New Roman" w:cs="Times New Roman"/>
                <w:sz w:val="20"/>
                <w:szCs w:val="20"/>
                <w:lang w:eastAsia="lv-LV"/>
              </w:rPr>
            </w:pPr>
            <w:r w:rsidRPr="009059A9">
              <w:rPr>
                <w:rFonts w:eastAsia="Times New Roman" w:cs="Times New Roman"/>
                <w:sz w:val="20"/>
                <w:szCs w:val="20"/>
                <w:lang w:eastAsia="lv-LV"/>
              </w:rPr>
              <w:t>0,851</w:t>
            </w:r>
          </w:p>
        </w:tc>
      </w:tr>
    </w:tbl>
    <w:p w14:paraId="06A0081F" w14:textId="1C82AEFC" w:rsidR="00B73F9A" w:rsidRPr="009059A9" w:rsidRDefault="00B73F9A" w:rsidP="00B73F9A">
      <w:pPr>
        <w:spacing w:before="60" w:after="60"/>
        <w:jc w:val="both"/>
        <w:rPr>
          <w:szCs w:val="28"/>
        </w:rPr>
      </w:pPr>
      <w:r w:rsidRPr="009059A9">
        <w:rPr>
          <w:szCs w:val="28"/>
        </w:rPr>
        <w:t>”</w:t>
      </w:r>
      <w:r w:rsidR="00423889" w:rsidRPr="009059A9">
        <w:rPr>
          <w:szCs w:val="28"/>
        </w:rPr>
        <w:t>.</w:t>
      </w:r>
    </w:p>
    <w:p w14:paraId="27B1A620" w14:textId="7FBD8065" w:rsidR="00EB5A2B" w:rsidRPr="009059A9" w:rsidRDefault="004566D1" w:rsidP="00423889">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1.</w:t>
      </w:r>
      <w:r w:rsidR="003D21E0" w:rsidRPr="009059A9">
        <w:rPr>
          <w:rFonts w:eastAsia="Times New Roman" w:cs="Times New Roman"/>
          <w:iCs/>
          <w:szCs w:val="28"/>
          <w:lang w:eastAsia="lv-LV"/>
        </w:rPr>
        <w:t>1</w:t>
      </w:r>
      <w:r w:rsidR="006C2E81">
        <w:rPr>
          <w:rFonts w:eastAsia="Times New Roman" w:cs="Times New Roman"/>
          <w:iCs/>
          <w:szCs w:val="28"/>
          <w:lang w:eastAsia="lv-LV"/>
        </w:rPr>
        <w:t>2</w:t>
      </w:r>
      <w:r w:rsidR="00423889" w:rsidRPr="009059A9">
        <w:rPr>
          <w:rFonts w:eastAsia="Times New Roman" w:cs="Times New Roman"/>
          <w:iCs/>
          <w:szCs w:val="28"/>
          <w:lang w:eastAsia="lv-LV"/>
        </w:rPr>
        <w:t xml:space="preserve">. </w:t>
      </w:r>
      <w:r w:rsidR="00EB5A2B" w:rsidRPr="009059A9">
        <w:rPr>
          <w:rFonts w:eastAsia="Times New Roman" w:cs="Times New Roman"/>
          <w:iCs/>
          <w:szCs w:val="28"/>
          <w:lang w:eastAsia="lv-LV"/>
        </w:rPr>
        <w:t xml:space="preserve">Izteikt 5.pielikuma I nodaļas tabulas </w:t>
      </w:r>
      <w:r w:rsidR="00B8090E" w:rsidRPr="009059A9">
        <w:rPr>
          <w:rFonts w:eastAsia="Times New Roman" w:cs="Times New Roman"/>
          <w:iCs/>
          <w:szCs w:val="28"/>
          <w:lang w:eastAsia="lv-LV"/>
        </w:rPr>
        <w:t>10.</w:t>
      </w:r>
      <w:r w:rsidR="00EB5A2B" w:rsidRPr="009059A9">
        <w:rPr>
          <w:rFonts w:eastAsia="Times New Roman" w:cs="Times New Roman"/>
          <w:iCs/>
          <w:szCs w:val="28"/>
          <w:lang w:eastAsia="lv-LV"/>
        </w:rPr>
        <w:t>punktu šādā redakcijā:</w:t>
      </w:r>
    </w:p>
    <w:p w14:paraId="5B506AA7" w14:textId="77777777" w:rsidR="00B8090E" w:rsidRPr="009059A9" w:rsidRDefault="00B8090E" w:rsidP="00423889">
      <w:pPr>
        <w:shd w:val="clear" w:color="auto" w:fill="FFFFFF"/>
        <w:spacing w:line="254" w:lineRule="atLeast"/>
        <w:jc w:val="both"/>
        <w:rPr>
          <w:rFonts w:eastAsia="Times New Roman" w:cs="Times New Roman"/>
          <w:iCs/>
          <w:szCs w:val="28"/>
          <w:lang w:eastAsia="lv-LV"/>
        </w:rPr>
      </w:pPr>
      <w:r w:rsidRPr="009059A9">
        <w:rPr>
          <w:rFonts w:eastAsia="Times New Roman" w:cs="Times New Roman"/>
          <w:iCs/>
          <w:szCs w:val="28"/>
          <w:lang w:eastAsia="lv-LV"/>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33"/>
        <w:gridCol w:w="3894"/>
        <w:gridCol w:w="4528"/>
      </w:tblGrid>
      <w:tr w:rsidR="00B8090E" w:rsidRPr="009059A9" w14:paraId="28F64D4E" w14:textId="77777777" w:rsidTr="00AA6F91">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881FA" w14:textId="650EFF77" w:rsidR="00B8090E" w:rsidRPr="00B8090E" w:rsidRDefault="00B8090E" w:rsidP="00AA6F91">
            <w:pPr>
              <w:rPr>
                <w:rFonts w:eastAsia="Times New Roman" w:cs="Times New Roman"/>
                <w:sz w:val="20"/>
                <w:szCs w:val="20"/>
                <w:lang w:eastAsia="lv-LV"/>
              </w:rPr>
            </w:pPr>
            <w:r w:rsidRPr="009059A9">
              <w:rPr>
                <w:rFonts w:eastAsia="Times New Roman" w:cs="Times New Roman"/>
                <w:sz w:val="20"/>
                <w:szCs w:val="20"/>
                <w:lang w:eastAsia="lv-LV"/>
              </w:rPr>
              <w:t>10</w:t>
            </w:r>
            <w:r w:rsidRPr="00B8090E">
              <w:rPr>
                <w:rFonts w:eastAsia="Times New Roman" w:cs="Times New Roman"/>
                <w:sz w:val="20"/>
                <w:szCs w:val="20"/>
                <w:lang w:eastAsia="lv-LV"/>
              </w:rPr>
              <w:t>.</w:t>
            </w:r>
          </w:p>
        </w:tc>
        <w:tc>
          <w:tcPr>
            <w:tcW w:w="2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49F71" w14:textId="77777777" w:rsidR="00B8090E" w:rsidRPr="009059A9" w:rsidRDefault="00B8090E" w:rsidP="00AA6F91">
            <w:pPr>
              <w:rPr>
                <w:rFonts w:eastAsia="Times New Roman" w:cs="Times New Roman"/>
                <w:sz w:val="20"/>
                <w:szCs w:val="20"/>
                <w:lang w:eastAsia="lv-LV"/>
              </w:rPr>
            </w:pPr>
            <w:r w:rsidRPr="009059A9">
              <w:rPr>
                <w:rFonts w:eastAsia="Times New Roman" w:cs="Times New Roman"/>
                <w:sz w:val="20"/>
                <w:szCs w:val="20"/>
                <w:lang w:eastAsia="lv-LV"/>
              </w:rPr>
              <w:t>Lietderīgās siltumenerģijas:</w:t>
            </w:r>
          </w:p>
          <w:p w14:paraId="423F3095" w14:textId="473D2F83" w:rsidR="00B8090E" w:rsidRPr="00B8090E" w:rsidRDefault="00B8090E" w:rsidP="00AA6F91">
            <w:pPr>
              <w:rPr>
                <w:rFonts w:eastAsia="Times New Roman" w:cs="Times New Roman"/>
                <w:sz w:val="20"/>
                <w:szCs w:val="20"/>
                <w:lang w:eastAsia="lv-LV"/>
              </w:rPr>
            </w:pPr>
          </w:p>
        </w:tc>
        <w:tc>
          <w:tcPr>
            <w:tcW w:w="2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379907" w14:textId="77777777" w:rsidR="00B8090E" w:rsidRPr="00B8090E" w:rsidRDefault="00B8090E" w:rsidP="00AA6F91">
            <w:pPr>
              <w:jc w:val="right"/>
              <w:rPr>
                <w:rFonts w:eastAsia="Times New Roman" w:cs="Times New Roman"/>
                <w:sz w:val="20"/>
                <w:szCs w:val="20"/>
                <w:lang w:eastAsia="lv-LV"/>
              </w:rPr>
            </w:pPr>
          </w:p>
        </w:tc>
      </w:tr>
      <w:tr w:rsidR="00B8090E" w:rsidRPr="009059A9" w14:paraId="1EBD97CC" w14:textId="77777777" w:rsidTr="00AA6F91">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ADEC9A" w14:textId="6F085C68" w:rsidR="00B8090E" w:rsidRPr="009059A9" w:rsidRDefault="00B8090E" w:rsidP="00AA6F91">
            <w:pPr>
              <w:rPr>
                <w:rFonts w:eastAsia="Times New Roman" w:cs="Times New Roman"/>
                <w:sz w:val="20"/>
                <w:szCs w:val="20"/>
                <w:lang w:eastAsia="lv-LV"/>
              </w:rPr>
            </w:pPr>
            <w:r w:rsidRPr="009059A9">
              <w:rPr>
                <w:rFonts w:eastAsia="Times New Roman" w:cs="Times New Roman"/>
                <w:sz w:val="20"/>
                <w:szCs w:val="20"/>
                <w:lang w:eastAsia="lv-LV"/>
              </w:rPr>
              <w:t>10.1.</w:t>
            </w:r>
          </w:p>
        </w:tc>
        <w:tc>
          <w:tcPr>
            <w:tcW w:w="21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5AB40D" w14:textId="56462E29" w:rsidR="00B8090E" w:rsidRPr="009059A9" w:rsidRDefault="00B8090E" w:rsidP="00AA6F91">
            <w:pPr>
              <w:rPr>
                <w:rFonts w:eastAsia="Times New Roman" w:cs="Times New Roman"/>
                <w:sz w:val="20"/>
                <w:szCs w:val="20"/>
                <w:lang w:eastAsia="lv-LV"/>
              </w:rPr>
            </w:pPr>
            <w:r w:rsidRPr="009059A9">
              <w:rPr>
                <w:rFonts w:eastAsia="Times New Roman" w:cs="Times New Roman"/>
                <w:sz w:val="20"/>
                <w:szCs w:val="20"/>
                <w:lang w:eastAsia="lv-LV"/>
              </w:rPr>
              <w:t>lietotājs (nosaukums vai firma, juridiskā adrese, reģistrācijas numurs)</w:t>
            </w:r>
          </w:p>
        </w:tc>
        <w:tc>
          <w:tcPr>
            <w:tcW w:w="25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BA2F83" w14:textId="77777777" w:rsidR="00B8090E" w:rsidRPr="009059A9" w:rsidRDefault="00B8090E" w:rsidP="00AA6F91">
            <w:pPr>
              <w:jc w:val="right"/>
              <w:rPr>
                <w:rFonts w:eastAsia="Times New Roman" w:cs="Times New Roman"/>
                <w:sz w:val="20"/>
                <w:szCs w:val="20"/>
                <w:lang w:eastAsia="lv-LV"/>
              </w:rPr>
            </w:pPr>
          </w:p>
        </w:tc>
      </w:tr>
      <w:tr w:rsidR="00B8090E" w:rsidRPr="009059A9" w14:paraId="5A183DD1" w14:textId="77777777" w:rsidTr="00AA6F91">
        <w:tc>
          <w:tcPr>
            <w:tcW w:w="3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AD01A1" w14:textId="2ECDE7AF" w:rsidR="00B8090E" w:rsidRPr="009059A9" w:rsidRDefault="00B8090E" w:rsidP="00AA6F91">
            <w:pPr>
              <w:rPr>
                <w:rFonts w:eastAsia="Times New Roman" w:cs="Times New Roman"/>
                <w:sz w:val="20"/>
                <w:szCs w:val="20"/>
                <w:lang w:eastAsia="lv-LV"/>
              </w:rPr>
            </w:pPr>
            <w:r w:rsidRPr="009059A9">
              <w:rPr>
                <w:rFonts w:eastAsia="Times New Roman" w:cs="Times New Roman"/>
                <w:sz w:val="20"/>
                <w:szCs w:val="20"/>
                <w:lang w:eastAsia="lv-LV"/>
              </w:rPr>
              <w:t>10.2.</w:t>
            </w:r>
          </w:p>
        </w:tc>
        <w:tc>
          <w:tcPr>
            <w:tcW w:w="21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244426" w14:textId="00568E75" w:rsidR="00B8090E" w:rsidRPr="009059A9" w:rsidRDefault="00E63DD2" w:rsidP="00AA6F91">
            <w:pPr>
              <w:rPr>
                <w:rFonts w:eastAsia="Times New Roman" w:cs="Times New Roman"/>
                <w:sz w:val="20"/>
                <w:szCs w:val="20"/>
                <w:lang w:eastAsia="lv-LV"/>
              </w:rPr>
            </w:pPr>
            <w:r>
              <w:rPr>
                <w:rFonts w:eastAsia="Times New Roman" w:cs="Times New Roman"/>
                <w:sz w:val="20"/>
                <w:szCs w:val="20"/>
                <w:lang w:eastAsia="lv-LV"/>
              </w:rPr>
              <w:t>i</w:t>
            </w:r>
            <w:r w:rsidR="00B8090E" w:rsidRPr="009059A9">
              <w:rPr>
                <w:rFonts w:eastAsia="Times New Roman" w:cs="Times New Roman"/>
                <w:sz w:val="20"/>
                <w:szCs w:val="20"/>
                <w:lang w:eastAsia="lv-LV"/>
              </w:rPr>
              <w:t xml:space="preserve">zmantošanas veids (karstais ūdens, tvaiks vai </w:t>
            </w:r>
            <w:proofErr w:type="spellStart"/>
            <w:r w:rsidR="00B8090E" w:rsidRPr="009059A9">
              <w:rPr>
                <w:rFonts w:eastAsia="Times New Roman" w:cs="Times New Roman"/>
                <w:sz w:val="20"/>
                <w:szCs w:val="20"/>
                <w:lang w:eastAsia="lv-LV"/>
              </w:rPr>
              <w:t>dūmgāzu</w:t>
            </w:r>
            <w:proofErr w:type="spellEnd"/>
            <w:r w:rsidR="00B8090E" w:rsidRPr="009059A9">
              <w:rPr>
                <w:rFonts w:eastAsia="Times New Roman" w:cs="Times New Roman"/>
                <w:sz w:val="20"/>
                <w:szCs w:val="20"/>
                <w:lang w:eastAsia="lv-LV"/>
              </w:rPr>
              <w:t xml:space="preserve"> tiešā izmantošana)</w:t>
            </w:r>
          </w:p>
        </w:tc>
        <w:tc>
          <w:tcPr>
            <w:tcW w:w="25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57244B" w14:textId="77777777" w:rsidR="00B8090E" w:rsidRPr="009059A9" w:rsidRDefault="00B8090E" w:rsidP="00AA6F91">
            <w:pPr>
              <w:jc w:val="right"/>
              <w:rPr>
                <w:rFonts w:eastAsia="Times New Roman" w:cs="Times New Roman"/>
                <w:sz w:val="20"/>
                <w:szCs w:val="20"/>
                <w:lang w:eastAsia="lv-LV"/>
              </w:rPr>
            </w:pPr>
          </w:p>
        </w:tc>
      </w:tr>
    </w:tbl>
    <w:p w14:paraId="059B3B4D" w14:textId="76756646" w:rsidR="00B8090E" w:rsidRPr="009059A9" w:rsidRDefault="00B8090E" w:rsidP="00423889">
      <w:pPr>
        <w:shd w:val="clear" w:color="auto" w:fill="FFFFFF"/>
        <w:spacing w:line="254" w:lineRule="atLeast"/>
        <w:jc w:val="both"/>
        <w:rPr>
          <w:rFonts w:eastAsia="Times New Roman" w:cs="Times New Roman"/>
          <w:iCs/>
          <w:szCs w:val="28"/>
          <w:lang w:eastAsia="lv-LV"/>
        </w:rPr>
      </w:pPr>
      <w:r w:rsidRPr="009059A9">
        <w:rPr>
          <w:rFonts w:eastAsia="Times New Roman" w:cs="Times New Roman"/>
          <w:iCs/>
          <w:szCs w:val="28"/>
          <w:lang w:eastAsia="lv-LV"/>
        </w:rPr>
        <w:t>”.</w:t>
      </w:r>
    </w:p>
    <w:p w14:paraId="379C759B" w14:textId="77777777" w:rsidR="00EB5A2B" w:rsidRPr="009059A9" w:rsidRDefault="00EB5A2B" w:rsidP="00423889">
      <w:pPr>
        <w:shd w:val="clear" w:color="auto" w:fill="FFFFFF"/>
        <w:spacing w:line="254" w:lineRule="atLeast"/>
        <w:jc w:val="both"/>
        <w:rPr>
          <w:rFonts w:eastAsia="Times New Roman" w:cs="Times New Roman"/>
          <w:iCs/>
          <w:szCs w:val="28"/>
          <w:lang w:eastAsia="lv-LV"/>
        </w:rPr>
      </w:pPr>
    </w:p>
    <w:p w14:paraId="6D189FD9" w14:textId="23F3A452" w:rsidR="00423889" w:rsidRDefault="004566D1" w:rsidP="00423889">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1.</w:t>
      </w:r>
      <w:r w:rsidR="00EB5A2B" w:rsidRPr="009059A9">
        <w:rPr>
          <w:rFonts w:eastAsia="Times New Roman" w:cs="Times New Roman"/>
          <w:iCs/>
          <w:szCs w:val="28"/>
          <w:lang w:eastAsia="lv-LV"/>
        </w:rPr>
        <w:t>1</w:t>
      </w:r>
      <w:r w:rsidR="006C2E81">
        <w:rPr>
          <w:rFonts w:eastAsia="Times New Roman" w:cs="Times New Roman"/>
          <w:iCs/>
          <w:szCs w:val="28"/>
          <w:lang w:eastAsia="lv-LV"/>
        </w:rPr>
        <w:t>3</w:t>
      </w:r>
      <w:r w:rsidR="00EB5A2B" w:rsidRPr="009059A9">
        <w:rPr>
          <w:rFonts w:eastAsia="Times New Roman" w:cs="Times New Roman"/>
          <w:iCs/>
          <w:szCs w:val="28"/>
          <w:lang w:eastAsia="lv-LV"/>
        </w:rPr>
        <w:t xml:space="preserve">. </w:t>
      </w:r>
      <w:r w:rsidR="00423889" w:rsidRPr="009059A9">
        <w:rPr>
          <w:rFonts w:eastAsia="Times New Roman" w:cs="Times New Roman"/>
          <w:iCs/>
          <w:szCs w:val="28"/>
          <w:lang w:eastAsia="lv-LV"/>
        </w:rPr>
        <w:t>Izteikt 6.pielikumu šādā redakcijā:</w:t>
      </w:r>
    </w:p>
    <w:p w14:paraId="63DC90C1" w14:textId="06C3DBF3" w:rsidR="00E63DD2" w:rsidRPr="009059A9" w:rsidRDefault="00E63DD2" w:rsidP="00423889">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w:t>
      </w:r>
    </w:p>
    <w:p w14:paraId="64B93719" w14:textId="22D9A4F6" w:rsidR="00423889" w:rsidRPr="009059A9" w:rsidRDefault="00423889" w:rsidP="00423889">
      <w:pPr>
        <w:shd w:val="clear" w:color="auto" w:fill="FFFFFF"/>
        <w:jc w:val="right"/>
        <w:rPr>
          <w:rFonts w:eastAsia="Times New Roman" w:cs="Times New Roman"/>
          <w:sz w:val="24"/>
          <w:szCs w:val="24"/>
          <w:lang w:eastAsia="lv-LV"/>
        </w:rPr>
      </w:pPr>
      <w:r w:rsidRPr="009059A9">
        <w:rPr>
          <w:rFonts w:eastAsia="Times New Roman" w:cs="Times New Roman"/>
          <w:sz w:val="24"/>
          <w:szCs w:val="24"/>
          <w:lang w:eastAsia="lv-LV"/>
        </w:rPr>
        <w:t xml:space="preserve">6.pielikums </w:t>
      </w:r>
    </w:p>
    <w:p w14:paraId="3083B03F" w14:textId="77777777" w:rsidR="00423889" w:rsidRPr="009059A9" w:rsidRDefault="00423889" w:rsidP="00423889">
      <w:pPr>
        <w:shd w:val="clear" w:color="auto" w:fill="FFFFFF"/>
        <w:jc w:val="right"/>
        <w:rPr>
          <w:rFonts w:eastAsia="Times New Roman" w:cs="Times New Roman"/>
          <w:sz w:val="24"/>
          <w:szCs w:val="24"/>
          <w:lang w:eastAsia="lv-LV"/>
        </w:rPr>
      </w:pPr>
      <w:r w:rsidRPr="009059A9">
        <w:rPr>
          <w:rFonts w:eastAsia="Times New Roman" w:cs="Times New Roman"/>
          <w:sz w:val="24"/>
          <w:szCs w:val="24"/>
          <w:lang w:eastAsia="lv-LV"/>
        </w:rPr>
        <w:t xml:space="preserve">Ministru kabineta </w:t>
      </w:r>
    </w:p>
    <w:p w14:paraId="470D2585" w14:textId="77777777" w:rsidR="00423889" w:rsidRPr="009059A9" w:rsidRDefault="00423889" w:rsidP="00423889">
      <w:pPr>
        <w:shd w:val="clear" w:color="auto" w:fill="FFFFFF"/>
        <w:jc w:val="right"/>
        <w:rPr>
          <w:rFonts w:eastAsia="Times New Roman" w:cs="Times New Roman"/>
          <w:iCs/>
          <w:szCs w:val="28"/>
          <w:lang w:eastAsia="lv-LV"/>
        </w:rPr>
      </w:pPr>
      <w:r w:rsidRPr="009059A9">
        <w:rPr>
          <w:rFonts w:eastAsia="Times New Roman" w:cs="Times New Roman"/>
          <w:sz w:val="24"/>
          <w:szCs w:val="24"/>
          <w:lang w:eastAsia="lv-LV"/>
        </w:rPr>
        <w:t>2009.gada 10.marta noteikumiem Nr.221</w:t>
      </w:r>
    </w:p>
    <w:p w14:paraId="5E6547D7" w14:textId="77777777" w:rsidR="00423889" w:rsidRPr="009059A9" w:rsidRDefault="00423889" w:rsidP="00423889">
      <w:pPr>
        <w:shd w:val="clear" w:color="auto" w:fill="FFFFFF"/>
        <w:jc w:val="center"/>
        <w:rPr>
          <w:rFonts w:eastAsia="Times New Roman" w:cs="Times New Roman"/>
          <w:b/>
          <w:bCs/>
          <w:szCs w:val="28"/>
          <w:lang w:eastAsia="lv-LV"/>
        </w:rPr>
      </w:pPr>
    </w:p>
    <w:p w14:paraId="6E81EBDA" w14:textId="393C89A7" w:rsidR="00423889" w:rsidRPr="009059A9" w:rsidRDefault="00423889" w:rsidP="00423889">
      <w:pPr>
        <w:shd w:val="clear" w:color="auto" w:fill="FFFFFF"/>
        <w:jc w:val="center"/>
        <w:rPr>
          <w:rFonts w:eastAsia="Times New Roman" w:cs="Times New Roman"/>
          <w:b/>
          <w:bCs/>
          <w:szCs w:val="28"/>
          <w:lang w:eastAsia="lv-LV"/>
        </w:rPr>
      </w:pPr>
      <w:r w:rsidRPr="009059A9">
        <w:rPr>
          <w:rFonts w:eastAsia="Times New Roman" w:cs="Times New Roman"/>
          <w:b/>
          <w:bCs/>
          <w:szCs w:val="28"/>
          <w:lang w:eastAsia="lv-LV"/>
        </w:rPr>
        <w:t xml:space="preserve">Koeficientu </w:t>
      </w:r>
      <w:proofErr w:type="spellStart"/>
      <w:r w:rsidR="004F3874" w:rsidRPr="009059A9">
        <w:rPr>
          <w:rFonts w:eastAsia="Times New Roman" w:cs="Times New Roman"/>
          <w:b/>
          <w:bCs/>
          <w:szCs w:val="28"/>
          <w:lang w:eastAsia="lv-LV"/>
        </w:rPr>
        <w:t>k</w:t>
      </w:r>
      <w:r w:rsidRPr="009059A9">
        <w:rPr>
          <w:rFonts w:eastAsia="Times New Roman" w:cs="Times New Roman"/>
          <w:b/>
          <w:bCs/>
          <w:szCs w:val="28"/>
          <w:vertAlign w:val="subscript"/>
          <w:lang w:eastAsia="lv-LV"/>
        </w:rPr>
        <w:t>AER</w:t>
      </w:r>
      <w:proofErr w:type="spellEnd"/>
      <w:r w:rsidR="004F3874" w:rsidRPr="009059A9">
        <w:rPr>
          <w:rFonts w:eastAsia="Times New Roman" w:cs="Times New Roman"/>
          <w:b/>
          <w:bCs/>
          <w:szCs w:val="28"/>
          <w:vertAlign w:val="subscript"/>
          <w:lang w:eastAsia="lv-LV"/>
        </w:rPr>
        <w:t xml:space="preserve">, </w:t>
      </w:r>
      <w:r w:rsidR="004F3874" w:rsidRPr="009059A9">
        <w:rPr>
          <w:rFonts w:eastAsia="Times New Roman" w:cs="Times New Roman"/>
          <w:b/>
          <w:bCs/>
          <w:szCs w:val="28"/>
          <w:lang w:eastAsia="lv-LV"/>
        </w:rPr>
        <w:t>k</w:t>
      </w:r>
      <w:r w:rsidR="004F3874" w:rsidRPr="009059A9">
        <w:rPr>
          <w:rFonts w:eastAsia="Times New Roman" w:cs="Times New Roman"/>
          <w:b/>
          <w:bCs/>
          <w:szCs w:val="28"/>
          <w:vertAlign w:val="subscript"/>
          <w:lang w:eastAsia="lv-LV"/>
        </w:rPr>
        <w:t>g</w:t>
      </w:r>
      <w:r w:rsidRPr="009059A9">
        <w:rPr>
          <w:rFonts w:eastAsia="Times New Roman" w:cs="Times New Roman"/>
          <w:b/>
          <w:bCs/>
          <w:szCs w:val="28"/>
          <w:lang w:eastAsia="lv-LV"/>
        </w:rPr>
        <w:t xml:space="preserve"> un k vērtības un dabasgāzes patēriņa apjoms atkarībā no koģenerācijas elektrostacijā uzstādītās elektriskās jaudas</w:t>
      </w:r>
    </w:p>
    <w:p w14:paraId="094207DB" w14:textId="77777777" w:rsidR="00423889" w:rsidRPr="009059A9" w:rsidRDefault="00423889" w:rsidP="00423889">
      <w:pPr>
        <w:shd w:val="clear" w:color="auto" w:fill="FFFFFF"/>
        <w:spacing w:line="254" w:lineRule="atLeast"/>
        <w:jc w:val="both"/>
        <w:rPr>
          <w:rFonts w:eastAsia="Times New Roman" w:cs="Times New Roman"/>
          <w:iCs/>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7"/>
        <w:gridCol w:w="2974"/>
        <w:gridCol w:w="1259"/>
        <w:gridCol w:w="1259"/>
        <w:gridCol w:w="1393"/>
        <w:gridCol w:w="1393"/>
      </w:tblGrid>
      <w:tr w:rsidR="004B0CE7" w:rsidRPr="009059A9" w14:paraId="48A4F3B3" w14:textId="090B19A3" w:rsidTr="004B0CE7">
        <w:trPr>
          <w:trHeight w:val="84"/>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45340133" w14:textId="77777777" w:rsidR="004B0CE7" w:rsidRPr="009059A9" w:rsidRDefault="004B0CE7" w:rsidP="00C14873">
            <w:pPr>
              <w:pStyle w:val="ListParagraph"/>
              <w:shd w:val="clear" w:color="auto" w:fill="FFFFFF"/>
              <w:ind w:left="0"/>
              <w:jc w:val="center"/>
              <w:rPr>
                <w:rFonts w:eastAsia="Times New Roman" w:cs="Times New Roman"/>
                <w:iCs/>
                <w:sz w:val="24"/>
                <w:szCs w:val="28"/>
                <w:lang w:eastAsia="lv-LV"/>
              </w:rPr>
            </w:pPr>
            <w:proofErr w:type="spellStart"/>
            <w:r w:rsidRPr="009059A9">
              <w:rPr>
                <w:rFonts w:eastAsia="Times New Roman" w:cs="Times New Roman"/>
                <w:iCs/>
                <w:sz w:val="24"/>
                <w:szCs w:val="28"/>
                <w:lang w:eastAsia="lv-LV"/>
              </w:rPr>
              <w:t>Nr.p.k</w:t>
            </w:r>
            <w:proofErr w:type="spellEnd"/>
            <w:r w:rsidRPr="009059A9">
              <w:rPr>
                <w:rFonts w:eastAsia="Times New Roman" w:cs="Times New Roman"/>
                <w:iCs/>
                <w:sz w:val="24"/>
                <w:szCs w:val="28"/>
                <w:lang w:eastAsia="lv-LV"/>
              </w:rPr>
              <w:t>.</w:t>
            </w:r>
          </w:p>
        </w:tc>
        <w:tc>
          <w:tcPr>
            <w:tcW w:w="1642" w:type="pct"/>
            <w:tcBorders>
              <w:top w:val="outset" w:sz="6" w:space="0" w:color="414142"/>
              <w:left w:val="outset" w:sz="6" w:space="0" w:color="414142"/>
              <w:bottom w:val="outset" w:sz="6" w:space="0" w:color="414142"/>
              <w:right w:val="outset" w:sz="6" w:space="0" w:color="414142"/>
            </w:tcBorders>
            <w:vAlign w:val="center"/>
            <w:hideMark/>
          </w:tcPr>
          <w:p w14:paraId="771ED48B" w14:textId="77777777" w:rsidR="004B0CE7" w:rsidRPr="009059A9" w:rsidRDefault="004B0CE7"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Koģenerācijas elektrostacijā uzstādītā elektriskā jauda</w:t>
            </w:r>
          </w:p>
        </w:tc>
        <w:tc>
          <w:tcPr>
            <w:tcW w:w="695" w:type="pct"/>
            <w:tcBorders>
              <w:top w:val="outset" w:sz="6" w:space="0" w:color="414142"/>
              <w:left w:val="outset" w:sz="6" w:space="0" w:color="414142"/>
              <w:bottom w:val="outset" w:sz="6" w:space="0" w:color="414142"/>
              <w:right w:val="outset" w:sz="6" w:space="0" w:color="414142"/>
            </w:tcBorders>
            <w:vAlign w:val="center"/>
          </w:tcPr>
          <w:p w14:paraId="74CCE296" w14:textId="77777777" w:rsidR="004B0CE7" w:rsidRPr="009059A9" w:rsidRDefault="004B0CE7"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 xml:space="preserve">Koeficienta </w:t>
            </w:r>
            <w:proofErr w:type="spellStart"/>
            <w:r w:rsidRPr="009059A9">
              <w:rPr>
                <w:rFonts w:eastAsia="Times New Roman" w:cs="Times New Roman"/>
                <w:i/>
                <w:iCs/>
                <w:sz w:val="24"/>
                <w:szCs w:val="28"/>
                <w:lang w:eastAsia="lv-LV"/>
              </w:rPr>
              <w:t>k</w:t>
            </w:r>
            <w:r w:rsidRPr="009059A9">
              <w:rPr>
                <w:rFonts w:eastAsia="Times New Roman" w:cs="Times New Roman"/>
                <w:i/>
                <w:iCs/>
                <w:sz w:val="24"/>
                <w:szCs w:val="28"/>
                <w:vertAlign w:val="subscript"/>
                <w:lang w:eastAsia="lv-LV"/>
              </w:rPr>
              <w:t>AER</w:t>
            </w:r>
            <w:proofErr w:type="spellEnd"/>
            <w:r w:rsidRPr="009059A9">
              <w:rPr>
                <w:rFonts w:eastAsia="Times New Roman" w:cs="Times New Roman"/>
                <w:iCs/>
                <w:sz w:val="24"/>
                <w:szCs w:val="28"/>
                <w:lang w:eastAsia="lv-LV"/>
              </w:rPr>
              <w:t xml:space="preserve"> vērtība</w:t>
            </w:r>
          </w:p>
        </w:tc>
        <w:tc>
          <w:tcPr>
            <w:tcW w:w="695" w:type="pct"/>
            <w:tcBorders>
              <w:top w:val="outset" w:sz="6" w:space="0" w:color="414142"/>
              <w:left w:val="outset" w:sz="6" w:space="0" w:color="414142"/>
              <w:bottom w:val="outset" w:sz="6" w:space="0" w:color="414142"/>
              <w:right w:val="outset" w:sz="6" w:space="0" w:color="414142"/>
            </w:tcBorders>
            <w:vAlign w:val="center"/>
            <w:hideMark/>
          </w:tcPr>
          <w:p w14:paraId="731D8BB3" w14:textId="77777777" w:rsidR="004B0CE7" w:rsidRPr="009059A9" w:rsidRDefault="004B0CE7"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 xml:space="preserve">Koeficienta </w:t>
            </w:r>
            <w:r w:rsidRPr="009059A9">
              <w:rPr>
                <w:rFonts w:eastAsia="Times New Roman" w:cs="Times New Roman"/>
                <w:i/>
                <w:iCs/>
                <w:sz w:val="24"/>
                <w:szCs w:val="28"/>
                <w:lang w:eastAsia="lv-LV"/>
              </w:rPr>
              <w:t>k</w:t>
            </w:r>
            <w:r w:rsidRPr="009059A9">
              <w:rPr>
                <w:rFonts w:eastAsia="Times New Roman" w:cs="Times New Roman"/>
                <w:iCs/>
                <w:sz w:val="24"/>
                <w:szCs w:val="28"/>
                <w:lang w:eastAsia="lv-LV"/>
              </w:rPr>
              <w:t xml:space="preserve"> vērtība</w:t>
            </w:r>
          </w:p>
        </w:tc>
        <w:tc>
          <w:tcPr>
            <w:tcW w:w="769" w:type="pct"/>
            <w:tcBorders>
              <w:top w:val="outset" w:sz="6" w:space="0" w:color="414142"/>
              <w:left w:val="outset" w:sz="6" w:space="0" w:color="414142"/>
              <w:bottom w:val="outset" w:sz="6" w:space="0" w:color="414142"/>
              <w:right w:val="outset" w:sz="6" w:space="0" w:color="414142"/>
            </w:tcBorders>
            <w:vAlign w:val="center"/>
          </w:tcPr>
          <w:p w14:paraId="4F8551EE" w14:textId="77777777" w:rsidR="004B0CE7" w:rsidRPr="009059A9" w:rsidRDefault="004B0CE7"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Dabasgāzes patēriņa apjoms gadā, n.m</w:t>
            </w:r>
            <w:r w:rsidRPr="009059A9">
              <w:rPr>
                <w:rFonts w:eastAsia="Times New Roman" w:cs="Times New Roman"/>
                <w:iCs/>
                <w:sz w:val="24"/>
                <w:szCs w:val="28"/>
                <w:vertAlign w:val="superscript"/>
                <w:lang w:eastAsia="lv-LV"/>
              </w:rPr>
              <w:t>3</w:t>
            </w:r>
          </w:p>
        </w:tc>
        <w:tc>
          <w:tcPr>
            <w:tcW w:w="769" w:type="pct"/>
            <w:tcBorders>
              <w:top w:val="outset" w:sz="6" w:space="0" w:color="414142"/>
              <w:left w:val="outset" w:sz="6" w:space="0" w:color="414142"/>
              <w:bottom w:val="outset" w:sz="6" w:space="0" w:color="414142"/>
              <w:right w:val="outset" w:sz="6" w:space="0" w:color="414142"/>
            </w:tcBorders>
            <w:vAlign w:val="center"/>
          </w:tcPr>
          <w:p w14:paraId="6D42769E" w14:textId="77777777" w:rsidR="004B0CE7" w:rsidRPr="009059A9" w:rsidRDefault="004B0CE7" w:rsidP="004B0CE7">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Koeficienta</w:t>
            </w:r>
          </w:p>
          <w:p w14:paraId="09E32D3A" w14:textId="6ABD260A" w:rsidR="004B0CE7" w:rsidRPr="009059A9" w:rsidRDefault="004B0CE7" w:rsidP="004B0CE7">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
                <w:iCs/>
                <w:sz w:val="24"/>
                <w:szCs w:val="28"/>
                <w:lang w:eastAsia="lv-LV"/>
              </w:rPr>
              <w:t>k</w:t>
            </w:r>
            <w:r w:rsidRPr="009059A9">
              <w:rPr>
                <w:rFonts w:eastAsia="Times New Roman" w:cs="Times New Roman"/>
                <w:i/>
                <w:iCs/>
                <w:sz w:val="24"/>
                <w:szCs w:val="28"/>
                <w:vertAlign w:val="subscript"/>
                <w:lang w:eastAsia="lv-LV"/>
              </w:rPr>
              <w:t>g</w:t>
            </w:r>
            <w:r w:rsidRPr="009059A9">
              <w:rPr>
                <w:rFonts w:eastAsia="Times New Roman" w:cs="Times New Roman"/>
                <w:iCs/>
                <w:sz w:val="24"/>
                <w:szCs w:val="28"/>
                <w:lang w:eastAsia="lv-LV"/>
              </w:rPr>
              <w:t xml:space="preserve"> vērtība</w:t>
            </w:r>
          </w:p>
        </w:tc>
      </w:tr>
      <w:tr w:rsidR="004B0CE7" w:rsidRPr="009059A9" w14:paraId="5528E7CD" w14:textId="6B4AC796" w:rsidTr="004B0CE7">
        <w:trPr>
          <w:trHeight w:val="180"/>
        </w:trPr>
        <w:tc>
          <w:tcPr>
            <w:tcW w:w="429" w:type="pct"/>
            <w:tcBorders>
              <w:top w:val="outset" w:sz="6" w:space="0" w:color="414142"/>
              <w:left w:val="outset" w:sz="6" w:space="0" w:color="414142"/>
              <w:bottom w:val="outset" w:sz="6" w:space="0" w:color="414142"/>
              <w:right w:val="outset" w:sz="6" w:space="0" w:color="414142"/>
            </w:tcBorders>
            <w:hideMark/>
          </w:tcPr>
          <w:p w14:paraId="7B25E481" w14:textId="29CD6D55" w:rsidR="004B0CE7" w:rsidRPr="009059A9" w:rsidRDefault="004B0CE7" w:rsidP="00C14873">
            <w:pPr>
              <w:pStyle w:val="ListParagraph"/>
              <w:shd w:val="clear" w:color="auto" w:fill="FFFFFF"/>
              <w:spacing w:line="254" w:lineRule="atLeast"/>
              <w:ind w:left="0"/>
              <w:jc w:val="center"/>
              <w:rPr>
                <w:rFonts w:eastAsia="Times New Roman" w:cs="Times New Roman"/>
                <w:iCs/>
                <w:sz w:val="24"/>
                <w:szCs w:val="28"/>
                <w:lang w:eastAsia="lv-LV"/>
              </w:rPr>
            </w:pPr>
            <w:r w:rsidRPr="009059A9">
              <w:rPr>
                <w:rFonts w:eastAsia="Times New Roman" w:cs="Times New Roman"/>
                <w:iCs/>
                <w:sz w:val="24"/>
                <w:szCs w:val="28"/>
                <w:lang w:eastAsia="lv-LV"/>
              </w:rPr>
              <w:t>1.</w:t>
            </w:r>
          </w:p>
        </w:tc>
        <w:tc>
          <w:tcPr>
            <w:tcW w:w="1642" w:type="pct"/>
            <w:tcBorders>
              <w:top w:val="outset" w:sz="6" w:space="0" w:color="414142"/>
              <w:left w:val="outset" w:sz="6" w:space="0" w:color="414142"/>
              <w:bottom w:val="outset" w:sz="6" w:space="0" w:color="414142"/>
              <w:right w:val="outset" w:sz="6" w:space="0" w:color="414142"/>
            </w:tcBorders>
            <w:hideMark/>
          </w:tcPr>
          <w:p w14:paraId="77BC17D4" w14:textId="77777777" w:rsidR="004B0CE7" w:rsidRPr="009059A9" w:rsidRDefault="004B0CE7" w:rsidP="00C14873">
            <w:pPr>
              <w:pStyle w:val="ListParagraph"/>
              <w:shd w:val="clear" w:color="auto" w:fill="FFFFFF"/>
              <w:spacing w:line="254" w:lineRule="atLeast"/>
              <w:ind w:left="0"/>
              <w:rPr>
                <w:rFonts w:eastAsia="Times New Roman" w:cs="Times New Roman"/>
                <w:iCs/>
                <w:sz w:val="24"/>
                <w:szCs w:val="28"/>
                <w:lang w:eastAsia="lv-LV"/>
              </w:rPr>
            </w:pPr>
            <w:r w:rsidRPr="009059A9">
              <w:rPr>
                <w:rFonts w:eastAsia="Times New Roman" w:cs="Times New Roman"/>
                <w:iCs/>
                <w:sz w:val="24"/>
                <w:szCs w:val="28"/>
                <w:lang w:eastAsia="lv-LV"/>
              </w:rPr>
              <w:t>Nepārsniedz 0,08 MW</w:t>
            </w:r>
          </w:p>
        </w:tc>
        <w:tc>
          <w:tcPr>
            <w:tcW w:w="695" w:type="pct"/>
            <w:tcBorders>
              <w:top w:val="outset" w:sz="6" w:space="0" w:color="414142"/>
              <w:left w:val="outset" w:sz="6" w:space="0" w:color="414142"/>
              <w:bottom w:val="outset" w:sz="6" w:space="0" w:color="414142"/>
              <w:right w:val="outset" w:sz="6" w:space="0" w:color="414142"/>
            </w:tcBorders>
            <w:vAlign w:val="center"/>
          </w:tcPr>
          <w:p w14:paraId="05EB20AC" w14:textId="77777777" w:rsidR="004B0CE7" w:rsidRPr="009059A9" w:rsidRDefault="004B0CE7"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217,002</w:t>
            </w:r>
          </w:p>
        </w:tc>
        <w:tc>
          <w:tcPr>
            <w:tcW w:w="695" w:type="pct"/>
            <w:tcBorders>
              <w:top w:val="outset" w:sz="6" w:space="0" w:color="414142"/>
              <w:left w:val="outset" w:sz="6" w:space="0" w:color="414142"/>
              <w:bottom w:val="outset" w:sz="6" w:space="0" w:color="414142"/>
              <w:right w:val="outset" w:sz="6" w:space="0" w:color="414142"/>
            </w:tcBorders>
            <w:hideMark/>
          </w:tcPr>
          <w:p w14:paraId="28511551" w14:textId="77777777" w:rsidR="004B0CE7" w:rsidRPr="009059A9" w:rsidRDefault="004B0CE7"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1,240</w:t>
            </w:r>
          </w:p>
        </w:tc>
        <w:tc>
          <w:tcPr>
            <w:tcW w:w="769" w:type="pct"/>
            <w:tcBorders>
              <w:top w:val="outset" w:sz="6" w:space="0" w:color="414142"/>
              <w:left w:val="outset" w:sz="6" w:space="0" w:color="414142"/>
              <w:bottom w:val="outset" w:sz="6" w:space="0" w:color="414142"/>
              <w:right w:val="outset" w:sz="6" w:space="0" w:color="414142"/>
            </w:tcBorders>
          </w:tcPr>
          <w:p w14:paraId="49AB8C0F" w14:textId="77777777" w:rsidR="004B0CE7" w:rsidRPr="009059A9" w:rsidRDefault="004B0CE7"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25000–126000</w:t>
            </w:r>
          </w:p>
        </w:tc>
        <w:tc>
          <w:tcPr>
            <w:tcW w:w="769" w:type="pct"/>
            <w:tcBorders>
              <w:top w:val="outset" w:sz="6" w:space="0" w:color="414142"/>
              <w:left w:val="outset" w:sz="6" w:space="0" w:color="414142"/>
              <w:bottom w:val="outset" w:sz="6" w:space="0" w:color="414142"/>
              <w:right w:val="outset" w:sz="6" w:space="0" w:color="414142"/>
            </w:tcBorders>
          </w:tcPr>
          <w:p w14:paraId="2ED7A434" w14:textId="7C9ED279" w:rsidR="004B0CE7"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126,89</w:t>
            </w:r>
          </w:p>
        </w:tc>
      </w:tr>
      <w:tr w:rsidR="00BC1BBE" w:rsidRPr="009059A9" w14:paraId="20FA00AC" w14:textId="21C32926" w:rsidTr="00BC1BBE">
        <w:trPr>
          <w:trHeight w:val="216"/>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1D5180D6"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r w:rsidRPr="009059A9">
              <w:rPr>
                <w:rFonts w:eastAsia="Times New Roman" w:cs="Times New Roman"/>
                <w:iCs/>
                <w:sz w:val="24"/>
                <w:szCs w:val="28"/>
                <w:lang w:eastAsia="lv-LV"/>
              </w:rPr>
              <w:t>2.</w:t>
            </w:r>
          </w:p>
        </w:tc>
        <w:tc>
          <w:tcPr>
            <w:tcW w:w="1642" w:type="pct"/>
            <w:tcBorders>
              <w:top w:val="outset" w:sz="6" w:space="0" w:color="414142"/>
              <w:left w:val="outset" w:sz="6" w:space="0" w:color="414142"/>
              <w:bottom w:val="outset" w:sz="6" w:space="0" w:color="414142"/>
              <w:right w:val="outset" w:sz="6" w:space="0" w:color="414142"/>
            </w:tcBorders>
            <w:vAlign w:val="center"/>
            <w:hideMark/>
          </w:tcPr>
          <w:p w14:paraId="5AC851A8" w14:textId="77777777" w:rsidR="00BC1BBE" w:rsidRPr="009059A9" w:rsidRDefault="00BC1BBE" w:rsidP="00C14873">
            <w:pPr>
              <w:pStyle w:val="ListParagraph"/>
              <w:shd w:val="clear" w:color="auto" w:fill="FFFFFF"/>
              <w:spacing w:line="254" w:lineRule="atLeast"/>
              <w:ind w:left="0"/>
              <w:rPr>
                <w:rFonts w:eastAsia="Times New Roman" w:cs="Times New Roman"/>
                <w:iCs/>
                <w:sz w:val="24"/>
                <w:szCs w:val="28"/>
                <w:lang w:eastAsia="lv-LV"/>
              </w:rPr>
            </w:pPr>
            <w:r w:rsidRPr="009059A9">
              <w:rPr>
                <w:rFonts w:eastAsia="Times New Roman" w:cs="Times New Roman"/>
                <w:iCs/>
                <w:sz w:val="24"/>
                <w:szCs w:val="28"/>
                <w:lang w:eastAsia="lv-LV"/>
              </w:rPr>
              <w:t>Lielāka par 0,08 MW, bet nepārsniedz 0,15 MW</w:t>
            </w:r>
          </w:p>
        </w:tc>
        <w:tc>
          <w:tcPr>
            <w:tcW w:w="695" w:type="pct"/>
            <w:tcBorders>
              <w:top w:val="outset" w:sz="6" w:space="0" w:color="414142"/>
              <w:left w:val="outset" w:sz="6" w:space="0" w:color="414142"/>
              <w:bottom w:val="outset" w:sz="6" w:space="0" w:color="414142"/>
              <w:right w:val="outset" w:sz="6" w:space="0" w:color="414142"/>
            </w:tcBorders>
            <w:vAlign w:val="center"/>
          </w:tcPr>
          <w:p w14:paraId="51F1718C"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194,925</w:t>
            </w:r>
          </w:p>
        </w:tc>
        <w:tc>
          <w:tcPr>
            <w:tcW w:w="695" w:type="pct"/>
            <w:tcBorders>
              <w:top w:val="outset" w:sz="6" w:space="0" w:color="414142"/>
              <w:left w:val="outset" w:sz="6" w:space="0" w:color="414142"/>
              <w:bottom w:val="outset" w:sz="6" w:space="0" w:color="414142"/>
              <w:right w:val="outset" w:sz="6" w:space="0" w:color="414142"/>
            </w:tcBorders>
            <w:vAlign w:val="center"/>
            <w:hideMark/>
          </w:tcPr>
          <w:p w14:paraId="369DE7B2"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1,231</w:t>
            </w:r>
          </w:p>
        </w:tc>
        <w:tc>
          <w:tcPr>
            <w:tcW w:w="769" w:type="pct"/>
            <w:vMerge w:val="restart"/>
            <w:tcBorders>
              <w:top w:val="outset" w:sz="6" w:space="0" w:color="414142"/>
              <w:left w:val="outset" w:sz="6" w:space="0" w:color="414142"/>
              <w:bottom w:val="outset" w:sz="6" w:space="0" w:color="414142"/>
              <w:right w:val="outset" w:sz="6" w:space="0" w:color="414142"/>
            </w:tcBorders>
            <w:vAlign w:val="center"/>
          </w:tcPr>
          <w:p w14:paraId="62CE575A"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126000–1260000</w:t>
            </w:r>
          </w:p>
        </w:tc>
        <w:tc>
          <w:tcPr>
            <w:tcW w:w="769" w:type="pct"/>
            <w:vMerge w:val="restart"/>
            <w:tcBorders>
              <w:top w:val="outset" w:sz="6" w:space="0" w:color="414142"/>
              <w:left w:val="outset" w:sz="6" w:space="0" w:color="414142"/>
              <w:right w:val="outset" w:sz="6" w:space="0" w:color="414142"/>
            </w:tcBorders>
            <w:vAlign w:val="center"/>
          </w:tcPr>
          <w:p w14:paraId="570E4A81" w14:textId="25DE5EF9" w:rsidR="00BC1BBE" w:rsidRPr="009059A9" w:rsidRDefault="00BC1BBE" w:rsidP="00BC1BBE">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92,47</w:t>
            </w:r>
          </w:p>
        </w:tc>
      </w:tr>
      <w:tr w:rsidR="00BC1BBE" w:rsidRPr="009059A9" w14:paraId="3F078DD3" w14:textId="5A4D1D70" w:rsidTr="00C14873">
        <w:trPr>
          <w:trHeight w:val="84"/>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31F88C52"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r w:rsidRPr="009059A9">
              <w:rPr>
                <w:rFonts w:eastAsia="Times New Roman" w:cs="Times New Roman"/>
                <w:iCs/>
                <w:sz w:val="24"/>
                <w:szCs w:val="28"/>
                <w:lang w:eastAsia="lv-LV"/>
              </w:rPr>
              <w:lastRenderedPageBreak/>
              <w:t>3.</w:t>
            </w:r>
          </w:p>
        </w:tc>
        <w:tc>
          <w:tcPr>
            <w:tcW w:w="1642" w:type="pct"/>
            <w:tcBorders>
              <w:top w:val="outset" w:sz="6" w:space="0" w:color="414142"/>
              <w:left w:val="outset" w:sz="6" w:space="0" w:color="414142"/>
              <w:bottom w:val="outset" w:sz="6" w:space="0" w:color="414142"/>
              <w:right w:val="outset" w:sz="6" w:space="0" w:color="414142"/>
            </w:tcBorders>
            <w:vAlign w:val="center"/>
            <w:hideMark/>
          </w:tcPr>
          <w:p w14:paraId="272BE45B" w14:textId="77777777" w:rsidR="00BC1BBE" w:rsidRPr="009059A9" w:rsidRDefault="00BC1BBE" w:rsidP="00C14873">
            <w:pPr>
              <w:pStyle w:val="ListParagraph"/>
              <w:shd w:val="clear" w:color="auto" w:fill="FFFFFF"/>
              <w:spacing w:line="254" w:lineRule="atLeast"/>
              <w:ind w:left="0"/>
              <w:rPr>
                <w:rFonts w:eastAsia="Times New Roman" w:cs="Times New Roman"/>
                <w:iCs/>
                <w:sz w:val="24"/>
                <w:szCs w:val="28"/>
                <w:lang w:eastAsia="lv-LV"/>
              </w:rPr>
            </w:pPr>
            <w:r w:rsidRPr="009059A9">
              <w:rPr>
                <w:rFonts w:eastAsia="Times New Roman" w:cs="Times New Roman"/>
                <w:iCs/>
                <w:sz w:val="24"/>
                <w:szCs w:val="28"/>
                <w:lang w:eastAsia="lv-LV"/>
              </w:rPr>
              <w:t>Lielāka par 0,15 MW, bet nepārsniedz 0,20 MW</w:t>
            </w:r>
          </w:p>
        </w:tc>
        <w:tc>
          <w:tcPr>
            <w:tcW w:w="695" w:type="pct"/>
            <w:tcBorders>
              <w:top w:val="outset" w:sz="6" w:space="0" w:color="414142"/>
              <w:left w:val="outset" w:sz="6" w:space="0" w:color="414142"/>
              <w:bottom w:val="outset" w:sz="6" w:space="0" w:color="414142"/>
              <w:right w:val="outset" w:sz="6" w:space="0" w:color="414142"/>
            </w:tcBorders>
            <w:vAlign w:val="center"/>
          </w:tcPr>
          <w:p w14:paraId="59E4443C"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190,333</w:t>
            </w:r>
          </w:p>
        </w:tc>
        <w:tc>
          <w:tcPr>
            <w:tcW w:w="695" w:type="pct"/>
            <w:tcBorders>
              <w:top w:val="outset" w:sz="6" w:space="0" w:color="414142"/>
              <w:left w:val="outset" w:sz="6" w:space="0" w:color="414142"/>
              <w:bottom w:val="outset" w:sz="6" w:space="0" w:color="414142"/>
              <w:right w:val="outset" w:sz="6" w:space="0" w:color="414142"/>
            </w:tcBorders>
            <w:vAlign w:val="center"/>
            <w:hideMark/>
          </w:tcPr>
          <w:p w14:paraId="251A8F16"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1,202</w:t>
            </w:r>
          </w:p>
        </w:tc>
        <w:tc>
          <w:tcPr>
            <w:tcW w:w="769" w:type="pct"/>
            <w:vMerge/>
            <w:tcBorders>
              <w:top w:val="outset" w:sz="6" w:space="0" w:color="414142"/>
              <w:left w:val="outset" w:sz="6" w:space="0" w:color="414142"/>
              <w:bottom w:val="outset" w:sz="6" w:space="0" w:color="414142"/>
              <w:right w:val="outset" w:sz="6" w:space="0" w:color="414142"/>
            </w:tcBorders>
            <w:vAlign w:val="center"/>
          </w:tcPr>
          <w:p w14:paraId="06EFF7F1"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p>
        </w:tc>
        <w:tc>
          <w:tcPr>
            <w:tcW w:w="769" w:type="pct"/>
            <w:vMerge/>
            <w:tcBorders>
              <w:left w:val="outset" w:sz="6" w:space="0" w:color="414142"/>
              <w:right w:val="outset" w:sz="6" w:space="0" w:color="414142"/>
            </w:tcBorders>
          </w:tcPr>
          <w:p w14:paraId="5B6F4513"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p>
        </w:tc>
      </w:tr>
      <w:tr w:rsidR="00BC1BBE" w:rsidRPr="009059A9" w14:paraId="52EA68A3" w14:textId="56B9DF9D" w:rsidTr="00C14873">
        <w:trPr>
          <w:trHeight w:val="84"/>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1FD8B71D"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r w:rsidRPr="009059A9">
              <w:rPr>
                <w:rFonts w:eastAsia="Times New Roman" w:cs="Times New Roman"/>
                <w:iCs/>
                <w:sz w:val="24"/>
                <w:szCs w:val="28"/>
                <w:lang w:eastAsia="lv-LV"/>
              </w:rPr>
              <w:t>4.</w:t>
            </w:r>
          </w:p>
        </w:tc>
        <w:tc>
          <w:tcPr>
            <w:tcW w:w="1642" w:type="pct"/>
            <w:tcBorders>
              <w:top w:val="outset" w:sz="6" w:space="0" w:color="414142"/>
              <w:left w:val="outset" w:sz="6" w:space="0" w:color="414142"/>
              <w:bottom w:val="outset" w:sz="6" w:space="0" w:color="414142"/>
              <w:right w:val="outset" w:sz="6" w:space="0" w:color="414142"/>
            </w:tcBorders>
            <w:vAlign w:val="center"/>
            <w:hideMark/>
          </w:tcPr>
          <w:p w14:paraId="57F596BF" w14:textId="77777777" w:rsidR="00BC1BBE" w:rsidRPr="009059A9" w:rsidRDefault="00BC1BBE" w:rsidP="00C14873">
            <w:pPr>
              <w:pStyle w:val="ListParagraph"/>
              <w:shd w:val="clear" w:color="auto" w:fill="FFFFFF"/>
              <w:spacing w:line="254" w:lineRule="atLeast"/>
              <w:ind w:left="0"/>
              <w:rPr>
                <w:rFonts w:eastAsia="Times New Roman" w:cs="Times New Roman"/>
                <w:iCs/>
                <w:sz w:val="24"/>
                <w:szCs w:val="28"/>
                <w:lang w:eastAsia="lv-LV"/>
              </w:rPr>
            </w:pPr>
            <w:r w:rsidRPr="009059A9">
              <w:rPr>
                <w:rFonts w:eastAsia="Times New Roman" w:cs="Times New Roman"/>
                <w:iCs/>
                <w:sz w:val="24"/>
                <w:szCs w:val="28"/>
                <w:lang w:eastAsia="lv-LV"/>
              </w:rPr>
              <w:t>Lielāka par 0,20 MW, bet nepārsniedz 0,40 MW</w:t>
            </w:r>
          </w:p>
        </w:tc>
        <w:tc>
          <w:tcPr>
            <w:tcW w:w="695" w:type="pct"/>
            <w:tcBorders>
              <w:top w:val="outset" w:sz="6" w:space="0" w:color="414142"/>
              <w:left w:val="outset" w:sz="6" w:space="0" w:color="414142"/>
              <w:bottom w:val="outset" w:sz="6" w:space="0" w:color="414142"/>
              <w:right w:val="outset" w:sz="6" w:space="0" w:color="414142"/>
            </w:tcBorders>
            <w:vAlign w:val="center"/>
          </w:tcPr>
          <w:p w14:paraId="03A4F49B"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179,090</w:t>
            </w:r>
          </w:p>
        </w:tc>
        <w:tc>
          <w:tcPr>
            <w:tcW w:w="695" w:type="pct"/>
            <w:tcBorders>
              <w:top w:val="outset" w:sz="6" w:space="0" w:color="414142"/>
              <w:left w:val="outset" w:sz="6" w:space="0" w:color="414142"/>
              <w:bottom w:val="outset" w:sz="6" w:space="0" w:color="414142"/>
              <w:right w:val="outset" w:sz="6" w:space="0" w:color="414142"/>
            </w:tcBorders>
            <w:vAlign w:val="center"/>
            <w:hideMark/>
          </w:tcPr>
          <w:p w14:paraId="6A48A244"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1,131</w:t>
            </w:r>
          </w:p>
        </w:tc>
        <w:tc>
          <w:tcPr>
            <w:tcW w:w="769" w:type="pct"/>
            <w:vMerge/>
            <w:tcBorders>
              <w:top w:val="outset" w:sz="6" w:space="0" w:color="414142"/>
              <w:left w:val="outset" w:sz="6" w:space="0" w:color="414142"/>
              <w:bottom w:val="outset" w:sz="6" w:space="0" w:color="414142"/>
              <w:right w:val="outset" w:sz="6" w:space="0" w:color="414142"/>
            </w:tcBorders>
            <w:vAlign w:val="center"/>
          </w:tcPr>
          <w:p w14:paraId="7F86013C"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p>
        </w:tc>
        <w:tc>
          <w:tcPr>
            <w:tcW w:w="769" w:type="pct"/>
            <w:vMerge/>
            <w:tcBorders>
              <w:left w:val="outset" w:sz="6" w:space="0" w:color="414142"/>
              <w:right w:val="outset" w:sz="6" w:space="0" w:color="414142"/>
            </w:tcBorders>
          </w:tcPr>
          <w:p w14:paraId="33C47196"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p>
        </w:tc>
      </w:tr>
      <w:tr w:rsidR="00BC1BBE" w:rsidRPr="009059A9" w14:paraId="3ECCCA43" w14:textId="12466262" w:rsidTr="00C14873">
        <w:trPr>
          <w:trHeight w:val="84"/>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05BD0937"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r w:rsidRPr="009059A9">
              <w:rPr>
                <w:rFonts w:eastAsia="Times New Roman" w:cs="Times New Roman"/>
                <w:iCs/>
                <w:sz w:val="24"/>
                <w:szCs w:val="28"/>
                <w:lang w:eastAsia="lv-LV"/>
              </w:rPr>
              <w:t>5.</w:t>
            </w:r>
          </w:p>
        </w:tc>
        <w:tc>
          <w:tcPr>
            <w:tcW w:w="1642" w:type="pct"/>
            <w:tcBorders>
              <w:top w:val="outset" w:sz="6" w:space="0" w:color="414142"/>
              <w:left w:val="outset" w:sz="6" w:space="0" w:color="414142"/>
              <w:bottom w:val="outset" w:sz="6" w:space="0" w:color="414142"/>
              <w:right w:val="outset" w:sz="6" w:space="0" w:color="414142"/>
            </w:tcBorders>
            <w:vAlign w:val="center"/>
            <w:hideMark/>
          </w:tcPr>
          <w:p w14:paraId="401727D8" w14:textId="77777777" w:rsidR="00BC1BBE" w:rsidRPr="009059A9" w:rsidRDefault="00BC1BBE" w:rsidP="00C14873">
            <w:pPr>
              <w:pStyle w:val="ListParagraph"/>
              <w:shd w:val="clear" w:color="auto" w:fill="FFFFFF"/>
              <w:spacing w:line="254" w:lineRule="atLeast"/>
              <w:ind w:left="0"/>
              <w:rPr>
                <w:rFonts w:eastAsia="Times New Roman" w:cs="Times New Roman"/>
                <w:iCs/>
                <w:sz w:val="24"/>
                <w:szCs w:val="28"/>
                <w:lang w:eastAsia="lv-LV"/>
              </w:rPr>
            </w:pPr>
            <w:r w:rsidRPr="009059A9">
              <w:rPr>
                <w:rFonts w:eastAsia="Times New Roman" w:cs="Times New Roman"/>
                <w:iCs/>
                <w:sz w:val="24"/>
                <w:szCs w:val="28"/>
                <w:lang w:eastAsia="lv-LV"/>
              </w:rPr>
              <w:t>Lielāka par 0,40 MW, bet nepārsniedz 0,60 MW</w:t>
            </w:r>
          </w:p>
        </w:tc>
        <w:tc>
          <w:tcPr>
            <w:tcW w:w="695" w:type="pct"/>
            <w:tcBorders>
              <w:top w:val="outset" w:sz="6" w:space="0" w:color="414142"/>
              <w:left w:val="outset" w:sz="6" w:space="0" w:color="414142"/>
              <w:bottom w:val="outset" w:sz="6" w:space="0" w:color="414142"/>
              <w:right w:val="outset" w:sz="6" w:space="0" w:color="414142"/>
            </w:tcBorders>
            <w:vAlign w:val="center"/>
          </w:tcPr>
          <w:p w14:paraId="53607165"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171,965</w:t>
            </w:r>
          </w:p>
        </w:tc>
        <w:tc>
          <w:tcPr>
            <w:tcW w:w="695" w:type="pct"/>
            <w:tcBorders>
              <w:top w:val="outset" w:sz="6" w:space="0" w:color="414142"/>
              <w:left w:val="outset" w:sz="6" w:space="0" w:color="414142"/>
              <w:bottom w:val="outset" w:sz="6" w:space="0" w:color="414142"/>
              <w:right w:val="outset" w:sz="6" w:space="0" w:color="414142"/>
            </w:tcBorders>
            <w:vAlign w:val="center"/>
            <w:hideMark/>
          </w:tcPr>
          <w:p w14:paraId="35EB070F"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1,086</w:t>
            </w:r>
          </w:p>
        </w:tc>
        <w:tc>
          <w:tcPr>
            <w:tcW w:w="769" w:type="pct"/>
            <w:vMerge/>
            <w:tcBorders>
              <w:top w:val="outset" w:sz="6" w:space="0" w:color="414142"/>
              <w:left w:val="outset" w:sz="6" w:space="0" w:color="414142"/>
              <w:bottom w:val="outset" w:sz="6" w:space="0" w:color="414142"/>
              <w:right w:val="outset" w:sz="6" w:space="0" w:color="414142"/>
            </w:tcBorders>
            <w:vAlign w:val="center"/>
          </w:tcPr>
          <w:p w14:paraId="147A9C59"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p>
        </w:tc>
        <w:tc>
          <w:tcPr>
            <w:tcW w:w="769" w:type="pct"/>
            <w:vMerge/>
            <w:tcBorders>
              <w:left w:val="outset" w:sz="6" w:space="0" w:color="414142"/>
              <w:right w:val="outset" w:sz="6" w:space="0" w:color="414142"/>
            </w:tcBorders>
          </w:tcPr>
          <w:p w14:paraId="313909BE"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p>
        </w:tc>
      </w:tr>
      <w:tr w:rsidR="00BC1BBE" w:rsidRPr="009059A9" w14:paraId="4B34E3A0" w14:textId="74378414" w:rsidTr="00C14873">
        <w:trPr>
          <w:trHeight w:val="84"/>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51785490"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r w:rsidRPr="009059A9">
              <w:rPr>
                <w:rFonts w:eastAsia="Times New Roman" w:cs="Times New Roman"/>
                <w:iCs/>
                <w:sz w:val="24"/>
                <w:szCs w:val="28"/>
                <w:lang w:eastAsia="lv-LV"/>
              </w:rPr>
              <w:t>6.</w:t>
            </w:r>
          </w:p>
        </w:tc>
        <w:tc>
          <w:tcPr>
            <w:tcW w:w="1642" w:type="pct"/>
            <w:tcBorders>
              <w:top w:val="outset" w:sz="6" w:space="0" w:color="414142"/>
              <w:left w:val="outset" w:sz="6" w:space="0" w:color="414142"/>
              <w:bottom w:val="outset" w:sz="6" w:space="0" w:color="414142"/>
              <w:right w:val="outset" w:sz="6" w:space="0" w:color="414142"/>
            </w:tcBorders>
            <w:vAlign w:val="center"/>
            <w:hideMark/>
          </w:tcPr>
          <w:p w14:paraId="10510B8E" w14:textId="77777777" w:rsidR="00BC1BBE" w:rsidRPr="009059A9" w:rsidRDefault="00BC1BBE" w:rsidP="00C14873">
            <w:pPr>
              <w:pStyle w:val="ListParagraph"/>
              <w:shd w:val="clear" w:color="auto" w:fill="FFFFFF"/>
              <w:spacing w:line="254" w:lineRule="atLeast"/>
              <w:ind w:left="0"/>
              <w:rPr>
                <w:rFonts w:eastAsia="Times New Roman" w:cs="Times New Roman"/>
                <w:iCs/>
                <w:sz w:val="24"/>
                <w:szCs w:val="28"/>
                <w:lang w:eastAsia="lv-LV"/>
              </w:rPr>
            </w:pPr>
            <w:r w:rsidRPr="009059A9">
              <w:rPr>
                <w:rFonts w:eastAsia="Times New Roman" w:cs="Times New Roman"/>
                <w:iCs/>
                <w:sz w:val="24"/>
                <w:szCs w:val="28"/>
                <w:lang w:eastAsia="lv-LV"/>
              </w:rPr>
              <w:t>Lielāka par 0,60 MW, bet nepārsniedz 0,80 MW</w:t>
            </w:r>
          </w:p>
        </w:tc>
        <w:tc>
          <w:tcPr>
            <w:tcW w:w="695" w:type="pct"/>
            <w:tcBorders>
              <w:top w:val="outset" w:sz="6" w:space="0" w:color="414142"/>
              <w:left w:val="outset" w:sz="6" w:space="0" w:color="414142"/>
              <w:bottom w:val="outset" w:sz="6" w:space="0" w:color="414142"/>
              <w:right w:val="outset" w:sz="6" w:space="0" w:color="414142"/>
            </w:tcBorders>
            <w:vAlign w:val="center"/>
          </w:tcPr>
          <w:p w14:paraId="10350800"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169,748</w:t>
            </w:r>
          </w:p>
        </w:tc>
        <w:tc>
          <w:tcPr>
            <w:tcW w:w="695" w:type="pct"/>
            <w:tcBorders>
              <w:top w:val="outset" w:sz="6" w:space="0" w:color="414142"/>
              <w:left w:val="outset" w:sz="6" w:space="0" w:color="414142"/>
              <w:bottom w:val="outset" w:sz="6" w:space="0" w:color="414142"/>
              <w:right w:val="outset" w:sz="6" w:space="0" w:color="414142"/>
            </w:tcBorders>
            <w:vAlign w:val="center"/>
            <w:hideMark/>
          </w:tcPr>
          <w:p w14:paraId="5D80B16E"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1,072</w:t>
            </w:r>
          </w:p>
        </w:tc>
        <w:tc>
          <w:tcPr>
            <w:tcW w:w="769" w:type="pct"/>
            <w:vMerge/>
            <w:tcBorders>
              <w:top w:val="outset" w:sz="6" w:space="0" w:color="414142"/>
              <w:left w:val="outset" w:sz="6" w:space="0" w:color="414142"/>
              <w:bottom w:val="outset" w:sz="6" w:space="0" w:color="414142"/>
              <w:right w:val="outset" w:sz="6" w:space="0" w:color="414142"/>
            </w:tcBorders>
            <w:vAlign w:val="center"/>
          </w:tcPr>
          <w:p w14:paraId="2D23A31A"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p>
        </w:tc>
        <w:tc>
          <w:tcPr>
            <w:tcW w:w="769" w:type="pct"/>
            <w:vMerge/>
            <w:tcBorders>
              <w:left w:val="outset" w:sz="6" w:space="0" w:color="414142"/>
              <w:right w:val="outset" w:sz="6" w:space="0" w:color="414142"/>
            </w:tcBorders>
          </w:tcPr>
          <w:p w14:paraId="10D2ED1A"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p>
        </w:tc>
      </w:tr>
      <w:tr w:rsidR="00BC1BBE" w:rsidRPr="009059A9" w14:paraId="74D87EE9" w14:textId="06DEBF69" w:rsidTr="00C14873">
        <w:trPr>
          <w:trHeight w:val="84"/>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470D6065"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r w:rsidRPr="009059A9">
              <w:rPr>
                <w:rFonts w:eastAsia="Times New Roman" w:cs="Times New Roman"/>
                <w:iCs/>
                <w:sz w:val="24"/>
                <w:szCs w:val="28"/>
                <w:lang w:eastAsia="lv-LV"/>
              </w:rPr>
              <w:t>7.</w:t>
            </w:r>
          </w:p>
        </w:tc>
        <w:tc>
          <w:tcPr>
            <w:tcW w:w="1642" w:type="pct"/>
            <w:tcBorders>
              <w:top w:val="outset" w:sz="6" w:space="0" w:color="414142"/>
              <w:left w:val="outset" w:sz="6" w:space="0" w:color="414142"/>
              <w:bottom w:val="outset" w:sz="6" w:space="0" w:color="414142"/>
              <w:right w:val="outset" w:sz="6" w:space="0" w:color="414142"/>
            </w:tcBorders>
            <w:vAlign w:val="center"/>
            <w:hideMark/>
          </w:tcPr>
          <w:p w14:paraId="6737D26A" w14:textId="77777777" w:rsidR="00BC1BBE" w:rsidRPr="009059A9" w:rsidRDefault="00BC1BBE" w:rsidP="00C14873">
            <w:pPr>
              <w:pStyle w:val="ListParagraph"/>
              <w:shd w:val="clear" w:color="auto" w:fill="FFFFFF"/>
              <w:spacing w:line="254" w:lineRule="atLeast"/>
              <w:ind w:left="0"/>
              <w:rPr>
                <w:rFonts w:eastAsia="Times New Roman" w:cs="Times New Roman"/>
                <w:iCs/>
                <w:sz w:val="24"/>
                <w:szCs w:val="28"/>
                <w:lang w:eastAsia="lv-LV"/>
              </w:rPr>
            </w:pPr>
            <w:r w:rsidRPr="009059A9">
              <w:rPr>
                <w:rFonts w:eastAsia="Times New Roman" w:cs="Times New Roman"/>
                <w:iCs/>
                <w:sz w:val="24"/>
                <w:szCs w:val="28"/>
                <w:lang w:eastAsia="lv-LV"/>
              </w:rPr>
              <w:t>Lielāka par 0,80 MW, bet nepārsniedz 1,00 MW</w:t>
            </w:r>
          </w:p>
        </w:tc>
        <w:tc>
          <w:tcPr>
            <w:tcW w:w="695" w:type="pct"/>
            <w:tcBorders>
              <w:top w:val="outset" w:sz="6" w:space="0" w:color="414142"/>
              <w:left w:val="outset" w:sz="6" w:space="0" w:color="414142"/>
              <w:bottom w:val="outset" w:sz="6" w:space="0" w:color="414142"/>
              <w:right w:val="outset" w:sz="6" w:space="0" w:color="414142"/>
            </w:tcBorders>
            <w:vAlign w:val="center"/>
          </w:tcPr>
          <w:p w14:paraId="63901089"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167,056</w:t>
            </w:r>
          </w:p>
        </w:tc>
        <w:tc>
          <w:tcPr>
            <w:tcW w:w="695" w:type="pct"/>
            <w:tcBorders>
              <w:top w:val="outset" w:sz="6" w:space="0" w:color="414142"/>
              <w:left w:val="outset" w:sz="6" w:space="0" w:color="414142"/>
              <w:bottom w:val="outset" w:sz="6" w:space="0" w:color="414142"/>
              <w:right w:val="outset" w:sz="6" w:space="0" w:color="414142"/>
            </w:tcBorders>
            <w:vAlign w:val="center"/>
            <w:hideMark/>
          </w:tcPr>
          <w:p w14:paraId="28D7446B"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1,055</w:t>
            </w:r>
          </w:p>
        </w:tc>
        <w:tc>
          <w:tcPr>
            <w:tcW w:w="769" w:type="pct"/>
            <w:vMerge/>
            <w:tcBorders>
              <w:top w:val="outset" w:sz="6" w:space="0" w:color="414142"/>
              <w:left w:val="outset" w:sz="6" w:space="0" w:color="414142"/>
              <w:bottom w:val="outset" w:sz="6" w:space="0" w:color="414142"/>
              <w:right w:val="outset" w:sz="6" w:space="0" w:color="414142"/>
            </w:tcBorders>
            <w:vAlign w:val="center"/>
          </w:tcPr>
          <w:p w14:paraId="65687EE2"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p>
        </w:tc>
        <w:tc>
          <w:tcPr>
            <w:tcW w:w="769" w:type="pct"/>
            <w:vMerge/>
            <w:tcBorders>
              <w:left w:val="outset" w:sz="6" w:space="0" w:color="414142"/>
              <w:bottom w:val="outset" w:sz="6" w:space="0" w:color="414142"/>
              <w:right w:val="outset" w:sz="6" w:space="0" w:color="414142"/>
            </w:tcBorders>
          </w:tcPr>
          <w:p w14:paraId="2A61E521"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p>
        </w:tc>
      </w:tr>
      <w:tr w:rsidR="00BC1BBE" w:rsidRPr="009059A9" w14:paraId="3C2EBE29" w14:textId="089FEF7E" w:rsidTr="00BC1BBE">
        <w:trPr>
          <w:trHeight w:val="84"/>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3089B68B"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r w:rsidRPr="009059A9">
              <w:rPr>
                <w:rFonts w:eastAsia="Times New Roman" w:cs="Times New Roman"/>
                <w:iCs/>
                <w:sz w:val="24"/>
                <w:szCs w:val="28"/>
                <w:lang w:eastAsia="lv-LV"/>
              </w:rPr>
              <w:t>8.</w:t>
            </w:r>
          </w:p>
        </w:tc>
        <w:tc>
          <w:tcPr>
            <w:tcW w:w="1642" w:type="pct"/>
            <w:tcBorders>
              <w:top w:val="outset" w:sz="6" w:space="0" w:color="414142"/>
              <w:left w:val="outset" w:sz="6" w:space="0" w:color="414142"/>
              <w:bottom w:val="outset" w:sz="6" w:space="0" w:color="414142"/>
              <w:right w:val="outset" w:sz="6" w:space="0" w:color="414142"/>
            </w:tcBorders>
            <w:vAlign w:val="center"/>
            <w:hideMark/>
          </w:tcPr>
          <w:p w14:paraId="2E2CBCC0" w14:textId="77777777" w:rsidR="00BC1BBE" w:rsidRPr="009059A9" w:rsidRDefault="00BC1BBE" w:rsidP="00C14873">
            <w:pPr>
              <w:pStyle w:val="ListParagraph"/>
              <w:shd w:val="clear" w:color="auto" w:fill="FFFFFF"/>
              <w:spacing w:line="254" w:lineRule="atLeast"/>
              <w:ind w:left="0"/>
              <w:rPr>
                <w:rFonts w:eastAsia="Times New Roman" w:cs="Times New Roman"/>
                <w:iCs/>
                <w:sz w:val="24"/>
                <w:szCs w:val="28"/>
                <w:lang w:eastAsia="lv-LV"/>
              </w:rPr>
            </w:pPr>
            <w:r w:rsidRPr="009059A9">
              <w:rPr>
                <w:rFonts w:eastAsia="Times New Roman" w:cs="Times New Roman"/>
                <w:iCs/>
                <w:sz w:val="24"/>
                <w:szCs w:val="28"/>
                <w:lang w:eastAsia="lv-LV"/>
              </w:rPr>
              <w:t>Lielāka par 1,00 MW, bet nepārsniedz 1,50 MW</w:t>
            </w:r>
          </w:p>
        </w:tc>
        <w:tc>
          <w:tcPr>
            <w:tcW w:w="695" w:type="pct"/>
            <w:tcBorders>
              <w:top w:val="outset" w:sz="6" w:space="0" w:color="414142"/>
              <w:left w:val="outset" w:sz="6" w:space="0" w:color="414142"/>
              <w:bottom w:val="outset" w:sz="6" w:space="0" w:color="414142"/>
              <w:right w:val="outset" w:sz="6" w:space="0" w:color="414142"/>
            </w:tcBorders>
            <w:vAlign w:val="center"/>
          </w:tcPr>
          <w:p w14:paraId="0551EBD1"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153,988</w:t>
            </w:r>
          </w:p>
        </w:tc>
        <w:tc>
          <w:tcPr>
            <w:tcW w:w="695" w:type="pct"/>
            <w:tcBorders>
              <w:top w:val="outset" w:sz="6" w:space="0" w:color="414142"/>
              <w:left w:val="outset" w:sz="6" w:space="0" w:color="414142"/>
              <w:bottom w:val="outset" w:sz="6" w:space="0" w:color="414142"/>
              <w:right w:val="outset" w:sz="6" w:space="0" w:color="414142"/>
            </w:tcBorders>
            <w:vAlign w:val="center"/>
            <w:hideMark/>
          </w:tcPr>
          <w:p w14:paraId="32D07124"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1,035</w:t>
            </w:r>
          </w:p>
        </w:tc>
        <w:tc>
          <w:tcPr>
            <w:tcW w:w="769" w:type="pct"/>
            <w:vMerge w:val="restart"/>
            <w:tcBorders>
              <w:top w:val="outset" w:sz="6" w:space="0" w:color="414142"/>
              <w:left w:val="outset" w:sz="6" w:space="0" w:color="414142"/>
              <w:bottom w:val="outset" w:sz="6" w:space="0" w:color="414142"/>
              <w:right w:val="outset" w:sz="6" w:space="0" w:color="414142"/>
            </w:tcBorders>
            <w:vAlign w:val="center"/>
          </w:tcPr>
          <w:p w14:paraId="01913F1C"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1260000–12600000</w:t>
            </w:r>
          </w:p>
        </w:tc>
        <w:tc>
          <w:tcPr>
            <w:tcW w:w="769" w:type="pct"/>
            <w:vMerge w:val="restart"/>
            <w:tcBorders>
              <w:top w:val="outset" w:sz="6" w:space="0" w:color="414142"/>
              <w:left w:val="outset" w:sz="6" w:space="0" w:color="414142"/>
              <w:right w:val="outset" w:sz="6" w:space="0" w:color="414142"/>
            </w:tcBorders>
            <w:vAlign w:val="center"/>
          </w:tcPr>
          <w:p w14:paraId="7AB379B4" w14:textId="53BFC8DB" w:rsidR="00BC1BBE" w:rsidRPr="009059A9" w:rsidRDefault="00BC1BBE" w:rsidP="00BC1BBE">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72,71</w:t>
            </w:r>
          </w:p>
        </w:tc>
      </w:tr>
      <w:tr w:rsidR="00BC1BBE" w:rsidRPr="009059A9" w14:paraId="3C71224A" w14:textId="5250F2CA" w:rsidTr="00C14873">
        <w:trPr>
          <w:trHeight w:val="84"/>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6841EC15"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r w:rsidRPr="009059A9">
              <w:rPr>
                <w:rFonts w:eastAsia="Times New Roman" w:cs="Times New Roman"/>
                <w:iCs/>
                <w:sz w:val="24"/>
                <w:szCs w:val="28"/>
                <w:lang w:eastAsia="lv-LV"/>
              </w:rPr>
              <w:t>9.</w:t>
            </w:r>
          </w:p>
        </w:tc>
        <w:tc>
          <w:tcPr>
            <w:tcW w:w="1642" w:type="pct"/>
            <w:tcBorders>
              <w:top w:val="outset" w:sz="6" w:space="0" w:color="414142"/>
              <w:left w:val="outset" w:sz="6" w:space="0" w:color="414142"/>
              <w:bottom w:val="outset" w:sz="6" w:space="0" w:color="414142"/>
              <w:right w:val="outset" w:sz="6" w:space="0" w:color="414142"/>
            </w:tcBorders>
            <w:vAlign w:val="center"/>
            <w:hideMark/>
          </w:tcPr>
          <w:p w14:paraId="440AC7FB" w14:textId="77777777" w:rsidR="00BC1BBE" w:rsidRPr="009059A9" w:rsidRDefault="00BC1BBE" w:rsidP="00C14873">
            <w:pPr>
              <w:pStyle w:val="ListParagraph"/>
              <w:shd w:val="clear" w:color="auto" w:fill="FFFFFF"/>
              <w:spacing w:line="254" w:lineRule="atLeast"/>
              <w:ind w:left="0"/>
              <w:rPr>
                <w:rFonts w:eastAsia="Times New Roman" w:cs="Times New Roman"/>
                <w:iCs/>
                <w:sz w:val="24"/>
                <w:szCs w:val="28"/>
                <w:lang w:eastAsia="lv-LV"/>
              </w:rPr>
            </w:pPr>
            <w:r w:rsidRPr="009059A9">
              <w:rPr>
                <w:rFonts w:eastAsia="Times New Roman" w:cs="Times New Roman"/>
                <w:iCs/>
                <w:sz w:val="24"/>
                <w:szCs w:val="28"/>
                <w:lang w:eastAsia="lv-LV"/>
              </w:rPr>
              <w:t>Lielāka par 1,50 MW, bet nepārsniedz 2,00 MW</w:t>
            </w:r>
          </w:p>
        </w:tc>
        <w:tc>
          <w:tcPr>
            <w:tcW w:w="695" w:type="pct"/>
            <w:tcBorders>
              <w:top w:val="outset" w:sz="6" w:space="0" w:color="414142"/>
              <w:left w:val="outset" w:sz="6" w:space="0" w:color="414142"/>
              <w:bottom w:val="outset" w:sz="6" w:space="0" w:color="414142"/>
              <w:right w:val="outset" w:sz="6" w:space="0" w:color="414142"/>
            </w:tcBorders>
            <w:vAlign w:val="center"/>
          </w:tcPr>
          <w:p w14:paraId="6CA6C6AA"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149,971</w:t>
            </w:r>
          </w:p>
        </w:tc>
        <w:tc>
          <w:tcPr>
            <w:tcW w:w="695" w:type="pct"/>
            <w:tcBorders>
              <w:top w:val="outset" w:sz="6" w:space="0" w:color="414142"/>
              <w:left w:val="outset" w:sz="6" w:space="0" w:color="414142"/>
              <w:bottom w:val="outset" w:sz="6" w:space="0" w:color="414142"/>
              <w:right w:val="outset" w:sz="6" w:space="0" w:color="414142"/>
            </w:tcBorders>
            <w:vAlign w:val="center"/>
            <w:hideMark/>
          </w:tcPr>
          <w:p w14:paraId="552069D5"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1,008</w:t>
            </w:r>
          </w:p>
        </w:tc>
        <w:tc>
          <w:tcPr>
            <w:tcW w:w="769" w:type="pct"/>
            <w:vMerge/>
            <w:tcBorders>
              <w:top w:val="outset" w:sz="6" w:space="0" w:color="414142"/>
              <w:left w:val="outset" w:sz="6" w:space="0" w:color="414142"/>
              <w:bottom w:val="outset" w:sz="6" w:space="0" w:color="414142"/>
              <w:right w:val="outset" w:sz="6" w:space="0" w:color="414142"/>
            </w:tcBorders>
            <w:vAlign w:val="center"/>
          </w:tcPr>
          <w:p w14:paraId="5788F6CE"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p>
        </w:tc>
        <w:tc>
          <w:tcPr>
            <w:tcW w:w="769" w:type="pct"/>
            <w:vMerge/>
            <w:tcBorders>
              <w:left w:val="outset" w:sz="6" w:space="0" w:color="414142"/>
              <w:right w:val="outset" w:sz="6" w:space="0" w:color="414142"/>
            </w:tcBorders>
          </w:tcPr>
          <w:p w14:paraId="067F07BA"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p>
        </w:tc>
      </w:tr>
      <w:tr w:rsidR="00BC1BBE" w:rsidRPr="009059A9" w14:paraId="1EBC2715" w14:textId="525823F7" w:rsidTr="00C14873">
        <w:trPr>
          <w:trHeight w:val="84"/>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5B3D4879"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r w:rsidRPr="009059A9">
              <w:rPr>
                <w:rFonts w:eastAsia="Times New Roman" w:cs="Times New Roman"/>
                <w:iCs/>
                <w:sz w:val="24"/>
                <w:szCs w:val="28"/>
                <w:lang w:eastAsia="lv-LV"/>
              </w:rPr>
              <w:t>10.</w:t>
            </w:r>
          </w:p>
        </w:tc>
        <w:tc>
          <w:tcPr>
            <w:tcW w:w="1642" w:type="pct"/>
            <w:tcBorders>
              <w:top w:val="outset" w:sz="6" w:space="0" w:color="414142"/>
              <w:left w:val="outset" w:sz="6" w:space="0" w:color="414142"/>
              <w:bottom w:val="outset" w:sz="6" w:space="0" w:color="414142"/>
              <w:right w:val="outset" w:sz="6" w:space="0" w:color="414142"/>
            </w:tcBorders>
            <w:vAlign w:val="center"/>
            <w:hideMark/>
          </w:tcPr>
          <w:p w14:paraId="591230C2" w14:textId="77777777" w:rsidR="00BC1BBE" w:rsidRPr="009059A9" w:rsidRDefault="00BC1BBE" w:rsidP="00C14873">
            <w:pPr>
              <w:pStyle w:val="ListParagraph"/>
              <w:shd w:val="clear" w:color="auto" w:fill="FFFFFF"/>
              <w:spacing w:line="254" w:lineRule="atLeast"/>
              <w:ind w:left="0"/>
              <w:rPr>
                <w:rFonts w:eastAsia="Times New Roman" w:cs="Times New Roman"/>
                <w:iCs/>
                <w:sz w:val="24"/>
                <w:szCs w:val="28"/>
                <w:lang w:eastAsia="lv-LV"/>
              </w:rPr>
            </w:pPr>
            <w:r w:rsidRPr="009059A9">
              <w:rPr>
                <w:rFonts w:eastAsia="Times New Roman" w:cs="Times New Roman"/>
                <w:iCs/>
                <w:sz w:val="24"/>
                <w:szCs w:val="28"/>
                <w:lang w:eastAsia="lv-LV"/>
              </w:rPr>
              <w:t>Lielāka par 2,00 MW, bet nepārsniedz 2,50 MW</w:t>
            </w:r>
          </w:p>
        </w:tc>
        <w:tc>
          <w:tcPr>
            <w:tcW w:w="695" w:type="pct"/>
            <w:tcBorders>
              <w:top w:val="outset" w:sz="6" w:space="0" w:color="414142"/>
              <w:left w:val="outset" w:sz="6" w:space="0" w:color="414142"/>
              <w:bottom w:val="outset" w:sz="6" w:space="0" w:color="414142"/>
              <w:right w:val="outset" w:sz="6" w:space="0" w:color="414142"/>
            </w:tcBorders>
            <w:vAlign w:val="center"/>
          </w:tcPr>
          <w:p w14:paraId="29E56469"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147,590</w:t>
            </w:r>
          </w:p>
        </w:tc>
        <w:tc>
          <w:tcPr>
            <w:tcW w:w="695" w:type="pct"/>
            <w:tcBorders>
              <w:top w:val="outset" w:sz="6" w:space="0" w:color="414142"/>
              <w:left w:val="outset" w:sz="6" w:space="0" w:color="414142"/>
              <w:bottom w:val="outset" w:sz="6" w:space="0" w:color="414142"/>
              <w:right w:val="outset" w:sz="6" w:space="0" w:color="414142"/>
            </w:tcBorders>
            <w:vAlign w:val="center"/>
            <w:hideMark/>
          </w:tcPr>
          <w:p w14:paraId="6049D321"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0,992</w:t>
            </w:r>
          </w:p>
        </w:tc>
        <w:tc>
          <w:tcPr>
            <w:tcW w:w="769" w:type="pct"/>
            <w:vMerge/>
            <w:tcBorders>
              <w:top w:val="outset" w:sz="6" w:space="0" w:color="414142"/>
              <w:left w:val="outset" w:sz="6" w:space="0" w:color="414142"/>
              <w:bottom w:val="outset" w:sz="6" w:space="0" w:color="414142"/>
              <w:right w:val="outset" w:sz="6" w:space="0" w:color="414142"/>
            </w:tcBorders>
            <w:vAlign w:val="center"/>
          </w:tcPr>
          <w:p w14:paraId="0B3581AB"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p>
        </w:tc>
        <w:tc>
          <w:tcPr>
            <w:tcW w:w="769" w:type="pct"/>
            <w:vMerge/>
            <w:tcBorders>
              <w:left w:val="outset" w:sz="6" w:space="0" w:color="414142"/>
              <w:right w:val="outset" w:sz="6" w:space="0" w:color="414142"/>
            </w:tcBorders>
          </w:tcPr>
          <w:p w14:paraId="1A6899D1"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p>
        </w:tc>
      </w:tr>
      <w:tr w:rsidR="00BC1BBE" w:rsidRPr="009059A9" w14:paraId="1E282D77" w14:textId="39E1ADA9" w:rsidTr="00C14873">
        <w:trPr>
          <w:trHeight w:val="84"/>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33341FAE"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r w:rsidRPr="009059A9">
              <w:rPr>
                <w:rFonts w:eastAsia="Times New Roman" w:cs="Times New Roman"/>
                <w:iCs/>
                <w:sz w:val="24"/>
                <w:szCs w:val="28"/>
                <w:lang w:eastAsia="lv-LV"/>
              </w:rPr>
              <w:t>11.</w:t>
            </w:r>
          </w:p>
        </w:tc>
        <w:tc>
          <w:tcPr>
            <w:tcW w:w="1642" w:type="pct"/>
            <w:tcBorders>
              <w:top w:val="outset" w:sz="6" w:space="0" w:color="414142"/>
              <w:left w:val="outset" w:sz="6" w:space="0" w:color="414142"/>
              <w:bottom w:val="outset" w:sz="6" w:space="0" w:color="414142"/>
              <w:right w:val="outset" w:sz="6" w:space="0" w:color="414142"/>
            </w:tcBorders>
            <w:vAlign w:val="center"/>
            <w:hideMark/>
          </w:tcPr>
          <w:p w14:paraId="71B021E3" w14:textId="77777777" w:rsidR="00BC1BBE" w:rsidRPr="009059A9" w:rsidRDefault="00BC1BBE" w:rsidP="00C14873">
            <w:pPr>
              <w:pStyle w:val="ListParagraph"/>
              <w:shd w:val="clear" w:color="auto" w:fill="FFFFFF"/>
              <w:spacing w:line="254" w:lineRule="atLeast"/>
              <w:ind w:left="0"/>
              <w:rPr>
                <w:rFonts w:eastAsia="Times New Roman" w:cs="Times New Roman"/>
                <w:iCs/>
                <w:sz w:val="24"/>
                <w:szCs w:val="28"/>
                <w:lang w:eastAsia="lv-LV"/>
              </w:rPr>
            </w:pPr>
            <w:r w:rsidRPr="009059A9">
              <w:rPr>
                <w:rFonts w:eastAsia="Times New Roman" w:cs="Times New Roman"/>
                <w:iCs/>
                <w:sz w:val="24"/>
                <w:szCs w:val="28"/>
                <w:lang w:eastAsia="lv-LV"/>
              </w:rPr>
              <w:t>Lielāka par 2,50 MW, bet nepārsniedz 3,00 MW</w:t>
            </w:r>
          </w:p>
        </w:tc>
        <w:tc>
          <w:tcPr>
            <w:tcW w:w="695" w:type="pct"/>
            <w:tcBorders>
              <w:top w:val="outset" w:sz="6" w:space="0" w:color="414142"/>
              <w:left w:val="outset" w:sz="6" w:space="0" w:color="414142"/>
              <w:bottom w:val="outset" w:sz="6" w:space="0" w:color="414142"/>
              <w:right w:val="outset" w:sz="6" w:space="0" w:color="414142"/>
            </w:tcBorders>
            <w:vAlign w:val="center"/>
          </w:tcPr>
          <w:p w14:paraId="0D10ECD7"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146,103</w:t>
            </w:r>
          </w:p>
        </w:tc>
        <w:tc>
          <w:tcPr>
            <w:tcW w:w="695" w:type="pct"/>
            <w:tcBorders>
              <w:top w:val="outset" w:sz="6" w:space="0" w:color="414142"/>
              <w:left w:val="outset" w:sz="6" w:space="0" w:color="414142"/>
              <w:bottom w:val="outset" w:sz="6" w:space="0" w:color="414142"/>
              <w:right w:val="outset" w:sz="6" w:space="0" w:color="414142"/>
            </w:tcBorders>
            <w:vAlign w:val="center"/>
            <w:hideMark/>
          </w:tcPr>
          <w:p w14:paraId="5D5AB2D2"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0,982</w:t>
            </w:r>
          </w:p>
        </w:tc>
        <w:tc>
          <w:tcPr>
            <w:tcW w:w="769" w:type="pct"/>
            <w:vMerge/>
            <w:tcBorders>
              <w:top w:val="outset" w:sz="6" w:space="0" w:color="414142"/>
              <w:left w:val="outset" w:sz="6" w:space="0" w:color="414142"/>
              <w:bottom w:val="outset" w:sz="6" w:space="0" w:color="414142"/>
              <w:right w:val="outset" w:sz="6" w:space="0" w:color="414142"/>
            </w:tcBorders>
            <w:vAlign w:val="center"/>
          </w:tcPr>
          <w:p w14:paraId="7B8AFD66"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p>
        </w:tc>
        <w:tc>
          <w:tcPr>
            <w:tcW w:w="769" w:type="pct"/>
            <w:vMerge/>
            <w:tcBorders>
              <w:left w:val="outset" w:sz="6" w:space="0" w:color="414142"/>
              <w:right w:val="outset" w:sz="6" w:space="0" w:color="414142"/>
            </w:tcBorders>
          </w:tcPr>
          <w:p w14:paraId="21CFF1DB"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p>
        </w:tc>
      </w:tr>
      <w:tr w:rsidR="00BC1BBE" w:rsidRPr="009059A9" w14:paraId="7E15C9B5" w14:textId="417E20A5" w:rsidTr="00C14873">
        <w:trPr>
          <w:trHeight w:val="84"/>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0664E801"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r w:rsidRPr="009059A9">
              <w:rPr>
                <w:rFonts w:eastAsia="Times New Roman" w:cs="Times New Roman"/>
                <w:iCs/>
                <w:sz w:val="24"/>
                <w:szCs w:val="28"/>
                <w:lang w:eastAsia="lv-LV"/>
              </w:rPr>
              <w:t>12.</w:t>
            </w:r>
          </w:p>
        </w:tc>
        <w:tc>
          <w:tcPr>
            <w:tcW w:w="1642" w:type="pct"/>
            <w:tcBorders>
              <w:top w:val="outset" w:sz="6" w:space="0" w:color="414142"/>
              <w:left w:val="outset" w:sz="6" w:space="0" w:color="414142"/>
              <w:bottom w:val="outset" w:sz="6" w:space="0" w:color="414142"/>
              <w:right w:val="outset" w:sz="6" w:space="0" w:color="414142"/>
            </w:tcBorders>
            <w:vAlign w:val="center"/>
            <w:hideMark/>
          </w:tcPr>
          <w:p w14:paraId="6825238F" w14:textId="77777777" w:rsidR="00BC1BBE" w:rsidRPr="009059A9" w:rsidRDefault="00BC1BBE" w:rsidP="00C14873">
            <w:pPr>
              <w:pStyle w:val="ListParagraph"/>
              <w:shd w:val="clear" w:color="auto" w:fill="FFFFFF"/>
              <w:spacing w:line="254" w:lineRule="atLeast"/>
              <w:ind w:left="0"/>
              <w:rPr>
                <w:rFonts w:eastAsia="Times New Roman" w:cs="Times New Roman"/>
                <w:iCs/>
                <w:sz w:val="24"/>
                <w:szCs w:val="28"/>
                <w:lang w:eastAsia="lv-LV"/>
              </w:rPr>
            </w:pPr>
            <w:r w:rsidRPr="009059A9">
              <w:rPr>
                <w:rFonts w:eastAsia="Times New Roman" w:cs="Times New Roman"/>
                <w:iCs/>
                <w:sz w:val="24"/>
                <w:szCs w:val="28"/>
                <w:lang w:eastAsia="lv-LV"/>
              </w:rPr>
              <w:t>Lielāka par 3,00 MW, bet nepārsniedz 3,50 MW</w:t>
            </w:r>
          </w:p>
        </w:tc>
        <w:tc>
          <w:tcPr>
            <w:tcW w:w="695" w:type="pct"/>
            <w:tcBorders>
              <w:top w:val="outset" w:sz="6" w:space="0" w:color="414142"/>
              <w:left w:val="outset" w:sz="6" w:space="0" w:color="414142"/>
              <w:bottom w:val="outset" w:sz="6" w:space="0" w:color="414142"/>
              <w:right w:val="outset" w:sz="6" w:space="0" w:color="414142"/>
            </w:tcBorders>
            <w:vAlign w:val="center"/>
          </w:tcPr>
          <w:p w14:paraId="73D223CD"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144,912</w:t>
            </w:r>
          </w:p>
        </w:tc>
        <w:tc>
          <w:tcPr>
            <w:tcW w:w="695" w:type="pct"/>
            <w:tcBorders>
              <w:top w:val="outset" w:sz="6" w:space="0" w:color="414142"/>
              <w:left w:val="outset" w:sz="6" w:space="0" w:color="414142"/>
              <w:bottom w:val="outset" w:sz="6" w:space="0" w:color="414142"/>
              <w:right w:val="outset" w:sz="6" w:space="0" w:color="414142"/>
            </w:tcBorders>
            <w:vAlign w:val="center"/>
            <w:hideMark/>
          </w:tcPr>
          <w:p w14:paraId="5FB45D2B"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0,974</w:t>
            </w:r>
          </w:p>
        </w:tc>
        <w:tc>
          <w:tcPr>
            <w:tcW w:w="769" w:type="pct"/>
            <w:vMerge/>
            <w:tcBorders>
              <w:top w:val="outset" w:sz="6" w:space="0" w:color="414142"/>
              <w:left w:val="outset" w:sz="6" w:space="0" w:color="414142"/>
              <w:bottom w:val="outset" w:sz="6" w:space="0" w:color="414142"/>
              <w:right w:val="outset" w:sz="6" w:space="0" w:color="414142"/>
            </w:tcBorders>
            <w:vAlign w:val="center"/>
          </w:tcPr>
          <w:p w14:paraId="25671177"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p>
        </w:tc>
        <w:tc>
          <w:tcPr>
            <w:tcW w:w="769" w:type="pct"/>
            <w:vMerge/>
            <w:tcBorders>
              <w:left w:val="outset" w:sz="6" w:space="0" w:color="414142"/>
              <w:right w:val="outset" w:sz="6" w:space="0" w:color="414142"/>
            </w:tcBorders>
          </w:tcPr>
          <w:p w14:paraId="1EB73BBA"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p>
        </w:tc>
      </w:tr>
      <w:tr w:rsidR="00BC1BBE" w:rsidRPr="009059A9" w14:paraId="27E5F767" w14:textId="767B039E" w:rsidTr="00C14873">
        <w:trPr>
          <w:trHeight w:val="84"/>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24E82FE6"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r w:rsidRPr="009059A9">
              <w:rPr>
                <w:rFonts w:eastAsia="Times New Roman" w:cs="Times New Roman"/>
                <w:iCs/>
                <w:sz w:val="24"/>
                <w:szCs w:val="28"/>
                <w:lang w:eastAsia="lv-LV"/>
              </w:rPr>
              <w:t>13.</w:t>
            </w:r>
          </w:p>
        </w:tc>
        <w:tc>
          <w:tcPr>
            <w:tcW w:w="1642" w:type="pct"/>
            <w:tcBorders>
              <w:top w:val="outset" w:sz="6" w:space="0" w:color="414142"/>
              <w:left w:val="outset" w:sz="6" w:space="0" w:color="414142"/>
              <w:bottom w:val="outset" w:sz="6" w:space="0" w:color="414142"/>
              <w:right w:val="outset" w:sz="6" w:space="0" w:color="414142"/>
            </w:tcBorders>
            <w:vAlign w:val="center"/>
            <w:hideMark/>
          </w:tcPr>
          <w:p w14:paraId="7A8249DE" w14:textId="77777777" w:rsidR="00BC1BBE" w:rsidRPr="009059A9" w:rsidRDefault="00BC1BBE" w:rsidP="00C14873">
            <w:pPr>
              <w:pStyle w:val="ListParagraph"/>
              <w:shd w:val="clear" w:color="auto" w:fill="FFFFFF"/>
              <w:spacing w:line="254" w:lineRule="atLeast"/>
              <w:ind w:left="0"/>
              <w:rPr>
                <w:rFonts w:eastAsia="Times New Roman" w:cs="Times New Roman"/>
                <w:iCs/>
                <w:sz w:val="24"/>
                <w:szCs w:val="28"/>
                <w:lang w:eastAsia="lv-LV"/>
              </w:rPr>
            </w:pPr>
            <w:r w:rsidRPr="009059A9">
              <w:rPr>
                <w:rFonts w:eastAsia="Times New Roman" w:cs="Times New Roman"/>
                <w:iCs/>
                <w:sz w:val="24"/>
                <w:szCs w:val="28"/>
                <w:lang w:eastAsia="lv-LV"/>
              </w:rPr>
              <w:t>Lielāka par 3,50 MW, bet nepārsniedz 4,00 MW</w:t>
            </w:r>
          </w:p>
        </w:tc>
        <w:tc>
          <w:tcPr>
            <w:tcW w:w="695" w:type="pct"/>
            <w:tcBorders>
              <w:top w:val="outset" w:sz="6" w:space="0" w:color="414142"/>
              <w:left w:val="outset" w:sz="6" w:space="0" w:color="414142"/>
              <w:bottom w:val="outset" w:sz="6" w:space="0" w:color="414142"/>
              <w:right w:val="outset" w:sz="6" w:space="0" w:color="414142"/>
            </w:tcBorders>
            <w:vAlign w:val="center"/>
          </w:tcPr>
          <w:p w14:paraId="7358B624"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143,573</w:t>
            </w:r>
          </w:p>
        </w:tc>
        <w:tc>
          <w:tcPr>
            <w:tcW w:w="695" w:type="pct"/>
            <w:tcBorders>
              <w:top w:val="outset" w:sz="6" w:space="0" w:color="414142"/>
              <w:left w:val="outset" w:sz="6" w:space="0" w:color="414142"/>
              <w:bottom w:val="outset" w:sz="6" w:space="0" w:color="414142"/>
              <w:right w:val="outset" w:sz="6" w:space="0" w:color="414142"/>
            </w:tcBorders>
            <w:vAlign w:val="center"/>
            <w:hideMark/>
          </w:tcPr>
          <w:p w14:paraId="2D5083E2" w14:textId="77777777" w:rsidR="00BC1BBE"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0,965</w:t>
            </w:r>
          </w:p>
        </w:tc>
        <w:tc>
          <w:tcPr>
            <w:tcW w:w="769" w:type="pct"/>
            <w:vMerge/>
            <w:tcBorders>
              <w:top w:val="outset" w:sz="6" w:space="0" w:color="414142"/>
              <w:left w:val="outset" w:sz="6" w:space="0" w:color="414142"/>
              <w:bottom w:val="outset" w:sz="6" w:space="0" w:color="414142"/>
              <w:right w:val="outset" w:sz="6" w:space="0" w:color="414142"/>
            </w:tcBorders>
            <w:vAlign w:val="center"/>
          </w:tcPr>
          <w:p w14:paraId="04E031DF"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p>
        </w:tc>
        <w:tc>
          <w:tcPr>
            <w:tcW w:w="769" w:type="pct"/>
            <w:vMerge/>
            <w:tcBorders>
              <w:left w:val="outset" w:sz="6" w:space="0" w:color="414142"/>
              <w:bottom w:val="outset" w:sz="6" w:space="0" w:color="414142"/>
              <w:right w:val="outset" w:sz="6" w:space="0" w:color="414142"/>
            </w:tcBorders>
          </w:tcPr>
          <w:p w14:paraId="6846B550" w14:textId="77777777" w:rsidR="00BC1BBE" w:rsidRPr="009059A9" w:rsidRDefault="00BC1BBE" w:rsidP="00C14873">
            <w:pPr>
              <w:pStyle w:val="ListParagraph"/>
              <w:shd w:val="clear" w:color="auto" w:fill="FFFFFF"/>
              <w:spacing w:line="254" w:lineRule="atLeast"/>
              <w:ind w:left="0"/>
              <w:jc w:val="center"/>
              <w:rPr>
                <w:rFonts w:eastAsia="Times New Roman" w:cs="Times New Roman"/>
                <w:iCs/>
                <w:sz w:val="24"/>
                <w:szCs w:val="28"/>
                <w:lang w:eastAsia="lv-LV"/>
              </w:rPr>
            </w:pPr>
          </w:p>
        </w:tc>
      </w:tr>
      <w:tr w:rsidR="004B0CE7" w:rsidRPr="009059A9" w14:paraId="4670F003" w14:textId="7BA6B412" w:rsidTr="004B0CE7">
        <w:trPr>
          <w:trHeight w:val="84"/>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3C50F785" w14:textId="77777777" w:rsidR="004B0CE7" w:rsidRPr="009059A9" w:rsidRDefault="004B0CE7" w:rsidP="00C14873">
            <w:pPr>
              <w:pStyle w:val="ListParagraph"/>
              <w:shd w:val="clear" w:color="auto" w:fill="FFFFFF"/>
              <w:spacing w:line="254" w:lineRule="atLeast"/>
              <w:ind w:left="0"/>
              <w:jc w:val="center"/>
              <w:rPr>
                <w:rFonts w:eastAsia="Times New Roman" w:cs="Times New Roman"/>
                <w:iCs/>
                <w:sz w:val="24"/>
                <w:szCs w:val="28"/>
                <w:lang w:eastAsia="lv-LV"/>
              </w:rPr>
            </w:pPr>
            <w:r w:rsidRPr="009059A9">
              <w:rPr>
                <w:rFonts w:eastAsia="Times New Roman" w:cs="Times New Roman"/>
                <w:iCs/>
                <w:sz w:val="24"/>
                <w:szCs w:val="28"/>
                <w:lang w:eastAsia="lv-LV"/>
              </w:rPr>
              <w:t>14.</w:t>
            </w:r>
          </w:p>
        </w:tc>
        <w:tc>
          <w:tcPr>
            <w:tcW w:w="1642" w:type="pct"/>
            <w:tcBorders>
              <w:top w:val="outset" w:sz="6" w:space="0" w:color="414142"/>
              <w:left w:val="outset" w:sz="6" w:space="0" w:color="414142"/>
              <w:bottom w:val="outset" w:sz="6" w:space="0" w:color="414142"/>
              <w:right w:val="outset" w:sz="6" w:space="0" w:color="414142"/>
            </w:tcBorders>
            <w:vAlign w:val="center"/>
            <w:hideMark/>
          </w:tcPr>
          <w:p w14:paraId="09347FA3" w14:textId="77777777" w:rsidR="004B0CE7" w:rsidRPr="009059A9" w:rsidRDefault="004B0CE7" w:rsidP="00C14873">
            <w:pPr>
              <w:pStyle w:val="ListParagraph"/>
              <w:shd w:val="clear" w:color="auto" w:fill="FFFFFF"/>
              <w:spacing w:line="254" w:lineRule="atLeast"/>
              <w:ind w:left="0"/>
              <w:rPr>
                <w:rFonts w:eastAsia="Times New Roman" w:cs="Times New Roman"/>
                <w:iCs/>
                <w:sz w:val="24"/>
                <w:szCs w:val="28"/>
                <w:lang w:eastAsia="lv-LV"/>
              </w:rPr>
            </w:pPr>
            <w:r w:rsidRPr="009059A9">
              <w:rPr>
                <w:rFonts w:eastAsia="Times New Roman" w:cs="Times New Roman"/>
                <w:iCs/>
                <w:sz w:val="24"/>
                <w:szCs w:val="28"/>
                <w:lang w:eastAsia="lv-LV"/>
              </w:rPr>
              <w:t>Lielāka par 4,00 MW, bet nepārsniedz 20,00 MW</w:t>
            </w:r>
          </w:p>
        </w:tc>
        <w:tc>
          <w:tcPr>
            <w:tcW w:w="695" w:type="pct"/>
            <w:tcBorders>
              <w:top w:val="outset" w:sz="6" w:space="0" w:color="414142"/>
              <w:left w:val="outset" w:sz="6" w:space="0" w:color="414142"/>
              <w:bottom w:val="outset" w:sz="6" w:space="0" w:color="414142"/>
              <w:right w:val="outset" w:sz="6" w:space="0" w:color="414142"/>
            </w:tcBorders>
            <w:vAlign w:val="bottom"/>
          </w:tcPr>
          <w:p w14:paraId="3E114D48" w14:textId="77777777" w:rsidR="004B0CE7" w:rsidRPr="009059A9" w:rsidRDefault="004B0CE7" w:rsidP="00C14873">
            <w:pPr>
              <w:pStyle w:val="ListParagraph"/>
              <w:shd w:val="clear" w:color="auto" w:fill="FFFFFF"/>
              <w:spacing w:line="254" w:lineRule="atLeast"/>
              <w:ind w:left="0"/>
              <w:jc w:val="center"/>
              <w:rPr>
                <w:rFonts w:eastAsia="Times New Roman" w:cs="Times New Roman"/>
                <w:iCs/>
                <w:sz w:val="24"/>
                <w:szCs w:val="28"/>
                <w:lang w:eastAsia="lv-LV"/>
              </w:rPr>
            </w:pPr>
          </w:p>
        </w:tc>
        <w:tc>
          <w:tcPr>
            <w:tcW w:w="695" w:type="pct"/>
            <w:tcBorders>
              <w:top w:val="outset" w:sz="6" w:space="0" w:color="414142"/>
              <w:left w:val="outset" w:sz="6" w:space="0" w:color="414142"/>
              <w:bottom w:val="outset" w:sz="6" w:space="0" w:color="414142"/>
              <w:right w:val="outset" w:sz="6" w:space="0" w:color="414142"/>
            </w:tcBorders>
            <w:vAlign w:val="center"/>
            <w:hideMark/>
          </w:tcPr>
          <w:p w14:paraId="38CE9E6B" w14:textId="77777777" w:rsidR="004B0CE7" w:rsidRPr="009059A9" w:rsidRDefault="004B0CE7" w:rsidP="00C14873">
            <w:pPr>
              <w:pStyle w:val="ListParagraph"/>
              <w:shd w:val="clear" w:color="auto" w:fill="FFFFFF"/>
              <w:spacing w:line="254" w:lineRule="atLeast"/>
              <w:ind w:left="0"/>
              <w:jc w:val="center"/>
              <w:rPr>
                <w:rFonts w:eastAsia="Times New Roman" w:cs="Times New Roman"/>
                <w:iCs/>
                <w:sz w:val="24"/>
                <w:szCs w:val="28"/>
                <w:lang w:eastAsia="lv-LV"/>
              </w:rPr>
            </w:pPr>
          </w:p>
        </w:tc>
        <w:tc>
          <w:tcPr>
            <w:tcW w:w="769" w:type="pct"/>
            <w:tcBorders>
              <w:top w:val="outset" w:sz="6" w:space="0" w:color="414142"/>
              <w:left w:val="outset" w:sz="6" w:space="0" w:color="414142"/>
              <w:bottom w:val="outset" w:sz="6" w:space="0" w:color="414142"/>
              <w:right w:val="outset" w:sz="6" w:space="0" w:color="414142"/>
            </w:tcBorders>
            <w:vAlign w:val="center"/>
          </w:tcPr>
          <w:p w14:paraId="69A051D9" w14:textId="77777777" w:rsidR="004B0CE7" w:rsidRPr="009059A9" w:rsidRDefault="004B0CE7"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12600000–20000000</w:t>
            </w:r>
          </w:p>
        </w:tc>
        <w:tc>
          <w:tcPr>
            <w:tcW w:w="769" w:type="pct"/>
            <w:tcBorders>
              <w:top w:val="outset" w:sz="6" w:space="0" w:color="414142"/>
              <w:left w:val="outset" w:sz="6" w:space="0" w:color="414142"/>
              <w:bottom w:val="outset" w:sz="6" w:space="0" w:color="414142"/>
              <w:right w:val="outset" w:sz="6" w:space="0" w:color="414142"/>
            </w:tcBorders>
          </w:tcPr>
          <w:p w14:paraId="455719F7" w14:textId="7F895AA9" w:rsidR="004B0CE7"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59,35</w:t>
            </w:r>
          </w:p>
        </w:tc>
      </w:tr>
      <w:tr w:rsidR="004B0CE7" w:rsidRPr="009059A9" w14:paraId="4797576F" w14:textId="398BE349" w:rsidTr="004B0CE7">
        <w:trPr>
          <w:trHeight w:val="84"/>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75B4786E" w14:textId="77777777" w:rsidR="004B0CE7" w:rsidRPr="009059A9" w:rsidRDefault="004B0CE7" w:rsidP="00C14873">
            <w:pPr>
              <w:pStyle w:val="ListParagraph"/>
              <w:shd w:val="clear" w:color="auto" w:fill="FFFFFF"/>
              <w:spacing w:line="254" w:lineRule="atLeast"/>
              <w:ind w:left="0"/>
              <w:jc w:val="center"/>
              <w:rPr>
                <w:rFonts w:eastAsia="Times New Roman" w:cs="Times New Roman"/>
                <w:iCs/>
                <w:sz w:val="24"/>
                <w:szCs w:val="28"/>
                <w:lang w:eastAsia="lv-LV"/>
              </w:rPr>
            </w:pPr>
            <w:r w:rsidRPr="009059A9">
              <w:rPr>
                <w:rFonts w:eastAsia="Times New Roman" w:cs="Times New Roman"/>
                <w:iCs/>
                <w:sz w:val="24"/>
                <w:szCs w:val="28"/>
                <w:lang w:eastAsia="lv-LV"/>
              </w:rPr>
              <w:t>15.</w:t>
            </w:r>
          </w:p>
        </w:tc>
        <w:tc>
          <w:tcPr>
            <w:tcW w:w="1642" w:type="pct"/>
            <w:tcBorders>
              <w:top w:val="outset" w:sz="6" w:space="0" w:color="414142"/>
              <w:left w:val="outset" w:sz="6" w:space="0" w:color="414142"/>
              <w:bottom w:val="outset" w:sz="6" w:space="0" w:color="414142"/>
              <w:right w:val="outset" w:sz="6" w:space="0" w:color="414142"/>
            </w:tcBorders>
            <w:vAlign w:val="center"/>
            <w:hideMark/>
          </w:tcPr>
          <w:p w14:paraId="277D0FE5" w14:textId="77777777" w:rsidR="004B0CE7" w:rsidRPr="009059A9" w:rsidRDefault="004B0CE7" w:rsidP="00C14873">
            <w:pPr>
              <w:pStyle w:val="ListParagraph"/>
              <w:shd w:val="clear" w:color="auto" w:fill="FFFFFF"/>
              <w:spacing w:line="254" w:lineRule="atLeast"/>
              <w:ind w:left="0"/>
              <w:rPr>
                <w:rFonts w:eastAsia="Times New Roman" w:cs="Times New Roman"/>
                <w:iCs/>
                <w:sz w:val="24"/>
                <w:szCs w:val="28"/>
                <w:lang w:eastAsia="lv-LV"/>
              </w:rPr>
            </w:pPr>
            <w:r w:rsidRPr="009059A9">
              <w:rPr>
                <w:rFonts w:eastAsia="Times New Roman" w:cs="Times New Roman"/>
                <w:iCs/>
                <w:sz w:val="24"/>
                <w:szCs w:val="28"/>
                <w:lang w:eastAsia="lv-LV"/>
              </w:rPr>
              <w:t>Lielāka par 20,00 MW, bet nepārsniedz 40,00 MW</w:t>
            </w:r>
          </w:p>
        </w:tc>
        <w:tc>
          <w:tcPr>
            <w:tcW w:w="695" w:type="pct"/>
            <w:tcBorders>
              <w:top w:val="outset" w:sz="6" w:space="0" w:color="414142"/>
              <w:left w:val="outset" w:sz="6" w:space="0" w:color="414142"/>
              <w:bottom w:val="outset" w:sz="6" w:space="0" w:color="414142"/>
              <w:right w:val="outset" w:sz="6" w:space="0" w:color="414142"/>
            </w:tcBorders>
            <w:vAlign w:val="bottom"/>
          </w:tcPr>
          <w:p w14:paraId="03D78875" w14:textId="77777777" w:rsidR="004B0CE7" w:rsidRPr="009059A9" w:rsidRDefault="004B0CE7" w:rsidP="00C14873">
            <w:pPr>
              <w:pStyle w:val="ListParagraph"/>
              <w:shd w:val="clear" w:color="auto" w:fill="FFFFFF"/>
              <w:spacing w:line="254" w:lineRule="atLeast"/>
              <w:ind w:left="0"/>
              <w:jc w:val="center"/>
              <w:rPr>
                <w:rFonts w:eastAsia="Times New Roman" w:cs="Times New Roman"/>
                <w:iCs/>
                <w:sz w:val="24"/>
                <w:szCs w:val="28"/>
                <w:lang w:eastAsia="lv-LV"/>
              </w:rPr>
            </w:pPr>
          </w:p>
        </w:tc>
        <w:tc>
          <w:tcPr>
            <w:tcW w:w="695" w:type="pct"/>
            <w:tcBorders>
              <w:top w:val="outset" w:sz="6" w:space="0" w:color="414142"/>
              <w:left w:val="outset" w:sz="6" w:space="0" w:color="414142"/>
              <w:bottom w:val="outset" w:sz="6" w:space="0" w:color="414142"/>
              <w:right w:val="outset" w:sz="6" w:space="0" w:color="414142"/>
            </w:tcBorders>
            <w:vAlign w:val="center"/>
            <w:hideMark/>
          </w:tcPr>
          <w:p w14:paraId="7E9A8FD2" w14:textId="77777777" w:rsidR="004B0CE7" w:rsidRPr="009059A9" w:rsidRDefault="004B0CE7" w:rsidP="00C14873">
            <w:pPr>
              <w:pStyle w:val="ListParagraph"/>
              <w:shd w:val="clear" w:color="auto" w:fill="FFFFFF"/>
              <w:spacing w:line="254" w:lineRule="atLeast"/>
              <w:ind w:left="0"/>
              <w:jc w:val="center"/>
              <w:rPr>
                <w:rFonts w:eastAsia="Times New Roman" w:cs="Times New Roman"/>
                <w:iCs/>
                <w:sz w:val="24"/>
                <w:szCs w:val="28"/>
                <w:lang w:eastAsia="lv-LV"/>
              </w:rPr>
            </w:pPr>
          </w:p>
        </w:tc>
        <w:tc>
          <w:tcPr>
            <w:tcW w:w="769" w:type="pct"/>
            <w:tcBorders>
              <w:top w:val="outset" w:sz="6" w:space="0" w:color="414142"/>
              <w:left w:val="outset" w:sz="6" w:space="0" w:color="414142"/>
              <w:bottom w:val="outset" w:sz="6" w:space="0" w:color="414142"/>
              <w:right w:val="outset" w:sz="6" w:space="0" w:color="414142"/>
            </w:tcBorders>
            <w:vAlign w:val="center"/>
          </w:tcPr>
          <w:p w14:paraId="0A8C68A6" w14:textId="77777777" w:rsidR="004B0CE7" w:rsidRPr="009059A9" w:rsidRDefault="004B0CE7"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20000000–100000000</w:t>
            </w:r>
          </w:p>
        </w:tc>
        <w:tc>
          <w:tcPr>
            <w:tcW w:w="769" w:type="pct"/>
            <w:tcBorders>
              <w:top w:val="outset" w:sz="6" w:space="0" w:color="414142"/>
              <w:left w:val="outset" w:sz="6" w:space="0" w:color="414142"/>
              <w:bottom w:val="outset" w:sz="6" w:space="0" w:color="414142"/>
              <w:right w:val="outset" w:sz="6" w:space="0" w:color="414142"/>
            </w:tcBorders>
          </w:tcPr>
          <w:p w14:paraId="469B3718" w14:textId="5368152E" w:rsidR="004B0CE7"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49,59</w:t>
            </w:r>
          </w:p>
        </w:tc>
      </w:tr>
      <w:tr w:rsidR="004B0CE7" w:rsidRPr="009059A9" w14:paraId="5061F5D1" w14:textId="4B9D69D0" w:rsidTr="004B0CE7">
        <w:trPr>
          <w:trHeight w:val="84"/>
        </w:trPr>
        <w:tc>
          <w:tcPr>
            <w:tcW w:w="429" w:type="pct"/>
            <w:tcBorders>
              <w:top w:val="outset" w:sz="6" w:space="0" w:color="414142"/>
              <w:left w:val="outset" w:sz="6" w:space="0" w:color="414142"/>
              <w:bottom w:val="outset" w:sz="6" w:space="0" w:color="414142"/>
              <w:right w:val="outset" w:sz="6" w:space="0" w:color="414142"/>
            </w:tcBorders>
            <w:vAlign w:val="center"/>
            <w:hideMark/>
          </w:tcPr>
          <w:p w14:paraId="140220D5" w14:textId="77777777" w:rsidR="004B0CE7" w:rsidRPr="009059A9" w:rsidRDefault="004B0CE7" w:rsidP="00C14873">
            <w:pPr>
              <w:pStyle w:val="ListParagraph"/>
              <w:shd w:val="clear" w:color="auto" w:fill="FFFFFF"/>
              <w:spacing w:line="254" w:lineRule="atLeast"/>
              <w:ind w:left="0"/>
              <w:jc w:val="center"/>
              <w:rPr>
                <w:rFonts w:eastAsia="Times New Roman" w:cs="Times New Roman"/>
                <w:iCs/>
                <w:sz w:val="24"/>
                <w:szCs w:val="28"/>
                <w:lang w:eastAsia="lv-LV"/>
              </w:rPr>
            </w:pPr>
            <w:r w:rsidRPr="009059A9">
              <w:rPr>
                <w:rFonts w:eastAsia="Times New Roman" w:cs="Times New Roman"/>
                <w:iCs/>
                <w:sz w:val="24"/>
                <w:szCs w:val="28"/>
                <w:lang w:eastAsia="lv-LV"/>
              </w:rPr>
              <w:t>16.</w:t>
            </w:r>
          </w:p>
        </w:tc>
        <w:tc>
          <w:tcPr>
            <w:tcW w:w="1642" w:type="pct"/>
            <w:tcBorders>
              <w:top w:val="outset" w:sz="6" w:space="0" w:color="414142"/>
              <w:left w:val="outset" w:sz="6" w:space="0" w:color="414142"/>
              <w:bottom w:val="outset" w:sz="6" w:space="0" w:color="414142"/>
              <w:right w:val="outset" w:sz="6" w:space="0" w:color="414142"/>
            </w:tcBorders>
            <w:vAlign w:val="center"/>
            <w:hideMark/>
          </w:tcPr>
          <w:p w14:paraId="30B2473F" w14:textId="77777777" w:rsidR="004B0CE7" w:rsidRPr="009059A9" w:rsidRDefault="004B0CE7" w:rsidP="00C14873">
            <w:pPr>
              <w:pStyle w:val="ListParagraph"/>
              <w:shd w:val="clear" w:color="auto" w:fill="FFFFFF"/>
              <w:spacing w:line="254" w:lineRule="atLeast"/>
              <w:ind w:left="0"/>
              <w:rPr>
                <w:rFonts w:eastAsia="Times New Roman" w:cs="Times New Roman"/>
                <w:iCs/>
                <w:sz w:val="24"/>
                <w:szCs w:val="28"/>
                <w:lang w:eastAsia="lv-LV"/>
              </w:rPr>
            </w:pPr>
            <w:r w:rsidRPr="009059A9">
              <w:rPr>
                <w:rFonts w:eastAsia="Times New Roman" w:cs="Times New Roman"/>
                <w:iCs/>
                <w:sz w:val="24"/>
                <w:szCs w:val="28"/>
                <w:lang w:eastAsia="lv-LV"/>
              </w:rPr>
              <w:t>Lielāka par 40 MW</w:t>
            </w:r>
          </w:p>
        </w:tc>
        <w:tc>
          <w:tcPr>
            <w:tcW w:w="695" w:type="pct"/>
            <w:tcBorders>
              <w:top w:val="outset" w:sz="6" w:space="0" w:color="414142"/>
              <w:left w:val="outset" w:sz="6" w:space="0" w:color="414142"/>
              <w:bottom w:val="outset" w:sz="6" w:space="0" w:color="414142"/>
              <w:right w:val="outset" w:sz="6" w:space="0" w:color="414142"/>
            </w:tcBorders>
            <w:vAlign w:val="bottom"/>
          </w:tcPr>
          <w:p w14:paraId="42641ABF" w14:textId="77777777" w:rsidR="004B0CE7" w:rsidRPr="009059A9" w:rsidRDefault="004B0CE7" w:rsidP="00C14873">
            <w:pPr>
              <w:pStyle w:val="ListParagraph"/>
              <w:shd w:val="clear" w:color="auto" w:fill="FFFFFF"/>
              <w:spacing w:line="254" w:lineRule="atLeast"/>
              <w:ind w:left="0"/>
              <w:jc w:val="center"/>
              <w:rPr>
                <w:rFonts w:eastAsia="Times New Roman" w:cs="Times New Roman"/>
                <w:iCs/>
                <w:sz w:val="24"/>
                <w:szCs w:val="28"/>
                <w:lang w:eastAsia="lv-LV"/>
              </w:rPr>
            </w:pPr>
          </w:p>
        </w:tc>
        <w:tc>
          <w:tcPr>
            <w:tcW w:w="695" w:type="pct"/>
            <w:tcBorders>
              <w:top w:val="outset" w:sz="6" w:space="0" w:color="414142"/>
              <w:left w:val="outset" w:sz="6" w:space="0" w:color="414142"/>
              <w:bottom w:val="outset" w:sz="6" w:space="0" w:color="414142"/>
              <w:right w:val="outset" w:sz="6" w:space="0" w:color="414142"/>
            </w:tcBorders>
            <w:vAlign w:val="center"/>
            <w:hideMark/>
          </w:tcPr>
          <w:p w14:paraId="1562E995" w14:textId="77777777" w:rsidR="004B0CE7" w:rsidRPr="009059A9" w:rsidRDefault="004B0CE7" w:rsidP="00C14873">
            <w:pPr>
              <w:pStyle w:val="ListParagraph"/>
              <w:shd w:val="clear" w:color="auto" w:fill="FFFFFF"/>
              <w:spacing w:line="254" w:lineRule="atLeast"/>
              <w:ind w:left="0"/>
              <w:jc w:val="center"/>
              <w:rPr>
                <w:rFonts w:eastAsia="Times New Roman" w:cs="Times New Roman"/>
                <w:iCs/>
                <w:sz w:val="24"/>
                <w:szCs w:val="28"/>
                <w:lang w:eastAsia="lv-LV"/>
              </w:rPr>
            </w:pPr>
          </w:p>
        </w:tc>
        <w:tc>
          <w:tcPr>
            <w:tcW w:w="769" w:type="pct"/>
            <w:tcBorders>
              <w:top w:val="outset" w:sz="6" w:space="0" w:color="414142"/>
              <w:left w:val="outset" w:sz="6" w:space="0" w:color="414142"/>
              <w:bottom w:val="outset" w:sz="6" w:space="0" w:color="414142"/>
              <w:right w:val="outset" w:sz="6" w:space="0" w:color="414142"/>
            </w:tcBorders>
            <w:vAlign w:val="center"/>
          </w:tcPr>
          <w:p w14:paraId="0EA7A497" w14:textId="77777777" w:rsidR="004B0CE7" w:rsidRPr="009059A9" w:rsidRDefault="004B0CE7"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virs 100000000</w:t>
            </w:r>
          </w:p>
        </w:tc>
        <w:tc>
          <w:tcPr>
            <w:tcW w:w="769" w:type="pct"/>
            <w:tcBorders>
              <w:top w:val="outset" w:sz="6" w:space="0" w:color="414142"/>
              <w:left w:val="outset" w:sz="6" w:space="0" w:color="414142"/>
              <w:bottom w:val="outset" w:sz="6" w:space="0" w:color="414142"/>
              <w:right w:val="outset" w:sz="6" w:space="0" w:color="414142"/>
            </w:tcBorders>
          </w:tcPr>
          <w:p w14:paraId="70F11F16" w14:textId="5B01756D" w:rsidR="004B0CE7" w:rsidRPr="009059A9" w:rsidRDefault="00BC1BBE" w:rsidP="00C14873">
            <w:pPr>
              <w:pStyle w:val="ListParagraph"/>
              <w:shd w:val="clear" w:color="auto" w:fill="FFFFFF"/>
              <w:ind w:left="0"/>
              <w:jc w:val="center"/>
              <w:rPr>
                <w:rFonts w:eastAsia="Times New Roman" w:cs="Times New Roman"/>
                <w:iCs/>
                <w:sz w:val="24"/>
                <w:szCs w:val="28"/>
                <w:lang w:eastAsia="lv-LV"/>
              </w:rPr>
            </w:pPr>
            <w:r w:rsidRPr="009059A9">
              <w:rPr>
                <w:rFonts w:eastAsia="Times New Roman" w:cs="Times New Roman"/>
                <w:iCs/>
                <w:sz w:val="24"/>
                <w:szCs w:val="28"/>
                <w:lang w:eastAsia="lv-LV"/>
              </w:rPr>
              <w:t>36,89</w:t>
            </w:r>
          </w:p>
        </w:tc>
      </w:tr>
    </w:tbl>
    <w:p w14:paraId="59203F45" w14:textId="0B11C6C7" w:rsidR="00423889" w:rsidRPr="009059A9" w:rsidRDefault="00E63DD2" w:rsidP="00423889">
      <w:pPr>
        <w:shd w:val="clear" w:color="auto" w:fill="FFFFFF"/>
        <w:spacing w:line="254" w:lineRule="atLeast"/>
        <w:jc w:val="both"/>
        <w:rPr>
          <w:rFonts w:eastAsia="Times New Roman" w:cs="Times New Roman"/>
          <w:iCs/>
          <w:szCs w:val="28"/>
          <w:lang w:eastAsia="lv-LV"/>
        </w:rPr>
      </w:pPr>
      <w:r>
        <w:rPr>
          <w:rFonts w:eastAsia="Times New Roman" w:cs="Times New Roman"/>
          <w:iCs/>
          <w:szCs w:val="28"/>
          <w:lang w:eastAsia="lv-LV"/>
        </w:rPr>
        <w:t>”</w:t>
      </w:r>
      <w:r w:rsidR="00423889" w:rsidRPr="009059A9">
        <w:rPr>
          <w:rFonts w:eastAsia="Times New Roman" w:cs="Times New Roman"/>
          <w:iCs/>
          <w:szCs w:val="28"/>
          <w:lang w:eastAsia="lv-LV"/>
        </w:rPr>
        <w:t>.</w:t>
      </w:r>
    </w:p>
    <w:p w14:paraId="264DB5A5" w14:textId="54F39A8E" w:rsidR="00076E28" w:rsidRPr="009059A9" w:rsidRDefault="004566D1" w:rsidP="00B82F92">
      <w:pPr>
        <w:spacing w:before="60" w:after="60"/>
        <w:jc w:val="both"/>
        <w:rPr>
          <w:szCs w:val="28"/>
        </w:rPr>
      </w:pPr>
      <w:r>
        <w:rPr>
          <w:szCs w:val="28"/>
        </w:rPr>
        <w:t>1.</w:t>
      </w:r>
      <w:r w:rsidR="00F04411" w:rsidRPr="009059A9">
        <w:rPr>
          <w:szCs w:val="28"/>
        </w:rPr>
        <w:t>1</w:t>
      </w:r>
      <w:r w:rsidR="006C2E81">
        <w:rPr>
          <w:szCs w:val="28"/>
        </w:rPr>
        <w:t>4</w:t>
      </w:r>
      <w:r w:rsidR="00F04411" w:rsidRPr="009059A9">
        <w:rPr>
          <w:szCs w:val="28"/>
        </w:rPr>
        <w:t xml:space="preserve">. </w:t>
      </w:r>
      <w:r w:rsidR="00CF3AF8">
        <w:rPr>
          <w:szCs w:val="28"/>
        </w:rPr>
        <w:t>Aizstāt 7.pielikumā</w:t>
      </w:r>
      <w:r w:rsidR="00F04411" w:rsidRPr="009059A9">
        <w:rPr>
          <w:szCs w:val="28"/>
        </w:rPr>
        <w:t xml:space="preserve"> 4.piezīmē </w:t>
      </w:r>
      <w:r w:rsidR="00CF3AF8">
        <w:rPr>
          <w:szCs w:val="28"/>
        </w:rPr>
        <w:t>vārdus un skaitļus “</w:t>
      </w:r>
      <w:r w:rsidR="00CF3AF8" w:rsidRPr="00CF3AF8">
        <w:rPr>
          <w:szCs w:val="28"/>
        </w:rPr>
        <w:t>regulatora apstiprinātais dabasgāzes tirdzniecības gala tarifs bez pievienotās vērtības nodokļa atbilstoši dabasgāzes patēriņa apjomiem (6.pielikums) atkarībā no koģenerācijas stacijā uzstādītās elektriskās jaudas</w:t>
      </w:r>
      <w:r w:rsidR="00CF3AF8">
        <w:rPr>
          <w:szCs w:val="28"/>
        </w:rPr>
        <w:t>” ar vārdiem “</w:t>
      </w:r>
      <w:r w:rsidR="00F04411" w:rsidRPr="009059A9">
        <w:rPr>
          <w:szCs w:val="28"/>
        </w:rPr>
        <w:t xml:space="preserve">koģenerācijas stacijā </w:t>
      </w:r>
      <w:r w:rsidR="00375D46" w:rsidRPr="009059A9">
        <w:rPr>
          <w:szCs w:val="28"/>
        </w:rPr>
        <w:t xml:space="preserve">par kurināmo </w:t>
      </w:r>
      <w:r w:rsidR="00F04411" w:rsidRPr="009059A9">
        <w:rPr>
          <w:szCs w:val="28"/>
        </w:rPr>
        <w:t xml:space="preserve">izmantotās dabasgāzes </w:t>
      </w:r>
      <w:r w:rsidR="00375D46" w:rsidRPr="009059A9">
        <w:rPr>
          <w:szCs w:val="28"/>
        </w:rPr>
        <w:t>faktiskā cena bez pievienotās vērtības nodokļ</w:t>
      </w:r>
      <w:r w:rsidR="00CF3AF8">
        <w:rPr>
          <w:szCs w:val="28"/>
        </w:rPr>
        <w:t>a un dabasgāzes akcīzes nodokļa</w:t>
      </w:r>
      <w:r w:rsidR="00375D46" w:rsidRPr="009059A9">
        <w:rPr>
          <w:szCs w:val="28"/>
        </w:rPr>
        <w:t>”.</w:t>
      </w:r>
    </w:p>
    <w:p w14:paraId="03B775A4" w14:textId="77777777" w:rsidR="003D21E0" w:rsidRPr="009059A9" w:rsidRDefault="003D21E0" w:rsidP="00B82F92">
      <w:pPr>
        <w:spacing w:before="60" w:after="60"/>
        <w:jc w:val="both"/>
        <w:rPr>
          <w:szCs w:val="28"/>
        </w:rPr>
      </w:pPr>
    </w:p>
    <w:p w14:paraId="14FD1826" w14:textId="6EFA14EC" w:rsidR="00375D46" w:rsidRPr="009059A9" w:rsidRDefault="004566D1" w:rsidP="001D0919">
      <w:pPr>
        <w:spacing w:before="60" w:after="60"/>
        <w:jc w:val="both"/>
        <w:rPr>
          <w:rFonts w:eastAsiaTheme="minorEastAsia"/>
          <w:szCs w:val="28"/>
        </w:rPr>
      </w:pPr>
      <w:r>
        <w:rPr>
          <w:szCs w:val="28"/>
        </w:rPr>
        <w:t>1.</w:t>
      </w:r>
      <w:r w:rsidR="00375D46" w:rsidRPr="009059A9">
        <w:rPr>
          <w:szCs w:val="28"/>
        </w:rPr>
        <w:t>1</w:t>
      </w:r>
      <w:r w:rsidR="006C2E81">
        <w:rPr>
          <w:szCs w:val="28"/>
        </w:rPr>
        <w:t>5</w:t>
      </w:r>
      <w:r w:rsidR="00375D46" w:rsidRPr="009059A9">
        <w:rPr>
          <w:szCs w:val="28"/>
        </w:rPr>
        <w:t xml:space="preserve">. </w:t>
      </w:r>
      <w:r w:rsidR="007250BF">
        <w:rPr>
          <w:szCs w:val="28"/>
        </w:rPr>
        <w:t xml:space="preserve">Aizstāt </w:t>
      </w:r>
      <w:r w:rsidR="001D0919">
        <w:rPr>
          <w:szCs w:val="28"/>
        </w:rPr>
        <w:t>8.pielikuma 2.punkt</w:t>
      </w:r>
      <w:r w:rsidR="007250BF">
        <w:rPr>
          <w:szCs w:val="28"/>
        </w:rPr>
        <w:t>ā</w:t>
      </w:r>
      <w:r w:rsidR="001D0919">
        <w:rPr>
          <w:szCs w:val="28"/>
        </w:rPr>
        <w:t xml:space="preserve"> </w:t>
      </w:r>
      <w:r w:rsidR="001D0919" w:rsidRPr="001D0919">
        <w:rPr>
          <w:rFonts w:cs="Times New Roman"/>
          <w:szCs w:val="28"/>
        </w:rPr>
        <w:t>v</w:t>
      </w:r>
      <w:r w:rsidR="007250BF">
        <w:rPr>
          <w:rFonts w:cs="Times New Roman"/>
          <w:szCs w:val="28"/>
        </w:rPr>
        <w:t>ārdu</w:t>
      </w:r>
      <w:r w:rsidR="001D0919" w:rsidRPr="001D0919">
        <w:rPr>
          <w:rFonts w:cs="Times New Roman"/>
          <w:szCs w:val="28"/>
        </w:rPr>
        <w:t xml:space="preserve"> “</w:t>
      </w:r>
      <w:r w:rsidR="007250BF">
        <w:rPr>
          <w:rFonts w:cs="Times New Roman"/>
          <w:szCs w:val="28"/>
          <w:shd w:val="clear" w:color="auto" w:fill="FFFFFF"/>
        </w:rPr>
        <w:t>ieskaitot</w:t>
      </w:r>
      <w:r w:rsidR="001D0919" w:rsidRPr="001D0919">
        <w:rPr>
          <w:rFonts w:cs="Times New Roman"/>
          <w:szCs w:val="28"/>
        </w:rPr>
        <w:t>”</w:t>
      </w:r>
      <w:r w:rsidR="001D0919">
        <w:rPr>
          <w:rFonts w:cs="Times New Roman"/>
          <w:szCs w:val="28"/>
        </w:rPr>
        <w:t xml:space="preserve"> ar vārdu “</w:t>
      </w:r>
      <w:r w:rsidR="007250BF">
        <w:rPr>
          <w:rFonts w:cs="Times New Roman"/>
          <w:szCs w:val="28"/>
        </w:rPr>
        <w:t>neieskaitot</w:t>
      </w:r>
      <w:r w:rsidR="001D0919">
        <w:rPr>
          <w:rFonts w:cs="Times New Roman"/>
          <w:szCs w:val="28"/>
        </w:rPr>
        <w:t>”.</w:t>
      </w:r>
    </w:p>
    <w:p w14:paraId="7F5ACF71" w14:textId="77777777" w:rsidR="003D21E0" w:rsidRPr="009059A9" w:rsidRDefault="003D21E0" w:rsidP="00B82F92">
      <w:pPr>
        <w:spacing w:before="60" w:after="60"/>
        <w:jc w:val="both"/>
        <w:rPr>
          <w:rFonts w:eastAsiaTheme="minorEastAsia"/>
          <w:szCs w:val="28"/>
        </w:rPr>
      </w:pPr>
    </w:p>
    <w:p w14:paraId="425C4081" w14:textId="7C088C44" w:rsidR="00DC78D1" w:rsidRPr="00DC78D1" w:rsidRDefault="004566D1" w:rsidP="003D21E0">
      <w:pPr>
        <w:spacing w:before="60" w:after="60"/>
        <w:jc w:val="both"/>
        <w:rPr>
          <w:rFonts w:cs="Times New Roman"/>
          <w:szCs w:val="28"/>
        </w:rPr>
      </w:pPr>
      <w:r>
        <w:rPr>
          <w:szCs w:val="28"/>
        </w:rPr>
        <w:t>1.</w:t>
      </w:r>
      <w:r w:rsidR="003D21E0" w:rsidRPr="009059A9">
        <w:rPr>
          <w:szCs w:val="28"/>
        </w:rPr>
        <w:t>1</w:t>
      </w:r>
      <w:r w:rsidR="006C2E81">
        <w:rPr>
          <w:szCs w:val="28"/>
        </w:rPr>
        <w:t>6</w:t>
      </w:r>
      <w:r w:rsidR="003D21E0" w:rsidRPr="009059A9">
        <w:rPr>
          <w:szCs w:val="28"/>
        </w:rPr>
        <w:t xml:space="preserve">. </w:t>
      </w:r>
      <w:r w:rsidR="00DC78D1">
        <w:rPr>
          <w:szCs w:val="28"/>
        </w:rPr>
        <w:t xml:space="preserve">Aizstāt 8.pielikuma 7.punktā </w:t>
      </w:r>
      <w:r w:rsidR="00DC78D1" w:rsidRPr="00DC78D1">
        <w:rPr>
          <w:szCs w:val="28"/>
        </w:rPr>
        <w:t xml:space="preserve">vārdus </w:t>
      </w:r>
      <w:r w:rsidR="00DC78D1" w:rsidRPr="00DC78D1">
        <w:rPr>
          <w:rFonts w:cs="Times New Roman"/>
          <w:szCs w:val="28"/>
        </w:rPr>
        <w:t>“</w:t>
      </w:r>
      <w:r w:rsidR="00DC78D1" w:rsidRPr="00DC78D1">
        <w:rPr>
          <w:rFonts w:cs="Times New Roman"/>
          <w:szCs w:val="28"/>
          <w:shd w:val="clear" w:color="auto" w:fill="FFFFFF"/>
        </w:rPr>
        <w:t>komersanta koģenerācijas elektrostacijai noteiktā elektroenerģijas iepirkuma cena (EUR/</w:t>
      </w:r>
      <w:proofErr w:type="spellStart"/>
      <w:r w:rsidR="00DC78D1" w:rsidRPr="00DC78D1">
        <w:rPr>
          <w:rFonts w:cs="Times New Roman"/>
          <w:szCs w:val="28"/>
          <w:shd w:val="clear" w:color="auto" w:fill="FFFFFF"/>
        </w:rPr>
        <w:t>MWh</w:t>
      </w:r>
      <w:proofErr w:type="spellEnd"/>
      <w:r w:rsidR="00DC78D1" w:rsidRPr="00DC78D1">
        <w:rPr>
          <w:rFonts w:cs="Times New Roman"/>
          <w:szCs w:val="28"/>
          <w:shd w:val="clear" w:color="auto" w:fill="FFFFFF"/>
        </w:rPr>
        <w:t>) kalendāra gada</w:t>
      </w:r>
      <w:r w:rsidR="00DC78D1" w:rsidRPr="00DC78D1">
        <w:rPr>
          <w:rStyle w:val="apple-converted-space"/>
          <w:rFonts w:cs="Times New Roman"/>
          <w:szCs w:val="28"/>
          <w:shd w:val="clear" w:color="auto" w:fill="FFFFFF"/>
        </w:rPr>
        <w:t> </w:t>
      </w:r>
      <w:r w:rsidR="00DC78D1" w:rsidRPr="00DC78D1">
        <w:rPr>
          <w:rFonts w:cs="Times New Roman"/>
          <w:i/>
          <w:iCs/>
          <w:szCs w:val="28"/>
          <w:shd w:val="clear" w:color="auto" w:fill="FFFFFF"/>
        </w:rPr>
        <w:t>t</w:t>
      </w:r>
      <w:r w:rsidR="00DC78D1" w:rsidRPr="00DC78D1">
        <w:rPr>
          <w:rStyle w:val="apple-converted-space"/>
          <w:rFonts w:cs="Times New Roman"/>
          <w:szCs w:val="28"/>
          <w:shd w:val="clear" w:color="auto" w:fill="FFFFFF"/>
        </w:rPr>
        <w:t> </w:t>
      </w:r>
      <w:r w:rsidR="00DC78D1" w:rsidRPr="00DC78D1">
        <w:rPr>
          <w:rFonts w:cs="Times New Roman"/>
          <w:szCs w:val="28"/>
          <w:shd w:val="clear" w:color="auto" w:fill="FFFFFF"/>
        </w:rPr>
        <w:t>kalendāra mēnesī</w:t>
      </w:r>
      <w:r w:rsidR="00DC78D1" w:rsidRPr="00DC78D1">
        <w:rPr>
          <w:rStyle w:val="apple-converted-space"/>
          <w:rFonts w:cs="Times New Roman"/>
          <w:szCs w:val="28"/>
          <w:shd w:val="clear" w:color="auto" w:fill="FFFFFF"/>
        </w:rPr>
        <w:t> </w:t>
      </w:r>
      <w:r w:rsidR="00DC78D1" w:rsidRPr="00DC78D1">
        <w:rPr>
          <w:rFonts w:cs="Times New Roman"/>
          <w:i/>
          <w:iCs/>
          <w:szCs w:val="28"/>
          <w:shd w:val="clear" w:color="auto" w:fill="FFFFFF"/>
        </w:rPr>
        <w:t>i</w:t>
      </w:r>
      <w:r w:rsidR="00DC78D1">
        <w:rPr>
          <w:rFonts w:cs="Times New Roman"/>
          <w:i/>
          <w:iCs/>
          <w:szCs w:val="28"/>
          <w:shd w:val="clear" w:color="auto" w:fill="FFFFFF"/>
        </w:rPr>
        <w:t>”</w:t>
      </w:r>
      <w:r w:rsidR="00DC78D1">
        <w:rPr>
          <w:rFonts w:cs="Times New Roman"/>
          <w:iCs/>
          <w:szCs w:val="28"/>
          <w:shd w:val="clear" w:color="auto" w:fill="FFFFFF"/>
        </w:rPr>
        <w:t xml:space="preserve"> ar vārdiem un skaitļiem “</w:t>
      </w:r>
      <w:r w:rsidR="00DC78D1" w:rsidRPr="009059A9">
        <w:rPr>
          <w:rFonts w:eastAsia="Times New Roman" w:cs="Times New Roman"/>
          <w:szCs w:val="28"/>
          <w:lang w:eastAsia="lv-LV"/>
        </w:rPr>
        <w:t>komersanta koģenerācijas elektrostacijai noteiktā elektroenerģijas iepirkuma cena (EUR/</w:t>
      </w:r>
      <w:proofErr w:type="spellStart"/>
      <w:r w:rsidR="00DC78D1" w:rsidRPr="009059A9">
        <w:rPr>
          <w:rFonts w:eastAsia="Times New Roman" w:cs="Times New Roman"/>
          <w:szCs w:val="28"/>
          <w:lang w:eastAsia="lv-LV"/>
        </w:rPr>
        <w:t>MWh</w:t>
      </w:r>
      <w:proofErr w:type="spellEnd"/>
      <w:r w:rsidR="00DC78D1" w:rsidRPr="009059A9">
        <w:rPr>
          <w:rFonts w:eastAsia="Times New Roman" w:cs="Times New Roman"/>
          <w:szCs w:val="28"/>
          <w:lang w:eastAsia="lv-LV"/>
        </w:rPr>
        <w:t>) kalendāra gada </w:t>
      </w:r>
      <w:r w:rsidR="00DC78D1" w:rsidRPr="009059A9">
        <w:rPr>
          <w:rFonts w:eastAsia="Times New Roman" w:cs="Times New Roman"/>
          <w:i/>
          <w:iCs/>
          <w:szCs w:val="28"/>
          <w:lang w:eastAsia="lv-LV"/>
        </w:rPr>
        <w:t>t</w:t>
      </w:r>
      <w:r w:rsidR="00DC78D1" w:rsidRPr="009059A9">
        <w:rPr>
          <w:rFonts w:eastAsia="Times New Roman" w:cs="Times New Roman"/>
          <w:szCs w:val="28"/>
          <w:lang w:eastAsia="lv-LV"/>
        </w:rPr>
        <w:t> kalendāra mēnesī </w:t>
      </w:r>
      <w:r w:rsidR="00DC78D1" w:rsidRPr="009059A9">
        <w:rPr>
          <w:rFonts w:eastAsia="Times New Roman" w:cs="Times New Roman"/>
          <w:i/>
          <w:iCs/>
          <w:szCs w:val="28"/>
          <w:lang w:eastAsia="lv-LV"/>
        </w:rPr>
        <w:t>i.</w:t>
      </w:r>
      <w:r w:rsidR="00DC78D1" w:rsidRPr="009059A9">
        <w:rPr>
          <w:rFonts w:eastAsia="Times New Roman" w:cs="Times New Roman"/>
          <w:iCs/>
          <w:szCs w:val="28"/>
          <w:lang w:eastAsia="lv-LV"/>
        </w:rPr>
        <w:t xml:space="preserve"> </w:t>
      </w:r>
      <w:r w:rsidR="00DC78D1" w:rsidRPr="009B16A6">
        <w:rPr>
          <w:rFonts w:eastAsia="Times New Roman" w:cs="Times New Roman"/>
          <w:iCs/>
          <w:szCs w:val="28"/>
          <w:lang w:eastAsia="lv-LV"/>
        </w:rPr>
        <w:t xml:space="preserve">Aprēķinot dabasgāzes koģenerācijas stacijās saražotās </w:t>
      </w:r>
      <w:r w:rsidR="00DC78D1" w:rsidRPr="009B16A6">
        <w:rPr>
          <w:rFonts w:eastAsia="Times New Roman" w:cs="Times New Roman"/>
          <w:iCs/>
          <w:szCs w:val="28"/>
          <w:lang w:eastAsia="lv-LV"/>
        </w:rPr>
        <w:lastRenderedPageBreak/>
        <w:t>elektroenerģijas iepirkuma cenu n</w:t>
      </w:r>
      <w:r w:rsidR="00DC78D1" w:rsidRPr="009B16A6">
        <w:rPr>
          <w:rFonts w:eastAsia="Times New Roman" w:cs="Times New Roman"/>
          <w:szCs w:val="28"/>
          <w:lang w:eastAsia="lv-LV"/>
        </w:rPr>
        <w:t xml:space="preserve">ākotnes periodā, </w:t>
      </w:r>
      <w:proofErr w:type="spellStart"/>
      <w:r w:rsidR="00DC78D1" w:rsidRPr="009B16A6">
        <w:rPr>
          <w:rFonts w:eastAsia="Times New Roman" w:cs="Times New Roman"/>
          <w:szCs w:val="28"/>
          <w:lang w:eastAsia="lv-LV"/>
        </w:rPr>
        <w:t>T</w:t>
      </w:r>
      <w:r w:rsidR="00DC78D1" w:rsidRPr="009B16A6">
        <w:rPr>
          <w:rFonts w:eastAsia="Times New Roman" w:cs="Times New Roman"/>
          <w:szCs w:val="28"/>
          <w:vertAlign w:val="subscript"/>
          <w:lang w:eastAsia="lv-LV"/>
        </w:rPr>
        <w:t>gs</w:t>
      </w:r>
      <w:proofErr w:type="spellEnd"/>
      <w:r w:rsidR="00DC78D1" w:rsidRPr="009B16A6">
        <w:rPr>
          <w:rFonts w:eastAsia="Times New Roman" w:cs="Times New Roman"/>
          <w:szCs w:val="28"/>
          <w:lang w:eastAsia="lv-LV"/>
        </w:rPr>
        <w:t xml:space="preserve"> tiek noteikts atbilstoši šā pielikuma 9. tabulā minētajām </w:t>
      </w:r>
      <w:proofErr w:type="spellStart"/>
      <w:r w:rsidR="00DC78D1" w:rsidRPr="009B16A6">
        <w:rPr>
          <w:rFonts w:eastAsia="Times New Roman" w:cs="Times New Roman"/>
          <w:szCs w:val="28"/>
          <w:lang w:eastAsia="lv-LV"/>
        </w:rPr>
        <w:t>līmeņatzīmēm</w:t>
      </w:r>
      <w:proofErr w:type="spellEnd"/>
      <w:r w:rsidR="00DC78D1" w:rsidRPr="009B16A6">
        <w:rPr>
          <w:rFonts w:eastAsia="Times New Roman" w:cs="Times New Roman"/>
          <w:szCs w:val="28"/>
          <w:lang w:eastAsia="lv-LV"/>
        </w:rPr>
        <w:t>.</w:t>
      </w:r>
      <w:r w:rsidR="00DC78D1">
        <w:rPr>
          <w:rFonts w:eastAsia="Times New Roman" w:cs="Times New Roman"/>
          <w:szCs w:val="28"/>
          <w:lang w:eastAsia="lv-LV"/>
        </w:rPr>
        <w:t>”.</w:t>
      </w:r>
    </w:p>
    <w:p w14:paraId="2A366BD8" w14:textId="0B018445" w:rsidR="00C14873" w:rsidRDefault="004566D1" w:rsidP="00734B1B">
      <w:pPr>
        <w:shd w:val="clear" w:color="auto" w:fill="FFFFFF"/>
        <w:spacing w:before="100" w:beforeAutospacing="1" w:after="100" w:afterAutospacing="1" w:line="293" w:lineRule="atLeast"/>
        <w:jc w:val="both"/>
        <w:rPr>
          <w:rFonts w:eastAsia="Times New Roman" w:cs="Times New Roman"/>
          <w:szCs w:val="28"/>
          <w:lang w:eastAsia="lv-LV"/>
        </w:rPr>
      </w:pPr>
      <w:r>
        <w:rPr>
          <w:rFonts w:eastAsiaTheme="minorEastAsia"/>
          <w:szCs w:val="28"/>
        </w:rPr>
        <w:t>1.</w:t>
      </w:r>
      <w:r w:rsidR="001C71B4" w:rsidRPr="009059A9">
        <w:rPr>
          <w:rFonts w:eastAsiaTheme="minorEastAsia"/>
          <w:szCs w:val="28"/>
        </w:rPr>
        <w:t>1</w:t>
      </w:r>
      <w:r w:rsidR="006C2E81">
        <w:rPr>
          <w:rFonts w:eastAsiaTheme="minorEastAsia"/>
          <w:szCs w:val="28"/>
        </w:rPr>
        <w:t>7</w:t>
      </w:r>
      <w:r w:rsidR="001C71B4" w:rsidRPr="009059A9">
        <w:rPr>
          <w:rFonts w:eastAsiaTheme="minorEastAsia"/>
          <w:szCs w:val="28"/>
        </w:rPr>
        <w:t>.</w:t>
      </w:r>
      <w:r w:rsidR="00353488" w:rsidRPr="009059A9">
        <w:rPr>
          <w:rFonts w:eastAsiaTheme="minorEastAsia"/>
          <w:szCs w:val="28"/>
        </w:rPr>
        <w:t xml:space="preserve"> </w:t>
      </w:r>
      <w:r w:rsidR="00734B1B">
        <w:rPr>
          <w:rFonts w:eastAsiaTheme="minorEastAsia"/>
          <w:szCs w:val="28"/>
        </w:rPr>
        <w:t xml:space="preserve">Aizstāt </w:t>
      </w:r>
      <w:r w:rsidR="00353488" w:rsidRPr="009059A9">
        <w:rPr>
          <w:rFonts w:eastAsiaTheme="minorEastAsia"/>
          <w:szCs w:val="28"/>
        </w:rPr>
        <w:t xml:space="preserve">8.pielikuma 10.punktā </w:t>
      </w:r>
      <w:r w:rsidR="00734B1B" w:rsidRPr="00734B1B">
        <w:rPr>
          <w:rFonts w:eastAsiaTheme="minorEastAsia" w:cs="Times New Roman"/>
          <w:szCs w:val="28"/>
        </w:rPr>
        <w:t>vārdus un skaitļus “</w:t>
      </w:r>
      <w:r w:rsidR="00734B1B" w:rsidRPr="00734B1B">
        <w:rPr>
          <w:rFonts w:cs="Times New Roman"/>
          <w:szCs w:val="28"/>
          <w:shd w:val="clear" w:color="auto" w:fill="FFFFFF"/>
        </w:rPr>
        <w:t>kalendāra gada</w:t>
      </w:r>
      <w:r w:rsidR="00734B1B" w:rsidRPr="00734B1B">
        <w:rPr>
          <w:rStyle w:val="apple-converted-space"/>
          <w:rFonts w:cs="Times New Roman"/>
          <w:szCs w:val="28"/>
          <w:shd w:val="clear" w:color="auto" w:fill="FFFFFF"/>
        </w:rPr>
        <w:t> </w:t>
      </w:r>
      <w:r w:rsidR="00734B1B" w:rsidRPr="00734B1B">
        <w:rPr>
          <w:rFonts w:cs="Times New Roman"/>
          <w:i/>
          <w:iCs/>
          <w:szCs w:val="28"/>
          <w:shd w:val="clear" w:color="auto" w:fill="FFFFFF"/>
        </w:rPr>
        <w:t>t</w:t>
      </w:r>
      <w:r w:rsidR="00734B1B" w:rsidRPr="00734B1B">
        <w:rPr>
          <w:rStyle w:val="apple-converted-space"/>
          <w:rFonts w:cs="Times New Roman"/>
          <w:szCs w:val="28"/>
          <w:shd w:val="clear" w:color="auto" w:fill="FFFFFF"/>
        </w:rPr>
        <w:t> </w:t>
      </w:r>
      <w:r w:rsidR="00734B1B" w:rsidRPr="00734B1B">
        <w:rPr>
          <w:rFonts w:cs="Times New Roman"/>
          <w:szCs w:val="28"/>
          <w:shd w:val="clear" w:color="auto" w:fill="FFFFFF"/>
        </w:rPr>
        <w:t>kalendāra mēnesim</w:t>
      </w:r>
      <w:r w:rsidR="00734B1B" w:rsidRPr="00734B1B">
        <w:rPr>
          <w:rStyle w:val="apple-converted-space"/>
          <w:rFonts w:cs="Times New Roman"/>
          <w:szCs w:val="28"/>
          <w:shd w:val="clear" w:color="auto" w:fill="FFFFFF"/>
        </w:rPr>
        <w:t> </w:t>
      </w:r>
      <w:r w:rsidR="00734B1B" w:rsidRPr="00734B1B">
        <w:rPr>
          <w:rFonts w:cs="Times New Roman"/>
          <w:i/>
          <w:iCs/>
          <w:szCs w:val="28"/>
          <w:shd w:val="clear" w:color="auto" w:fill="FFFFFF"/>
        </w:rPr>
        <w:t>i</w:t>
      </w:r>
      <w:r w:rsidR="00734B1B" w:rsidRPr="00734B1B">
        <w:rPr>
          <w:rStyle w:val="apple-converted-space"/>
          <w:rFonts w:cs="Times New Roman"/>
          <w:szCs w:val="28"/>
          <w:shd w:val="clear" w:color="auto" w:fill="FFFFFF"/>
        </w:rPr>
        <w:t> </w:t>
      </w:r>
      <w:r w:rsidR="00734B1B" w:rsidRPr="00734B1B">
        <w:rPr>
          <w:rFonts w:cs="Times New Roman"/>
          <w:szCs w:val="28"/>
          <w:shd w:val="clear" w:color="auto" w:fill="FFFFFF"/>
        </w:rPr>
        <w:t>regulatora apstiprinātais dabasgāzes tirdzniecības gala tarifs bez pievienotās vērtības nodokļa atbilstoši dabasgāzes faktiskajai siltumspējai (EUR/tūkst. n. m</w:t>
      </w:r>
      <w:r w:rsidR="00734B1B" w:rsidRPr="00734B1B">
        <w:rPr>
          <w:rFonts w:cs="Times New Roman"/>
          <w:szCs w:val="28"/>
          <w:shd w:val="clear" w:color="auto" w:fill="FFFFFF"/>
          <w:vertAlign w:val="superscript"/>
        </w:rPr>
        <w:t>3</w:t>
      </w:r>
      <w:r w:rsidR="00734B1B" w:rsidRPr="00734B1B">
        <w:rPr>
          <w:rFonts w:cs="Times New Roman"/>
          <w:szCs w:val="28"/>
          <w:shd w:val="clear" w:color="auto" w:fill="FFFFFF"/>
        </w:rPr>
        <w:t>), kas noteikts saskaņā ar dabasgāzes patēriņa apjomiem (6. pielikums) atkarībā no koģenerācijas elektrostacijā uzstādītās elektriskās jaudas, kas norādīta līgumā ar publisko tirgotāju, kalendāra gada</w:t>
      </w:r>
      <w:r w:rsidR="00734B1B" w:rsidRPr="00734B1B">
        <w:rPr>
          <w:rStyle w:val="apple-converted-space"/>
          <w:rFonts w:cs="Times New Roman"/>
          <w:szCs w:val="28"/>
          <w:shd w:val="clear" w:color="auto" w:fill="FFFFFF"/>
        </w:rPr>
        <w:t> </w:t>
      </w:r>
      <w:r w:rsidR="00734B1B" w:rsidRPr="00734B1B">
        <w:rPr>
          <w:rFonts w:cs="Times New Roman"/>
          <w:i/>
          <w:iCs/>
          <w:szCs w:val="28"/>
          <w:shd w:val="clear" w:color="auto" w:fill="FFFFFF"/>
        </w:rPr>
        <w:t>t</w:t>
      </w:r>
      <w:r w:rsidR="00734B1B" w:rsidRPr="00734B1B">
        <w:rPr>
          <w:rStyle w:val="apple-converted-space"/>
          <w:rFonts w:cs="Times New Roman"/>
          <w:szCs w:val="28"/>
          <w:shd w:val="clear" w:color="auto" w:fill="FFFFFF"/>
        </w:rPr>
        <w:t> </w:t>
      </w:r>
      <w:r w:rsidR="00734B1B" w:rsidRPr="00734B1B">
        <w:rPr>
          <w:rFonts w:cs="Times New Roman"/>
          <w:szCs w:val="28"/>
          <w:shd w:val="clear" w:color="auto" w:fill="FFFFFF"/>
        </w:rPr>
        <w:t>kalendāra mēnesī</w:t>
      </w:r>
      <w:r w:rsidR="00734B1B" w:rsidRPr="00734B1B">
        <w:rPr>
          <w:rStyle w:val="apple-converted-space"/>
          <w:rFonts w:cs="Times New Roman"/>
          <w:szCs w:val="28"/>
          <w:shd w:val="clear" w:color="auto" w:fill="FFFFFF"/>
        </w:rPr>
        <w:t> </w:t>
      </w:r>
      <w:r w:rsidR="00734B1B" w:rsidRPr="00734B1B">
        <w:rPr>
          <w:rFonts w:cs="Times New Roman"/>
          <w:i/>
          <w:iCs/>
          <w:szCs w:val="28"/>
          <w:shd w:val="clear" w:color="auto" w:fill="FFFFFF"/>
        </w:rPr>
        <w:t>i</w:t>
      </w:r>
      <w:r w:rsidR="00734B1B" w:rsidRPr="00734B1B">
        <w:rPr>
          <w:rFonts w:cs="Times New Roman"/>
          <w:szCs w:val="28"/>
          <w:shd w:val="clear" w:color="auto" w:fill="FFFFFF"/>
        </w:rPr>
        <w:t> </w:t>
      </w: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el  t</m:t>
            </m:r>
          </m:sub>
          <m:sup>
            <m:r>
              <w:rPr>
                <w:rFonts w:ascii="Cambria Math" w:eastAsia="Times New Roman" w:hAnsi="Cambria Math" w:cs="Times New Roman"/>
                <w:szCs w:val="28"/>
                <w:lang w:eastAsia="lv-LV"/>
              </w:rPr>
              <m:t xml:space="preserve"> i</m:t>
            </m:r>
          </m:sup>
        </m:sSubSup>
      </m:oMath>
      <w:r w:rsidR="00734B1B" w:rsidRPr="00734B1B">
        <w:rPr>
          <w:rFonts w:cs="Times New Roman"/>
          <w:szCs w:val="28"/>
          <w:shd w:val="clear" w:color="auto" w:fill="FFFFFF"/>
        </w:rPr>
        <w:t xml:space="preserve">. Nākotnes periodam tas tiek noteikts atbilstoši šā pielikuma 9. tabulā minētajām dabasgāzes tirdzniecības cenas </w:t>
      </w:r>
      <w:proofErr w:type="spellStart"/>
      <w:r w:rsidR="00734B1B" w:rsidRPr="00734B1B">
        <w:rPr>
          <w:rFonts w:cs="Times New Roman"/>
          <w:szCs w:val="28"/>
          <w:shd w:val="clear" w:color="auto" w:fill="FFFFFF"/>
        </w:rPr>
        <w:t>līmeņatzīmēm</w:t>
      </w:r>
      <w:proofErr w:type="spellEnd"/>
      <w:r w:rsidR="00734B1B" w:rsidRPr="00734B1B">
        <w:rPr>
          <w:rFonts w:cs="Times New Roman"/>
          <w:szCs w:val="28"/>
          <w:shd w:val="clear" w:color="auto" w:fill="FFFFFF"/>
        </w:rPr>
        <w:t>;</w:t>
      </w:r>
      <w:r w:rsidR="00734B1B">
        <w:rPr>
          <w:rFonts w:cs="Times New Roman"/>
          <w:szCs w:val="28"/>
          <w:shd w:val="clear" w:color="auto" w:fill="FFFFFF"/>
        </w:rPr>
        <w:t>” ar vārdiem un skaitļiem “</w:t>
      </w:r>
      <w:r w:rsidR="004D2F94" w:rsidRPr="009059A9">
        <w:rPr>
          <w:rFonts w:eastAsia="Times New Roman" w:cs="Times New Roman"/>
          <w:szCs w:val="28"/>
          <w:lang w:eastAsia="lv-LV"/>
        </w:rPr>
        <w:t>kalendāra gada </w:t>
      </w:r>
      <w:r w:rsidR="004D2F94" w:rsidRPr="009059A9">
        <w:rPr>
          <w:rFonts w:eastAsia="Times New Roman" w:cs="Times New Roman"/>
          <w:i/>
          <w:iCs/>
          <w:szCs w:val="28"/>
          <w:lang w:eastAsia="lv-LV"/>
        </w:rPr>
        <w:t>t</w:t>
      </w:r>
      <w:r w:rsidR="004D2F94" w:rsidRPr="009059A9">
        <w:rPr>
          <w:rFonts w:eastAsia="Times New Roman" w:cs="Times New Roman"/>
          <w:szCs w:val="28"/>
          <w:lang w:eastAsia="lv-LV"/>
        </w:rPr>
        <w:t> kalendāra mēnesim </w:t>
      </w:r>
      <w:r w:rsidR="004D2F94" w:rsidRPr="009059A9">
        <w:rPr>
          <w:rFonts w:eastAsia="Times New Roman" w:cs="Times New Roman"/>
          <w:i/>
          <w:iCs/>
          <w:szCs w:val="28"/>
          <w:lang w:eastAsia="lv-LV"/>
        </w:rPr>
        <w:t>i</w:t>
      </w:r>
      <w:r w:rsidR="004D2F94" w:rsidRPr="009059A9">
        <w:rPr>
          <w:rFonts w:eastAsia="Times New Roman" w:cs="Times New Roman"/>
          <w:szCs w:val="28"/>
          <w:lang w:eastAsia="lv-LV"/>
        </w:rPr>
        <w:t> regulatora apstiprinātais dabasgāzes tirdzniecības gala tarifs bez pievienotās vērtības nodokļa atbilstoši dabasgāzes faktiskajai siltumspējai (EUR/tūkst. n. m</w:t>
      </w:r>
      <w:r w:rsidR="004D2F94" w:rsidRPr="009059A9">
        <w:rPr>
          <w:rFonts w:eastAsia="Times New Roman" w:cs="Times New Roman"/>
          <w:szCs w:val="28"/>
          <w:vertAlign w:val="superscript"/>
          <w:lang w:eastAsia="lv-LV"/>
        </w:rPr>
        <w:t>3</w:t>
      </w:r>
      <w:r w:rsidR="004D2F94" w:rsidRPr="009059A9">
        <w:rPr>
          <w:rFonts w:eastAsia="Times New Roman" w:cs="Times New Roman"/>
          <w:szCs w:val="28"/>
          <w:lang w:eastAsia="lv-LV"/>
        </w:rPr>
        <w:t>), kas noteikts saskaņā ar dabasgāzes patēriņa apjomiem (6. pielikums) atkarībā no koģenerācijas elektrostacijā uzstādītās elektriskās jaudas, kas norādīta līgumā ar publisko tirgotāju, kalendāra gada </w:t>
      </w:r>
      <w:r w:rsidR="004D2F94" w:rsidRPr="009059A9">
        <w:rPr>
          <w:rFonts w:eastAsia="Times New Roman" w:cs="Times New Roman"/>
          <w:i/>
          <w:iCs/>
          <w:szCs w:val="28"/>
          <w:lang w:eastAsia="lv-LV"/>
        </w:rPr>
        <w:t>t</w:t>
      </w:r>
      <w:r w:rsidR="004D2F94" w:rsidRPr="009059A9">
        <w:rPr>
          <w:rFonts w:eastAsia="Times New Roman" w:cs="Times New Roman"/>
          <w:szCs w:val="28"/>
          <w:lang w:eastAsia="lv-LV"/>
        </w:rPr>
        <w:t> kalendāra mēnesī </w:t>
      </w:r>
      <w:r w:rsidR="004D2F94" w:rsidRPr="009059A9">
        <w:rPr>
          <w:rFonts w:eastAsia="Times New Roman" w:cs="Times New Roman"/>
          <w:i/>
          <w:iCs/>
          <w:szCs w:val="28"/>
          <w:lang w:eastAsia="lv-LV"/>
        </w:rPr>
        <w:t>i</w:t>
      </w:r>
      <w:r w:rsidR="004D2F94" w:rsidRPr="009059A9">
        <w:rPr>
          <w:rFonts w:eastAsia="Times New Roman" w:cs="Times New Roman"/>
          <w:szCs w:val="28"/>
          <w:lang w:eastAsia="lv-LV"/>
        </w:rPr>
        <w:t> </w:t>
      </w: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el  t</m:t>
            </m:r>
          </m:sub>
          <m:sup>
            <m:r>
              <w:rPr>
                <w:rFonts w:ascii="Cambria Math" w:eastAsia="Times New Roman" w:hAnsi="Cambria Math" w:cs="Times New Roman"/>
                <w:szCs w:val="28"/>
                <w:lang w:eastAsia="lv-LV"/>
              </w:rPr>
              <m:t xml:space="preserve"> i</m:t>
            </m:r>
          </m:sup>
        </m:sSubSup>
      </m:oMath>
      <w:r w:rsidR="004D2F94" w:rsidRPr="009059A9">
        <w:rPr>
          <w:rFonts w:eastAsia="Times New Roman" w:cs="Times New Roman"/>
          <w:szCs w:val="28"/>
          <w:lang w:eastAsia="lv-LV"/>
        </w:rPr>
        <w:t xml:space="preserve">. </w:t>
      </w:r>
      <w:r w:rsidR="00333AB9">
        <w:rPr>
          <w:rFonts w:eastAsia="Times New Roman" w:cs="Times New Roman"/>
          <w:szCs w:val="28"/>
          <w:lang w:eastAsia="lv-LV"/>
        </w:rPr>
        <w:t>Periodā n</w:t>
      </w:r>
      <w:r w:rsidR="00C14873" w:rsidRPr="009059A9">
        <w:rPr>
          <w:rFonts w:eastAsia="Times New Roman" w:cs="Times New Roman"/>
          <w:szCs w:val="28"/>
          <w:lang w:eastAsia="lv-LV"/>
        </w:rPr>
        <w:t xml:space="preserve">o 2017.gada </w:t>
      </w:r>
      <w:r w:rsidR="00BD2329" w:rsidRPr="009059A9">
        <w:rPr>
          <w:rFonts w:eastAsia="Times New Roman" w:cs="Times New Roman"/>
          <w:szCs w:val="28"/>
          <w:lang w:eastAsia="lv-LV"/>
        </w:rPr>
        <w:t>3</w:t>
      </w:r>
      <w:r w:rsidR="00C14873" w:rsidRPr="009059A9">
        <w:rPr>
          <w:rFonts w:eastAsia="Times New Roman" w:cs="Times New Roman"/>
          <w:szCs w:val="28"/>
          <w:lang w:eastAsia="lv-LV"/>
        </w:rPr>
        <w:t>.aprīļa</w:t>
      </w:r>
      <w:r w:rsidR="00333AB9">
        <w:rPr>
          <w:rFonts w:eastAsia="Times New Roman" w:cs="Times New Roman"/>
          <w:szCs w:val="28"/>
          <w:lang w:eastAsia="lv-LV"/>
        </w:rPr>
        <w:t xml:space="preserve"> līdz 2017.gada 30.jūnijam </w:t>
      </w: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g  t</m:t>
            </m:r>
          </m:sub>
          <m:sup>
            <m:r>
              <w:rPr>
                <w:rFonts w:ascii="Cambria Math" w:eastAsia="Times New Roman" w:hAnsi="Cambria Math" w:cs="Times New Roman"/>
                <w:szCs w:val="28"/>
                <w:lang w:eastAsia="lv-LV"/>
              </w:rPr>
              <m:t xml:space="preserve"> i</m:t>
            </m:r>
          </m:sup>
        </m:sSubSup>
      </m:oMath>
      <w:r w:rsidR="00333AB9">
        <w:rPr>
          <w:rFonts w:eastAsia="Times New Roman" w:cs="Times New Roman"/>
          <w:szCs w:val="28"/>
          <w:lang w:eastAsia="lv-LV"/>
        </w:rPr>
        <w:t xml:space="preserve"> ir</w:t>
      </w:r>
      <w:r w:rsidR="00333AB9" w:rsidRPr="00333AB9">
        <w:rPr>
          <w:rFonts w:eastAsia="Times New Roman" w:cs="Times New Roman"/>
          <w:szCs w:val="28"/>
          <w:lang w:eastAsia="lv-LV"/>
        </w:rPr>
        <w:t xml:space="preserve"> </w:t>
      </w:r>
      <w:r w:rsidR="00333AB9" w:rsidRPr="009059A9">
        <w:rPr>
          <w:rFonts w:eastAsiaTheme="minorEastAsia"/>
          <w:szCs w:val="28"/>
        </w:rPr>
        <w:t>2</w:t>
      </w:r>
      <w:r w:rsidR="00333AB9">
        <w:rPr>
          <w:rFonts w:eastAsiaTheme="minorEastAsia"/>
          <w:szCs w:val="28"/>
        </w:rPr>
        <w:t>017.gada 2.aprīlī spēkā esošais regulatora apstiprinātais</w:t>
      </w:r>
      <w:r w:rsidR="00333AB9" w:rsidRPr="009059A9">
        <w:rPr>
          <w:rFonts w:eastAsiaTheme="minorEastAsia"/>
          <w:szCs w:val="28"/>
        </w:rPr>
        <w:t xml:space="preserve"> dabas</w:t>
      </w:r>
      <w:r w:rsidR="00333AB9">
        <w:rPr>
          <w:rFonts w:eastAsiaTheme="minorEastAsia"/>
          <w:szCs w:val="28"/>
        </w:rPr>
        <w:t>gāzes tirdzniecības gala tarifs</w:t>
      </w:r>
      <w:r w:rsidR="00333AB9" w:rsidRPr="009059A9">
        <w:rPr>
          <w:rFonts w:eastAsiaTheme="minorEastAsia"/>
          <w:szCs w:val="28"/>
        </w:rPr>
        <w:t xml:space="preserve"> dabasgāzes patēriņa apjomiem (6.pielikums) atkarībā no koģenerācijas elektrostacijā uzstādītās elektriskās jaudas</w:t>
      </w:r>
      <w:r w:rsidR="00BD2329" w:rsidRPr="009059A9">
        <w:rPr>
          <w:rFonts w:eastAsia="Times New Roman" w:cs="Times New Roman"/>
          <w:szCs w:val="28"/>
          <w:lang w:eastAsia="lv-LV"/>
        </w:rPr>
        <w:t xml:space="preserve">, </w:t>
      </w:r>
      <w:r w:rsidR="00333AB9" w:rsidRPr="009059A9">
        <w:rPr>
          <w:rFonts w:eastAsia="Times New Roman" w:cs="Times New Roman"/>
          <w:szCs w:val="28"/>
          <w:lang w:eastAsia="lv-LV"/>
        </w:rPr>
        <w:t>kas norādīta līgumā ar publisko tirgotāju</w:t>
      </w:r>
      <w:r w:rsidR="00333AB9">
        <w:rPr>
          <w:rFonts w:eastAsia="Times New Roman" w:cs="Times New Roman"/>
          <w:szCs w:val="28"/>
          <w:lang w:eastAsia="lv-LV"/>
        </w:rPr>
        <w:t xml:space="preserve">. No 2017.gada 1.jūlija </w:t>
      </w: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g  t</m:t>
            </m:r>
          </m:sub>
          <m:sup>
            <m:r>
              <w:rPr>
                <w:rFonts w:ascii="Cambria Math" w:eastAsia="Times New Roman" w:hAnsi="Cambria Math" w:cs="Times New Roman"/>
                <w:szCs w:val="28"/>
                <w:lang w:eastAsia="lv-LV"/>
              </w:rPr>
              <m:t xml:space="preserve"> i</m:t>
            </m:r>
          </m:sup>
        </m:sSubSup>
        <m:r>
          <w:rPr>
            <w:rFonts w:ascii="Cambria Math" w:eastAsia="Times New Roman" w:hAnsi="Cambria Math" w:cs="Times New Roman"/>
            <w:szCs w:val="28"/>
            <w:lang w:eastAsia="lv-LV"/>
          </w:rPr>
          <m:t xml:space="preserve"> </m:t>
        </m:r>
      </m:oMath>
      <w:r w:rsidR="00426DCB" w:rsidRPr="009059A9">
        <w:rPr>
          <w:rFonts w:eastAsia="Times New Roman" w:cs="Times New Roman"/>
          <w:szCs w:val="28"/>
          <w:lang w:eastAsia="lv-LV"/>
        </w:rPr>
        <w:t xml:space="preserve">ir </w:t>
      </w:r>
      <w:r w:rsidR="00DC2464" w:rsidRPr="009059A9">
        <w:rPr>
          <w:rFonts w:eastAsia="Times New Roman" w:cs="Times New Roman"/>
          <w:szCs w:val="28"/>
          <w:lang w:eastAsia="lv-LV"/>
        </w:rPr>
        <w:t>Enerģētikas likumā noteiktajā kārtībā noteiktajā dabasgāzes cenā saistītajiem lietotājiem iekļautā dabasgāzes tirdzniecības cena bez pievienotās vērtības nodokļa, tirdzniecības pakalpojuma, pārvades, uzglabāšanas un sadales pakalpojuma tarifa (EUR/tūkst. n. m</w:t>
      </w:r>
      <w:r w:rsidR="00DC2464" w:rsidRPr="009059A9">
        <w:rPr>
          <w:rFonts w:eastAsia="Times New Roman" w:cs="Times New Roman"/>
          <w:szCs w:val="28"/>
          <w:vertAlign w:val="superscript"/>
          <w:lang w:eastAsia="lv-LV"/>
        </w:rPr>
        <w:t>3</w:t>
      </w:r>
      <w:r w:rsidR="00DC2464" w:rsidRPr="009059A9">
        <w:rPr>
          <w:rFonts w:eastAsia="Times New Roman" w:cs="Times New Roman"/>
          <w:szCs w:val="28"/>
          <w:lang w:eastAsia="lv-LV"/>
        </w:rPr>
        <w:t xml:space="preserve">), kurai pieskaitīts </w:t>
      </w:r>
      <w:r w:rsidR="00DC2464" w:rsidRPr="009059A9">
        <w:rPr>
          <w:rFonts w:cs="Times New Roman"/>
          <w:szCs w:val="28"/>
          <w:shd w:val="clear" w:color="auto" w:fill="FFFFFF"/>
        </w:rPr>
        <w:t>dabasgāzes cenas diferencēšanas koeficients k</w:t>
      </w:r>
      <w:r w:rsidR="00DC2464" w:rsidRPr="009059A9">
        <w:rPr>
          <w:rFonts w:cs="Times New Roman"/>
          <w:szCs w:val="28"/>
          <w:shd w:val="clear" w:color="auto" w:fill="FFFFFF"/>
          <w:vertAlign w:val="subscript"/>
        </w:rPr>
        <w:t xml:space="preserve">g </w:t>
      </w:r>
      <w:r w:rsidR="00DC2464" w:rsidRPr="009059A9">
        <w:rPr>
          <w:rFonts w:cs="Times New Roman"/>
          <w:szCs w:val="28"/>
          <w:shd w:val="clear" w:color="auto" w:fill="FFFFFF"/>
        </w:rPr>
        <w:t xml:space="preserve">(6.pielikums) </w:t>
      </w:r>
      <w:r w:rsidR="00DC2464" w:rsidRPr="009059A9">
        <w:rPr>
          <w:rFonts w:eastAsia="Times New Roman" w:cs="Times New Roman"/>
          <w:szCs w:val="28"/>
          <w:lang w:eastAsia="lv-LV"/>
        </w:rPr>
        <w:t>atkarībā no koģenerācijas elektrostacijā uzstādītās elektriskās jaudas</w:t>
      </w:r>
      <w:r w:rsidR="00E96639" w:rsidRPr="009059A9">
        <w:rPr>
          <w:rFonts w:eastAsia="Times New Roman" w:cs="Times New Roman"/>
          <w:szCs w:val="28"/>
          <w:lang w:eastAsia="lv-LV"/>
        </w:rPr>
        <w:t>, kas norādīta līgumā ar publisko tirgotāju</w:t>
      </w:r>
      <w:r w:rsidR="00DC2464" w:rsidRPr="009059A9">
        <w:rPr>
          <w:rFonts w:eastAsia="Times New Roman" w:cs="Times New Roman"/>
          <w:szCs w:val="28"/>
          <w:lang w:eastAsia="lv-LV"/>
        </w:rPr>
        <w:t xml:space="preserve">. </w:t>
      </w:r>
      <w:r w:rsidR="00BD2329" w:rsidRPr="009059A9">
        <w:rPr>
          <w:rFonts w:eastAsia="Times New Roman" w:cs="Times New Roman"/>
          <w:szCs w:val="28"/>
          <w:lang w:eastAsia="lv-LV"/>
        </w:rPr>
        <w:t xml:space="preserve">Nākotnes periodam </w:t>
      </w:r>
      <m:oMath>
        <m:sSubSup>
          <m:sSubSupPr>
            <m:ctrlPr>
              <w:rPr>
                <w:rFonts w:ascii="Cambria Math" w:eastAsia="Times New Roman" w:hAnsi="Cambria Math" w:cs="Times New Roman"/>
                <w:i/>
                <w:szCs w:val="28"/>
                <w:lang w:eastAsia="lv-LV"/>
              </w:rPr>
            </m:ctrlPr>
          </m:sSubSupPr>
          <m:e>
            <m:r>
              <w:rPr>
                <w:rFonts w:ascii="Cambria Math" w:eastAsia="Times New Roman" w:hAnsi="Cambria Math" w:cs="Times New Roman"/>
                <w:szCs w:val="28"/>
                <w:lang w:eastAsia="lv-LV"/>
              </w:rPr>
              <m:t>T</m:t>
            </m:r>
          </m:e>
          <m:sub>
            <m:r>
              <w:rPr>
                <w:rFonts w:ascii="Cambria Math" w:eastAsia="Times New Roman" w:hAnsi="Cambria Math" w:cs="Times New Roman"/>
                <w:szCs w:val="28"/>
                <w:lang w:eastAsia="lv-LV"/>
              </w:rPr>
              <m:t>g  t</m:t>
            </m:r>
          </m:sub>
          <m:sup>
            <m:r>
              <w:rPr>
                <w:rFonts w:ascii="Cambria Math" w:eastAsia="Times New Roman" w:hAnsi="Cambria Math" w:cs="Times New Roman"/>
                <w:szCs w:val="28"/>
                <w:lang w:eastAsia="lv-LV"/>
              </w:rPr>
              <m:t xml:space="preserve"> i</m:t>
            </m:r>
          </m:sup>
        </m:sSubSup>
        <m:r>
          <w:rPr>
            <w:rFonts w:ascii="Cambria Math" w:eastAsia="Times New Roman" w:hAnsi="Cambria Math" w:cs="Times New Roman"/>
            <w:szCs w:val="28"/>
            <w:lang w:eastAsia="lv-LV"/>
          </w:rPr>
          <m:t xml:space="preserve"> </m:t>
        </m:r>
      </m:oMath>
      <w:r w:rsidR="00BD2329" w:rsidRPr="009059A9">
        <w:rPr>
          <w:rFonts w:eastAsia="Times New Roman" w:cs="Times New Roman"/>
          <w:szCs w:val="28"/>
          <w:lang w:eastAsia="lv-LV"/>
        </w:rPr>
        <w:t xml:space="preserve">tiek noteikts atbilstoši šā pielikuma 9. tabulā minētajām līmeņatzīmēm, pieskaitot </w:t>
      </w:r>
      <w:r w:rsidR="00BD2329" w:rsidRPr="009059A9">
        <w:rPr>
          <w:rFonts w:cs="Times New Roman"/>
          <w:szCs w:val="28"/>
          <w:shd w:val="clear" w:color="auto" w:fill="FFFFFF"/>
        </w:rPr>
        <w:t>dabasgāzes cenas diferencēšanas koeficientu k</w:t>
      </w:r>
      <w:r w:rsidR="00BD2329" w:rsidRPr="009059A9">
        <w:rPr>
          <w:rFonts w:cs="Times New Roman"/>
          <w:szCs w:val="28"/>
          <w:shd w:val="clear" w:color="auto" w:fill="FFFFFF"/>
          <w:vertAlign w:val="subscript"/>
        </w:rPr>
        <w:t xml:space="preserve">g </w:t>
      </w:r>
      <w:r w:rsidR="00BD2329" w:rsidRPr="009059A9">
        <w:rPr>
          <w:rFonts w:cs="Times New Roman"/>
          <w:szCs w:val="28"/>
          <w:shd w:val="clear" w:color="auto" w:fill="FFFFFF"/>
        </w:rPr>
        <w:t xml:space="preserve">(6.pielikums) </w:t>
      </w:r>
      <w:r w:rsidR="00BD2329" w:rsidRPr="009059A9">
        <w:rPr>
          <w:rFonts w:eastAsia="Times New Roman" w:cs="Times New Roman"/>
          <w:szCs w:val="28"/>
          <w:lang w:eastAsia="lv-LV"/>
        </w:rPr>
        <w:t>atkarībā no koģenerācijas elektrostacijā uzstādītās elektriskās jaudas</w:t>
      </w:r>
      <w:r w:rsidR="00E96639">
        <w:rPr>
          <w:rFonts w:eastAsia="Times New Roman" w:cs="Times New Roman"/>
          <w:szCs w:val="28"/>
          <w:lang w:eastAsia="lv-LV"/>
        </w:rPr>
        <w:t>,</w:t>
      </w:r>
      <w:r w:rsidR="00E96639" w:rsidRPr="00E96639">
        <w:rPr>
          <w:rFonts w:eastAsia="Times New Roman" w:cs="Times New Roman"/>
          <w:szCs w:val="28"/>
          <w:lang w:eastAsia="lv-LV"/>
        </w:rPr>
        <w:t xml:space="preserve"> </w:t>
      </w:r>
      <w:r w:rsidR="00E96639" w:rsidRPr="009059A9">
        <w:rPr>
          <w:rFonts w:eastAsia="Times New Roman" w:cs="Times New Roman"/>
          <w:szCs w:val="28"/>
          <w:lang w:eastAsia="lv-LV"/>
        </w:rPr>
        <w:t>kas norādīta līgumā ar publisko tirgotāju</w:t>
      </w:r>
      <w:r w:rsidR="00734B1B">
        <w:rPr>
          <w:rFonts w:eastAsia="Times New Roman" w:cs="Times New Roman"/>
          <w:szCs w:val="28"/>
          <w:lang w:eastAsia="lv-LV"/>
        </w:rPr>
        <w:t>;</w:t>
      </w:r>
      <w:r w:rsidR="00DC2464" w:rsidRPr="009059A9">
        <w:rPr>
          <w:rFonts w:eastAsia="Times New Roman" w:cs="Times New Roman"/>
          <w:szCs w:val="28"/>
          <w:lang w:eastAsia="lv-LV"/>
        </w:rPr>
        <w:t>”</w:t>
      </w:r>
      <w:r w:rsidR="00BD2329" w:rsidRPr="009059A9">
        <w:rPr>
          <w:rFonts w:eastAsia="Times New Roman" w:cs="Times New Roman"/>
          <w:szCs w:val="28"/>
          <w:lang w:eastAsia="lv-LV"/>
        </w:rPr>
        <w:t>.</w:t>
      </w:r>
    </w:p>
    <w:p w14:paraId="5EAC9287" w14:textId="207D1F57" w:rsidR="00F15C7D" w:rsidRDefault="004566D1" w:rsidP="00F15C7D">
      <w:pPr>
        <w:shd w:val="clear" w:color="auto" w:fill="FFFFFF"/>
        <w:jc w:val="both"/>
        <w:rPr>
          <w:rFonts w:eastAsia="Times New Roman" w:cs="Times New Roman"/>
          <w:szCs w:val="28"/>
          <w:lang w:eastAsia="lv-LV"/>
        </w:rPr>
      </w:pPr>
      <w:r>
        <w:rPr>
          <w:rFonts w:eastAsia="Times New Roman" w:cs="Times New Roman"/>
          <w:szCs w:val="28"/>
          <w:lang w:eastAsia="lv-LV"/>
        </w:rPr>
        <w:t>1.</w:t>
      </w:r>
      <w:r w:rsidR="00DF5FF0">
        <w:rPr>
          <w:rFonts w:eastAsia="Times New Roman" w:cs="Times New Roman"/>
          <w:szCs w:val="28"/>
          <w:lang w:eastAsia="lv-LV"/>
        </w:rPr>
        <w:t>1</w:t>
      </w:r>
      <w:r w:rsidR="006C2E81">
        <w:rPr>
          <w:rFonts w:eastAsia="Times New Roman" w:cs="Times New Roman"/>
          <w:szCs w:val="28"/>
          <w:lang w:eastAsia="lv-LV"/>
        </w:rPr>
        <w:t>8</w:t>
      </w:r>
      <w:r w:rsidR="00DF5FF0">
        <w:rPr>
          <w:rFonts w:eastAsia="Times New Roman" w:cs="Times New Roman"/>
          <w:szCs w:val="28"/>
          <w:lang w:eastAsia="lv-LV"/>
        </w:rPr>
        <w:t xml:space="preserve">. Izteikt 8.pielikuma </w:t>
      </w:r>
      <w:r w:rsidR="00F15C7D">
        <w:rPr>
          <w:rFonts w:eastAsia="Times New Roman" w:cs="Times New Roman"/>
          <w:szCs w:val="28"/>
          <w:lang w:eastAsia="lv-LV"/>
        </w:rPr>
        <w:t>9.tabulu šādā redakcijā:</w:t>
      </w:r>
    </w:p>
    <w:p w14:paraId="2A412BD8" w14:textId="09FDBB14" w:rsidR="00F15C7D" w:rsidRPr="00F15C7D" w:rsidRDefault="00F15C7D" w:rsidP="00F15C7D">
      <w:pPr>
        <w:shd w:val="clear" w:color="auto" w:fill="FFFFFF"/>
        <w:jc w:val="center"/>
        <w:rPr>
          <w:rFonts w:eastAsia="Times New Roman" w:cs="Times New Roman"/>
          <w:szCs w:val="28"/>
          <w:lang w:eastAsia="lv-LV"/>
        </w:rPr>
      </w:pPr>
      <w:r>
        <w:rPr>
          <w:rFonts w:eastAsia="Times New Roman" w:cs="Times New Roman"/>
          <w:szCs w:val="28"/>
          <w:lang w:eastAsia="lv-LV"/>
        </w:rPr>
        <w:t>“</w:t>
      </w:r>
      <w:r w:rsidRPr="00F15C7D">
        <w:rPr>
          <w:rFonts w:cs="Times New Roman"/>
          <w:b/>
          <w:bCs/>
          <w:sz w:val="24"/>
          <w:szCs w:val="24"/>
        </w:rPr>
        <w:t xml:space="preserve">Dabasgāzes tirdzniecības cenas </w:t>
      </w:r>
      <w:proofErr w:type="spellStart"/>
      <w:r w:rsidRPr="00F15C7D">
        <w:rPr>
          <w:rFonts w:cs="Times New Roman"/>
          <w:b/>
          <w:bCs/>
          <w:sz w:val="24"/>
          <w:szCs w:val="24"/>
        </w:rPr>
        <w:t>līmeņatzīmes</w:t>
      </w:r>
      <w:proofErr w:type="spellEnd"/>
    </w:p>
    <w:tbl>
      <w:tblPr>
        <w:tblW w:w="4944"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058"/>
        <w:gridCol w:w="737"/>
        <w:gridCol w:w="738"/>
        <w:gridCol w:w="738"/>
        <w:gridCol w:w="738"/>
        <w:gridCol w:w="738"/>
        <w:gridCol w:w="738"/>
        <w:gridCol w:w="738"/>
        <w:gridCol w:w="731"/>
      </w:tblGrid>
      <w:tr w:rsidR="00F15C7D" w:rsidRPr="00F15C7D" w14:paraId="4BDF3FD3" w14:textId="78894C4B" w:rsidTr="00F15C7D">
        <w:trPr>
          <w:trHeight w:val="15"/>
        </w:trPr>
        <w:tc>
          <w:tcPr>
            <w:tcW w:w="1708" w:type="pct"/>
            <w:tcBorders>
              <w:top w:val="outset" w:sz="6" w:space="0" w:color="414142"/>
              <w:left w:val="outset" w:sz="6" w:space="0" w:color="414142"/>
              <w:bottom w:val="outset" w:sz="6" w:space="0" w:color="414142"/>
              <w:right w:val="outset" w:sz="6" w:space="0" w:color="414142"/>
            </w:tcBorders>
            <w:shd w:val="clear" w:color="auto" w:fill="FFFFFF"/>
            <w:hideMark/>
          </w:tcPr>
          <w:p w14:paraId="213BD284" w14:textId="77777777" w:rsidR="00F15C7D" w:rsidRPr="00F15C7D" w:rsidRDefault="00F15C7D" w:rsidP="00F15C7D">
            <w:pPr>
              <w:rPr>
                <w:rFonts w:eastAsia="Times New Roman" w:cs="Times New Roman"/>
                <w:b/>
                <w:bCs/>
                <w:sz w:val="24"/>
                <w:szCs w:val="24"/>
                <w:lang w:eastAsia="lv-LV"/>
              </w:rPr>
            </w:pPr>
            <w:r w:rsidRPr="00F15C7D">
              <w:rPr>
                <w:rFonts w:eastAsia="Times New Roman" w:cs="Times New Roman"/>
                <w:b/>
                <w:bCs/>
                <w:sz w:val="24"/>
                <w:szCs w:val="24"/>
                <w:lang w:eastAsia="lv-LV"/>
              </w:rPr>
              <w:t>Gads</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14:paraId="391C73E6" w14:textId="77777777" w:rsidR="00F15C7D" w:rsidRPr="00F15C7D" w:rsidRDefault="00F15C7D" w:rsidP="00F15C7D">
            <w:pPr>
              <w:jc w:val="center"/>
              <w:rPr>
                <w:rFonts w:eastAsia="Times New Roman" w:cs="Times New Roman"/>
                <w:b/>
                <w:bCs/>
                <w:sz w:val="24"/>
                <w:szCs w:val="24"/>
                <w:lang w:eastAsia="lv-LV"/>
              </w:rPr>
            </w:pPr>
            <w:r w:rsidRPr="00F15C7D">
              <w:rPr>
                <w:rFonts w:eastAsia="Times New Roman" w:cs="Times New Roman"/>
                <w:b/>
                <w:bCs/>
                <w:sz w:val="24"/>
                <w:szCs w:val="24"/>
                <w:lang w:eastAsia="lv-LV"/>
              </w:rPr>
              <w:t>2017.</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14:paraId="13971B2B" w14:textId="77777777" w:rsidR="00F15C7D" w:rsidRPr="00F15C7D" w:rsidRDefault="00F15C7D" w:rsidP="00F15C7D">
            <w:pPr>
              <w:jc w:val="center"/>
              <w:rPr>
                <w:rFonts w:eastAsia="Times New Roman" w:cs="Times New Roman"/>
                <w:b/>
                <w:bCs/>
                <w:sz w:val="24"/>
                <w:szCs w:val="24"/>
                <w:lang w:eastAsia="lv-LV"/>
              </w:rPr>
            </w:pPr>
            <w:r w:rsidRPr="00F15C7D">
              <w:rPr>
                <w:rFonts w:eastAsia="Times New Roman" w:cs="Times New Roman"/>
                <w:b/>
                <w:bCs/>
                <w:sz w:val="24"/>
                <w:szCs w:val="24"/>
                <w:lang w:eastAsia="lv-LV"/>
              </w:rPr>
              <w:t>2018.</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14:paraId="26FA0794" w14:textId="77777777" w:rsidR="00F15C7D" w:rsidRPr="00F15C7D" w:rsidRDefault="00F15C7D" w:rsidP="00F15C7D">
            <w:pPr>
              <w:jc w:val="center"/>
              <w:rPr>
                <w:rFonts w:eastAsia="Times New Roman" w:cs="Times New Roman"/>
                <w:b/>
                <w:bCs/>
                <w:sz w:val="24"/>
                <w:szCs w:val="24"/>
                <w:lang w:eastAsia="lv-LV"/>
              </w:rPr>
            </w:pPr>
            <w:r w:rsidRPr="00F15C7D">
              <w:rPr>
                <w:rFonts w:eastAsia="Times New Roman" w:cs="Times New Roman"/>
                <w:b/>
                <w:bCs/>
                <w:sz w:val="24"/>
                <w:szCs w:val="24"/>
                <w:lang w:eastAsia="lv-LV"/>
              </w:rPr>
              <w:t>2019.</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14:paraId="61019321" w14:textId="77777777" w:rsidR="00F15C7D" w:rsidRPr="00F15C7D" w:rsidRDefault="00F15C7D" w:rsidP="00F15C7D">
            <w:pPr>
              <w:jc w:val="center"/>
              <w:rPr>
                <w:rFonts w:eastAsia="Times New Roman" w:cs="Times New Roman"/>
                <w:b/>
                <w:bCs/>
                <w:sz w:val="24"/>
                <w:szCs w:val="24"/>
                <w:lang w:eastAsia="lv-LV"/>
              </w:rPr>
            </w:pPr>
            <w:r w:rsidRPr="00F15C7D">
              <w:rPr>
                <w:rFonts w:eastAsia="Times New Roman" w:cs="Times New Roman"/>
                <w:b/>
                <w:bCs/>
                <w:sz w:val="24"/>
                <w:szCs w:val="24"/>
                <w:lang w:eastAsia="lv-LV"/>
              </w:rPr>
              <w:t>2020.</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14:paraId="14763514" w14:textId="77777777" w:rsidR="00F15C7D" w:rsidRPr="00F15C7D" w:rsidRDefault="00F15C7D" w:rsidP="00F15C7D">
            <w:pPr>
              <w:jc w:val="center"/>
              <w:rPr>
                <w:rFonts w:eastAsia="Times New Roman" w:cs="Times New Roman"/>
                <w:b/>
                <w:bCs/>
                <w:sz w:val="24"/>
                <w:szCs w:val="24"/>
                <w:lang w:eastAsia="lv-LV"/>
              </w:rPr>
            </w:pPr>
            <w:r w:rsidRPr="00F15C7D">
              <w:rPr>
                <w:rFonts w:eastAsia="Times New Roman" w:cs="Times New Roman"/>
                <w:b/>
                <w:bCs/>
                <w:sz w:val="24"/>
                <w:szCs w:val="24"/>
                <w:lang w:eastAsia="lv-LV"/>
              </w:rPr>
              <w:t>2021.</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14:paraId="15DEFCD0" w14:textId="77777777" w:rsidR="00F15C7D" w:rsidRPr="00F15C7D" w:rsidRDefault="00F15C7D" w:rsidP="00F15C7D">
            <w:pPr>
              <w:jc w:val="center"/>
              <w:rPr>
                <w:rFonts w:eastAsia="Times New Roman" w:cs="Times New Roman"/>
                <w:b/>
                <w:bCs/>
                <w:sz w:val="24"/>
                <w:szCs w:val="24"/>
                <w:lang w:eastAsia="lv-LV"/>
              </w:rPr>
            </w:pPr>
            <w:r w:rsidRPr="00F15C7D">
              <w:rPr>
                <w:rFonts w:eastAsia="Times New Roman" w:cs="Times New Roman"/>
                <w:b/>
                <w:bCs/>
                <w:sz w:val="24"/>
                <w:szCs w:val="24"/>
                <w:lang w:eastAsia="lv-LV"/>
              </w:rPr>
              <w:t>2022.</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14:paraId="2695620C" w14:textId="77777777" w:rsidR="00F15C7D" w:rsidRPr="00F15C7D" w:rsidRDefault="00F15C7D" w:rsidP="00F15C7D">
            <w:pPr>
              <w:jc w:val="center"/>
              <w:rPr>
                <w:rFonts w:eastAsia="Times New Roman" w:cs="Times New Roman"/>
                <w:b/>
                <w:bCs/>
                <w:sz w:val="24"/>
                <w:szCs w:val="24"/>
                <w:lang w:eastAsia="lv-LV"/>
              </w:rPr>
            </w:pPr>
            <w:r w:rsidRPr="00F15C7D">
              <w:rPr>
                <w:rFonts w:eastAsia="Times New Roman" w:cs="Times New Roman"/>
                <w:b/>
                <w:bCs/>
                <w:sz w:val="24"/>
                <w:szCs w:val="24"/>
                <w:lang w:eastAsia="lv-LV"/>
              </w:rPr>
              <w:t>2023.</w:t>
            </w:r>
          </w:p>
        </w:tc>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4640D76D" w14:textId="062B354E" w:rsidR="00F15C7D" w:rsidRPr="00F15C7D" w:rsidRDefault="00F15C7D" w:rsidP="00F15C7D">
            <w:pPr>
              <w:jc w:val="center"/>
              <w:rPr>
                <w:rFonts w:eastAsia="Times New Roman" w:cs="Times New Roman"/>
                <w:b/>
                <w:bCs/>
                <w:sz w:val="24"/>
                <w:szCs w:val="24"/>
                <w:lang w:eastAsia="lv-LV"/>
              </w:rPr>
            </w:pPr>
            <w:r w:rsidRPr="00F15C7D">
              <w:rPr>
                <w:rFonts w:eastAsia="Times New Roman" w:cs="Times New Roman"/>
                <w:b/>
                <w:bCs/>
                <w:sz w:val="24"/>
                <w:szCs w:val="24"/>
                <w:lang w:eastAsia="lv-LV"/>
              </w:rPr>
              <w:t>2024.</w:t>
            </w:r>
          </w:p>
        </w:tc>
      </w:tr>
      <w:tr w:rsidR="00F15C7D" w:rsidRPr="00F15C7D" w14:paraId="662DB8AC" w14:textId="409545F1" w:rsidTr="00F15C7D">
        <w:trPr>
          <w:trHeight w:val="15"/>
        </w:trPr>
        <w:tc>
          <w:tcPr>
            <w:tcW w:w="1708" w:type="pct"/>
            <w:tcBorders>
              <w:top w:val="outset" w:sz="6" w:space="0" w:color="414142"/>
              <w:left w:val="outset" w:sz="6" w:space="0" w:color="414142"/>
              <w:bottom w:val="outset" w:sz="6" w:space="0" w:color="414142"/>
              <w:right w:val="outset" w:sz="6" w:space="0" w:color="414142"/>
            </w:tcBorders>
            <w:shd w:val="clear" w:color="auto" w:fill="FFFFFF"/>
            <w:hideMark/>
          </w:tcPr>
          <w:p w14:paraId="4EA056D8" w14:textId="77777777" w:rsidR="00F15C7D" w:rsidRPr="00F15C7D" w:rsidRDefault="00F15C7D" w:rsidP="00F15C7D">
            <w:pPr>
              <w:rPr>
                <w:rFonts w:eastAsia="Times New Roman" w:cs="Times New Roman"/>
                <w:sz w:val="24"/>
                <w:szCs w:val="24"/>
                <w:lang w:eastAsia="lv-LV"/>
              </w:rPr>
            </w:pPr>
            <w:r w:rsidRPr="00F15C7D">
              <w:rPr>
                <w:rFonts w:eastAsia="Times New Roman" w:cs="Times New Roman"/>
                <w:sz w:val="24"/>
                <w:szCs w:val="24"/>
                <w:lang w:eastAsia="lv-LV"/>
              </w:rPr>
              <w:t>Prognozētā gada vidējā dabasgāzes tirdzniecības cena, EUR/tūkst. n. m</w:t>
            </w:r>
            <w:r w:rsidRPr="00F15C7D">
              <w:rPr>
                <w:rFonts w:eastAsia="Times New Roman" w:cs="Times New Roman"/>
                <w:sz w:val="24"/>
                <w:szCs w:val="24"/>
                <w:vertAlign w:val="superscript"/>
                <w:lang w:eastAsia="lv-LV"/>
              </w:rPr>
              <w:t>3</w:t>
            </w:r>
            <w:r w:rsidRPr="00F15C7D">
              <w:rPr>
                <w:rFonts w:eastAsia="Times New Roman" w:cs="Times New Roman"/>
                <w:sz w:val="24"/>
                <w:szCs w:val="24"/>
                <w:lang w:eastAsia="lv-LV"/>
              </w:rPr>
              <w:t> (bez PVN)</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14:paraId="793CC394" w14:textId="35E2B6EF" w:rsidR="00F15C7D" w:rsidRPr="00F15C7D" w:rsidRDefault="00F15C7D" w:rsidP="00F15C7D">
            <w:pPr>
              <w:jc w:val="center"/>
              <w:rPr>
                <w:rFonts w:eastAsia="Times New Roman" w:cs="Times New Roman"/>
                <w:sz w:val="24"/>
                <w:szCs w:val="24"/>
                <w:lang w:eastAsia="lv-LV"/>
              </w:rPr>
            </w:pPr>
            <w:r>
              <w:rPr>
                <w:rFonts w:eastAsia="Times New Roman" w:cs="Times New Roman"/>
                <w:sz w:val="24"/>
                <w:szCs w:val="24"/>
                <w:lang w:eastAsia="lv-LV"/>
              </w:rPr>
              <w:t>184,97</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14:paraId="2B280891" w14:textId="77777777" w:rsidR="00F15C7D" w:rsidRPr="00F15C7D" w:rsidRDefault="00F15C7D" w:rsidP="00F15C7D">
            <w:pPr>
              <w:jc w:val="center"/>
              <w:rPr>
                <w:rFonts w:eastAsia="Times New Roman" w:cs="Times New Roman"/>
                <w:sz w:val="24"/>
                <w:szCs w:val="24"/>
                <w:lang w:eastAsia="lv-LV"/>
              </w:rPr>
            </w:pPr>
            <w:r w:rsidRPr="00F15C7D">
              <w:rPr>
                <w:rFonts w:eastAsia="Times New Roman" w:cs="Times New Roman"/>
                <w:sz w:val="24"/>
                <w:szCs w:val="24"/>
                <w:lang w:eastAsia="lv-LV"/>
              </w:rPr>
              <w:t>185,8</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14:paraId="39DD69A2" w14:textId="77777777" w:rsidR="00F15C7D" w:rsidRPr="00F15C7D" w:rsidRDefault="00F15C7D" w:rsidP="00F15C7D">
            <w:pPr>
              <w:jc w:val="center"/>
              <w:rPr>
                <w:rFonts w:eastAsia="Times New Roman" w:cs="Times New Roman"/>
                <w:sz w:val="24"/>
                <w:szCs w:val="24"/>
                <w:lang w:eastAsia="lv-LV"/>
              </w:rPr>
            </w:pPr>
            <w:r w:rsidRPr="00F15C7D">
              <w:rPr>
                <w:rFonts w:eastAsia="Times New Roman" w:cs="Times New Roman"/>
                <w:sz w:val="24"/>
                <w:szCs w:val="24"/>
                <w:lang w:eastAsia="lv-LV"/>
              </w:rPr>
              <w:t>193,1</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14:paraId="7E2A4636" w14:textId="77777777" w:rsidR="00F15C7D" w:rsidRPr="00F15C7D" w:rsidRDefault="00F15C7D" w:rsidP="00F15C7D">
            <w:pPr>
              <w:jc w:val="center"/>
              <w:rPr>
                <w:rFonts w:eastAsia="Times New Roman" w:cs="Times New Roman"/>
                <w:sz w:val="24"/>
                <w:szCs w:val="24"/>
                <w:lang w:eastAsia="lv-LV"/>
              </w:rPr>
            </w:pPr>
            <w:r w:rsidRPr="00F15C7D">
              <w:rPr>
                <w:rFonts w:eastAsia="Times New Roman" w:cs="Times New Roman"/>
                <w:sz w:val="24"/>
                <w:szCs w:val="24"/>
                <w:lang w:eastAsia="lv-LV"/>
              </w:rPr>
              <w:t>199,7</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14:paraId="36D48811" w14:textId="77777777" w:rsidR="00F15C7D" w:rsidRPr="00F15C7D" w:rsidRDefault="00F15C7D" w:rsidP="00F15C7D">
            <w:pPr>
              <w:jc w:val="center"/>
              <w:rPr>
                <w:rFonts w:eastAsia="Times New Roman" w:cs="Times New Roman"/>
                <w:sz w:val="24"/>
                <w:szCs w:val="24"/>
                <w:lang w:eastAsia="lv-LV"/>
              </w:rPr>
            </w:pPr>
            <w:r w:rsidRPr="00F15C7D">
              <w:rPr>
                <w:rFonts w:eastAsia="Times New Roman" w:cs="Times New Roman"/>
                <w:sz w:val="24"/>
                <w:szCs w:val="24"/>
                <w:lang w:eastAsia="lv-LV"/>
              </w:rPr>
              <w:t>205,4</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14:paraId="1274D729" w14:textId="77777777" w:rsidR="00F15C7D" w:rsidRPr="00F15C7D" w:rsidRDefault="00F15C7D" w:rsidP="00F15C7D">
            <w:pPr>
              <w:jc w:val="center"/>
              <w:rPr>
                <w:rFonts w:eastAsia="Times New Roman" w:cs="Times New Roman"/>
                <w:sz w:val="24"/>
                <w:szCs w:val="24"/>
                <w:lang w:eastAsia="lv-LV"/>
              </w:rPr>
            </w:pPr>
            <w:r w:rsidRPr="00F15C7D">
              <w:rPr>
                <w:rFonts w:eastAsia="Times New Roman" w:cs="Times New Roman"/>
                <w:sz w:val="24"/>
                <w:szCs w:val="24"/>
                <w:lang w:eastAsia="lv-LV"/>
              </w:rPr>
              <w:t>210,4</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14:paraId="276EF159" w14:textId="77777777" w:rsidR="00F15C7D" w:rsidRPr="00F15C7D" w:rsidRDefault="00F15C7D" w:rsidP="00F15C7D">
            <w:pPr>
              <w:jc w:val="center"/>
              <w:rPr>
                <w:rFonts w:eastAsia="Times New Roman" w:cs="Times New Roman"/>
                <w:sz w:val="24"/>
                <w:szCs w:val="24"/>
                <w:lang w:eastAsia="lv-LV"/>
              </w:rPr>
            </w:pPr>
            <w:r w:rsidRPr="00F15C7D">
              <w:rPr>
                <w:rFonts w:eastAsia="Times New Roman" w:cs="Times New Roman"/>
                <w:sz w:val="24"/>
                <w:szCs w:val="24"/>
                <w:lang w:eastAsia="lv-LV"/>
              </w:rPr>
              <w:t>210,4</w:t>
            </w:r>
          </w:p>
        </w:tc>
        <w:tc>
          <w:tcPr>
            <w:tcW w:w="412" w:type="pct"/>
            <w:tcBorders>
              <w:top w:val="outset" w:sz="6" w:space="0" w:color="414142"/>
              <w:left w:val="outset" w:sz="6" w:space="0" w:color="414142"/>
              <w:bottom w:val="single" w:sz="4" w:space="0" w:color="auto"/>
              <w:right w:val="outset" w:sz="6" w:space="0" w:color="414142"/>
            </w:tcBorders>
            <w:shd w:val="clear" w:color="auto" w:fill="FFFFFF"/>
          </w:tcPr>
          <w:p w14:paraId="39A9041F" w14:textId="42A8948D" w:rsidR="00F15C7D" w:rsidRPr="00F15C7D" w:rsidRDefault="00F15C7D" w:rsidP="00F15C7D">
            <w:pPr>
              <w:jc w:val="center"/>
              <w:rPr>
                <w:rFonts w:eastAsia="Times New Roman" w:cs="Times New Roman"/>
                <w:sz w:val="24"/>
                <w:szCs w:val="24"/>
                <w:lang w:eastAsia="lv-LV"/>
              </w:rPr>
            </w:pPr>
            <w:r w:rsidRPr="00F15C7D">
              <w:rPr>
                <w:rFonts w:eastAsia="Times New Roman" w:cs="Times New Roman"/>
                <w:sz w:val="24"/>
                <w:szCs w:val="24"/>
                <w:lang w:eastAsia="lv-LV"/>
              </w:rPr>
              <w:t>210,4</w:t>
            </w:r>
          </w:p>
        </w:tc>
      </w:tr>
      <w:tr w:rsidR="00F15C7D" w:rsidRPr="00F15C7D" w14:paraId="5B04F916" w14:textId="77777777" w:rsidTr="00F15C7D">
        <w:trPr>
          <w:trHeight w:val="15"/>
        </w:trPr>
        <w:tc>
          <w:tcPr>
            <w:tcW w:w="1708" w:type="pct"/>
            <w:tcBorders>
              <w:top w:val="outset" w:sz="6" w:space="0" w:color="414142"/>
              <w:left w:val="outset" w:sz="6" w:space="0" w:color="414142"/>
              <w:bottom w:val="outset" w:sz="6" w:space="0" w:color="414142"/>
              <w:right w:val="outset" w:sz="6" w:space="0" w:color="414142"/>
            </w:tcBorders>
            <w:shd w:val="clear" w:color="auto" w:fill="FFFFFF"/>
            <w:hideMark/>
          </w:tcPr>
          <w:p w14:paraId="03129A6B" w14:textId="77777777" w:rsidR="00F15C7D" w:rsidRPr="00F15C7D" w:rsidRDefault="00F15C7D" w:rsidP="00F15C7D">
            <w:pPr>
              <w:rPr>
                <w:rFonts w:eastAsia="Times New Roman" w:cs="Times New Roman"/>
                <w:b/>
                <w:bCs/>
                <w:sz w:val="24"/>
                <w:szCs w:val="24"/>
                <w:lang w:eastAsia="lv-LV"/>
              </w:rPr>
            </w:pPr>
            <w:r w:rsidRPr="00F15C7D">
              <w:rPr>
                <w:rFonts w:eastAsia="Times New Roman" w:cs="Times New Roman"/>
                <w:b/>
                <w:bCs/>
                <w:sz w:val="24"/>
                <w:szCs w:val="24"/>
                <w:lang w:eastAsia="lv-LV"/>
              </w:rPr>
              <w:t>Gads</w:t>
            </w:r>
          </w:p>
        </w:tc>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7BBABEFA" w14:textId="58CE5DC3" w:rsidR="00F15C7D" w:rsidRPr="00F15C7D" w:rsidRDefault="00F15C7D" w:rsidP="00F15C7D">
            <w:pPr>
              <w:jc w:val="center"/>
              <w:rPr>
                <w:rFonts w:eastAsia="Times New Roman" w:cs="Times New Roman"/>
                <w:b/>
                <w:bCs/>
                <w:sz w:val="24"/>
                <w:szCs w:val="24"/>
                <w:lang w:eastAsia="lv-LV"/>
              </w:rPr>
            </w:pPr>
            <w:r w:rsidRPr="00F15C7D">
              <w:rPr>
                <w:rFonts w:eastAsia="Times New Roman" w:cs="Times New Roman"/>
                <w:b/>
                <w:bCs/>
                <w:sz w:val="24"/>
                <w:szCs w:val="24"/>
                <w:lang w:eastAsia="lv-LV"/>
              </w:rPr>
              <w:t>2025.</w:t>
            </w:r>
          </w:p>
        </w:tc>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463D814C" w14:textId="7FEFF5C0" w:rsidR="00F15C7D" w:rsidRPr="00F15C7D" w:rsidRDefault="00F15C7D" w:rsidP="00F15C7D">
            <w:pPr>
              <w:jc w:val="center"/>
              <w:rPr>
                <w:rFonts w:eastAsia="Times New Roman" w:cs="Times New Roman"/>
                <w:b/>
                <w:bCs/>
                <w:sz w:val="24"/>
                <w:szCs w:val="24"/>
                <w:lang w:eastAsia="lv-LV"/>
              </w:rPr>
            </w:pPr>
            <w:r w:rsidRPr="00F15C7D">
              <w:rPr>
                <w:rFonts w:eastAsia="Times New Roman" w:cs="Times New Roman"/>
                <w:b/>
                <w:bCs/>
                <w:sz w:val="24"/>
                <w:szCs w:val="24"/>
                <w:lang w:eastAsia="lv-LV"/>
              </w:rPr>
              <w:t>2026.</w:t>
            </w:r>
          </w:p>
        </w:tc>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4096108F" w14:textId="33B3C6E1" w:rsidR="00F15C7D" w:rsidRPr="00F15C7D" w:rsidRDefault="00F15C7D" w:rsidP="00F15C7D">
            <w:pPr>
              <w:jc w:val="center"/>
              <w:rPr>
                <w:rFonts w:eastAsia="Times New Roman" w:cs="Times New Roman"/>
                <w:b/>
                <w:bCs/>
                <w:sz w:val="24"/>
                <w:szCs w:val="24"/>
                <w:lang w:eastAsia="lv-LV"/>
              </w:rPr>
            </w:pPr>
            <w:r w:rsidRPr="00F15C7D">
              <w:rPr>
                <w:rFonts w:eastAsia="Times New Roman" w:cs="Times New Roman"/>
                <w:b/>
                <w:bCs/>
                <w:sz w:val="24"/>
                <w:szCs w:val="24"/>
                <w:lang w:eastAsia="lv-LV"/>
              </w:rPr>
              <w:t>2027.</w:t>
            </w:r>
          </w:p>
        </w:tc>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58061085" w14:textId="12E17098" w:rsidR="00F15C7D" w:rsidRPr="00F15C7D" w:rsidRDefault="00F15C7D" w:rsidP="00F15C7D">
            <w:pPr>
              <w:jc w:val="center"/>
              <w:rPr>
                <w:rFonts w:eastAsia="Times New Roman" w:cs="Times New Roman"/>
                <w:b/>
                <w:bCs/>
                <w:sz w:val="24"/>
                <w:szCs w:val="24"/>
                <w:lang w:eastAsia="lv-LV"/>
              </w:rPr>
            </w:pPr>
            <w:r w:rsidRPr="00F15C7D">
              <w:rPr>
                <w:rFonts w:eastAsia="Times New Roman" w:cs="Times New Roman"/>
                <w:b/>
                <w:bCs/>
                <w:sz w:val="24"/>
                <w:szCs w:val="24"/>
                <w:lang w:eastAsia="lv-LV"/>
              </w:rPr>
              <w:t>2028.</w:t>
            </w:r>
          </w:p>
        </w:tc>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7BB49E99" w14:textId="6DA93C4D" w:rsidR="00F15C7D" w:rsidRPr="00F15C7D" w:rsidRDefault="00F15C7D" w:rsidP="00F15C7D">
            <w:pPr>
              <w:jc w:val="center"/>
              <w:rPr>
                <w:rFonts w:eastAsia="Times New Roman" w:cs="Times New Roman"/>
                <w:b/>
                <w:bCs/>
                <w:sz w:val="24"/>
                <w:szCs w:val="24"/>
                <w:lang w:eastAsia="lv-LV"/>
              </w:rPr>
            </w:pPr>
            <w:r w:rsidRPr="00F15C7D">
              <w:rPr>
                <w:rFonts w:eastAsia="Times New Roman" w:cs="Times New Roman"/>
                <w:b/>
                <w:bCs/>
                <w:sz w:val="24"/>
                <w:szCs w:val="24"/>
                <w:lang w:eastAsia="lv-LV"/>
              </w:rPr>
              <w:t>2029.</w:t>
            </w:r>
          </w:p>
        </w:tc>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5B353D14" w14:textId="107B41F3" w:rsidR="00F15C7D" w:rsidRPr="00F15C7D" w:rsidRDefault="00F15C7D" w:rsidP="00F15C7D">
            <w:pPr>
              <w:jc w:val="center"/>
              <w:rPr>
                <w:rFonts w:eastAsia="Times New Roman" w:cs="Times New Roman"/>
                <w:b/>
                <w:bCs/>
                <w:sz w:val="24"/>
                <w:szCs w:val="24"/>
                <w:lang w:eastAsia="lv-LV"/>
              </w:rPr>
            </w:pPr>
            <w:r w:rsidRPr="00F15C7D">
              <w:rPr>
                <w:rFonts w:eastAsia="Times New Roman" w:cs="Times New Roman"/>
                <w:b/>
                <w:bCs/>
                <w:sz w:val="24"/>
                <w:szCs w:val="24"/>
                <w:lang w:eastAsia="lv-LV"/>
              </w:rPr>
              <w:t>2030.</w:t>
            </w:r>
          </w:p>
        </w:tc>
        <w:tc>
          <w:tcPr>
            <w:tcW w:w="412" w:type="pct"/>
            <w:tcBorders>
              <w:top w:val="outset" w:sz="6" w:space="0" w:color="414142"/>
              <w:left w:val="outset" w:sz="6" w:space="0" w:color="414142"/>
              <w:bottom w:val="outset" w:sz="6" w:space="0" w:color="414142"/>
              <w:right w:val="single" w:sz="4" w:space="0" w:color="auto"/>
            </w:tcBorders>
            <w:shd w:val="clear" w:color="auto" w:fill="FFFFFF"/>
          </w:tcPr>
          <w:p w14:paraId="24751EE1" w14:textId="16B15438" w:rsidR="00F15C7D" w:rsidRPr="00F15C7D" w:rsidRDefault="00F15C7D" w:rsidP="00F15C7D">
            <w:pPr>
              <w:jc w:val="center"/>
              <w:rPr>
                <w:rFonts w:eastAsia="Times New Roman" w:cs="Times New Roman"/>
                <w:b/>
                <w:bCs/>
                <w:sz w:val="24"/>
                <w:szCs w:val="24"/>
                <w:lang w:eastAsia="lv-LV"/>
              </w:rPr>
            </w:pPr>
            <w:r w:rsidRPr="00F15C7D">
              <w:rPr>
                <w:rFonts w:eastAsia="Times New Roman" w:cs="Times New Roman"/>
                <w:b/>
                <w:bCs/>
                <w:sz w:val="24"/>
                <w:szCs w:val="24"/>
                <w:lang w:eastAsia="lv-LV"/>
              </w:rPr>
              <w:t>2031.</w:t>
            </w:r>
          </w:p>
        </w:tc>
        <w:tc>
          <w:tcPr>
            <w:tcW w:w="412" w:type="pct"/>
            <w:tcBorders>
              <w:top w:val="single" w:sz="4" w:space="0" w:color="auto"/>
              <w:left w:val="single" w:sz="4" w:space="0" w:color="auto"/>
              <w:bottom w:val="nil"/>
              <w:right w:val="nil"/>
            </w:tcBorders>
            <w:shd w:val="clear" w:color="auto" w:fill="FFFFFF"/>
          </w:tcPr>
          <w:p w14:paraId="0FAC63A0" w14:textId="77777777" w:rsidR="00F15C7D" w:rsidRPr="00F15C7D" w:rsidRDefault="00F15C7D" w:rsidP="00F15C7D">
            <w:pPr>
              <w:jc w:val="center"/>
              <w:rPr>
                <w:rFonts w:eastAsia="Times New Roman" w:cs="Times New Roman"/>
                <w:b/>
                <w:bCs/>
                <w:sz w:val="24"/>
                <w:szCs w:val="24"/>
                <w:lang w:eastAsia="lv-LV"/>
              </w:rPr>
            </w:pPr>
          </w:p>
        </w:tc>
      </w:tr>
      <w:tr w:rsidR="00F15C7D" w:rsidRPr="00F15C7D" w14:paraId="29C79275" w14:textId="77777777" w:rsidTr="00F15C7D">
        <w:trPr>
          <w:trHeight w:val="15"/>
        </w:trPr>
        <w:tc>
          <w:tcPr>
            <w:tcW w:w="1708" w:type="pct"/>
            <w:tcBorders>
              <w:top w:val="outset" w:sz="6" w:space="0" w:color="414142"/>
              <w:left w:val="outset" w:sz="6" w:space="0" w:color="414142"/>
              <w:bottom w:val="outset" w:sz="6" w:space="0" w:color="414142"/>
              <w:right w:val="outset" w:sz="6" w:space="0" w:color="414142"/>
            </w:tcBorders>
            <w:shd w:val="clear" w:color="auto" w:fill="FFFFFF"/>
            <w:hideMark/>
          </w:tcPr>
          <w:p w14:paraId="68D4ABFD" w14:textId="77777777" w:rsidR="00F15C7D" w:rsidRPr="00F15C7D" w:rsidRDefault="00F15C7D" w:rsidP="00F15C7D">
            <w:pPr>
              <w:rPr>
                <w:rFonts w:eastAsia="Times New Roman" w:cs="Times New Roman"/>
                <w:sz w:val="24"/>
                <w:szCs w:val="24"/>
                <w:lang w:eastAsia="lv-LV"/>
              </w:rPr>
            </w:pPr>
            <w:r w:rsidRPr="00F15C7D">
              <w:rPr>
                <w:rFonts w:eastAsia="Times New Roman" w:cs="Times New Roman"/>
                <w:sz w:val="24"/>
                <w:szCs w:val="24"/>
                <w:lang w:eastAsia="lv-LV"/>
              </w:rPr>
              <w:t>Prognozētā gada vidējā dabasgāzes tirdzniecības cena, EUR/tūkst. n. m</w:t>
            </w:r>
            <w:r w:rsidRPr="00F15C7D">
              <w:rPr>
                <w:rFonts w:eastAsia="Times New Roman" w:cs="Times New Roman"/>
                <w:sz w:val="24"/>
                <w:szCs w:val="24"/>
                <w:vertAlign w:val="superscript"/>
                <w:lang w:eastAsia="lv-LV"/>
              </w:rPr>
              <w:t>3</w:t>
            </w:r>
            <w:r w:rsidRPr="00F15C7D">
              <w:rPr>
                <w:rFonts w:eastAsia="Times New Roman" w:cs="Times New Roman"/>
                <w:sz w:val="24"/>
                <w:szCs w:val="24"/>
                <w:lang w:eastAsia="lv-LV"/>
              </w:rPr>
              <w:t> (bez PVN)</w:t>
            </w:r>
          </w:p>
        </w:tc>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41D6F16F" w14:textId="639DB103" w:rsidR="00F15C7D" w:rsidRPr="00F15C7D" w:rsidRDefault="00F15C7D" w:rsidP="00F15C7D">
            <w:pPr>
              <w:jc w:val="center"/>
              <w:rPr>
                <w:rFonts w:eastAsia="Times New Roman" w:cs="Times New Roman"/>
                <w:sz w:val="24"/>
                <w:szCs w:val="24"/>
                <w:lang w:eastAsia="lv-LV"/>
              </w:rPr>
            </w:pPr>
            <w:r w:rsidRPr="00F15C7D">
              <w:rPr>
                <w:rFonts w:eastAsia="Times New Roman" w:cs="Times New Roman"/>
                <w:sz w:val="24"/>
                <w:szCs w:val="24"/>
                <w:lang w:eastAsia="lv-LV"/>
              </w:rPr>
              <w:t>210,4</w:t>
            </w:r>
          </w:p>
        </w:tc>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6DF91812" w14:textId="339CA099" w:rsidR="00F15C7D" w:rsidRPr="00F15C7D" w:rsidRDefault="00F15C7D" w:rsidP="00F15C7D">
            <w:pPr>
              <w:jc w:val="center"/>
              <w:rPr>
                <w:rFonts w:eastAsia="Times New Roman" w:cs="Times New Roman"/>
                <w:sz w:val="24"/>
                <w:szCs w:val="24"/>
                <w:lang w:eastAsia="lv-LV"/>
              </w:rPr>
            </w:pPr>
            <w:r w:rsidRPr="00F15C7D">
              <w:rPr>
                <w:rFonts w:eastAsia="Times New Roman" w:cs="Times New Roman"/>
                <w:sz w:val="24"/>
                <w:szCs w:val="24"/>
                <w:lang w:eastAsia="lv-LV"/>
              </w:rPr>
              <w:t>210,4</w:t>
            </w:r>
          </w:p>
        </w:tc>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081D6833" w14:textId="1AC9E5A0" w:rsidR="00F15C7D" w:rsidRPr="00F15C7D" w:rsidRDefault="00F15C7D" w:rsidP="00F15C7D">
            <w:pPr>
              <w:jc w:val="center"/>
              <w:rPr>
                <w:rFonts w:eastAsia="Times New Roman" w:cs="Times New Roman"/>
                <w:sz w:val="24"/>
                <w:szCs w:val="24"/>
                <w:lang w:eastAsia="lv-LV"/>
              </w:rPr>
            </w:pPr>
            <w:r w:rsidRPr="00F15C7D">
              <w:rPr>
                <w:rFonts w:eastAsia="Times New Roman" w:cs="Times New Roman"/>
                <w:sz w:val="24"/>
                <w:szCs w:val="24"/>
                <w:lang w:eastAsia="lv-LV"/>
              </w:rPr>
              <w:t>210,4</w:t>
            </w:r>
          </w:p>
        </w:tc>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6B33112A" w14:textId="4E7AEF02" w:rsidR="00F15C7D" w:rsidRPr="00F15C7D" w:rsidRDefault="00F15C7D" w:rsidP="00F15C7D">
            <w:pPr>
              <w:jc w:val="center"/>
              <w:rPr>
                <w:rFonts w:eastAsia="Times New Roman" w:cs="Times New Roman"/>
                <w:sz w:val="24"/>
                <w:szCs w:val="24"/>
                <w:lang w:eastAsia="lv-LV"/>
              </w:rPr>
            </w:pPr>
            <w:r w:rsidRPr="00F15C7D">
              <w:rPr>
                <w:rFonts w:eastAsia="Times New Roman" w:cs="Times New Roman"/>
                <w:sz w:val="24"/>
                <w:szCs w:val="24"/>
                <w:lang w:eastAsia="lv-LV"/>
              </w:rPr>
              <w:t>210,4</w:t>
            </w:r>
          </w:p>
        </w:tc>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212671A5" w14:textId="5D300F4B" w:rsidR="00F15C7D" w:rsidRPr="00F15C7D" w:rsidRDefault="00F15C7D" w:rsidP="00F15C7D">
            <w:pPr>
              <w:jc w:val="center"/>
              <w:rPr>
                <w:rFonts w:eastAsia="Times New Roman" w:cs="Times New Roman"/>
                <w:sz w:val="24"/>
                <w:szCs w:val="24"/>
                <w:lang w:eastAsia="lv-LV"/>
              </w:rPr>
            </w:pPr>
            <w:r w:rsidRPr="00F15C7D">
              <w:rPr>
                <w:rFonts w:eastAsia="Times New Roman" w:cs="Times New Roman"/>
                <w:sz w:val="24"/>
                <w:szCs w:val="24"/>
                <w:lang w:eastAsia="lv-LV"/>
              </w:rPr>
              <w:t>210,4</w:t>
            </w:r>
          </w:p>
        </w:tc>
        <w:tc>
          <w:tcPr>
            <w:tcW w:w="412" w:type="pct"/>
            <w:tcBorders>
              <w:top w:val="outset" w:sz="6" w:space="0" w:color="414142"/>
              <w:left w:val="outset" w:sz="6" w:space="0" w:color="414142"/>
              <w:bottom w:val="outset" w:sz="6" w:space="0" w:color="414142"/>
              <w:right w:val="outset" w:sz="6" w:space="0" w:color="414142"/>
            </w:tcBorders>
            <w:shd w:val="clear" w:color="auto" w:fill="FFFFFF"/>
          </w:tcPr>
          <w:p w14:paraId="5AE2844E" w14:textId="17C79BD9" w:rsidR="00F15C7D" w:rsidRPr="00F15C7D" w:rsidRDefault="00F15C7D" w:rsidP="00F15C7D">
            <w:pPr>
              <w:jc w:val="center"/>
              <w:rPr>
                <w:rFonts w:eastAsia="Times New Roman" w:cs="Times New Roman"/>
                <w:sz w:val="24"/>
                <w:szCs w:val="24"/>
                <w:lang w:eastAsia="lv-LV"/>
              </w:rPr>
            </w:pPr>
            <w:r w:rsidRPr="00F15C7D">
              <w:rPr>
                <w:rFonts w:eastAsia="Times New Roman" w:cs="Times New Roman"/>
                <w:sz w:val="24"/>
                <w:szCs w:val="24"/>
                <w:lang w:eastAsia="lv-LV"/>
              </w:rPr>
              <w:t>210,4</w:t>
            </w:r>
          </w:p>
        </w:tc>
        <w:tc>
          <w:tcPr>
            <w:tcW w:w="412" w:type="pct"/>
            <w:tcBorders>
              <w:top w:val="outset" w:sz="6" w:space="0" w:color="414142"/>
              <w:left w:val="outset" w:sz="6" w:space="0" w:color="414142"/>
              <w:bottom w:val="outset" w:sz="6" w:space="0" w:color="414142"/>
              <w:right w:val="single" w:sz="4" w:space="0" w:color="auto"/>
            </w:tcBorders>
            <w:shd w:val="clear" w:color="auto" w:fill="FFFFFF"/>
          </w:tcPr>
          <w:p w14:paraId="3EFA9B79" w14:textId="2BF8AD6E" w:rsidR="00F15C7D" w:rsidRPr="00F15C7D" w:rsidRDefault="00F15C7D" w:rsidP="00F15C7D">
            <w:pPr>
              <w:jc w:val="center"/>
              <w:rPr>
                <w:rFonts w:eastAsia="Times New Roman" w:cs="Times New Roman"/>
                <w:sz w:val="24"/>
                <w:szCs w:val="24"/>
                <w:lang w:eastAsia="lv-LV"/>
              </w:rPr>
            </w:pPr>
            <w:r w:rsidRPr="00F15C7D">
              <w:rPr>
                <w:rFonts w:eastAsia="Times New Roman" w:cs="Times New Roman"/>
                <w:sz w:val="24"/>
                <w:szCs w:val="24"/>
                <w:lang w:eastAsia="lv-LV"/>
              </w:rPr>
              <w:t>210,4</w:t>
            </w:r>
          </w:p>
        </w:tc>
        <w:tc>
          <w:tcPr>
            <w:tcW w:w="412" w:type="pct"/>
            <w:tcBorders>
              <w:top w:val="nil"/>
              <w:left w:val="single" w:sz="4" w:space="0" w:color="auto"/>
              <w:bottom w:val="nil"/>
              <w:right w:val="nil"/>
            </w:tcBorders>
            <w:shd w:val="clear" w:color="auto" w:fill="FFFFFF"/>
            <w:vAlign w:val="bottom"/>
          </w:tcPr>
          <w:p w14:paraId="5A64704E" w14:textId="541E8087" w:rsidR="00F15C7D" w:rsidRPr="00F15C7D" w:rsidRDefault="00F15C7D" w:rsidP="00F15C7D">
            <w:pPr>
              <w:rPr>
                <w:rFonts w:eastAsia="Times New Roman" w:cs="Times New Roman"/>
                <w:sz w:val="24"/>
                <w:szCs w:val="24"/>
                <w:lang w:eastAsia="lv-LV"/>
              </w:rPr>
            </w:pPr>
            <w:r>
              <w:rPr>
                <w:rFonts w:eastAsia="Times New Roman" w:cs="Times New Roman"/>
                <w:sz w:val="24"/>
                <w:szCs w:val="24"/>
                <w:lang w:eastAsia="lv-LV"/>
              </w:rPr>
              <w:t>”</w:t>
            </w:r>
          </w:p>
        </w:tc>
      </w:tr>
    </w:tbl>
    <w:p w14:paraId="595D106D" w14:textId="77777777" w:rsidR="00804C51" w:rsidRDefault="00804C51" w:rsidP="00B82F92">
      <w:pPr>
        <w:spacing w:before="60" w:after="60"/>
        <w:jc w:val="both"/>
        <w:rPr>
          <w:rFonts w:eastAsiaTheme="minorEastAsia"/>
          <w:szCs w:val="28"/>
        </w:rPr>
      </w:pPr>
    </w:p>
    <w:p w14:paraId="070C2184" w14:textId="7B2819B4" w:rsidR="004F3874" w:rsidRPr="009059A9" w:rsidRDefault="004566D1" w:rsidP="00B82F92">
      <w:pPr>
        <w:spacing w:before="60" w:after="60"/>
        <w:jc w:val="both"/>
        <w:rPr>
          <w:rFonts w:eastAsiaTheme="minorEastAsia"/>
          <w:szCs w:val="28"/>
        </w:rPr>
      </w:pPr>
      <w:r>
        <w:rPr>
          <w:rFonts w:eastAsiaTheme="minorEastAsia"/>
          <w:szCs w:val="28"/>
        </w:rPr>
        <w:t>2.</w:t>
      </w:r>
      <w:r w:rsidR="004F3874" w:rsidRPr="009059A9">
        <w:rPr>
          <w:rFonts w:eastAsiaTheme="minorEastAsia"/>
          <w:szCs w:val="28"/>
        </w:rPr>
        <w:t>Noteikumi stājas spēkā 2017.gada 3.aprīlī.</w:t>
      </w:r>
    </w:p>
    <w:p w14:paraId="3498E7CE" w14:textId="77777777" w:rsidR="00E63DD2" w:rsidRDefault="00E63DD2" w:rsidP="00AC080B">
      <w:pPr>
        <w:spacing w:before="120" w:after="120"/>
        <w:jc w:val="both"/>
      </w:pPr>
    </w:p>
    <w:p w14:paraId="28D3E5E7" w14:textId="5450E73C" w:rsidR="00AC080B" w:rsidRPr="009059A9" w:rsidRDefault="00AC080B" w:rsidP="00AC080B">
      <w:pPr>
        <w:spacing w:before="120" w:after="120"/>
        <w:jc w:val="both"/>
      </w:pPr>
      <w:r w:rsidRPr="009059A9">
        <w:t>Ministru prezidents</w:t>
      </w:r>
      <w:r w:rsidRPr="009059A9">
        <w:tab/>
      </w:r>
      <w:r w:rsidRPr="009059A9">
        <w:tab/>
      </w:r>
      <w:r w:rsidRPr="009059A9">
        <w:tab/>
      </w:r>
      <w:r w:rsidRPr="009059A9">
        <w:tab/>
      </w:r>
      <w:r w:rsidRPr="009059A9">
        <w:tab/>
      </w:r>
      <w:r w:rsidRPr="009059A9">
        <w:tab/>
      </w:r>
      <w:r w:rsidRPr="009059A9">
        <w:tab/>
      </w:r>
      <w:proofErr w:type="spellStart"/>
      <w:r w:rsidRPr="009059A9">
        <w:t>M.Kučinskis</w:t>
      </w:r>
      <w:proofErr w:type="spellEnd"/>
    </w:p>
    <w:p w14:paraId="6EC53BE5" w14:textId="77777777" w:rsidR="00AC080B" w:rsidRPr="009059A9" w:rsidRDefault="00AC080B" w:rsidP="00AC080B">
      <w:pPr>
        <w:spacing w:before="120" w:after="120"/>
        <w:jc w:val="both"/>
      </w:pPr>
    </w:p>
    <w:p w14:paraId="64279FB0" w14:textId="77777777" w:rsidR="00AC080B" w:rsidRPr="009059A9" w:rsidRDefault="00AC080B" w:rsidP="00E63DD2">
      <w:r w:rsidRPr="009059A9">
        <w:t>Ministru prezidenta biedrs,</w:t>
      </w:r>
    </w:p>
    <w:p w14:paraId="5F261BCC" w14:textId="185E5B3D" w:rsidR="00AC080B" w:rsidRPr="009059A9" w:rsidRDefault="00AC080B" w:rsidP="00E63DD2">
      <w:pPr>
        <w:jc w:val="both"/>
      </w:pPr>
      <w:r w:rsidRPr="009059A9">
        <w:t>ekonomikas ministrs</w:t>
      </w:r>
      <w:r w:rsidRPr="009059A9">
        <w:tab/>
      </w:r>
      <w:r w:rsidRPr="009059A9">
        <w:tab/>
      </w:r>
      <w:r w:rsidRPr="009059A9">
        <w:tab/>
      </w:r>
      <w:r w:rsidRPr="009059A9">
        <w:tab/>
      </w:r>
      <w:r w:rsidRPr="009059A9">
        <w:tab/>
      </w:r>
      <w:r w:rsidRPr="009059A9">
        <w:tab/>
      </w:r>
      <w:r w:rsidRPr="009059A9">
        <w:tab/>
      </w:r>
      <w:proofErr w:type="spellStart"/>
      <w:r w:rsidRPr="009059A9">
        <w:t>A.Ašeradens</w:t>
      </w:r>
      <w:proofErr w:type="spellEnd"/>
    </w:p>
    <w:p w14:paraId="2AA8D135" w14:textId="77777777" w:rsidR="0002052C" w:rsidRDefault="0002052C" w:rsidP="00E63DD2">
      <w:pPr>
        <w:jc w:val="both"/>
      </w:pPr>
    </w:p>
    <w:p w14:paraId="679F2EDA" w14:textId="77777777" w:rsidR="00AC080B" w:rsidRDefault="00AC080B" w:rsidP="00E63DD2">
      <w:pPr>
        <w:jc w:val="both"/>
      </w:pPr>
      <w:r w:rsidRPr="009059A9">
        <w:t>Iesniedzējs:</w:t>
      </w:r>
    </w:p>
    <w:p w14:paraId="3234F49D" w14:textId="77777777" w:rsidR="00E63DD2" w:rsidRPr="009059A9" w:rsidRDefault="00E63DD2" w:rsidP="00E63DD2">
      <w:pPr>
        <w:jc w:val="both"/>
      </w:pPr>
    </w:p>
    <w:p w14:paraId="60D5576E" w14:textId="77777777" w:rsidR="00AC080B" w:rsidRPr="009059A9" w:rsidRDefault="00AC080B" w:rsidP="00E63DD2">
      <w:r w:rsidRPr="009059A9">
        <w:t>Ministru prezidenta biedrs,</w:t>
      </w:r>
    </w:p>
    <w:p w14:paraId="738808ED" w14:textId="628A52A2" w:rsidR="00AC080B" w:rsidRPr="009059A9" w:rsidRDefault="00AC080B" w:rsidP="00E63DD2">
      <w:pPr>
        <w:jc w:val="both"/>
      </w:pPr>
      <w:r w:rsidRPr="009059A9">
        <w:t>ekonomikas ministrs</w:t>
      </w:r>
      <w:r w:rsidRPr="009059A9">
        <w:tab/>
      </w:r>
      <w:r w:rsidRPr="009059A9">
        <w:tab/>
      </w:r>
      <w:r w:rsidRPr="009059A9">
        <w:tab/>
      </w:r>
      <w:r w:rsidRPr="009059A9">
        <w:tab/>
      </w:r>
      <w:r w:rsidRPr="009059A9">
        <w:tab/>
      </w:r>
      <w:r w:rsidRPr="009059A9">
        <w:tab/>
      </w:r>
      <w:r w:rsidRPr="009059A9">
        <w:tab/>
      </w:r>
      <w:proofErr w:type="spellStart"/>
      <w:r w:rsidRPr="009059A9">
        <w:t>A.Ašeradens</w:t>
      </w:r>
      <w:proofErr w:type="spellEnd"/>
    </w:p>
    <w:p w14:paraId="57CA25D4" w14:textId="77777777" w:rsidR="00AC080B" w:rsidRPr="009059A9" w:rsidRDefault="00AC080B" w:rsidP="00AC080B">
      <w:pPr>
        <w:spacing w:before="120" w:after="120"/>
        <w:jc w:val="both"/>
      </w:pPr>
    </w:p>
    <w:p w14:paraId="44CB5080" w14:textId="77777777" w:rsidR="00AC080B" w:rsidRPr="009059A9" w:rsidRDefault="00AC080B" w:rsidP="00AC080B">
      <w:pPr>
        <w:pStyle w:val="EnvelopeReturn"/>
        <w:tabs>
          <w:tab w:val="right" w:pos="8222"/>
        </w:tabs>
        <w:spacing w:before="120" w:after="120"/>
        <w:jc w:val="both"/>
        <w:rPr>
          <w:sz w:val="28"/>
          <w:szCs w:val="28"/>
          <w:lang w:val="lv-LV"/>
        </w:rPr>
      </w:pPr>
      <w:r w:rsidRPr="009059A9">
        <w:rPr>
          <w:sz w:val="28"/>
          <w:szCs w:val="28"/>
          <w:lang w:val="lv-LV"/>
        </w:rPr>
        <w:t xml:space="preserve">Vīza: </w:t>
      </w:r>
    </w:p>
    <w:p w14:paraId="06E8F8E6" w14:textId="1120D3CD" w:rsidR="00AC080B" w:rsidRPr="009059A9" w:rsidRDefault="00AC080B" w:rsidP="00CF05BB">
      <w:pPr>
        <w:pStyle w:val="EnvelopeReturn"/>
        <w:tabs>
          <w:tab w:val="right" w:pos="0"/>
          <w:tab w:val="left" w:pos="7230"/>
        </w:tabs>
        <w:spacing w:before="120" w:after="120"/>
        <w:jc w:val="both"/>
        <w:rPr>
          <w:sz w:val="28"/>
          <w:szCs w:val="28"/>
          <w:lang w:val="lv-LV"/>
        </w:rPr>
      </w:pPr>
      <w:r w:rsidRPr="009059A9">
        <w:rPr>
          <w:sz w:val="28"/>
          <w:szCs w:val="28"/>
          <w:lang w:val="lv-LV"/>
        </w:rPr>
        <w:t>Valsts sekretār</w:t>
      </w:r>
      <w:r w:rsidR="00CF05BB" w:rsidRPr="009059A9">
        <w:rPr>
          <w:sz w:val="28"/>
          <w:szCs w:val="28"/>
          <w:lang w:val="lv-LV"/>
        </w:rPr>
        <w:t>s</w:t>
      </w:r>
      <w:r w:rsidR="00CF05BB" w:rsidRPr="009059A9">
        <w:rPr>
          <w:sz w:val="28"/>
          <w:szCs w:val="28"/>
          <w:lang w:val="lv-LV"/>
        </w:rPr>
        <w:tab/>
      </w:r>
      <w:proofErr w:type="spellStart"/>
      <w:r w:rsidR="00CF05BB" w:rsidRPr="009059A9">
        <w:rPr>
          <w:sz w:val="28"/>
          <w:szCs w:val="28"/>
          <w:lang w:val="lv-LV"/>
        </w:rPr>
        <w:t>J.Stinka</w:t>
      </w:r>
      <w:proofErr w:type="spellEnd"/>
    </w:p>
    <w:p w14:paraId="6C26F7E6" w14:textId="77777777" w:rsidR="00000202" w:rsidRPr="009059A9" w:rsidRDefault="00000202" w:rsidP="00000202">
      <w:pPr>
        <w:pStyle w:val="naislab"/>
        <w:spacing w:before="120" w:after="120"/>
        <w:jc w:val="left"/>
        <w:rPr>
          <w:sz w:val="20"/>
          <w:szCs w:val="20"/>
        </w:rPr>
      </w:pPr>
    </w:p>
    <w:p w14:paraId="2E012B6A" w14:textId="5B0894F8" w:rsidR="00000202" w:rsidRPr="009059A9" w:rsidRDefault="00E50D06" w:rsidP="00000202">
      <w:pPr>
        <w:rPr>
          <w:sz w:val="20"/>
        </w:rPr>
      </w:pPr>
      <w:r w:rsidRPr="009059A9">
        <w:rPr>
          <w:sz w:val="20"/>
        </w:rPr>
        <w:t>0</w:t>
      </w:r>
      <w:r w:rsidR="00127CAA">
        <w:rPr>
          <w:sz w:val="20"/>
        </w:rPr>
        <w:t>7</w:t>
      </w:r>
      <w:r w:rsidRPr="009059A9">
        <w:rPr>
          <w:sz w:val="20"/>
        </w:rPr>
        <w:t>.02.2016</w:t>
      </w:r>
      <w:r w:rsidR="00000202" w:rsidRPr="009059A9">
        <w:rPr>
          <w:sz w:val="20"/>
        </w:rPr>
        <w:t xml:space="preserve">. </w:t>
      </w:r>
      <w:r w:rsidR="004566D1">
        <w:rPr>
          <w:sz w:val="20"/>
        </w:rPr>
        <w:t>10:24</w:t>
      </w:r>
      <w:bookmarkStart w:id="7" w:name="_GoBack"/>
      <w:bookmarkEnd w:id="7"/>
    </w:p>
    <w:p w14:paraId="7DEB5AE5" w14:textId="5B885EBD" w:rsidR="00000202" w:rsidRPr="009059A9" w:rsidRDefault="006C2E81" w:rsidP="00000202">
      <w:pPr>
        <w:rPr>
          <w:sz w:val="20"/>
        </w:rPr>
      </w:pPr>
      <w:r>
        <w:rPr>
          <w:sz w:val="20"/>
        </w:rPr>
        <w:t>1783</w:t>
      </w:r>
    </w:p>
    <w:p w14:paraId="6715A524" w14:textId="77777777" w:rsidR="00000202" w:rsidRPr="009059A9" w:rsidRDefault="00000202" w:rsidP="00000202">
      <w:pPr>
        <w:pStyle w:val="Header"/>
        <w:tabs>
          <w:tab w:val="clear" w:pos="4153"/>
          <w:tab w:val="clear" w:pos="8306"/>
        </w:tabs>
        <w:rPr>
          <w:sz w:val="20"/>
          <w:szCs w:val="20"/>
        </w:rPr>
      </w:pPr>
    </w:p>
    <w:p w14:paraId="7A91152A" w14:textId="62A22516" w:rsidR="00000202" w:rsidRPr="00B73F9A" w:rsidRDefault="00000202" w:rsidP="00000202">
      <w:pPr>
        <w:pStyle w:val="Header"/>
        <w:tabs>
          <w:tab w:val="clear" w:pos="4153"/>
          <w:tab w:val="clear" w:pos="8306"/>
        </w:tabs>
        <w:rPr>
          <w:sz w:val="20"/>
          <w:szCs w:val="20"/>
        </w:rPr>
      </w:pPr>
      <w:proofErr w:type="spellStart"/>
      <w:r w:rsidRPr="009059A9">
        <w:rPr>
          <w:sz w:val="20"/>
          <w:szCs w:val="20"/>
        </w:rPr>
        <w:t>R.Meijers</w:t>
      </w:r>
      <w:proofErr w:type="spellEnd"/>
      <w:r w:rsidRPr="009059A9">
        <w:rPr>
          <w:sz w:val="20"/>
          <w:szCs w:val="20"/>
        </w:rPr>
        <w:t>,</w:t>
      </w:r>
      <w:r w:rsidR="00935AEC" w:rsidRPr="009059A9">
        <w:rPr>
          <w:sz w:val="20"/>
          <w:szCs w:val="20"/>
        </w:rPr>
        <w:t xml:space="preserve"> </w:t>
      </w:r>
      <w:r w:rsidR="00A47305">
        <w:rPr>
          <w:sz w:val="20"/>
          <w:szCs w:val="20"/>
        </w:rPr>
        <w:br/>
      </w:r>
      <w:r w:rsidRPr="009059A9">
        <w:rPr>
          <w:sz w:val="20"/>
          <w:szCs w:val="20"/>
        </w:rPr>
        <w:t>67013176</w:t>
      </w:r>
      <w:r w:rsidR="00105456" w:rsidRPr="009059A9">
        <w:rPr>
          <w:sz w:val="20"/>
          <w:szCs w:val="20"/>
        </w:rPr>
        <w:t xml:space="preserve">, </w:t>
      </w:r>
      <w:hyperlink r:id="rId10" w:history="1">
        <w:r w:rsidRPr="009059A9">
          <w:rPr>
            <w:rStyle w:val="Hyperlink"/>
            <w:color w:val="auto"/>
            <w:sz w:val="20"/>
            <w:szCs w:val="20"/>
          </w:rPr>
          <w:t>Roberts.Meijers@em.gov.lv</w:t>
        </w:r>
      </w:hyperlink>
      <w:r w:rsidRPr="00B73F9A">
        <w:rPr>
          <w:sz w:val="20"/>
          <w:szCs w:val="20"/>
        </w:rPr>
        <w:t xml:space="preserve">  </w:t>
      </w:r>
    </w:p>
    <w:p w14:paraId="2AE5EC9D" w14:textId="070478E8" w:rsidR="0075164F" w:rsidRDefault="0075164F" w:rsidP="00000202">
      <w:pPr>
        <w:pStyle w:val="Header"/>
        <w:tabs>
          <w:tab w:val="clear" w:pos="4153"/>
          <w:tab w:val="clear" w:pos="8306"/>
        </w:tabs>
        <w:rPr>
          <w:sz w:val="20"/>
          <w:szCs w:val="20"/>
        </w:rPr>
      </w:pPr>
    </w:p>
    <w:p w14:paraId="407FDBB3" w14:textId="77777777" w:rsidR="0075164F" w:rsidRPr="0075164F" w:rsidRDefault="0075164F" w:rsidP="0075164F"/>
    <w:p w14:paraId="4817FD81" w14:textId="77777777" w:rsidR="0075164F" w:rsidRPr="0075164F" w:rsidRDefault="0075164F" w:rsidP="0075164F"/>
    <w:p w14:paraId="50BB4105" w14:textId="77777777" w:rsidR="0075164F" w:rsidRPr="0075164F" w:rsidRDefault="0075164F" w:rsidP="0075164F"/>
    <w:p w14:paraId="2AC5EE1C" w14:textId="77777777" w:rsidR="0075164F" w:rsidRPr="0075164F" w:rsidRDefault="0075164F" w:rsidP="0075164F"/>
    <w:p w14:paraId="3D4A5F9C" w14:textId="77777777" w:rsidR="0075164F" w:rsidRPr="0075164F" w:rsidRDefault="0075164F" w:rsidP="0075164F"/>
    <w:p w14:paraId="41FF8A28" w14:textId="77777777" w:rsidR="0075164F" w:rsidRPr="0075164F" w:rsidRDefault="0075164F" w:rsidP="0075164F"/>
    <w:p w14:paraId="2D3E238C" w14:textId="77777777" w:rsidR="0075164F" w:rsidRPr="0075164F" w:rsidRDefault="0075164F" w:rsidP="0075164F"/>
    <w:p w14:paraId="7D48322E" w14:textId="77777777" w:rsidR="0075164F" w:rsidRPr="0075164F" w:rsidRDefault="0075164F" w:rsidP="0075164F"/>
    <w:p w14:paraId="5DF7B776" w14:textId="77777777" w:rsidR="0075164F" w:rsidRPr="0075164F" w:rsidRDefault="0075164F" w:rsidP="0075164F"/>
    <w:p w14:paraId="3095E217" w14:textId="77777777" w:rsidR="0075164F" w:rsidRPr="0075164F" w:rsidRDefault="0075164F" w:rsidP="0075164F"/>
    <w:p w14:paraId="453B2713" w14:textId="77777777" w:rsidR="0075164F" w:rsidRPr="0075164F" w:rsidRDefault="0075164F" w:rsidP="0075164F"/>
    <w:p w14:paraId="63F025E2" w14:textId="77777777" w:rsidR="0075164F" w:rsidRPr="0075164F" w:rsidRDefault="0075164F" w:rsidP="0075164F"/>
    <w:p w14:paraId="4A4AFF0A" w14:textId="77777777" w:rsidR="0075164F" w:rsidRPr="0075164F" w:rsidRDefault="0075164F" w:rsidP="0075164F"/>
    <w:p w14:paraId="041DE63A" w14:textId="77777777" w:rsidR="0075164F" w:rsidRPr="0075164F" w:rsidRDefault="0075164F" w:rsidP="0075164F"/>
    <w:p w14:paraId="09B5B7A0" w14:textId="77777777" w:rsidR="0075164F" w:rsidRPr="0075164F" w:rsidRDefault="0075164F" w:rsidP="0075164F"/>
    <w:p w14:paraId="519F16F3" w14:textId="25A69354" w:rsidR="00000202" w:rsidRPr="0075164F" w:rsidRDefault="00000202" w:rsidP="00C51577">
      <w:pPr>
        <w:tabs>
          <w:tab w:val="left" w:pos="1691"/>
        </w:tabs>
      </w:pPr>
    </w:p>
    <w:sectPr w:rsidR="00000202" w:rsidRPr="0075164F" w:rsidSect="001423CC">
      <w:headerReference w:type="default" r:id="rId11"/>
      <w:footerReference w:type="default" r:id="rId12"/>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0887E" w14:textId="77777777" w:rsidR="005D0C07" w:rsidRDefault="005D0C07" w:rsidP="009D281C">
      <w:r>
        <w:separator/>
      </w:r>
    </w:p>
  </w:endnote>
  <w:endnote w:type="continuationSeparator" w:id="0">
    <w:p w14:paraId="17CDE848" w14:textId="77777777" w:rsidR="005D0C07" w:rsidRDefault="005D0C07" w:rsidP="009D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15C88" w14:textId="3D084F17" w:rsidR="005D0C07" w:rsidRPr="00000202" w:rsidRDefault="005D0C07" w:rsidP="00000202">
    <w:pPr>
      <w:contextualSpacing/>
      <w:jc w:val="both"/>
      <w:outlineLvl w:val="0"/>
      <w:rPr>
        <w:sz w:val="20"/>
        <w:szCs w:val="20"/>
      </w:rPr>
    </w:pPr>
    <w:r w:rsidRPr="00515F9D">
      <w:rPr>
        <w:sz w:val="20"/>
        <w:szCs w:val="20"/>
      </w:rPr>
      <w:t>E</w:t>
    </w:r>
    <w:r w:rsidR="00C51577">
      <w:rPr>
        <w:sz w:val="20"/>
        <w:szCs w:val="20"/>
      </w:rPr>
      <w:t>MNot_07</w:t>
    </w:r>
    <w:r>
      <w:rPr>
        <w:sz w:val="20"/>
        <w:szCs w:val="20"/>
      </w:rPr>
      <w:t>0217</w:t>
    </w:r>
    <w:r w:rsidRPr="00515F9D">
      <w:rPr>
        <w:sz w:val="20"/>
        <w:szCs w:val="20"/>
      </w:rPr>
      <w:t>_MK221</w:t>
    </w:r>
    <w:r w:rsidR="0075164F">
      <w:rPr>
        <w:sz w:val="20"/>
        <w:szCs w:val="20"/>
      </w:rPr>
      <w:t>gaze</w:t>
    </w:r>
    <w:r w:rsidRPr="00515F9D">
      <w:rPr>
        <w:sz w:val="20"/>
        <w:szCs w:val="20"/>
      </w:rPr>
      <w:t xml:space="preserve">; </w:t>
    </w:r>
    <w:r w:rsidRPr="00515F9D">
      <w:rPr>
        <w:color w:val="000000"/>
        <w:sz w:val="20"/>
        <w:szCs w:val="20"/>
      </w:rPr>
      <w:t>Mini</w:t>
    </w:r>
    <w:r>
      <w:rPr>
        <w:color w:val="000000"/>
        <w:sz w:val="20"/>
        <w:szCs w:val="20"/>
      </w:rPr>
      <w:t>stru kabineta noteikumu projekts</w:t>
    </w:r>
    <w:r w:rsidRPr="00515F9D">
      <w:rPr>
        <w:color w:val="000000"/>
        <w:sz w:val="20"/>
        <w:szCs w:val="20"/>
      </w:rPr>
      <w:t xml:space="preserve"> </w:t>
    </w:r>
    <w:r w:rsidRPr="00515F9D">
      <w:rPr>
        <w:bCs/>
        <w:sz w:val="20"/>
        <w:szCs w:val="20"/>
      </w:rPr>
      <w:t xml:space="preserve">“Grozījumi </w:t>
    </w:r>
    <w:r w:rsidRPr="00515F9D">
      <w:rPr>
        <w:color w:val="000000"/>
        <w:sz w:val="20"/>
        <w:szCs w:val="20"/>
      </w:rPr>
      <w:t>Ministru kabineta 2009. gada 10. marta noteikumos Nr.221 “Noteikumi par elektroenerģijas ražošanu un cenu noteikšanu, ražojot elektroenerģiju koģenerācijā”</w:t>
    </w:r>
    <w:r w:rsidRPr="00515F9D">
      <w:rPr>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EC290" w14:textId="77777777" w:rsidR="005D0C07" w:rsidRDefault="005D0C07" w:rsidP="009D281C">
      <w:r>
        <w:separator/>
      </w:r>
    </w:p>
  </w:footnote>
  <w:footnote w:type="continuationSeparator" w:id="0">
    <w:p w14:paraId="17DF3E84" w14:textId="77777777" w:rsidR="005D0C07" w:rsidRDefault="005D0C07" w:rsidP="009D2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241949"/>
      <w:docPartObj>
        <w:docPartGallery w:val="Page Numbers (Top of Page)"/>
        <w:docPartUnique/>
      </w:docPartObj>
    </w:sdtPr>
    <w:sdtEndPr>
      <w:rPr>
        <w:noProof/>
      </w:rPr>
    </w:sdtEndPr>
    <w:sdtContent>
      <w:p w14:paraId="5DB6984C" w14:textId="5A1BE595" w:rsidR="005D0C07" w:rsidRDefault="005D0C07">
        <w:pPr>
          <w:pStyle w:val="Header"/>
          <w:jc w:val="right"/>
        </w:pPr>
        <w:r>
          <w:fldChar w:fldCharType="begin"/>
        </w:r>
        <w:r>
          <w:instrText xml:space="preserve"> PAGE   \* MERGEFORMAT </w:instrText>
        </w:r>
        <w:r>
          <w:fldChar w:fldCharType="separate"/>
        </w:r>
        <w:r w:rsidR="004566D1">
          <w:rPr>
            <w:noProof/>
          </w:rPr>
          <w:t>8</w:t>
        </w:r>
        <w:r>
          <w:rPr>
            <w:noProof/>
          </w:rPr>
          <w:fldChar w:fldCharType="end"/>
        </w:r>
      </w:p>
    </w:sdtContent>
  </w:sdt>
  <w:p w14:paraId="7ECFED1C" w14:textId="77777777" w:rsidR="005D0C07" w:rsidRDefault="005D0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12C0E"/>
    <w:multiLevelType w:val="hybridMultilevel"/>
    <w:tmpl w:val="554478E8"/>
    <w:lvl w:ilvl="0" w:tplc="E9BEABBC">
      <w:start w:val="1"/>
      <w:numFmt w:val="decimal"/>
      <w:lvlText w:val="%1."/>
      <w:lvlJc w:val="left"/>
      <w:pPr>
        <w:ind w:left="660" w:hanging="360"/>
      </w:pPr>
      <w:rPr>
        <w:rFonts w:hint="default"/>
        <w:sz w:val="28"/>
        <w:szCs w:val="28"/>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238B48C0"/>
    <w:multiLevelType w:val="hybridMultilevel"/>
    <w:tmpl w:val="F16A0BD2"/>
    <w:lvl w:ilvl="0" w:tplc="E7F8D7B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2DC35741"/>
    <w:multiLevelType w:val="hybridMultilevel"/>
    <w:tmpl w:val="773EFF0C"/>
    <w:lvl w:ilvl="0" w:tplc="FDFE881C">
      <w:start w:val="1"/>
      <w:numFmt w:val="decimal"/>
      <w:lvlText w:val="%1."/>
      <w:lvlJc w:val="left"/>
      <w:pPr>
        <w:ind w:left="786" w:hanging="360"/>
      </w:pPr>
      <w:rPr>
        <w:rFonts w:hint="default"/>
        <w:sz w:val="28"/>
        <w:szCs w:val="28"/>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30351702"/>
    <w:multiLevelType w:val="hybridMultilevel"/>
    <w:tmpl w:val="D3388B38"/>
    <w:lvl w:ilvl="0" w:tplc="04260005">
      <w:start w:val="1"/>
      <w:numFmt w:val="bullet"/>
      <w:lvlText w:val=""/>
      <w:lvlJc w:val="left"/>
      <w:pPr>
        <w:ind w:left="774" w:hanging="360"/>
      </w:pPr>
      <w:rPr>
        <w:rFonts w:ascii="Wingdings" w:hAnsi="Wingdings" w:hint="default"/>
      </w:rPr>
    </w:lvl>
    <w:lvl w:ilvl="1" w:tplc="04260003">
      <w:start w:val="1"/>
      <w:numFmt w:val="bullet"/>
      <w:lvlText w:val="o"/>
      <w:lvlJc w:val="left"/>
      <w:pPr>
        <w:ind w:left="1494" w:hanging="360"/>
      </w:pPr>
      <w:rPr>
        <w:rFonts w:ascii="Courier New" w:hAnsi="Courier New" w:cs="Courier New" w:hint="default"/>
      </w:rPr>
    </w:lvl>
    <w:lvl w:ilvl="2" w:tplc="04260005">
      <w:start w:val="1"/>
      <w:numFmt w:val="bullet"/>
      <w:lvlText w:val=""/>
      <w:lvlJc w:val="left"/>
      <w:pPr>
        <w:ind w:left="2214" w:hanging="360"/>
      </w:pPr>
      <w:rPr>
        <w:rFonts w:ascii="Wingdings" w:hAnsi="Wingdings" w:hint="default"/>
      </w:rPr>
    </w:lvl>
    <w:lvl w:ilvl="3" w:tplc="04260001">
      <w:start w:val="1"/>
      <w:numFmt w:val="bullet"/>
      <w:lvlText w:val=""/>
      <w:lvlJc w:val="left"/>
      <w:pPr>
        <w:ind w:left="2934" w:hanging="360"/>
      </w:pPr>
      <w:rPr>
        <w:rFonts w:ascii="Symbol" w:hAnsi="Symbol" w:hint="default"/>
      </w:rPr>
    </w:lvl>
    <w:lvl w:ilvl="4" w:tplc="04260003">
      <w:start w:val="1"/>
      <w:numFmt w:val="bullet"/>
      <w:lvlText w:val="o"/>
      <w:lvlJc w:val="left"/>
      <w:pPr>
        <w:ind w:left="3654" w:hanging="360"/>
      </w:pPr>
      <w:rPr>
        <w:rFonts w:ascii="Courier New" w:hAnsi="Courier New" w:cs="Courier New" w:hint="default"/>
      </w:rPr>
    </w:lvl>
    <w:lvl w:ilvl="5" w:tplc="04260005">
      <w:start w:val="1"/>
      <w:numFmt w:val="bullet"/>
      <w:lvlText w:val=""/>
      <w:lvlJc w:val="left"/>
      <w:pPr>
        <w:ind w:left="4374" w:hanging="360"/>
      </w:pPr>
      <w:rPr>
        <w:rFonts w:ascii="Wingdings" w:hAnsi="Wingdings" w:hint="default"/>
      </w:rPr>
    </w:lvl>
    <w:lvl w:ilvl="6" w:tplc="04260001">
      <w:start w:val="1"/>
      <w:numFmt w:val="bullet"/>
      <w:lvlText w:val=""/>
      <w:lvlJc w:val="left"/>
      <w:pPr>
        <w:ind w:left="5094" w:hanging="360"/>
      </w:pPr>
      <w:rPr>
        <w:rFonts w:ascii="Symbol" w:hAnsi="Symbol" w:hint="default"/>
      </w:rPr>
    </w:lvl>
    <w:lvl w:ilvl="7" w:tplc="04260003">
      <w:start w:val="1"/>
      <w:numFmt w:val="bullet"/>
      <w:lvlText w:val="o"/>
      <w:lvlJc w:val="left"/>
      <w:pPr>
        <w:ind w:left="5814" w:hanging="360"/>
      </w:pPr>
      <w:rPr>
        <w:rFonts w:ascii="Courier New" w:hAnsi="Courier New" w:cs="Courier New" w:hint="default"/>
      </w:rPr>
    </w:lvl>
    <w:lvl w:ilvl="8" w:tplc="04260005">
      <w:start w:val="1"/>
      <w:numFmt w:val="bullet"/>
      <w:lvlText w:val=""/>
      <w:lvlJc w:val="left"/>
      <w:pPr>
        <w:ind w:left="6534" w:hanging="360"/>
      </w:pPr>
      <w:rPr>
        <w:rFonts w:ascii="Wingdings" w:hAnsi="Wingdings" w:hint="default"/>
      </w:rPr>
    </w:lvl>
  </w:abstractNum>
  <w:abstractNum w:abstractNumId="4" w15:restartNumberingAfterBreak="0">
    <w:nsid w:val="419F4085"/>
    <w:multiLevelType w:val="hybridMultilevel"/>
    <w:tmpl w:val="79DC59DE"/>
    <w:lvl w:ilvl="0" w:tplc="DB468BCC">
      <w:start w:val="1"/>
      <w:numFmt w:val="decimal"/>
      <w:lvlText w:val="%1."/>
      <w:lvlJc w:val="left"/>
      <w:pPr>
        <w:ind w:left="744" w:hanging="38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971F1B"/>
    <w:multiLevelType w:val="multilevel"/>
    <w:tmpl w:val="EEF609DC"/>
    <w:lvl w:ilvl="0">
      <w:start w:val="54"/>
      <w:numFmt w:val="decimal"/>
      <w:lvlText w:val="%1."/>
      <w:lvlJc w:val="left"/>
      <w:pPr>
        <w:ind w:left="600" w:hanging="60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4C0A4EF9"/>
    <w:multiLevelType w:val="hybridMultilevel"/>
    <w:tmpl w:val="01EE6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0F759FA"/>
    <w:multiLevelType w:val="hybridMultilevel"/>
    <w:tmpl w:val="98A8E2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9F61C4"/>
    <w:multiLevelType w:val="hybridMultilevel"/>
    <w:tmpl w:val="9E7C93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1F6D09"/>
    <w:multiLevelType w:val="hybridMultilevel"/>
    <w:tmpl w:val="EA78A444"/>
    <w:lvl w:ilvl="0" w:tplc="77521E18">
      <w:start w:val="1"/>
      <w:numFmt w:val="decimal"/>
      <w:lvlText w:val="%1."/>
      <w:lvlJc w:val="left"/>
      <w:pPr>
        <w:ind w:left="768" w:hanging="408"/>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237798D"/>
    <w:multiLevelType w:val="hybridMultilevel"/>
    <w:tmpl w:val="B7A267EA"/>
    <w:lvl w:ilvl="0" w:tplc="A05ED0A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1" w15:restartNumberingAfterBreak="0">
    <w:nsid w:val="776E13A9"/>
    <w:multiLevelType w:val="hybridMultilevel"/>
    <w:tmpl w:val="638C8A88"/>
    <w:lvl w:ilvl="0" w:tplc="C9B6E616">
      <w:start w:val="1"/>
      <w:numFmt w:val="decimal"/>
      <w:lvlText w:val="%1."/>
      <w:lvlJc w:val="left"/>
      <w:pPr>
        <w:ind w:left="660" w:hanging="360"/>
      </w:pPr>
      <w:rPr>
        <w:rFonts w:eastAsiaTheme="minorHAnsi" w:cstheme="minorBidi"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2" w15:restartNumberingAfterBreak="0">
    <w:nsid w:val="786042FF"/>
    <w:multiLevelType w:val="hybridMultilevel"/>
    <w:tmpl w:val="3FE485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2"/>
  </w:num>
  <w:num w:numId="5">
    <w:abstractNumId w:val="12"/>
  </w:num>
  <w:num w:numId="6">
    <w:abstractNumId w:val="8"/>
  </w:num>
  <w:num w:numId="7">
    <w:abstractNumId w:val="9"/>
  </w:num>
  <w:num w:numId="8">
    <w:abstractNumId w:val="3"/>
  </w:num>
  <w:num w:numId="9">
    <w:abstractNumId w:val="6"/>
  </w:num>
  <w:num w:numId="10">
    <w:abstractNumId w:val="4"/>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7D"/>
    <w:rsid w:val="00000202"/>
    <w:rsid w:val="00011522"/>
    <w:rsid w:val="00016616"/>
    <w:rsid w:val="000167FC"/>
    <w:rsid w:val="0002052C"/>
    <w:rsid w:val="00024AE4"/>
    <w:rsid w:val="000320B3"/>
    <w:rsid w:val="00053C0D"/>
    <w:rsid w:val="00076E28"/>
    <w:rsid w:val="00096FF9"/>
    <w:rsid w:val="000A123C"/>
    <w:rsid w:val="000A7F47"/>
    <w:rsid w:val="000B0BE7"/>
    <w:rsid w:val="000D312C"/>
    <w:rsid w:val="000E33D5"/>
    <w:rsid w:val="000F519D"/>
    <w:rsid w:val="00105456"/>
    <w:rsid w:val="001148DB"/>
    <w:rsid w:val="0012373F"/>
    <w:rsid w:val="00126036"/>
    <w:rsid w:val="00127CAA"/>
    <w:rsid w:val="001423CC"/>
    <w:rsid w:val="00155809"/>
    <w:rsid w:val="00156F1F"/>
    <w:rsid w:val="00180FFB"/>
    <w:rsid w:val="00186E07"/>
    <w:rsid w:val="00192593"/>
    <w:rsid w:val="00196169"/>
    <w:rsid w:val="001A3F65"/>
    <w:rsid w:val="001B01A1"/>
    <w:rsid w:val="001B2CDE"/>
    <w:rsid w:val="001C155B"/>
    <w:rsid w:val="001C161E"/>
    <w:rsid w:val="001C71B4"/>
    <w:rsid w:val="001C7979"/>
    <w:rsid w:val="001D0874"/>
    <w:rsid w:val="001D0919"/>
    <w:rsid w:val="00203C97"/>
    <w:rsid w:val="002043DE"/>
    <w:rsid w:val="00224C61"/>
    <w:rsid w:val="00225FDC"/>
    <w:rsid w:val="002311C1"/>
    <w:rsid w:val="00242C43"/>
    <w:rsid w:val="00253760"/>
    <w:rsid w:val="002649C9"/>
    <w:rsid w:val="00264C1A"/>
    <w:rsid w:val="00265201"/>
    <w:rsid w:val="00265E57"/>
    <w:rsid w:val="002A247F"/>
    <w:rsid w:val="002C075C"/>
    <w:rsid w:val="002C3B5A"/>
    <w:rsid w:val="002E24B2"/>
    <w:rsid w:val="002E5405"/>
    <w:rsid w:val="002F52C9"/>
    <w:rsid w:val="002F68E4"/>
    <w:rsid w:val="00302478"/>
    <w:rsid w:val="00312C6B"/>
    <w:rsid w:val="00317FE5"/>
    <w:rsid w:val="0032378D"/>
    <w:rsid w:val="00333AB9"/>
    <w:rsid w:val="00344FFF"/>
    <w:rsid w:val="00353488"/>
    <w:rsid w:val="00356D00"/>
    <w:rsid w:val="00356E88"/>
    <w:rsid w:val="00375D46"/>
    <w:rsid w:val="00380645"/>
    <w:rsid w:val="00383440"/>
    <w:rsid w:val="003842E0"/>
    <w:rsid w:val="00390BC0"/>
    <w:rsid w:val="0039253F"/>
    <w:rsid w:val="0039326B"/>
    <w:rsid w:val="003A355B"/>
    <w:rsid w:val="003A77D1"/>
    <w:rsid w:val="003C419B"/>
    <w:rsid w:val="003D21E0"/>
    <w:rsid w:val="003E2AF9"/>
    <w:rsid w:val="003E6A9A"/>
    <w:rsid w:val="00401473"/>
    <w:rsid w:val="0040161C"/>
    <w:rsid w:val="00407630"/>
    <w:rsid w:val="004116C3"/>
    <w:rsid w:val="00423889"/>
    <w:rsid w:val="00426DCB"/>
    <w:rsid w:val="0043163E"/>
    <w:rsid w:val="004566D1"/>
    <w:rsid w:val="004567AC"/>
    <w:rsid w:val="00457CBD"/>
    <w:rsid w:val="00464526"/>
    <w:rsid w:val="00465117"/>
    <w:rsid w:val="00473299"/>
    <w:rsid w:val="00474DA0"/>
    <w:rsid w:val="0049215E"/>
    <w:rsid w:val="004963BC"/>
    <w:rsid w:val="0049703F"/>
    <w:rsid w:val="004B0CE7"/>
    <w:rsid w:val="004B3761"/>
    <w:rsid w:val="004D2F94"/>
    <w:rsid w:val="004E055C"/>
    <w:rsid w:val="004E1D3A"/>
    <w:rsid w:val="004E4492"/>
    <w:rsid w:val="004F0D60"/>
    <w:rsid w:val="004F1A9F"/>
    <w:rsid w:val="004F3874"/>
    <w:rsid w:val="004F483F"/>
    <w:rsid w:val="005304FC"/>
    <w:rsid w:val="00532B29"/>
    <w:rsid w:val="0053361B"/>
    <w:rsid w:val="0053790C"/>
    <w:rsid w:val="00542BE9"/>
    <w:rsid w:val="0055071B"/>
    <w:rsid w:val="00553B7F"/>
    <w:rsid w:val="005545FC"/>
    <w:rsid w:val="005621FB"/>
    <w:rsid w:val="00563DC4"/>
    <w:rsid w:val="005652A4"/>
    <w:rsid w:val="005710D3"/>
    <w:rsid w:val="0058766D"/>
    <w:rsid w:val="00592873"/>
    <w:rsid w:val="005A6937"/>
    <w:rsid w:val="005C295B"/>
    <w:rsid w:val="005D029D"/>
    <w:rsid w:val="005D0C07"/>
    <w:rsid w:val="005D6D73"/>
    <w:rsid w:val="005E7EBC"/>
    <w:rsid w:val="005F5238"/>
    <w:rsid w:val="005F5C9B"/>
    <w:rsid w:val="00600D90"/>
    <w:rsid w:val="00602F38"/>
    <w:rsid w:val="00610EBB"/>
    <w:rsid w:val="006203A9"/>
    <w:rsid w:val="00626C8C"/>
    <w:rsid w:val="00647822"/>
    <w:rsid w:val="00661D58"/>
    <w:rsid w:val="0068327D"/>
    <w:rsid w:val="00684D9C"/>
    <w:rsid w:val="0068612A"/>
    <w:rsid w:val="00692A67"/>
    <w:rsid w:val="006C2E81"/>
    <w:rsid w:val="006C70BD"/>
    <w:rsid w:val="006D4189"/>
    <w:rsid w:val="006E6E1B"/>
    <w:rsid w:val="00704054"/>
    <w:rsid w:val="00706DCF"/>
    <w:rsid w:val="00710669"/>
    <w:rsid w:val="007132F2"/>
    <w:rsid w:val="00714CCC"/>
    <w:rsid w:val="007250BF"/>
    <w:rsid w:val="0072557E"/>
    <w:rsid w:val="00725D79"/>
    <w:rsid w:val="00734B1B"/>
    <w:rsid w:val="0074039F"/>
    <w:rsid w:val="00747D2B"/>
    <w:rsid w:val="0075164F"/>
    <w:rsid w:val="0075231C"/>
    <w:rsid w:val="00753018"/>
    <w:rsid w:val="00754A95"/>
    <w:rsid w:val="00761897"/>
    <w:rsid w:val="00775A4C"/>
    <w:rsid w:val="0077680D"/>
    <w:rsid w:val="00785827"/>
    <w:rsid w:val="00796355"/>
    <w:rsid w:val="007A0480"/>
    <w:rsid w:val="007A28B9"/>
    <w:rsid w:val="007A3614"/>
    <w:rsid w:val="007A37BB"/>
    <w:rsid w:val="007B0B31"/>
    <w:rsid w:val="007B4262"/>
    <w:rsid w:val="007B5EDA"/>
    <w:rsid w:val="007B5F68"/>
    <w:rsid w:val="007C2502"/>
    <w:rsid w:val="007C642B"/>
    <w:rsid w:val="007D12A0"/>
    <w:rsid w:val="007D62C3"/>
    <w:rsid w:val="00804C51"/>
    <w:rsid w:val="00811925"/>
    <w:rsid w:val="008417CE"/>
    <w:rsid w:val="0085135A"/>
    <w:rsid w:val="00865DFA"/>
    <w:rsid w:val="00872F4F"/>
    <w:rsid w:val="008831D9"/>
    <w:rsid w:val="00892970"/>
    <w:rsid w:val="008955D1"/>
    <w:rsid w:val="008A5D46"/>
    <w:rsid w:val="008C0A52"/>
    <w:rsid w:val="008C31A6"/>
    <w:rsid w:val="008D3FFE"/>
    <w:rsid w:val="008E0212"/>
    <w:rsid w:val="008E067B"/>
    <w:rsid w:val="008E35BE"/>
    <w:rsid w:val="008F2765"/>
    <w:rsid w:val="009059A9"/>
    <w:rsid w:val="009138FA"/>
    <w:rsid w:val="009179BC"/>
    <w:rsid w:val="00935AEC"/>
    <w:rsid w:val="0093720F"/>
    <w:rsid w:val="00942B19"/>
    <w:rsid w:val="009602DA"/>
    <w:rsid w:val="009626DE"/>
    <w:rsid w:val="00973E75"/>
    <w:rsid w:val="00987509"/>
    <w:rsid w:val="009877DD"/>
    <w:rsid w:val="009A71C5"/>
    <w:rsid w:val="009B075F"/>
    <w:rsid w:val="009B16A6"/>
    <w:rsid w:val="009D0998"/>
    <w:rsid w:val="009D281C"/>
    <w:rsid w:val="009F59B8"/>
    <w:rsid w:val="00A13BC5"/>
    <w:rsid w:val="00A1669E"/>
    <w:rsid w:val="00A21983"/>
    <w:rsid w:val="00A32428"/>
    <w:rsid w:val="00A37BAA"/>
    <w:rsid w:val="00A40AA8"/>
    <w:rsid w:val="00A42DA1"/>
    <w:rsid w:val="00A43537"/>
    <w:rsid w:val="00A45BA8"/>
    <w:rsid w:val="00A47305"/>
    <w:rsid w:val="00A6011C"/>
    <w:rsid w:val="00A64FEE"/>
    <w:rsid w:val="00A74CD3"/>
    <w:rsid w:val="00A77F00"/>
    <w:rsid w:val="00A80494"/>
    <w:rsid w:val="00A908FB"/>
    <w:rsid w:val="00AA6F91"/>
    <w:rsid w:val="00AB4012"/>
    <w:rsid w:val="00AC080B"/>
    <w:rsid w:val="00AC1057"/>
    <w:rsid w:val="00AC57A2"/>
    <w:rsid w:val="00AD2561"/>
    <w:rsid w:val="00AE1052"/>
    <w:rsid w:val="00B039DC"/>
    <w:rsid w:val="00B24AA4"/>
    <w:rsid w:val="00B30294"/>
    <w:rsid w:val="00B400AF"/>
    <w:rsid w:val="00B401D0"/>
    <w:rsid w:val="00B73F9A"/>
    <w:rsid w:val="00B74911"/>
    <w:rsid w:val="00B8090E"/>
    <w:rsid w:val="00B82F92"/>
    <w:rsid w:val="00B834CA"/>
    <w:rsid w:val="00B869D9"/>
    <w:rsid w:val="00B93A45"/>
    <w:rsid w:val="00BB00C4"/>
    <w:rsid w:val="00BB3397"/>
    <w:rsid w:val="00BC1BBE"/>
    <w:rsid w:val="00BD2329"/>
    <w:rsid w:val="00BD6296"/>
    <w:rsid w:val="00BF7361"/>
    <w:rsid w:val="00C07B41"/>
    <w:rsid w:val="00C14873"/>
    <w:rsid w:val="00C16A25"/>
    <w:rsid w:val="00C23730"/>
    <w:rsid w:val="00C244CE"/>
    <w:rsid w:val="00C279F1"/>
    <w:rsid w:val="00C36D14"/>
    <w:rsid w:val="00C41F97"/>
    <w:rsid w:val="00C51577"/>
    <w:rsid w:val="00C8489E"/>
    <w:rsid w:val="00C859D3"/>
    <w:rsid w:val="00C901C2"/>
    <w:rsid w:val="00C932AD"/>
    <w:rsid w:val="00CA2DE8"/>
    <w:rsid w:val="00CA773D"/>
    <w:rsid w:val="00CB156D"/>
    <w:rsid w:val="00CC1360"/>
    <w:rsid w:val="00CC1383"/>
    <w:rsid w:val="00CF05BB"/>
    <w:rsid w:val="00CF3AF8"/>
    <w:rsid w:val="00CF7D8F"/>
    <w:rsid w:val="00D30A7E"/>
    <w:rsid w:val="00D652F0"/>
    <w:rsid w:val="00D66147"/>
    <w:rsid w:val="00D80F73"/>
    <w:rsid w:val="00D82019"/>
    <w:rsid w:val="00D849E6"/>
    <w:rsid w:val="00D928CA"/>
    <w:rsid w:val="00DA67D7"/>
    <w:rsid w:val="00DB52F5"/>
    <w:rsid w:val="00DC2464"/>
    <w:rsid w:val="00DC78D1"/>
    <w:rsid w:val="00DC7A44"/>
    <w:rsid w:val="00DD275B"/>
    <w:rsid w:val="00DE4B76"/>
    <w:rsid w:val="00DF0C13"/>
    <w:rsid w:val="00DF155C"/>
    <w:rsid w:val="00DF50F5"/>
    <w:rsid w:val="00DF5FF0"/>
    <w:rsid w:val="00E208A1"/>
    <w:rsid w:val="00E2412E"/>
    <w:rsid w:val="00E25667"/>
    <w:rsid w:val="00E300AE"/>
    <w:rsid w:val="00E350DE"/>
    <w:rsid w:val="00E44ED5"/>
    <w:rsid w:val="00E50D06"/>
    <w:rsid w:val="00E63DD2"/>
    <w:rsid w:val="00E734F7"/>
    <w:rsid w:val="00E82E3D"/>
    <w:rsid w:val="00E849DE"/>
    <w:rsid w:val="00E86055"/>
    <w:rsid w:val="00E87E61"/>
    <w:rsid w:val="00E90AA5"/>
    <w:rsid w:val="00E9604B"/>
    <w:rsid w:val="00E96639"/>
    <w:rsid w:val="00EA5B7A"/>
    <w:rsid w:val="00EB3ABA"/>
    <w:rsid w:val="00EB5A2B"/>
    <w:rsid w:val="00EC13C9"/>
    <w:rsid w:val="00EC7661"/>
    <w:rsid w:val="00ED03C9"/>
    <w:rsid w:val="00EE5027"/>
    <w:rsid w:val="00EF03B8"/>
    <w:rsid w:val="00EF33E5"/>
    <w:rsid w:val="00EF34C6"/>
    <w:rsid w:val="00EF723D"/>
    <w:rsid w:val="00F01361"/>
    <w:rsid w:val="00F04411"/>
    <w:rsid w:val="00F049D4"/>
    <w:rsid w:val="00F0556E"/>
    <w:rsid w:val="00F15C7D"/>
    <w:rsid w:val="00F1757D"/>
    <w:rsid w:val="00F20541"/>
    <w:rsid w:val="00F21AC6"/>
    <w:rsid w:val="00F33965"/>
    <w:rsid w:val="00F35426"/>
    <w:rsid w:val="00F507B3"/>
    <w:rsid w:val="00F53F62"/>
    <w:rsid w:val="00F56087"/>
    <w:rsid w:val="00F604D5"/>
    <w:rsid w:val="00F73AE7"/>
    <w:rsid w:val="00F868C9"/>
    <w:rsid w:val="00F90B0B"/>
    <w:rsid w:val="00F90DD2"/>
    <w:rsid w:val="00FA6990"/>
    <w:rsid w:val="00FA7944"/>
    <w:rsid w:val="00FB0AE8"/>
    <w:rsid w:val="00FC401B"/>
    <w:rsid w:val="00FC7475"/>
    <w:rsid w:val="00FE1565"/>
    <w:rsid w:val="00FF5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208A"/>
  <w15:chartTrackingRefBased/>
  <w15:docId w15:val="{57F5ED9D-46C5-493E-8E4C-4C530652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849E6"/>
    <w:pPr>
      <w:spacing w:before="100" w:beforeAutospacing="1" w:after="100" w:afterAutospacing="1"/>
      <w:outlineLvl w:val="3"/>
    </w:pPr>
    <w:rPr>
      <w:rFonts w:eastAsia="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57D"/>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F1757D"/>
  </w:style>
  <w:style w:type="character" w:styleId="Hyperlink">
    <w:name w:val="Hyperlink"/>
    <w:basedOn w:val="DefaultParagraphFont"/>
    <w:uiPriority w:val="99"/>
    <w:unhideWhenUsed/>
    <w:rsid w:val="00F1757D"/>
    <w:rPr>
      <w:color w:val="0000FF"/>
      <w:u w:val="single"/>
    </w:rPr>
  </w:style>
  <w:style w:type="paragraph" w:customStyle="1" w:styleId="tv213">
    <w:name w:val="tv213"/>
    <w:basedOn w:val="Normal"/>
    <w:rsid w:val="0085135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710669"/>
    <w:pPr>
      <w:ind w:left="720"/>
      <w:contextualSpacing/>
    </w:pPr>
  </w:style>
  <w:style w:type="paragraph" w:styleId="BalloonText">
    <w:name w:val="Balloon Text"/>
    <w:basedOn w:val="Normal"/>
    <w:link w:val="BalloonTextChar"/>
    <w:uiPriority w:val="99"/>
    <w:semiHidden/>
    <w:unhideWhenUsed/>
    <w:rsid w:val="00761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97"/>
    <w:rPr>
      <w:rFonts w:ascii="Segoe UI" w:hAnsi="Segoe UI" w:cs="Segoe UI"/>
      <w:sz w:val="18"/>
      <w:szCs w:val="18"/>
    </w:rPr>
  </w:style>
  <w:style w:type="paragraph" w:styleId="FootnoteText">
    <w:name w:val="footnote text"/>
    <w:basedOn w:val="Normal"/>
    <w:link w:val="FootnoteTextChar"/>
    <w:uiPriority w:val="99"/>
    <w:semiHidden/>
    <w:unhideWhenUsed/>
    <w:rsid w:val="009D281C"/>
    <w:pPr>
      <w:widowControl w:val="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D281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D281C"/>
    <w:rPr>
      <w:vertAlign w:val="superscript"/>
    </w:rPr>
  </w:style>
  <w:style w:type="character" w:customStyle="1" w:styleId="labojumupamats">
    <w:name w:val="labojumu_pamats"/>
    <w:basedOn w:val="DefaultParagraphFont"/>
    <w:rsid w:val="00E2412E"/>
  </w:style>
  <w:style w:type="paragraph" w:customStyle="1" w:styleId="ListParagraph1">
    <w:name w:val="List Paragraph1"/>
    <w:basedOn w:val="Normal"/>
    <w:rsid w:val="00E2412E"/>
    <w:pPr>
      <w:spacing w:after="200" w:line="276" w:lineRule="auto"/>
      <w:ind w:left="720"/>
      <w:contextualSpacing/>
    </w:pPr>
    <w:rPr>
      <w:rFonts w:ascii="Calibri" w:eastAsia="Times New Roman" w:hAnsi="Calibri" w:cs="Times New Roman"/>
      <w:sz w:val="22"/>
      <w:lang w:val="en-US"/>
    </w:rPr>
  </w:style>
  <w:style w:type="character" w:styleId="PlaceholderText">
    <w:name w:val="Placeholder Text"/>
    <w:basedOn w:val="DefaultParagraphFont"/>
    <w:uiPriority w:val="99"/>
    <w:semiHidden/>
    <w:rsid w:val="007B5F68"/>
    <w:rPr>
      <w:color w:val="808080"/>
    </w:rPr>
  </w:style>
  <w:style w:type="character" w:styleId="CommentReference">
    <w:name w:val="annotation reference"/>
    <w:basedOn w:val="DefaultParagraphFont"/>
    <w:uiPriority w:val="99"/>
    <w:semiHidden/>
    <w:unhideWhenUsed/>
    <w:rsid w:val="007B5F68"/>
    <w:rPr>
      <w:sz w:val="16"/>
      <w:szCs w:val="16"/>
    </w:rPr>
  </w:style>
  <w:style w:type="paragraph" w:styleId="CommentText">
    <w:name w:val="annotation text"/>
    <w:basedOn w:val="Normal"/>
    <w:link w:val="CommentTextChar"/>
    <w:uiPriority w:val="99"/>
    <w:semiHidden/>
    <w:unhideWhenUsed/>
    <w:rsid w:val="007B5F68"/>
    <w:rPr>
      <w:sz w:val="20"/>
      <w:szCs w:val="20"/>
    </w:rPr>
  </w:style>
  <w:style w:type="character" w:customStyle="1" w:styleId="CommentTextChar">
    <w:name w:val="Comment Text Char"/>
    <w:basedOn w:val="DefaultParagraphFont"/>
    <w:link w:val="CommentText"/>
    <w:uiPriority w:val="99"/>
    <w:semiHidden/>
    <w:rsid w:val="007B5F68"/>
    <w:rPr>
      <w:sz w:val="20"/>
      <w:szCs w:val="20"/>
    </w:rPr>
  </w:style>
  <w:style w:type="paragraph" w:styleId="CommentSubject">
    <w:name w:val="annotation subject"/>
    <w:basedOn w:val="CommentText"/>
    <w:next w:val="CommentText"/>
    <w:link w:val="CommentSubjectChar"/>
    <w:uiPriority w:val="99"/>
    <w:semiHidden/>
    <w:unhideWhenUsed/>
    <w:rsid w:val="007B5F68"/>
    <w:rPr>
      <w:b/>
      <w:bCs/>
    </w:rPr>
  </w:style>
  <w:style w:type="character" w:customStyle="1" w:styleId="CommentSubjectChar">
    <w:name w:val="Comment Subject Char"/>
    <w:basedOn w:val="CommentTextChar"/>
    <w:link w:val="CommentSubject"/>
    <w:uiPriority w:val="99"/>
    <w:semiHidden/>
    <w:rsid w:val="007B5F68"/>
    <w:rPr>
      <w:b/>
      <w:bCs/>
      <w:sz w:val="20"/>
      <w:szCs w:val="20"/>
    </w:rPr>
  </w:style>
  <w:style w:type="character" w:customStyle="1" w:styleId="Heading4Char">
    <w:name w:val="Heading 4 Char"/>
    <w:basedOn w:val="DefaultParagraphFont"/>
    <w:link w:val="Heading4"/>
    <w:uiPriority w:val="9"/>
    <w:rsid w:val="00D849E6"/>
    <w:rPr>
      <w:rFonts w:eastAsia="Times New Roman" w:cs="Times New Roman"/>
      <w:b/>
      <w:bCs/>
      <w:sz w:val="24"/>
      <w:szCs w:val="24"/>
      <w:lang w:eastAsia="lv-LV"/>
    </w:rPr>
  </w:style>
  <w:style w:type="table" w:styleId="TableGrid">
    <w:name w:val="Table Grid"/>
    <w:basedOn w:val="TableNormal"/>
    <w:uiPriority w:val="39"/>
    <w:rsid w:val="00553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1057"/>
    <w:rPr>
      <w:color w:val="800080"/>
      <w:u w:val="single"/>
    </w:rPr>
  </w:style>
  <w:style w:type="character" w:customStyle="1" w:styleId="red">
    <w:name w:val="red"/>
    <w:basedOn w:val="DefaultParagraphFont"/>
    <w:rsid w:val="00AC1057"/>
  </w:style>
  <w:style w:type="paragraph" w:customStyle="1" w:styleId="tvhtml">
    <w:name w:val="tv_html"/>
    <w:basedOn w:val="Normal"/>
    <w:rsid w:val="00AC1057"/>
    <w:pPr>
      <w:spacing w:before="100" w:beforeAutospacing="1" w:after="100" w:afterAutospacing="1"/>
    </w:pPr>
    <w:rPr>
      <w:rFonts w:eastAsia="Times New Roman" w:cs="Times New Roman"/>
      <w:sz w:val="24"/>
      <w:szCs w:val="24"/>
      <w:lang w:eastAsia="lv-LV"/>
    </w:rPr>
  </w:style>
  <w:style w:type="character" w:styleId="Emphasis">
    <w:name w:val="Emphasis"/>
    <w:basedOn w:val="DefaultParagraphFont"/>
    <w:uiPriority w:val="20"/>
    <w:qFormat/>
    <w:rsid w:val="00AC1057"/>
    <w:rPr>
      <w:i/>
      <w:iCs/>
    </w:rPr>
  </w:style>
  <w:style w:type="character" w:customStyle="1" w:styleId="tvhtml1">
    <w:name w:val="tv_html1"/>
    <w:basedOn w:val="DefaultParagraphFont"/>
    <w:rsid w:val="00AC1057"/>
  </w:style>
  <w:style w:type="character" w:customStyle="1" w:styleId="fontsize2">
    <w:name w:val="fontsize2"/>
    <w:basedOn w:val="DefaultParagraphFont"/>
    <w:rsid w:val="00AC1057"/>
  </w:style>
  <w:style w:type="paragraph" w:customStyle="1" w:styleId="labojumupamats1">
    <w:name w:val="labojumu_pamats1"/>
    <w:basedOn w:val="Normal"/>
    <w:rsid w:val="00AC1057"/>
    <w:pPr>
      <w:spacing w:before="100" w:beforeAutospacing="1" w:after="100" w:afterAutospacing="1"/>
    </w:pPr>
    <w:rPr>
      <w:rFonts w:eastAsia="Times New Roman" w:cs="Times New Roman"/>
      <w:sz w:val="24"/>
      <w:szCs w:val="24"/>
      <w:lang w:eastAsia="lv-LV"/>
    </w:rPr>
  </w:style>
  <w:style w:type="paragraph" w:styleId="Caption">
    <w:name w:val="caption"/>
    <w:basedOn w:val="Normal"/>
    <w:next w:val="Normal"/>
    <w:uiPriority w:val="35"/>
    <w:unhideWhenUsed/>
    <w:qFormat/>
    <w:rsid w:val="00AC1057"/>
    <w:pPr>
      <w:spacing w:after="200"/>
    </w:pPr>
    <w:rPr>
      <w:rFonts w:asciiTheme="minorHAnsi" w:hAnsiTheme="minorHAnsi"/>
      <w:i/>
      <w:iCs/>
      <w:color w:val="44546A" w:themeColor="text2"/>
      <w:sz w:val="18"/>
      <w:szCs w:val="18"/>
    </w:rPr>
  </w:style>
  <w:style w:type="paragraph" w:customStyle="1" w:styleId="naislab">
    <w:name w:val="naislab"/>
    <w:basedOn w:val="Normal"/>
    <w:rsid w:val="002A247F"/>
    <w:pPr>
      <w:spacing w:before="63" w:after="63"/>
      <w:jc w:val="right"/>
    </w:pPr>
    <w:rPr>
      <w:rFonts w:eastAsia="Times New Roman" w:cs="Times New Roman"/>
      <w:sz w:val="24"/>
      <w:szCs w:val="24"/>
      <w:lang w:eastAsia="lv-LV"/>
    </w:rPr>
  </w:style>
  <w:style w:type="paragraph" w:styleId="EnvelopeReturn">
    <w:name w:val="envelope return"/>
    <w:basedOn w:val="Normal"/>
    <w:unhideWhenUsed/>
    <w:rsid w:val="00AC080B"/>
    <w:pPr>
      <w:keepLines/>
      <w:widowControl w:val="0"/>
      <w:spacing w:before="600"/>
    </w:pPr>
    <w:rPr>
      <w:rFonts w:eastAsia="Times New Roman" w:cs="Times New Roman"/>
      <w:sz w:val="26"/>
      <w:szCs w:val="20"/>
      <w:lang w:val="en-AU"/>
    </w:rPr>
  </w:style>
  <w:style w:type="paragraph" w:styleId="Header">
    <w:name w:val="header"/>
    <w:basedOn w:val="Normal"/>
    <w:link w:val="HeaderChar"/>
    <w:uiPriority w:val="99"/>
    <w:unhideWhenUsed/>
    <w:rsid w:val="00000202"/>
    <w:pPr>
      <w:tabs>
        <w:tab w:val="center" w:pos="4153"/>
        <w:tab w:val="right" w:pos="8306"/>
      </w:tabs>
    </w:pPr>
  </w:style>
  <w:style w:type="character" w:customStyle="1" w:styleId="HeaderChar">
    <w:name w:val="Header Char"/>
    <w:basedOn w:val="DefaultParagraphFont"/>
    <w:link w:val="Header"/>
    <w:uiPriority w:val="99"/>
    <w:rsid w:val="00000202"/>
  </w:style>
  <w:style w:type="paragraph" w:styleId="Footer">
    <w:name w:val="footer"/>
    <w:basedOn w:val="Normal"/>
    <w:link w:val="FooterChar"/>
    <w:uiPriority w:val="99"/>
    <w:unhideWhenUsed/>
    <w:rsid w:val="00000202"/>
    <w:pPr>
      <w:tabs>
        <w:tab w:val="center" w:pos="4153"/>
        <w:tab w:val="right" w:pos="8306"/>
      </w:tabs>
    </w:pPr>
  </w:style>
  <w:style w:type="character" w:customStyle="1" w:styleId="FooterChar">
    <w:name w:val="Footer Char"/>
    <w:basedOn w:val="DefaultParagraphFont"/>
    <w:link w:val="Footer"/>
    <w:uiPriority w:val="99"/>
    <w:rsid w:val="00000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5242">
      <w:bodyDiv w:val="1"/>
      <w:marLeft w:val="0"/>
      <w:marRight w:val="0"/>
      <w:marTop w:val="0"/>
      <w:marBottom w:val="0"/>
      <w:divBdr>
        <w:top w:val="none" w:sz="0" w:space="0" w:color="auto"/>
        <w:left w:val="none" w:sz="0" w:space="0" w:color="auto"/>
        <w:bottom w:val="none" w:sz="0" w:space="0" w:color="auto"/>
        <w:right w:val="none" w:sz="0" w:space="0" w:color="auto"/>
      </w:divBdr>
    </w:div>
    <w:div w:id="123156979">
      <w:bodyDiv w:val="1"/>
      <w:marLeft w:val="0"/>
      <w:marRight w:val="0"/>
      <w:marTop w:val="0"/>
      <w:marBottom w:val="0"/>
      <w:divBdr>
        <w:top w:val="none" w:sz="0" w:space="0" w:color="auto"/>
        <w:left w:val="none" w:sz="0" w:space="0" w:color="auto"/>
        <w:bottom w:val="none" w:sz="0" w:space="0" w:color="auto"/>
        <w:right w:val="none" w:sz="0" w:space="0" w:color="auto"/>
      </w:divBdr>
    </w:div>
    <w:div w:id="137723019">
      <w:bodyDiv w:val="1"/>
      <w:marLeft w:val="0"/>
      <w:marRight w:val="0"/>
      <w:marTop w:val="0"/>
      <w:marBottom w:val="0"/>
      <w:divBdr>
        <w:top w:val="none" w:sz="0" w:space="0" w:color="auto"/>
        <w:left w:val="none" w:sz="0" w:space="0" w:color="auto"/>
        <w:bottom w:val="none" w:sz="0" w:space="0" w:color="auto"/>
        <w:right w:val="none" w:sz="0" w:space="0" w:color="auto"/>
      </w:divBdr>
    </w:div>
    <w:div w:id="689716980">
      <w:bodyDiv w:val="1"/>
      <w:marLeft w:val="0"/>
      <w:marRight w:val="0"/>
      <w:marTop w:val="0"/>
      <w:marBottom w:val="0"/>
      <w:divBdr>
        <w:top w:val="none" w:sz="0" w:space="0" w:color="auto"/>
        <w:left w:val="none" w:sz="0" w:space="0" w:color="auto"/>
        <w:bottom w:val="none" w:sz="0" w:space="0" w:color="auto"/>
        <w:right w:val="none" w:sz="0" w:space="0" w:color="auto"/>
      </w:divBdr>
    </w:div>
    <w:div w:id="775297562">
      <w:bodyDiv w:val="1"/>
      <w:marLeft w:val="0"/>
      <w:marRight w:val="0"/>
      <w:marTop w:val="0"/>
      <w:marBottom w:val="0"/>
      <w:divBdr>
        <w:top w:val="none" w:sz="0" w:space="0" w:color="auto"/>
        <w:left w:val="none" w:sz="0" w:space="0" w:color="auto"/>
        <w:bottom w:val="none" w:sz="0" w:space="0" w:color="auto"/>
        <w:right w:val="none" w:sz="0" w:space="0" w:color="auto"/>
      </w:divBdr>
    </w:div>
    <w:div w:id="809830054">
      <w:bodyDiv w:val="1"/>
      <w:marLeft w:val="0"/>
      <w:marRight w:val="0"/>
      <w:marTop w:val="0"/>
      <w:marBottom w:val="0"/>
      <w:divBdr>
        <w:top w:val="none" w:sz="0" w:space="0" w:color="auto"/>
        <w:left w:val="none" w:sz="0" w:space="0" w:color="auto"/>
        <w:bottom w:val="none" w:sz="0" w:space="0" w:color="auto"/>
        <w:right w:val="none" w:sz="0" w:space="0" w:color="auto"/>
      </w:divBdr>
      <w:divsChild>
        <w:div w:id="296648169">
          <w:marLeft w:val="150"/>
          <w:marRight w:val="150"/>
          <w:marTop w:val="480"/>
          <w:marBottom w:val="0"/>
          <w:divBdr>
            <w:top w:val="single" w:sz="6" w:space="28" w:color="D4D4D4"/>
            <w:left w:val="none" w:sz="0" w:space="0" w:color="auto"/>
            <w:bottom w:val="none" w:sz="0" w:space="0" w:color="auto"/>
            <w:right w:val="none" w:sz="0" w:space="0" w:color="auto"/>
          </w:divBdr>
        </w:div>
        <w:div w:id="1918050357">
          <w:marLeft w:val="0"/>
          <w:marRight w:val="0"/>
          <w:marTop w:val="400"/>
          <w:marBottom w:val="0"/>
          <w:divBdr>
            <w:top w:val="none" w:sz="0" w:space="0" w:color="auto"/>
            <w:left w:val="none" w:sz="0" w:space="0" w:color="auto"/>
            <w:bottom w:val="none" w:sz="0" w:space="0" w:color="auto"/>
            <w:right w:val="none" w:sz="0" w:space="0" w:color="auto"/>
          </w:divBdr>
        </w:div>
      </w:divsChild>
    </w:div>
    <w:div w:id="889612679">
      <w:bodyDiv w:val="1"/>
      <w:marLeft w:val="0"/>
      <w:marRight w:val="0"/>
      <w:marTop w:val="0"/>
      <w:marBottom w:val="0"/>
      <w:divBdr>
        <w:top w:val="none" w:sz="0" w:space="0" w:color="auto"/>
        <w:left w:val="none" w:sz="0" w:space="0" w:color="auto"/>
        <w:bottom w:val="none" w:sz="0" w:space="0" w:color="auto"/>
        <w:right w:val="none" w:sz="0" w:space="0" w:color="auto"/>
      </w:divBdr>
      <w:divsChild>
        <w:div w:id="1205020514">
          <w:marLeft w:val="0"/>
          <w:marRight w:val="0"/>
          <w:marTop w:val="400"/>
          <w:marBottom w:val="0"/>
          <w:divBdr>
            <w:top w:val="none" w:sz="0" w:space="0" w:color="auto"/>
            <w:left w:val="none" w:sz="0" w:space="0" w:color="auto"/>
            <w:bottom w:val="none" w:sz="0" w:space="0" w:color="auto"/>
            <w:right w:val="none" w:sz="0" w:space="0" w:color="auto"/>
          </w:divBdr>
        </w:div>
        <w:div w:id="674039499">
          <w:marLeft w:val="0"/>
          <w:marRight w:val="0"/>
          <w:marTop w:val="240"/>
          <w:marBottom w:val="0"/>
          <w:divBdr>
            <w:top w:val="none" w:sz="0" w:space="0" w:color="auto"/>
            <w:left w:val="none" w:sz="0" w:space="0" w:color="auto"/>
            <w:bottom w:val="none" w:sz="0" w:space="0" w:color="auto"/>
            <w:right w:val="none" w:sz="0" w:space="0" w:color="auto"/>
          </w:divBdr>
        </w:div>
      </w:divsChild>
    </w:div>
    <w:div w:id="1351492680">
      <w:bodyDiv w:val="1"/>
      <w:marLeft w:val="0"/>
      <w:marRight w:val="0"/>
      <w:marTop w:val="0"/>
      <w:marBottom w:val="0"/>
      <w:divBdr>
        <w:top w:val="none" w:sz="0" w:space="0" w:color="auto"/>
        <w:left w:val="none" w:sz="0" w:space="0" w:color="auto"/>
        <w:bottom w:val="none" w:sz="0" w:space="0" w:color="auto"/>
        <w:right w:val="none" w:sz="0" w:space="0" w:color="auto"/>
      </w:divBdr>
    </w:div>
    <w:div w:id="1485664749">
      <w:bodyDiv w:val="1"/>
      <w:marLeft w:val="0"/>
      <w:marRight w:val="0"/>
      <w:marTop w:val="0"/>
      <w:marBottom w:val="0"/>
      <w:divBdr>
        <w:top w:val="none" w:sz="0" w:space="0" w:color="auto"/>
        <w:left w:val="none" w:sz="0" w:space="0" w:color="auto"/>
        <w:bottom w:val="none" w:sz="0" w:space="0" w:color="auto"/>
        <w:right w:val="none" w:sz="0" w:space="0" w:color="auto"/>
      </w:divBdr>
    </w:div>
    <w:div w:id="1495301098">
      <w:bodyDiv w:val="1"/>
      <w:marLeft w:val="0"/>
      <w:marRight w:val="0"/>
      <w:marTop w:val="0"/>
      <w:marBottom w:val="0"/>
      <w:divBdr>
        <w:top w:val="none" w:sz="0" w:space="0" w:color="auto"/>
        <w:left w:val="none" w:sz="0" w:space="0" w:color="auto"/>
        <w:bottom w:val="none" w:sz="0" w:space="0" w:color="auto"/>
        <w:right w:val="none" w:sz="0" w:space="0" w:color="auto"/>
      </w:divBdr>
    </w:div>
    <w:div w:id="1927306851">
      <w:bodyDiv w:val="1"/>
      <w:marLeft w:val="0"/>
      <w:marRight w:val="0"/>
      <w:marTop w:val="0"/>
      <w:marBottom w:val="0"/>
      <w:divBdr>
        <w:top w:val="none" w:sz="0" w:space="0" w:color="auto"/>
        <w:left w:val="none" w:sz="0" w:space="0" w:color="auto"/>
        <w:bottom w:val="none" w:sz="0" w:space="0" w:color="auto"/>
        <w:right w:val="none" w:sz="0" w:space="0" w:color="auto"/>
      </w:divBdr>
    </w:div>
    <w:div w:id="1974938673">
      <w:bodyDiv w:val="1"/>
      <w:marLeft w:val="0"/>
      <w:marRight w:val="0"/>
      <w:marTop w:val="0"/>
      <w:marBottom w:val="0"/>
      <w:divBdr>
        <w:top w:val="none" w:sz="0" w:space="0" w:color="auto"/>
        <w:left w:val="none" w:sz="0" w:space="0" w:color="auto"/>
        <w:bottom w:val="none" w:sz="0" w:space="0" w:color="auto"/>
        <w:right w:val="none" w:sz="0" w:space="0" w:color="auto"/>
      </w:divBdr>
    </w:div>
    <w:div w:id="20665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892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berts.Meijers@em.gov.lv" TargetMode="External"/><Relationship Id="rId4" Type="http://schemas.openxmlformats.org/officeDocument/2006/relationships/settings" Target="settings.xml"/><Relationship Id="rId9" Type="http://schemas.openxmlformats.org/officeDocument/2006/relationships/hyperlink" Target="http://likumi.lv/doc.php?id=1892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C1B09-1DC5-4B97-A96D-08333A40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8</Pages>
  <Words>9263</Words>
  <Characters>5281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Haralds Skarbnieks</dc:creator>
  <cp:keywords/>
  <dc:description/>
  <cp:lastModifiedBy>Roberts Meijers</cp:lastModifiedBy>
  <cp:revision>39</cp:revision>
  <cp:lastPrinted>2017-02-06T12:28:00Z</cp:lastPrinted>
  <dcterms:created xsi:type="dcterms:W3CDTF">2017-02-06T08:48:00Z</dcterms:created>
  <dcterms:modified xsi:type="dcterms:W3CDTF">2017-02-07T08:24:00Z</dcterms:modified>
</cp:coreProperties>
</file>