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B3965" w14:textId="67CAE244" w:rsidR="005D6453" w:rsidRPr="00DA456F" w:rsidRDefault="00DA7500" w:rsidP="005D6453">
      <w:pPr>
        <w:spacing w:after="0" w:line="240" w:lineRule="auto"/>
        <w:ind w:left="2880" w:hanging="45"/>
        <w:jc w:val="right"/>
        <w:outlineLvl w:val="0"/>
        <w:rPr>
          <w:rFonts w:ascii="Times New Roman" w:eastAsia="Times New Roman" w:hAnsi="Times New Roman" w:cs="Times New Roman"/>
          <w:b/>
          <w:bCs/>
          <w:color w:val="000000"/>
          <w:sz w:val="24"/>
          <w:szCs w:val="24"/>
          <w:lang w:bidi="ml-IN"/>
        </w:rPr>
      </w:pPr>
      <w:r w:rsidRPr="00DA456F">
        <w:rPr>
          <w:rFonts w:ascii="Times New Roman" w:eastAsia="Times New Roman" w:hAnsi="Times New Roman" w:cs="Times New Roman"/>
          <w:b/>
          <w:bCs/>
          <w:color w:val="000000"/>
          <w:sz w:val="24"/>
          <w:szCs w:val="24"/>
          <w:lang w:bidi="ml-IN"/>
        </w:rPr>
        <w:t>Pielikums</w:t>
      </w:r>
      <w:r w:rsidR="008A27E1">
        <w:rPr>
          <w:rFonts w:ascii="Times New Roman" w:eastAsia="Times New Roman" w:hAnsi="Times New Roman" w:cs="Times New Roman"/>
          <w:b/>
          <w:bCs/>
          <w:color w:val="000000"/>
          <w:sz w:val="24"/>
          <w:szCs w:val="24"/>
          <w:lang w:bidi="ml-IN"/>
        </w:rPr>
        <w:t xml:space="preserve"> Nr.2</w:t>
      </w:r>
    </w:p>
    <w:p w14:paraId="3D35D426" w14:textId="7D59489F" w:rsidR="005D6453" w:rsidRPr="00DA456F" w:rsidRDefault="005D6453" w:rsidP="005D6453">
      <w:pPr>
        <w:spacing w:after="0" w:line="240" w:lineRule="auto"/>
        <w:ind w:left="2880" w:hanging="45"/>
        <w:jc w:val="right"/>
        <w:outlineLvl w:val="0"/>
        <w:rPr>
          <w:rFonts w:ascii="Times New Roman" w:eastAsia="Times New Roman" w:hAnsi="Times New Roman" w:cs="Times New Roman"/>
          <w:bCs/>
          <w:color w:val="000000"/>
          <w:sz w:val="24"/>
          <w:szCs w:val="24"/>
          <w:lang w:bidi="ml-IN"/>
        </w:rPr>
      </w:pPr>
      <w:r w:rsidRPr="00DA456F">
        <w:rPr>
          <w:rFonts w:ascii="Times New Roman" w:eastAsia="Times New Roman" w:hAnsi="Times New Roman" w:cs="Times New Roman"/>
          <w:bCs/>
          <w:color w:val="000000"/>
          <w:sz w:val="24"/>
          <w:szCs w:val="24"/>
          <w:lang w:bidi="ml-IN"/>
        </w:rPr>
        <w:t>informatīvajam ziņojumam “</w:t>
      </w:r>
      <w:r w:rsidR="00B567EE" w:rsidRPr="00B567EE">
        <w:rPr>
          <w:rFonts w:ascii="Times New Roman" w:eastAsia="Times New Roman" w:hAnsi="Times New Roman" w:cs="Times New Roman"/>
          <w:bCs/>
          <w:color w:val="000000"/>
          <w:sz w:val="24"/>
          <w:szCs w:val="24"/>
          <w:lang w:bidi="ml-IN"/>
        </w:rPr>
        <w:t>Par Ekonomikas ministrijas organizētajiem darbsemināriem par Eiropas Savienības Vienotā un Digitālā vienotā tirgus jautājumiem, identificētajām Latvijas interesēm un ieteicamajiem pasākumiem nacionālajā līmenī</w:t>
      </w:r>
      <w:r w:rsidRPr="00DA456F">
        <w:rPr>
          <w:rFonts w:ascii="Times New Roman" w:eastAsia="Times New Roman" w:hAnsi="Times New Roman" w:cs="Times New Roman"/>
          <w:bCs/>
          <w:color w:val="000000"/>
          <w:sz w:val="24"/>
          <w:szCs w:val="24"/>
          <w:lang w:bidi="ml-IN"/>
        </w:rPr>
        <w:t>”</w:t>
      </w:r>
    </w:p>
    <w:p w14:paraId="55188454" w14:textId="77777777" w:rsidR="005D6453" w:rsidRPr="00F54D9C" w:rsidRDefault="005D6453" w:rsidP="005D6453">
      <w:pPr>
        <w:spacing w:line="240" w:lineRule="auto"/>
        <w:jc w:val="center"/>
        <w:rPr>
          <w:rFonts w:ascii="Times New Roman" w:hAnsi="Times New Roman" w:cs="Times New Roman"/>
          <w:b/>
          <w:sz w:val="24"/>
          <w:szCs w:val="24"/>
          <w:u w:val="single"/>
        </w:rPr>
      </w:pPr>
    </w:p>
    <w:p w14:paraId="28997225" w14:textId="64B03AF2" w:rsidR="005D6453" w:rsidRPr="00DA456F" w:rsidRDefault="00E06819" w:rsidP="003201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Ekonomikas ministrijas organizētajos darbsemināros identificētie</w:t>
      </w:r>
      <w:r w:rsidR="005D6453" w:rsidRPr="00DA456F">
        <w:rPr>
          <w:rFonts w:ascii="Times New Roman" w:hAnsi="Times New Roman" w:cs="Times New Roman"/>
          <w:b/>
          <w:sz w:val="28"/>
          <w:szCs w:val="28"/>
        </w:rPr>
        <w:t xml:space="preserve"> </w:t>
      </w:r>
      <w:r w:rsidR="00866D85" w:rsidRPr="00DA456F">
        <w:rPr>
          <w:rFonts w:ascii="Times New Roman" w:hAnsi="Times New Roman" w:cs="Times New Roman"/>
          <w:b/>
          <w:sz w:val="28"/>
          <w:szCs w:val="28"/>
        </w:rPr>
        <w:t xml:space="preserve">ieteicamie </w:t>
      </w:r>
      <w:r w:rsidR="003201E4" w:rsidRPr="00DA456F">
        <w:rPr>
          <w:rFonts w:ascii="Times New Roman" w:hAnsi="Times New Roman" w:cs="Times New Roman"/>
          <w:b/>
          <w:sz w:val="28"/>
          <w:szCs w:val="28"/>
        </w:rPr>
        <w:t xml:space="preserve">pasākumi </w:t>
      </w:r>
      <w:r w:rsidR="00866D85" w:rsidRPr="00DA456F">
        <w:rPr>
          <w:rFonts w:ascii="Times New Roman" w:hAnsi="Times New Roman" w:cs="Times New Roman"/>
          <w:b/>
          <w:sz w:val="28"/>
          <w:szCs w:val="28"/>
        </w:rPr>
        <w:t xml:space="preserve">Latvijas </w:t>
      </w:r>
      <w:r w:rsidR="00F90DA1">
        <w:rPr>
          <w:rFonts w:ascii="Times New Roman" w:hAnsi="Times New Roman" w:cs="Times New Roman"/>
          <w:b/>
          <w:sz w:val="28"/>
          <w:szCs w:val="28"/>
        </w:rPr>
        <w:t>komerc</w:t>
      </w:r>
      <w:r w:rsidR="00866D85" w:rsidRPr="00DA456F">
        <w:rPr>
          <w:rFonts w:ascii="Times New Roman" w:hAnsi="Times New Roman" w:cs="Times New Roman"/>
          <w:b/>
          <w:sz w:val="28"/>
          <w:szCs w:val="28"/>
        </w:rPr>
        <w:t>darbības vides</w:t>
      </w:r>
      <w:r w:rsidR="00C73636" w:rsidRPr="00DA456F">
        <w:rPr>
          <w:rFonts w:ascii="Times New Roman" w:hAnsi="Times New Roman" w:cs="Times New Roman"/>
          <w:b/>
          <w:sz w:val="28"/>
          <w:szCs w:val="28"/>
        </w:rPr>
        <w:t xml:space="preserve"> konkurētspējas ES</w:t>
      </w:r>
      <w:r w:rsidR="00866D85" w:rsidRPr="00DA456F">
        <w:rPr>
          <w:rFonts w:ascii="Times New Roman" w:hAnsi="Times New Roman" w:cs="Times New Roman"/>
          <w:b/>
          <w:sz w:val="28"/>
          <w:szCs w:val="28"/>
        </w:rPr>
        <w:t xml:space="preserve"> uzlabošanai</w:t>
      </w:r>
    </w:p>
    <w:p w14:paraId="5EDCA334" w14:textId="77777777" w:rsidR="00AB1471" w:rsidRPr="00F54D9C" w:rsidRDefault="0005756E" w:rsidP="0005756E">
      <w:pPr>
        <w:spacing w:line="240" w:lineRule="auto"/>
        <w:jc w:val="center"/>
        <w:rPr>
          <w:rFonts w:ascii="Times New Roman" w:hAnsi="Times New Roman" w:cs="Times New Roman"/>
          <w:i/>
          <w:sz w:val="24"/>
          <w:szCs w:val="24"/>
        </w:rPr>
      </w:pPr>
      <w:r w:rsidRPr="00F54D9C">
        <w:rPr>
          <w:rFonts w:ascii="Times New Roman" w:hAnsi="Times New Roman" w:cs="Times New Roman"/>
          <w:i/>
          <w:sz w:val="24"/>
          <w:szCs w:val="24"/>
        </w:rPr>
        <w:t>Darbseminārs par ES Vienotā tirgus stratēģiju</w:t>
      </w:r>
    </w:p>
    <w:tbl>
      <w:tblPr>
        <w:tblStyle w:val="TableGrid"/>
        <w:tblW w:w="13887" w:type="dxa"/>
        <w:tblLayout w:type="fixed"/>
        <w:tblLook w:val="04A0" w:firstRow="1" w:lastRow="0" w:firstColumn="1" w:lastColumn="0" w:noHBand="0" w:noVBand="1"/>
      </w:tblPr>
      <w:tblGrid>
        <w:gridCol w:w="846"/>
        <w:gridCol w:w="3969"/>
        <w:gridCol w:w="7371"/>
        <w:gridCol w:w="1701"/>
      </w:tblGrid>
      <w:tr w:rsidR="002239E9" w:rsidRPr="00F54D9C" w14:paraId="766071A2" w14:textId="77777777" w:rsidTr="002239E9">
        <w:tc>
          <w:tcPr>
            <w:tcW w:w="846" w:type="dxa"/>
          </w:tcPr>
          <w:p w14:paraId="516DEEB0" w14:textId="77777777" w:rsidR="002239E9" w:rsidRPr="00F54D9C" w:rsidRDefault="002239E9" w:rsidP="004D63B9">
            <w:pPr>
              <w:rPr>
                <w:rFonts w:ascii="Times New Roman" w:hAnsi="Times New Roman" w:cs="Times New Roman"/>
                <w:b/>
                <w:sz w:val="20"/>
                <w:szCs w:val="20"/>
              </w:rPr>
            </w:pPr>
            <w:r w:rsidRPr="00F54D9C">
              <w:rPr>
                <w:rFonts w:ascii="Times New Roman" w:hAnsi="Times New Roman" w:cs="Times New Roman"/>
                <w:b/>
                <w:sz w:val="20"/>
                <w:szCs w:val="20"/>
              </w:rPr>
              <w:t>Nr.</w:t>
            </w:r>
          </w:p>
        </w:tc>
        <w:tc>
          <w:tcPr>
            <w:tcW w:w="3969" w:type="dxa"/>
          </w:tcPr>
          <w:p w14:paraId="016AA5E4" w14:textId="77777777" w:rsidR="002239E9" w:rsidRPr="00F54D9C" w:rsidRDefault="002239E9" w:rsidP="00784AD9">
            <w:pPr>
              <w:rPr>
                <w:rFonts w:ascii="Times New Roman" w:hAnsi="Times New Roman" w:cs="Times New Roman"/>
                <w:b/>
                <w:sz w:val="20"/>
                <w:szCs w:val="20"/>
              </w:rPr>
            </w:pPr>
            <w:r w:rsidRPr="00F54D9C">
              <w:rPr>
                <w:rFonts w:ascii="Times New Roman" w:hAnsi="Times New Roman" w:cs="Times New Roman"/>
                <w:b/>
                <w:sz w:val="20"/>
                <w:szCs w:val="20"/>
              </w:rPr>
              <w:t>Darbsemināra tēma (iniciatīvas numurs un nosaukums ES Vienotā tirgus stratēģijā)</w:t>
            </w:r>
          </w:p>
        </w:tc>
        <w:tc>
          <w:tcPr>
            <w:tcW w:w="7371" w:type="dxa"/>
          </w:tcPr>
          <w:p w14:paraId="3841D356" w14:textId="57F13F47" w:rsidR="002239E9" w:rsidRPr="00F54D9C" w:rsidRDefault="005D22A7" w:rsidP="004D63B9">
            <w:pPr>
              <w:spacing w:after="0" w:line="240" w:lineRule="auto"/>
              <w:rPr>
                <w:rFonts w:ascii="Times New Roman" w:hAnsi="Times New Roman" w:cs="Times New Roman"/>
                <w:b/>
                <w:sz w:val="20"/>
                <w:szCs w:val="20"/>
              </w:rPr>
            </w:pPr>
            <w:r>
              <w:rPr>
                <w:rFonts w:ascii="Times New Roman" w:hAnsi="Times New Roman" w:cs="Times New Roman"/>
                <w:b/>
                <w:sz w:val="20"/>
                <w:szCs w:val="20"/>
              </w:rPr>
              <w:t>Ieteicamie</w:t>
            </w:r>
            <w:r w:rsidR="002239E9" w:rsidRPr="00F54D9C">
              <w:rPr>
                <w:rFonts w:ascii="Times New Roman" w:hAnsi="Times New Roman" w:cs="Times New Roman"/>
                <w:b/>
                <w:sz w:val="20"/>
                <w:szCs w:val="20"/>
              </w:rPr>
              <w:t xml:space="preserve"> pasākumi Latvijā</w:t>
            </w:r>
          </w:p>
        </w:tc>
        <w:tc>
          <w:tcPr>
            <w:tcW w:w="1701" w:type="dxa"/>
          </w:tcPr>
          <w:p w14:paraId="50556069" w14:textId="77777777" w:rsidR="002239E9" w:rsidRPr="00F54D9C" w:rsidRDefault="002239E9" w:rsidP="004D63B9">
            <w:pPr>
              <w:spacing w:after="0" w:line="240" w:lineRule="auto"/>
              <w:rPr>
                <w:rFonts w:ascii="Times New Roman" w:hAnsi="Times New Roman" w:cs="Times New Roman"/>
                <w:b/>
                <w:sz w:val="20"/>
                <w:szCs w:val="20"/>
              </w:rPr>
            </w:pPr>
            <w:r w:rsidRPr="00F54D9C">
              <w:rPr>
                <w:rFonts w:ascii="Times New Roman" w:hAnsi="Times New Roman" w:cs="Times New Roman"/>
                <w:b/>
                <w:sz w:val="20"/>
                <w:szCs w:val="20"/>
              </w:rPr>
              <w:t>Atbildīgā iestāde</w:t>
            </w:r>
            <w:r>
              <w:rPr>
                <w:rFonts w:ascii="Times New Roman" w:hAnsi="Times New Roman" w:cs="Times New Roman"/>
                <w:b/>
                <w:sz w:val="20"/>
                <w:szCs w:val="20"/>
              </w:rPr>
              <w:t xml:space="preserve"> par nacionālā līmeņa pasākumiem</w:t>
            </w:r>
          </w:p>
        </w:tc>
      </w:tr>
      <w:tr w:rsidR="002239E9" w:rsidRPr="00F54D9C" w14:paraId="7368558F" w14:textId="77777777" w:rsidTr="002239E9">
        <w:trPr>
          <w:trHeight w:val="117"/>
        </w:trPr>
        <w:tc>
          <w:tcPr>
            <w:tcW w:w="846" w:type="dxa"/>
            <w:vMerge w:val="restart"/>
          </w:tcPr>
          <w:p w14:paraId="6CF45DB8" w14:textId="77777777" w:rsidR="002239E9" w:rsidRPr="00F54D9C" w:rsidRDefault="002239E9" w:rsidP="004D63B9">
            <w:pPr>
              <w:pStyle w:val="ListParagraph"/>
              <w:numPr>
                <w:ilvl w:val="0"/>
                <w:numId w:val="4"/>
              </w:numPr>
              <w:rPr>
                <w:rFonts w:ascii="Times New Roman" w:hAnsi="Times New Roman" w:cs="Times New Roman"/>
                <w:b/>
                <w:sz w:val="20"/>
                <w:szCs w:val="20"/>
              </w:rPr>
            </w:pPr>
          </w:p>
        </w:tc>
        <w:tc>
          <w:tcPr>
            <w:tcW w:w="3969" w:type="dxa"/>
            <w:vMerge w:val="restart"/>
          </w:tcPr>
          <w:p w14:paraId="75BC3E12" w14:textId="77777777" w:rsidR="002239E9" w:rsidRPr="00F54D9C" w:rsidRDefault="002239E9" w:rsidP="00784AD9">
            <w:pPr>
              <w:rPr>
                <w:rFonts w:ascii="Times New Roman" w:hAnsi="Times New Roman" w:cs="Times New Roman"/>
                <w:b/>
                <w:sz w:val="20"/>
                <w:szCs w:val="20"/>
              </w:rPr>
            </w:pPr>
            <w:r w:rsidRPr="00F54D9C">
              <w:rPr>
                <w:rFonts w:ascii="Times New Roman" w:hAnsi="Times New Roman" w:cs="Times New Roman"/>
                <w:b/>
                <w:sz w:val="20"/>
                <w:szCs w:val="20"/>
              </w:rPr>
              <w:t>Sadarbības ekonomika (2.1. Zaļā gaisma sadarbības ekonomikas līdzsvarotai attīstībai)</w:t>
            </w:r>
          </w:p>
        </w:tc>
        <w:tc>
          <w:tcPr>
            <w:tcW w:w="7371" w:type="dxa"/>
          </w:tcPr>
          <w:p w14:paraId="7FB4607C" w14:textId="0E91E75D" w:rsidR="002239E9" w:rsidRPr="0013114D" w:rsidRDefault="00A557CD" w:rsidP="00F90DA1">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1.2.1. Jāizvērtē esošais regulējums, t.sk. tā</w:t>
            </w:r>
            <w:r w:rsidR="002239E9" w:rsidRPr="0013114D">
              <w:rPr>
                <w:rFonts w:ascii="Times New Roman" w:hAnsi="Times New Roman" w:cs="Times New Roman"/>
                <w:sz w:val="20"/>
                <w:szCs w:val="20"/>
              </w:rPr>
              <w:t xml:space="preserve"> pielāgošanas iespējas sadarbības ekonomikas modelim (piemēram, patērētāju aizsardzība, nodokļu nomaksa u.c.), </w:t>
            </w:r>
            <w:r w:rsidRPr="0013114D">
              <w:rPr>
                <w:rFonts w:ascii="Times New Roman" w:hAnsi="Times New Roman" w:cs="Times New Roman"/>
                <w:sz w:val="20"/>
                <w:szCs w:val="20"/>
              </w:rPr>
              <w:t xml:space="preserve">vai jauna regulējuma izstrāde, vienlaikus </w:t>
            </w:r>
            <w:r w:rsidR="002239E9" w:rsidRPr="0013114D">
              <w:rPr>
                <w:rFonts w:ascii="Times New Roman" w:hAnsi="Times New Roman" w:cs="Times New Roman"/>
                <w:sz w:val="20"/>
                <w:szCs w:val="20"/>
              </w:rPr>
              <w:t xml:space="preserve">samazinot līdz minimumam jauna regulējuma izstrādi. Piemēram, jāizstrādā risinājums ņemot vērā sadarbības ekonomikas </w:t>
            </w:r>
            <w:r w:rsidR="00F90DA1" w:rsidRPr="0013114D">
              <w:rPr>
                <w:rFonts w:ascii="Times New Roman" w:hAnsi="Times New Roman" w:cs="Times New Roman"/>
                <w:sz w:val="20"/>
                <w:szCs w:val="20"/>
              </w:rPr>
              <w:t>komerc</w:t>
            </w:r>
            <w:r w:rsidR="002239E9" w:rsidRPr="0013114D">
              <w:rPr>
                <w:rFonts w:ascii="Times New Roman" w:hAnsi="Times New Roman" w:cs="Times New Roman"/>
                <w:sz w:val="20"/>
                <w:szCs w:val="20"/>
              </w:rPr>
              <w:t xml:space="preserve">darbības modeļu prasības un starptautisko pieredzi, lai vienkāršotu esošo nodokļu deklarēšanas un nomaksas procesu sadarbības ekonomikas </w:t>
            </w:r>
            <w:r w:rsidR="00F90DA1" w:rsidRPr="0013114D">
              <w:rPr>
                <w:rFonts w:ascii="Times New Roman" w:hAnsi="Times New Roman" w:cs="Times New Roman"/>
                <w:sz w:val="20"/>
                <w:szCs w:val="20"/>
              </w:rPr>
              <w:t>komerc</w:t>
            </w:r>
            <w:r w:rsidR="002239E9" w:rsidRPr="0013114D">
              <w:rPr>
                <w:rFonts w:ascii="Times New Roman" w:hAnsi="Times New Roman" w:cs="Times New Roman"/>
                <w:sz w:val="20"/>
                <w:szCs w:val="20"/>
              </w:rPr>
              <w:t>darbībā iesaistītajiem.</w:t>
            </w:r>
          </w:p>
        </w:tc>
        <w:tc>
          <w:tcPr>
            <w:tcW w:w="1701" w:type="dxa"/>
          </w:tcPr>
          <w:p w14:paraId="45E67F24" w14:textId="510CB415" w:rsidR="002239E9" w:rsidRPr="0013114D" w:rsidRDefault="00A557CD" w:rsidP="005A6F41">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Nozaru ministrijas to kompetences ietvaros</w:t>
            </w:r>
          </w:p>
          <w:p w14:paraId="36A858ED" w14:textId="77777777" w:rsidR="002239E9" w:rsidRPr="0013114D" w:rsidRDefault="002239E9" w:rsidP="004D63B9">
            <w:pPr>
              <w:spacing w:after="0" w:line="240" w:lineRule="auto"/>
              <w:rPr>
                <w:rFonts w:ascii="Times New Roman" w:hAnsi="Times New Roman" w:cs="Times New Roman"/>
                <w:sz w:val="20"/>
                <w:szCs w:val="20"/>
              </w:rPr>
            </w:pPr>
          </w:p>
        </w:tc>
      </w:tr>
      <w:tr w:rsidR="002239E9" w:rsidRPr="00F54D9C" w14:paraId="4A46AC0E" w14:textId="77777777" w:rsidTr="002239E9">
        <w:trPr>
          <w:trHeight w:val="116"/>
        </w:trPr>
        <w:tc>
          <w:tcPr>
            <w:tcW w:w="846" w:type="dxa"/>
            <w:vMerge/>
          </w:tcPr>
          <w:p w14:paraId="7CDF9386" w14:textId="77777777" w:rsidR="002239E9" w:rsidRPr="00F54D9C" w:rsidRDefault="002239E9" w:rsidP="004D63B9">
            <w:pPr>
              <w:pStyle w:val="ListParagraph"/>
              <w:numPr>
                <w:ilvl w:val="0"/>
                <w:numId w:val="4"/>
              </w:numPr>
              <w:rPr>
                <w:rFonts w:ascii="Times New Roman" w:hAnsi="Times New Roman" w:cs="Times New Roman"/>
                <w:b/>
                <w:sz w:val="20"/>
                <w:szCs w:val="20"/>
              </w:rPr>
            </w:pPr>
          </w:p>
        </w:tc>
        <w:tc>
          <w:tcPr>
            <w:tcW w:w="3969" w:type="dxa"/>
            <w:vMerge/>
          </w:tcPr>
          <w:p w14:paraId="282B7969" w14:textId="77777777" w:rsidR="002239E9" w:rsidRPr="00F54D9C" w:rsidRDefault="002239E9" w:rsidP="00784AD9">
            <w:pPr>
              <w:rPr>
                <w:rFonts w:ascii="Times New Roman" w:hAnsi="Times New Roman" w:cs="Times New Roman"/>
                <w:b/>
                <w:sz w:val="20"/>
                <w:szCs w:val="20"/>
              </w:rPr>
            </w:pPr>
          </w:p>
        </w:tc>
        <w:tc>
          <w:tcPr>
            <w:tcW w:w="7371" w:type="dxa"/>
          </w:tcPr>
          <w:p w14:paraId="3ACBB41B" w14:textId="008CF16E" w:rsidR="002239E9" w:rsidRPr="00E727B6" w:rsidRDefault="00932C0D" w:rsidP="00F90DA1">
            <w:pPr>
              <w:spacing w:after="0" w:line="240" w:lineRule="auto"/>
              <w:rPr>
                <w:rFonts w:ascii="Times New Roman" w:hAnsi="Times New Roman" w:cs="Times New Roman"/>
                <w:sz w:val="20"/>
                <w:szCs w:val="20"/>
              </w:rPr>
            </w:pPr>
            <w:r>
              <w:rPr>
                <w:rFonts w:ascii="Times New Roman" w:hAnsi="Times New Roman" w:cs="Times New Roman"/>
                <w:sz w:val="20"/>
                <w:szCs w:val="20"/>
              </w:rPr>
              <w:t>1.2.2</w:t>
            </w:r>
            <w:r w:rsidR="002239E9" w:rsidRPr="00E727B6">
              <w:rPr>
                <w:rFonts w:ascii="Times New Roman" w:hAnsi="Times New Roman" w:cs="Times New Roman"/>
                <w:sz w:val="20"/>
                <w:szCs w:val="20"/>
              </w:rPr>
              <w:t xml:space="preserve">. Jāveido apmācības </w:t>
            </w:r>
            <w:r w:rsidR="00F90DA1" w:rsidRPr="00E727B6">
              <w:rPr>
                <w:rFonts w:ascii="Times New Roman" w:hAnsi="Times New Roman" w:cs="Times New Roman"/>
                <w:sz w:val="20"/>
                <w:szCs w:val="20"/>
              </w:rPr>
              <w:t>komersantiem</w:t>
            </w:r>
            <w:r w:rsidR="002239E9" w:rsidRPr="00E727B6">
              <w:rPr>
                <w:rFonts w:ascii="Times New Roman" w:hAnsi="Times New Roman" w:cs="Times New Roman"/>
                <w:sz w:val="20"/>
                <w:szCs w:val="20"/>
              </w:rPr>
              <w:t xml:space="preserve">, izglītojot par jauno tehnoloģiju efektivitātes ieguvumiem un labumu, ko sniedz šādu tehnoloģiju izmantošana </w:t>
            </w:r>
            <w:r w:rsidR="00F90DA1" w:rsidRPr="00E727B6">
              <w:rPr>
                <w:rFonts w:ascii="Times New Roman" w:hAnsi="Times New Roman" w:cs="Times New Roman"/>
                <w:sz w:val="20"/>
                <w:szCs w:val="20"/>
              </w:rPr>
              <w:t>komerc</w:t>
            </w:r>
            <w:r w:rsidR="002239E9" w:rsidRPr="00E727B6">
              <w:rPr>
                <w:rFonts w:ascii="Times New Roman" w:hAnsi="Times New Roman" w:cs="Times New Roman"/>
                <w:sz w:val="20"/>
                <w:szCs w:val="20"/>
              </w:rPr>
              <w:t>darbībā.</w:t>
            </w:r>
          </w:p>
        </w:tc>
        <w:tc>
          <w:tcPr>
            <w:tcW w:w="1701" w:type="dxa"/>
          </w:tcPr>
          <w:p w14:paraId="33C93D6F" w14:textId="1ED127EB" w:rsidR="002239E9" w:rsidRPr="00E727B6" w:rsidRDefault="003A5879" w:rsidP="004D63B9">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EM</w:t>
            </w:r>
          </w:p>
        </w:tc>
      </w:tr>
      <w:tr w:rsidR="002239E9" w:rsidRPr="00F54D9C" w14:paraId="02D3891D" w14:textId="77777777" w:rsidTr="002239E9">
        <w:trPr>
          <w:trHeight w:val="69"/>
        </w:trPr>
        <w:tc>
          <w:tcPr>
            <w:tcW w:w="846" w:type="dxa"/>
            <w:vMerge w:val="restart"/>
          </w:tcPr>
          <w:p w14:paraId="14438209"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val="restart"/>
          </w:tcPr>
          <w:p w14:paraId="7CE04ACA" w14:textId="1325DAEE" w:rsidR="002239E9" w:rsidRPr="00F54D9C" w:rsidRDefault="008C16C5" w:rsidP="00370B41">
            <w:pPr>
              <w:rPr>
                <w:rFonts w:ascii="Times New Roman" w:hAnsi="Times New Roman" w:cs="Times New Roman"/>
                <w:b/>
                <w:sz w:val="20"/>
                <w:szCs w:val="20"/>
              </w:rPr>
            </w:pPr>
            <w:r>
              <w:rPr>
                <w:rFonts w:ascii="Times New Roman" w:hAnsi="Times New Roman" w:cs="Times New Roman"/>
                <w:b/>
                <w:sz w:val="20"/>
                <w:szCs w:val="20"/>
              </w:rPr>
              <w:t>Komerc</w:t>
            </w:r>
            <w:r w:rsidR="002239E9">
              <w:rPr>
                <w:rFonts w:ascii="Times New Roman" w:hAnsi="Times New Roman" w:cs="Times New Roman"/>
                <w:b/>
                <w:sz w:val="20"/>
                <w:szCs w:val="20"/>
              </w:rPr>
              <w:t>darbības uzsākšana, t.sk. atbalsts j</w:t>
            </w:r>
            <w:r w:rsidR="002239E9" w:rsidRPr="00F54D9C">
              <w:rPr>
                <w:rFonts w:ascii="Times New Roman" w:hAnsi="Times New Roman" w:cs="Times New Roman"/>
                <w:b/>
                <w:sz w:val="20"/>
                <w:szCs w:val="20"/>
              </w:rPr>
              <w:t>aunuzņēmumi</w:t>
            </w:r>
            <w:r w:rsidR="002239E9">
              <w:rPr>
                <w:rFonts w:ascii="Times New Roman" w:hAnsi="Times New Roman" w:cs="Times New Roman"/>
                <w:b/>
                <w:sz w:val="20"/>
                <w:szCs w:val="20"/>
              </w:rPr>
              <w:t>em</w:t>
            </w:r>
            <w:r w:rsidR="002239E9" w:rsidRPr="00F54D9C">
              <w:rPr>
                <w:rFonts w:ascii="Times New Roman" w:hAnsi="Times New Roman" w:cs="Times New Roman"/>
                <w:b/>
                <w:sz w:val="20"/>
                <w:szCs w:val="20"/>
              </w:rPr>
              <w:t xml:space="preserve"> (2.2. Palīdzība MVU un jaunuzņēmumu izaugsmē)</w:t>
            </w:r>
          </w:p>
        </w:tc>
        <w:tc>
          <w:tcPr>
            <w:tcW w:w="7371" w:type="dxa"/>
          </w:tcPr>
          <w:p w14:paraId="5532578E" w14:textId="72E55A03" w:rsidR="002239E9" w:rsidRPr="00E727B6" w:rsidRDefault="002239E9" w:rsidP="00F90DA1">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 xml:space="preserve">2.2.1. Jāuzlabo vienas pieturas aģentūras/kontaktpunkta (šobrīd </w:t>
            </w:r>
            <w:hyperlink r:id="rId8" w:history="1">
              <w:r w:rsidRPr="00E727B6">
                <w:rPr>
                  <w:rStyle w:val="Hyperlink"/>
                  <w:rFonts w:ascii="Times New Roman" w:hAnsi="Times New Roman" w:cs="Times New Roman"/>
                  <w:sz w:val="20"/>
                  <w:szCs w:val="20"/>
                </w:rPr>
                <w:t>www.latvija.lv</w:t>
              </w:r>
            </w:hyperlink>
            <w:r w:rsidRPr="00E727B6">
              <w:rPr>
                <w:rFonts w:ascii="Times New Roman" w:hAnsi="Times New Roman" w:cs="Times New Roman"/>
                <w:sz w:val="20"/>
                <w:szCs w:val="20"/>
              </w:rPr>
              <w:t xml:space="preserve">) funkcijas, virzoties uz pilnīgu valsts pakalpojumu </w:t>
            </w:r>
            <w:proofErr w:type="spellStart"/>
            <w:r w:rsidRPr="00E727B6">
              <w:rPr>
                <w:rFonts w:ascii="Times New Roman" w:hAnsi="Times New Roman" w:cs="Times New Roman"/>
                <w:sz w:val="20"/>
                <w:szCs w:val="20"/>
              </w:rPr>
              <w:t>digitalizāciju</w:t>
            </w:r>
            <w:proofErr w:type="spellEnd"/>
            <w:r w:rsidRPr="00E727B6">
              <w:rPr>
                <w:rFonts w:ascii="Times New Roman" w:hAnsi="Times New Roman" w:cs="Times New Roman"/>
                <w:sz w:val="20"/>
                <w:szCs w:val="20"/>
              </w:rPr>
              <w:t xml:space="preserve">, pilnveidojot tajā esošo informāciju par nepieciešamajiem soļiem (visām licencēm, atļaujām u.tml.) </w:t>
            </w:r>
            <w:r w:rsidR="00F90DA1" w:rsidRPr="00E727B6">
              <w:rPr>
                <w:rFonts w:ascii="Times New Roman" w:hAnsi="Times New Roman" w:cs="Times New Roman"/>
                <w:sz w:val="20"/>
                <w:szCs w:val="20"/>
              </w:rPr>
              <w:t>komerc</w:t>
            </w:r>
            <w:r w:rsidRPr="00E727B6">
              <w:rPr>
                <w:rFonts w:ascii="Times New Roman" w:hAnsi="Times New Roman" w:cs="Times New Roman"/>
                <w:sz w:val="20"/>
                <w:szCs w:val="20"/>
              </w:rPr>
              <w:t>darbības uzsākšanai, veikšanai un izbeigšanai, kā arī jāpilnveido darbības, t.sk. uzlabojot atbilžu sniegšanas ātrumu iesniegumiem un veidojot lietotājam draudzīgu vidi. - Uzņēmējdarbības vides uzlabošanas pasākumu plāna</w:t>
            </w:r>
            <w:r w:rsidRPr="00E727B6">
              <w:rPr>
                <w:rStyle w:val="FootnoteReference"/>
                <w:rFonts w:ascii="Times New Roman" w:hAnsi="Times New Roman"/>
                <w:sz w:val="20"/>
                <w:szCs w:val="20"/>
              </w:rPr>
              <w:footnoteReference w:id="1"/>
            </w:r>
            <w:r w:rsidRPr="00E727B6">
              <w:rPr>
                <w:rFonts w:ascii="Times New Roman" w:hAnsi="Times New Roman" w:cs="Times New Roman"/>
                <w:sz w:val="20"/>
                <w:szCs w:val="20"/>
              </w:rPr>
              <w:t xml:space="preserve"> 11.3.uzdevums </w:t>
            </w:r>
          </w:p>
        </w:tc>
        <w:tc>
          <w:tcPr>
            <w:tcW w:w="1701" w:type="dxa"/>
          </w:tcPr>
          <w:p w14:paraId="0755D4DB" w14:textId="77777777" w:rsidR="002239E9" w:rsidRPr="00E727B6" w:rsidRDefault="002239E9" w:rsidP="004D63B9">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EM</w:t>
            </w:r>
          </w:p>
        </w:tc>
      </w:tr>
      <w:tr w:rsidR="002239E9" w:rsidRPr="00F54D9C" w14:paraId="0E998FC9" w14:textId="77777777" w:rsidTr="002239E9">
        <w:trPr>
          <w:trHeight w:val="66"/>
        </w:trPr>
        <w:tc>
          <w:tcPr>
            <w:tcW w:w="846" w:type="dxa"/>
            <w:vMerge/>
          </w:tcPr>
          <w:p w14:paraId="083FCFD1"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131433D6" w14:textId="77777777" w:rsidR="002239E9" w:rsidRPr="00F54D9C" w:rsidRDefault="002239E9" w:rsidP="00784AD9">
            <w:pPr>
              <w:rPr>
                <w:rFonts w:ascii="Times New Roman" w:hAnsi="Times New Roman" w:cs="Times New Roman"/>
                <w:b/>
                <w:sz w:val="20"/>
                <w:szCs w:val="20"/>
              </w:rPr>
            </w:pPr>
          </w:p>
        </w:tc>
        <w:tc>
          <w:tcPr>
            <w:tcW w:w="7371" w:type="dxa"/>
          </w:tcPr>
          <w:p w14:paraId="3A013C6D" w14:textId="27A20B24" w:rsidR="002239E9" w:rsidRPr="00F54D9C" w:rsidRDefault="002239E9" w:rsidP="001848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 xml:space="preserve">2.2.2. </w:t>
            </w:r>
            <w:r>
              <w:rPr>
                <w:rFonts w:ascii="Times New Roman" w:hAnsi="Times New Roman" w:cs="Times New Roman"/>
                <w:sz w:val="20"/>
                <w:szCs w:val="20"/>
              </w:rPr>
              <w:t>Valsts pārvaldes un uzraugošajām institūcijām savā darbībā jāievēro samērīguma principi veicot tirgus uzraudzības pasākumus, t.i. jāievieš “konsultē vispirms” princips</w:t>
            </w:r>
            <w:r w:rsidRPr="00F54D9C">
              <w:rPr>
                <w:rFonts w:ascii="Times New Roman" w:hAnsi="Times New Roman" w:cs="Times New Roman"/>
                <w:sz w:val="20"/>
                <w:szCs w:val="20"/>
              </w:rPr>
              <w:t>. - Uzņēmējdarbības vides uzlabošanas pasākumu plāna 11.1.uzdevums</w:t>
            </w:r>
          </w:p>
        </w:tc>
        <w:tc>
          <w:tcPr>
            <w:tcW w:w="1701" w:type="dxa"/>
          </w:tcPr>
          <w:p w14:paraId="5C77EBBD" w14:textId="77777777" w:rsidR="002239E9" w:rsidRPr="00F54D9C" w:rsidRDefault="002239E9" w:rsidP="0093613D">
            <w:pPr>
              <w:spacing w:after="0" w:line="240" w:lineRule="auto"/>
              <w:rPr>
                <w:rFonts w:ascii="Times New Roman" w:hAnsi="Times New Roman" w:cs="Times New Roman"/>
                <w:sz w:val="20"/>
                <w:szCs w:val="20"/>
              </w:rPr>
            </w:pPr>
            <w:r>
              <w:rPr>
                <w:rFonts w:ascii="Times New Roman" w:hAnsi="Times New Roman" w:cs="Times New Roman"/>
                <w:sz w:val="20"/>
                <w:szCs w:val="20"/>
              </w:rPr>
              <w:t>VK</w:t>
            </w:r>
          </w:p>
          <w:p w14:paraId="7F9B9469" w14:textId="77777777" w:rsidR="002239E9" w:rsidRPr="00F54D9C" w:rsidRDefault="002239E9" w:rsidP="004D63B9">
            <w:pPr>
              <w:spacing w:after="0" w:line="240" w:lineRule="auto"/>
              <w:rPr>
                <w:rFonts w:ascii="Times New Roman" w:hAnsi="Times New Roman" w:cs="Times New Roman"/>
                <w:sz w:val="20"/>
                <w:szCs w:val="20"/>
              </w:rPr>
            </w:pPr>
          </w:p>
        </w:tc>
      </w:tr>
      <w:tr w:rsidR="002239E9" w:rsidRPr="00F54D9C" w14:paraId="3A551205" w14:textId="77777777" w:rsidTr="002239E9">
        <w:trPr>
          <w:trHeight w:val="66"/>
        </w:trPr>
        <w:tc>
          <w:tcPr>
            <w:tcW w:w="846" w:type="dxa"/>
            <w:vMerge/>
          </w:tcPr>
          <w:p w14:paraId="342DCD70"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5C2F1D19" w14:textId="77777777" w:rsidR="002239E9" w:rsidRPr="00F54D9C" w:rsidRDefault="002239E9" w:rsidP="00784AD9">
            <w:pPr>
              <w:rPr>
                <w:rFonts w:ascii="Times New Roman" w:hAnsi="Times New Roman" w:cs="Times New Roman"/>
                <w:b/>
                <w:sz w:val="20"/>
                <w:szCs w:val="20"/>
              </w:rPr>
            </w:pPr>
          </w:p>
        </w:tc>
        <w:tc>
          <w:tcPr>
            <w:tcW w:w="7371" w:type="dxa"/>
          </w:tcPr>
          <w:p w14:paraId="3A21D17F" w14:textId="456B41D0" w:rsidR="002239E9" w:rsidRPr="00F54D9C" w:rsidRDefault="002239E9" w:rsidP="00F90DA1">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 xml:space="preserve">2.2.3. Jānosaka konkrēts ienākumu limits, kuru sasniedzot </w:t>
            </w:r>
            <w:r w:rsidR="00F90DA1">
              <w:rPr>
                <w:rFonts w:ascii="Times New Roman" w:hAnsi="Times New Roman" w:cs="Times New Roman"/>
                <w:sz w:val="20"/>
                <w:szCs w:val="20"/>
              </w:rPr>
              <w:t>komersantiem</w:t>
            </w:r>
            <w:r w:rsidRPr="00F54D9C">
              <w:rPr>
                <w:rFonts w:ascii="Times New Roman" w:hAnsi="Times New Roman" w:cs="Times New Roman"/>
                <w:sz w:val="20"/>
                <w:szCs w:val="20"/>
              </w:rPr>
              <w:t xml:space="preserve"> ir jāsāk maksāt nodokļi</w:t>
            </w:r>
            <w:r>
              <w:rPr>
                <w:rStyle w:val="FootnoteReference"/>
                <w:rFonts w:ascii="Times New Roman" w:hAnsi="Times New Roman"/>
                <w:sz w:val="20"/>
                <w:szCs w:val="20"/>
              </w:rPr>
              <w:footnoteReference w:id="2"/>
            </w:r>
            <w:r w:rsidRPr="00F54D9C">
              <w:rPr>
                <w:rFonts w:ascii="Times New Roman" w:hAnsi="Times New Roman" w:cs="Times New Roman"/>
                <w:sz w:val="20"/>
                <w:szCs w:val="20"/>
              </w:rPr>
              <w:t>. - Uzņēmējdarbības vides uzlabošanas pasākumu plāna 1.7.uzdevums</w:t>
            </w:r>
          </w:p>
        </w:tc>
        <w:tc>
          <w:tcPr>
            <w:tcW w:w="1701" w:type="dxa"/>
          </w:tcPr>
          <w:p w14:paraId="3E6EC3A9" w14:textId="77777777" w:rsidR="002239E9" w:rsidRPr="00F54D9C" w:rsidRDefault="002239E9" w:rsidP="004D63B9">
            <w:pPr>
              <w:spacing w:after="0" w:line="240" w:lineRule="auto"/>
              <w:rPr>
                <w:rFonts w:ascii="Times New Roman" w:hAnsi="Times New Roman" w:cs="Times New Roman"/>
                <w:sz w:val="20"/>
                <w:szCs w:val="20"/>
              </w:rPr>
            </w:pPr>
            <w:r>
              <w:rPr>
                <w:rFonts w:ascii="Times New Roman" w:hAnsi="Times New Roman" w:cs="Times New Roman"/>
                <w:sz w:val="20"/>
                <w:szCs w:val="20"/>
              </w:rPr>
              <w:t>FM</w:t>
            </w:r>
          </w:p>
        </w:tc>
      </w:tr>
      <w:tr w:rsidR="002239E9" w:rsidRPr="00F54D9C" w14:paraId="16697BC1" w14:textId="77777777" w:rsidTr="002239E9">
        <w:trPr>
          <w:trHeight w:val="66"/>
        </w:trPr>
        <w:tc>
          <w:tcPr>
            <w:tcW w:w="846" w:type="dxa"/>
            <w:vMerge/>
          </w:tcPr>
          <w:p w14:paraId="6CA12BAC"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7E1547DD" w14:textId="77777777" w:rsidR="002239E9" w:rsidRPr="00F54D9C" w:rsidRDefault="002239E9" w:rsidP="00784AD9">
            <w:pPr>
              <w:rPr>
                <w:rFonts w:ascii="Times New Roman" w:hAnsi="Times New Roman" w:cs="Times New Roman"/>
                <w:b/>
                <w:sz w:val="20"/>
                <w:szCs w:val="20"/>
              </w:rPr>
            </w:pPr>
          </w:p>
        </w:tc>
        <w:tc>
          <w:tcPr>
            <w:tcW w:w="7371" w:type="dxa"/>
          </w:tcPr>
          <w:p w14:paraId="61BE5119" w14:textId="25413CBD" w:rsidR="002239E9" w:rsidRPr="00F54D9C" w:rsidRDefault="002239E9" w:rsidP="001848B9">
            <w:pPr>
              <w:spacing w:after="0" w:line="240" w:lineRule="auto"/>
              <w:rPr>
                <w:rFonts w:ascii="Times New Roman" w:hAnsi="Times New Roman" w:cs="Times New Roman"/>
                <w:sz w:val="20"/>
                <w:szCs w:val="20"/>
              </w:rPr>
            </w:pPr>
            <w:r>
              <w:rPr>
                <w:rFonts w:ascii="Times New Roman" w:hAnsi="Times New Roman" w:cs="Times New Roman"/>
                <w:sz w:val="20"/>
                <w:szCs w:val="20"/>
              </w:rPr>
              <w:t>2.2.4</w:t>
            </w:r>
            <w:r w:rsidRPr="00F54D9C">
              <w:rPr>
                <w:rFonts w:ascii="Times New Roman" w:hAnsi="Times New Roman" w:cs="Times New Roman"/>
                <w:sz w:val="20"/>
                <w:szCs w:val="20"/>
              </w:rPr>
              <w:t>. Jā</w:t>
            </w:r>
            <w:r>
              <w:rPr>
                <w:rFonts w:ascii="Times New Roman" w:hAnsi="Times New Roman" w:cs="Times New Roman"/>
                <w:sz w:val="20"/>
                <w:szCs w:val="20"/>
              </w:rPr>
              <w:t>turpina darbs pie finansējuma pieejamības atvieglošanas</w:t>
            </w:r>
            <w:r w:rsidRPr="00F54D9C">
              <w:rPr>
                <w:rFonts w:ascii="Times New Roman" w:hAnsi="Times New Roman" w:cs="Times New Roman"/>
                <w:sz w:val="20"/>
                <w:szCs w:val="20"/>
              </w:rPr>
              <w:t xml:space="preserve">, </w:t>
            </w:r>
            <w:r>
              <w:rPr>
                <w:rFonts w:ascii="Times New Roman" w:hAnsi="Times New Roman" w:cs="Times New Roman"/>
                <w:sz w:val="20"/>
                <w:szCs w:val="20"/>
              </w:rPr>
              <w:t>īpaši</w:t>
            </w:r>
            <w:r w:rsidRPr="00F54D9C">
              <w:rPr>
                <w:rFonts w:ascii="Times New Roman" w:hAnsi="Times New Roman" w:cs="Times New Roman"/>
                <w:sz w:val="20"/>
                <w:szCs w:val="20"/>
              </w:rPr>
              <w:t xml:space="preserve"> </w:t>
            </w:r>
            <w:r>
              <w:rPr>
                <w:rFonts w:ascii="Times New Roman" w:hAnsi="Times New Roman" w:cs="Times New Roman"/>
                <w:sz w:val="20"/>
                <w:szCs w:val="20"/>
              </w:rPr>
              <w:t>jaun</w:t>
            </w:r>
            <w:r w:rsidRPr="006D0304">
              <w:rPr>
                <w:rFonts w:ascii="Times New Roman" w:hAnsi="Times New Roman" w:cs="Times New Roman"/>
                <w:sz w:val="20"/>
                <w:szCs w:val="20"/>
              </w:rPr>
              <w:t>uzņēmumi</w:t>
            </w:r>
            <w:r>
              <w:rPr>
                <w:rFonts w:ascii="Times New Roman" w:hAnsi="Times New Roman" w:cs="Times New Roman"/>
                <w:sz w:val="20"/>
                <w:szCs w:val="20"/>
              </w:rPr>
              <w:t>em</w:t>
            </w:r>
            <w:r w:rsidRPr="00F54D9C">
              <w:rPr>
                <w:rFonts w:ascii="Times New Roman" w:hAnsi="Times New Roman" w:cs="Times New Roman"/>
                <w:sz w:val="20"/>
                <w:szCs w:val="20"/>
              </w:rPr>
              <w:t xml:space="preserve">. </w:t>
            </w:r>
          </w:p>
        </w:tc>
        <w:tc>
          <w:tcPr>
            <w:tcW w:w="1701" w:type="dxa"/>
          </w:tcPr>
          <w:p w14:paraId="5D3A089E" w14:textId="77777777" w:rsidR="002239E9" w:rsidRPr="00F54D9C" w:rsidRDefault="002239E9"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EM</w:t>
            </w:r>
          </w:p>
        </w:tc>
      </w:tr>
      <w:tr w:rsidR="002239E9" w:rsidRPr="00F54D9C" w14:paraId="14A3EE92" w14:textId="77777777" w:rsidTr="002239E9">
        <w:trPr>
          <w:trHeight w:val="66"/>
        </w:trPr>
        <w:tc>
          <w:tcPr>
            <w:tcW w:w="846" w:type="dxa"/>
            <w:vMerge/>
          </w:tcPr>
          <w:p w14:paraId="67BD533C"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652F0082" w14:textId="77777777" w:rsidR="002239E9" w:rsidRPr="00F54D9C" w:rsidRDefault="002239E9" w:rsidP="00784AD9">
            <w:pPr>
              <w:rPr>
                <w:rFonts w:ascii="Times New Roman" w:hAnsi="Times New Roman" w:cs="Times New Roman"/>
                <w:b/>
                <w:sz w:val="20"/>
                <w:szCs w:val="20"/>
              </w:rPr>
            </w:pPr>
          </w:p>
        </w:tc>
        <w:tc>
          <w:tcPr>
            <w:tcW w:w="7371" w:type="dxa"/>
          </w:tcPr>
          <w:p w14:paraId="5DD461DA" w14:textId="7D06E8B9" w:rsidR="002239E9" w:rsidRPr="00F54D9C" w:rsidRDefault="002239E9" w:rsidP="00F90DA1">
            <w:pPr>
              <w:spacing w:after="0" w:line="240" w:lineRule="auto"/>
              <w:rPr>
                <w:rFonts w:ascii="Times New Roman" w:hAnsi="Times New Roman" w:cs="Times New Roman"/>
                <w:sz w:val="20"/>
                <w:szCs w:val="20"/>
              </w:rPr>
            </w:pPr>
            <w:r>
              <w:rPr>
                <w:rFonts w:ascii="Times New Roman" w:hAnsi="Times New Roman" w:cs="Times New Roman"/>
                <w:sz w:val="20"/>
                <w:szCs w:val="20"/>
              </w:rPr>
              <w:t>2.2.5</w:t>
            </w:r>
            <w:r w:rsidRPr="00F54D9C">
              <w:rPr>
                <w:rFonts w:ascii="Times New Roman" w:hAnsi="Times New Roman" w:cs="Times New Roman"/>
                <w:sz w:val="20"/>
                <w:szCs w:val="20"/>
              </w:rPr>
              <w:t>.</w:t>
            </w:r>
            <w:r>
              <w:rPr>
                <w:rFonts w:ascii="Times New Roman" w:hAnsi="Times New Roman" w:cs="Times New Roman"/>
                <w:sz w:val="20"/>
                <w:szCs w:val="20"/>
              </w:rPr>
              <w:t xml:space="preserve"> Jāievieš vienots konts </w:t>
            </w:r>
            <w:r w:rsidR="00F90DA1">
              <w:rPr>
                <w:rFonts w:ascii="Times New Roman" w:hAnsi="Times New Roman" w:cs="Times New Roman"/>
                <w:sz w:val="20"/>
                <w:szCs w:val="20"/>
              </w:rPr>
              <w:t>komersantiem</w:t>
            </w:r>
            <w:r>
              <w:rPr>
                <w:rFonts w:ascii="Times New Roman" w:hAnsi="Times New Roman" w:cs="Times New Roman"/>
                <w:sz w:val="20"/>
                <w:szCs w:val="20"/>
              </w:rPr>
              <w:t xml:space="preserve"> nodokļu nomaksai, paredzot atvieglotas grāmatvedības prasības</w:t>
            </w:r>
            <w:r w:rsidRPr="00F54D9C">
              <w:rPr>
                <w:rFonts w:ascii="Times New Roman" w:hAnsi="Times New Roman" w:cs="Times New Roman"/>
                <w:sz w:val="20"/>
                <w:szCs w:val="20"/>
              </w:rPr>
              <w:t>. - Uzņēmējdarbības vides uzlabošanas pasākumu plāna 5.18.uzdevums</w:t>
            </w:r>
          </w:p>
        </w:tc>
        <w:tc>
          <w:tcPr>
            <w:tcW w:w="1701" w:type="dxa"/>
          </w:tcPr>
          <w:p w14:paraId="37BACEFF" w14:textId="77777777" w:rsidR="002239E9" w:rsidRPr="00F54D9C" w:rsidRDefault="002239E9"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FM</w:t>
            </w:r>
          </w:p>
        </w:tc>
      </w:tr>
      <w:tr w:rsidR="002239E9" w:rsidRPr="00F54D9C" w14:paraId="17BF86A1" w14:textId="77777777" w:rsidTr="002239E9">
        <w:trPr>
          <w:trHeight w:val="66"/>
        </w:trPr>
        <w:tc>
          <w:tcPr>
            <w:tcW w:w="846" w:type="dxa"/>
            <w:vMerge/>
          </w:tcPr>
          <w:p w14:paraId="70041A06"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686740DA" w14:textId="77777777" w:rsidR="002239E9" w:rsidRPr="00F54D9C" w:rsidRDefault="002239E9" w:rsidP="00784AD9">
            <w:pPr>
              <w:rPr>
                <w:rFonts w:ascii="Times New Roman" w:hAnsi="Times New Roman" w:cs="Times New Roman"/>
                <w:b/>
                <w:sz w:val="20"/>
                <w:szCs w:val="20"/>
              </w:rPr>
            </w:pPr>
          </w:p>
        </w:tc>
        <w:tc>
          <w:tcPr>
            <w:tcW w:w="7371" w:type="dxa"/>
          </w:tcPr>
          <w:p w14:paraId="70B08FBC" w14:textId="77777777" w:rsidR="002239E9" w:rsidRPr="0013114D" w:rsidRDefault="002239E9"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2.2.6. Organizējot vai plānojot e-prasmju attīstīšanas pasākumus, kā arī izstrādājot politikas plānošanas dokumentus, jāņem vērā vecāko iedzīvotāju grupu intereses.</w:t>
            </w:r>
          </w:p>
        </w:tc>
        <w:tc>
          <w:tcPr>
            <w:tcW w:w="1701" w:type="dxa"/>
          </w:tcPr>
          <w:p w14:paraId="40870B0B" w14:textId="77777777" w:rsidR="002239E9" w:rsidRPr="00F54D9C" w:rsidRDefault="002239E9" w:rsidP="004D63B9">
            <w:pPr>
              <w:spacing w:after="0" w:line="240" w:lineRule="auto"/>
              <w:rPr>
                <w:rFonts w:ascii="Times New Roman" w:hAnsi="Times New Roman" w:cs="Times New Roman"/>
                <w:sz w:val="20"/>
                <w:szCs w:val="20"/>
              </w:rPr>
            </w:pPr>
            <w:r>
              <w:rPr>
                <w:rFonts w:ascii="Times New Roman" w:hAnsi="Times New Roman" w:cs="Times New Roman"/>
                <w:sz w:val="20"/>
                <w:szCs w:val="20"/>
              </w:rPr>
              <w:t>LM</w:t>
            </w:r>
          </w:p>
        </w:tc>
      </w:tr>
      <w:tr w:rsidR="002239E9" w:rsidRPr="00F54D9C" w14:paraId="58A453DB" w14:textId="77777777" w:rsidTr="002239E9">
        <w:trPr>
          <w:trHeight w:val="464"/>
        </w:trPr>
        <w:tc>
          <w:tcPr>
            <w:tcW w:w="846" w:type="dxa"/>
            <w:vMerge w:val="restart"/>
          </w:tcPr>
          <w:p w14:paraId="299C9BF7"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val="restart"/>
          </w:tcPr>
          <w:p w14:paraId="78182586" w14:textId="77777777" w:rsidR="002239E9" w:rsidRPr="00F54D9C" w:rsidRDefault="002239E9" w:rsidP="00784AD9">
            <w:pPr>
              <w:rPr>
                <w:rFonts w:ascii="Times New Roman" w:hAnsi="Times New Roman" w:cs="Times New Roman"/>
                <w:b/>
                <w:sz w:val="20"/>
                <w:szCs w:val="20"/>
              </w:rPr>
            </w:pPr>
            <w:r w:rsidRPr="00F54D9C">
              <w:rPr>
                <w:rFonts w:ascii="Times New Roman" w:hAnsi="Times New Roman" w:cs="Times New Roman"/>
                <w:b/>
                <w:sz w:val="20"/>
                <w:szCs w:val="20"/>
              </w:rPr>
              <w:t xml:space="preserve">Publiskais iepirkums (3.2. Publiskā iepirkuma labāka </w:t>
            </w:r>
            <w:proofErr w:type="spellStart"/>
            <w:r w:rsidRPr="00F54D9C">
              <w:rPr>
                <w:rFonts w:ascii="Times New Roman" w:hAnsi="Times New Roman" w:cs="Times New Roman"/>
                <w:b/>
                <w:sz w:val="20"/>
                <w:szCs w:val="20"/>
              </w:rPr>
              <w:t>pārredzamība</w:t>
            </w:r>
            <w:proofErr w:type="spellEnd"/>
            <w:r w:rsidRPr="00F54D9C">
              <w:rPr>
                <w:rFonts w:ascii="Times New Roman" w:hAnsi="Times New Roman" w:cs="Times New Roman"/>
                <w:b/>
                <w:sz w:val="20"/>
                <w:szCs w:val="20"/>
              </w:rPr>
              <w:t>, lietderība un atbildīgums)</w:t>
            </w:r>
          </w:p>
        </w:tc>
        <w:tc>
          <w:tcPr>
            <w:tcW w:w="7371" w:type="dxa"/>
            <w:vMerge w:val="restart"/>
          </w:tcPr>
          <w:p w14:paraId="02305B36" w14:textId="67085F38" w:rsidR="002239E9" w:rsidRPr="0013114D" w:rsidRDefault="005D58D4"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3.2.1. Jāizveido efektīvs kontroles mehānisms pēc iepirkuma līguma noslēgšanas, lai sekmētu kvalitatīvu un atbilstošu pakalpojumu/produktu saņemšanu.</w:t>
            </w:r>
          </w:p>
        </w:tc>
        <w:tc>
          <w:tcPr>
            <w:tcW w:w="1701" w:type="dxa"/>
            <w:vMerge w:val="restart"/>
          </w:tcPr>
          <w:p w14:paraId="1427DF0B" w14:textId="62B893DC" w:rsidR="002239E9" w:rsidRPr="00F11A57" w:rsidRDefault="002239E9" w:rsidP="004D63B9">
            <w:pPr>
              <w:spacing w:after="0" w:line="240" w:lineRule="auto"/>
              <w:rPr>
                <w:rFonts w:ascii="Times New Roman" w:hAnsi="Times New Roman" w:cs="Times New Roman"/>
                <w:sz w:val="20"/>
                <w:szCs w:val="20"/>
              </w:rPr>
            </w:pPr>
            <w:r w:rsidRPr="00F11A57">
              <w:rPr>
                <w:rFonts w:ascii="Times New Roman" w:hAnsi="Times New Roman" w:cs="Times New Roman"/>
                <w:sz w:val="20"/>
                <w:szCs w:val="20"/>
              </w:rPr>
              <w:t>FM</w:t>
            </w:r>
          </w:p>
        </w:tc>
      </w:tr>
      <w:tr w:rsidR="002239E9" w:rsidRPr="00F54D9C" w14:paraId="3A91292A" w14:textId="77777777" w:rsidTr="002239E9">
        <w:trPr>
          <w:trHeight w:val="464"/>
        </w:trPr>
        <w:tc>
          <w:tcPr>
            <w:tcW w:w="846" w:type="dxa"/>
            <w:vMerge/>
          </w:tcPr>
          <w:p w14:paraId="3331E581"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1C3E63C0" w14:textId="77777777" w:rsidR="002239E9" w:rsidRPr="00F54D9C" w:rsidRDefault="002239E9" w:rsidP="00784AD9">
            <w:pPr>
              <w:rPr>
                <w:rFonts w:ascii="Times New Roman" w:hAnsi="Times New Roman" w:cs="Times New Roman"/>
                <w:b/>
                <w:sz w:val="20"/>
                <w:szCs w:val="20"/>
              </w:rPr>
            </w:pPr>
          </w:p>
        </w:tc>
        <w:tc>
          <w:tcPr>
            <w:tcW w:w="7371" w:type="dxa"/>
            <w:vMerge/>
          </w:tcPr>
          <w:p w14:paraId="5E2F4A93" w14:textId="77777777" w:rsidR="002239E9" w:rsidRPr="00F54D9C" w:rsidRDefault="002239E9" w:rsidP="004D63B9">
            <w:pPr>
              <w:spacing w:after="0" w:line="240" w:lineRule="auto"/>
              <w:rPr>
                <w:rFonts w:ascii="Times New Roman" w:hAnsi="Times New Roman" w:cs="Times New Roman"/>
                <w:sz w:val="20"/>
                <w:szCs w:val="20"/>
              </w:rPr>
            </w:pPr>
          </w:p>
        </w:tc>
        <w:tc>
          <w:tcPr>
            <w:tcW w:w="1701" w:type="dxa"/>
            <w:vMerge/>
          </w:tcPr>
          <w:p w14:paraId="574CDB98" w14:textId="15DD37F6" w:rsidR="002239E9" w:rsidRPr="00C05680" w:rsidRDefault="002239E9" w:rsidP="004D63B9">
            <w:pPr>
              <w:spacing w:after="0" w:line="240" w:lineRule="auto"/>
              <w:rPr>
                <w:rFonts w:ascii="Times New Roman" w:hAnsi="Times New Roman" w:cs="Times New Roman"/>
                <w:b/>
                <w:sz w:val="20"/>
                <w:szCs w:val="20"/>
              </w:rPr>
            </w:pPr>
          </w:p>
        </w:tc>
      </w:tr>
      <w:tr w:rsidR="002239E9" w:rsidRPr="00F54D9C" w14:paraId="3F67BD41" w14:textId="77777777" w:rsidTr="002239E9">
        <w:trPr>
          <w:trHeight w:val="93"/>
        </w:trPr>
        <w:tc>
          <w:tcPr>
            <w:tcW w:w="846" w:type="dxa"/>
            <w:vMerge/>
          </w:tcPr>
          <w:p w14:paraId="6DE50D04"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07314DB7" w14:textId="77777777" w:rsidR="002239E9" w:rsidRPr="00F54D9C" w:rsidRDefault="002239E9" w:rsidP="00784AD9">
            <w:pPr>
              <w:rPr>
                <w:rFonts w:ascii="Times New Roman" w:hAnsi="Times New Roman" w:cs="Times New Roman"/>
                <w:b/>
                <w:sz w:val="20"/>
                <w:szCs w:val="20"/>
              </w:rPr>
            </w:pPr>
          </w:p>
        </w:tc>
        <w:tc>
          <w:tcPr>
            <w:tcW w:w="7371" w:type="dxa"/>
          </w:tcPr>
          <w:p w14:paraId="17C8D564" w14:textId="7AA28735" w:rsidR="002239E9" w:rsidRPr="00E727B6" w:rsidRDefault="002239E9" w:rsidP="005A6F41">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 xml:space="preserve">3.2.2. Jāīsteno pasākumi inovatīva iepirkuma un iepirkuma ar augstu pievienoto vērtību aizvien plašākai pielietošanai. </w:t>
            </w:r>
          </w:p>
          <w:p w14:paraId="0EAF2BC8" w14:textId="77777777" w:rsidR="002239E9" w:rsidRPr="00E727B6" w:rsidRDefault="002239E9" w:rsidP="004D63B9">
            <w:pPr>
              <w:spacing w:after="0" w:line="240" w:lineRule="auto"/>
              <w:rPr>
                <w:rFonts w:ascii="Times New Roman" w:hAnsi="Times New Roman" w:cs="Times New Roman"/>
                <w:sz w:val="20"/>
                <w:szCs w:val="20"/>
              </w:rPr>
            </w:pPr>
          </w:p>
        </w:tc>
        <w:tc>
          <w:tcPr>
            <w:tcW w:w="1701" w:type="dxa"/>
          </w:tcPr>
          <w:p w14:paraId="712F51F3" w14:textId="77777777" w:rsidR="002239E9" w:rsidRPr="00F54D9C" w:rsidRDefault="002239E9" w:rsidP="004D63B9">
            <w:pPr>
              <w:spacing w:after="0" w:line="240" w:lineRule="auto"/>
              <w:rPr>
                <w:rFonts w:ascii="Times New Roman" w:hAnsi="Times New Roman" w:cs="Times New Roman"/>
                <w:sz w:val="20"/>
                <w:szCs w:val="20"/>
              </w:rPr>
            </w:pPr>
            <w:r>
              <w:rPr>
                <w:rFonts w:ascii="Times New Roman" w:hAnsi="Times New Roman" w:cs="Times New Roman"/>
                <w:sz w:val="20"/>
                <w:szCs w:val="20"/>
              </w:rPr>
              <w:t>FM</w:t>
            </w:r>
          </w:p>
        </w:tc>
      </w:tr>
      <w:tr w:rsidR="002239E9" w:rsidRPr="00F54D9C" w14:paraId="3D9230DE" w14:textId="77777777" w:rsidTr="002239E9">
        <w:trPr>
          <w:trHeight w:val="464"/>
        </w:trPr>
        <w:tc>
          <w:tcPr>
            <w:tcW w:w="846" w:type="dxa"/>
            <w:vMerge/>
          </w:tcPr>
          <w:p w14:paraId="09D448B3"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2FF5A597" w14:textId="77777777" w:rsidR="002239E9" w:rsidRPr="00F54D9C" w:rsidRDefault="002239E9" w:rsidP="00784AD9">
            <w:pPr>
              <w:rPr>
                <w:rFonts w:ascii="Times New Roman" w:hAnsi="Times New Roman" w:cs="Times New Roman"/>
                <w:b/>
                <w:sz w:val="20"/>
                <w:szCs w:val="20"/>
              </w:rPr>
            </w:pPr>
          </w:p>
        </w:tc>
        <w:tc>
          <w:tcPr>
            <w:tcW w:w="7371" w:type="dxa"/>
            <w:vMerge w:val="restart"/>
          </w:tcPr>
          <w:p w14:paraId="0E282425" w14:textId="53F3AABB" w:rsidR="002239E9" w:rsidRPr="00E727B6" w:rsidRDefault="002239E9" w:rsidP="005A6F41">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3.2.3. Jāīsteno pasūtītāju informēšanas pasākumi par inovāciju partnerības procedūras un konkursa dialoga piemērošanu</w:t>
            </w:r>
            <w:r w:rsidR="00EE209C" w:rsidRPr="00E727B6">
              <w:rPr>
                <w:rFonts w:ascii="Times New Roman" w:hAnsi="Times New Roman" w:cs="Times New Roman"/>
                <w:sz w:val="20"/>
                <w:szCs w:val="20"/>
              </w:rPr>
              <w:t>.</w:t>
            </w:r>
          </w:p>
          <w:p w14:paraId="34FF4FD9" w14:textId="77777777" w:rsidR="002239E9" w:rsidRPr="00E727B6" w:rsidRDefault="002239E9" w:rsidP="004D63B9">
            <w:pPr>
              <w:spacing w:after="0" w:line="240" w:lineRule="auto"/>
              <w:rPr>
                <w:rFonts w:ascii="Times New Roman" w:hAnsi="Times New Roman" w:cs="Times New Roman"/>
                <w:sz w:val="20"/>
                <w:szCs w:val="20"/>
              </w:rPr>
            </w:pPr>
          </w:p>
        </w:tc>
        <w:tc>
          <w:tcPr>
            <w:tcW w:w="1701" w:type="dxa"/>
            <w:vMerge w:val="restart"/>
          </w:tcPr>
          <w:p w14:paraId="41A6F858" w14:textId="77777777" w:rsidR="002239E9" w:rsidRPr="00F54D9C" w:rsidRDefault="002239E9"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FM</w:t>
            </w:r>
          </w:p>
        </w:tc>
      </w:tr>
      <w:tr w:rsidR="002239E9" w:rsidRPr="00F54D9C" w14:paraId="7D2D79CC" w14:textId="77777777" w:rsidTr="002239E9">
        <w:trPr>
          <w:trHeight w:val="464"/>
        </w:trPr>
        <w:tc>
          <w:tcPr>
            <w:tcW w:w="846" w:type="dxa"/>
            <w:vMerge/>
          </w:tcPr>
          <w:p w14:paraId="2C6999E1"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6A410F6C" w14:textId="77777777" w:rsidR="002239E9" w:rsidRPr="00F54D9C" w:rsidRDefault="002239E9" w:rsidP="00784AD9">
            <w:pPr>
              <w:rPr>
                <w:rFonts w:ascii="Times New Roman" w:hAnsi="Times New Roman" w:cs="Times New Roman"/>
                <w:b/>
                <w:sz w:val="20"/>
                <w:szCs w:val="20"/>
              </w:rPr>
            </w:pPr>
          </w:p>
        </w:tc>
        <w:tc>
          <w:tcPr>
            <w:tcW w:w="7371" w:type="dxa"/>
            <w:vMerge/>
            <w:tcBorders>
              <w:bottom w:val="single" w:sz="4" w:space="0" w:color="auto"/>
            </w:tcBorders>
          </w:tcPr>
          <w:p w14:paraId="1075CDD7" w14:textId="77777777" w:rsidR="002239E9" w:rsidRPr="00F54D9C" w:rsidRDefault="002239E9" w:rsidP="004D63B9">
            <w:pPr>
              <w:spacing w:after="0" w:line="240" w:lineRule="auto"/>
              <w:rPr>
                <w:rFonts w:ascii="Times New Roman" w:hAnsi="Times New Roman" w:cs="Times New Roman"/>
                <w:sz w:val="20"/>
                <w:szCs w:val="20"/>
              </w:rPr>
            </w:pPr>
          </w:p>
        </w:tc>
        <w:tc>
          <w:tcPr>
            <w:tcW w:w="1701" w:type="dxa"/>
            <w:vMerge/>
          </w:tcPr>
          <w:p w14:paraId="12666496" w14:textId="77777777" w:rsidR="002239E9" w:rsidRPr="00F54D9C" w:rsidRDefault="002239E9" w:rsidP="004D63B9">
            <w:pPr>
              <w:spacing w:after="0" w:line="240" w:lineRule="auto"/>
              <w:rPr>
                <w:rFonts w:ascii="Times New Roman" w:hAnsi="Times New Roman" w:cs="Times New Roman"/>
                <w:sz w:val="20"/>
                <w:szCs w:val="20"/>
              </w:rPr>
            </w:pPr>
          </w:p>
        </w:tc>
      </w:tr>
      <w:tr w:rsidR="002239E9" w:rsidRPr="00F54D9C" w14:paraId="3081010A" w14:textId="77777777" w:rsidTr="002239E9">
        <w:trPr>
          <w:trHeight w:val="233"/>
        </w:trPr>
        <w:tc>
          <w:tcPr>
            <w:tcW w:w="846" w:type="dxa"/>
            <w:vMerge w:val="restart"/>
          </w:tcPr>
          <w:p w14:paraId="54A686DC"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val="restart"/>
          </w:tcPr>
          <w:p w14:paraId="13909A97" w14:textId="77777777" w:rsidR="002239E9" w:rsidRPr="00F54D9C" w:rsidRDefault="002239E9" w:rsidP="00784AD9">
            <w:pPr>
              <w:rPr>
                <w:rFonts w:ascii="Times New Roman" w:hAnsi="Times New Roman" w:cs="Times New Roman"/>
                <w:b/>
                <w:sz w:val="20"/>
                <w:szCs w:val="20"/>
              </w:rPr>
            </w:pPr>
            <w:r w:rsidRPr="00F54D9C">
              <w:rPr>
                <w:rFonts w:ascii="Times New Roman" w:hAnsi="Times New Roman" w:cs="Times New Roman"/>
                <w:b/>
                <w:sz w:val="20"/>
                <w:szCs w:val="20"/>
              </w:rPr>
              <w:t>Intelektuālais īpašums (3.3. Eiropas intelektuālā īpašuma regulējuma nostiprināšana)</w:t>
            </w:r>
          </w:p>
        </w:tc>
        <w:tc>
          <w:tcPr>
            <w:tcW w:w="7371" w:type="dxa"/>
            <w:tcBorders>
              <w:top w:val="single" w:sz="4" w:space="0" w:color="auto"/>
              <w:left w:val="single" w:sz="4" w:space="0" w:color="auto"/>
              <w:bottom w:val="single" w:sz="4" w:space="0" w:color="auto"/>
              <w:right w:val="single" w:sz="4" w:space="0" w:color="auto"/>
            </w:tcBorders>
          </w:tcPr>
          <w:p w14:paraId="2A413B00" w14:textId="77777777" w:rsidR="002239E9" w:rsidRPr="00F54D9C" w:rsidRDefault="002239E9" w:rsidP="00493C9D">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4.2.1. Jāveicina informācijas pieejamība, organizējot informatīvās kampaņas, tādējādi sekmējot zināšanas par intelektuālā īpašuma nozīmi</w:t>
            </w:r>
            <w:r>
              <w:rPr>
                <w:rFonts w:ascii="Times New Roman" w:hAnsi="Times New Roman" w:cs="Times New Roman"/>
                <w:sz w:val="20"/>
                <w:szCs w:val="20"/>
              </w:rPr>
              <w:t>, reģistrēšanas kārtību un izmaksām</w:t>
            </w:r>
            <w:r w:rsidRPr="00F54D9C">
              <w:rPr>
                <w:rFonts w:ascii="Times New Roman" w:hAnsi="Times New Roman" w:cs="Times New Roman"/>
                <w:sz w:val="20"/>
                <w:szCs w:val="20"/>
              </w:rPr>
              <w:t>.</w:t>
            </w:r>
          </w:p>
        </w:tc>
        <w:tc>
          <w:tcPr>
            <w:tcW w:w="1701" w:type="dxa"/>
            <w:tcBorders>
              <w:left w:val="single" w:sz="4" w:space="0" w:color="auto"/>
            </w:tcBorders>
          </w:tcPr>
          <w:p w14:paraId="23814000" w14:textId="77777777" w:rsidR="002239E9" w:rsidRPr="00F54D9C" w:rsidRDefault="002239E9"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TM</w:t>
            </w:r>
          </w:p>
        </w:tc>
      </w:tr>
      <w:tr w:rsidR="002239E9" w:rsidRPr="00F54D9C" w14:paraId="78BC0F7E" w14:textId="77777777" w:rsidTr="002239E9">
        <w:trPr>
          <w:trHeight w:val="232"/>
        </w:trPr>
        <w:tc>
          <w:tcPr>
            <w:tcW w:w="846" w:type="dxa"/>
            <w:vMerge/>
          </w:tcPr>
          <w:p w14:paraId="6011A995"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20A3A7E0" w14:textId="77777777" w:rsidR="002239E9" w:rsidRPr="00F54D9C" w:rsidRDefault="002239E9" w:rsidP="00784AD9">
            <w:pPr>
              <w:rPr>
                <w:rFonts w:ascii="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tcPr>
          <w:p w14:paraId="565D7CD8" w14:textId="0C3DB48B" w:rsidR="002239E9" w:rsidRPr="0013114D" w:rsidRDefault="002239E9" w:rsidP="00300CB2">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4.2.2. Jāīsteno tehnoloģiju </w:t>
            </w:r>
            <w:proofErr w:type="spellStart"/>
            <w:r w:rsidRPr="0013114D">
              <w:rPr>
                <w:rFonts w:ascii="Times New Roman" w:hAnsi="Times New Roman" w:cs="Times New Roman"/>
                <w:sz w:val="20"/>
                <w:szCs w:val="20"/>
              </w:rPr>
              <w:t>pārneses</w:t>
            </w:r>
            <w:proofErr w:type="spellEnd"/>
            <w:r w:rsidRPr="0013114D">
              <w:rPr>
                <w:rFonts w:ascii="Times New Roman" w:hAnsi="Times New Roman" w:cs="Times New Roman"/>
                <w:sz w:val="20"/>
                <w:szCs w:val="20"/>
              </w:rPr>
              <w:t xml:space="preserve"> pasākumi, kas veicinātu Latvijā radīto izgudrojumu </w:t>
            </w:r>
            <w:proofErr w:type="spellStart"/>
            <w:r w:rsidRPr="0013114D">
              <w:rPr>
                <w:rFonts w:ascii="Times New Roman" w:hAnsi="Times New Roman" w:cs="Times New Roman"/>
                <w:sz w:val="20"/>
                <w:szCs w:val="20"/>
              </w:rPr>
              <w:t>komercializāciju</w:t>
            </w:r>
            <w:proofErr w:type="spellEnd"/>
            <w:r w:rsidRPr="0013114D">
              <w:rPr>
                <w:rFonts w:ascii="Times New Roman" w:hAnsi="Times New Roman" w:cs="Times New Roman"/>
                <w:sz w:val="20"/>
                <w:szCs w:val="20"/>
              </w:rPr>
              <w:t>.</w:t>
            </w:r>
          </w:p>
          <w:p w14:paraId="1EC44305" w14:textId="3F16523B" w:rsidR="002239E9" w:rsidRPr="0013114D" w:rsidRDefault="002239E9" w:rsidP="00300CB2">
            <w:pPr>
              <w:spacing w:after="0" w:line="240" w:lineRule="auto"/>
              <w:rPr>
                <w:rFonts w:ascii="Times New Roman" w:hAnsi="Times New Roman" w:cs="Times New Roman"/>
                <w:sz w:val="20"/>
                <w:szCs w:val="20"/>
              </w:rPr>
            </w:pPr>
          </w:p>
        </w:tc>
        <w:tc>
          <w:tcPr>
            <w:tcW w:w="1701" w:type="dxa"/>
            <w:tcBorders>
              <w:left w:val="single" w:sz="4" w:space="0" w:color="auto"/>
            </w:tcBorders>
          </w:tcPr>
          <w:p w14:paraId="6A4BCB1D" w14:textId="77777777" w:rsidR="002239E9" w:rsidRPr="0013114D" w:rsidRDefault="002239E9"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EM</w:t>
            </w:r>
          </w:p>
        </w:tc>
      </w:tr>
      <w:tr w:rsidR="002239E9" w:rsidRPr="00F54D9C" w14:paraId="4F7B47AA" w14:textId="77777777" w:rsidTr="002239E9">
        <w:trPr>
          <w:trHeight w:val="69"/>
        </w:trPr>
        <w:tc>
          <w:tcPr>
            <w:tcW w:w="846" w:type="dxa"/>
            <w:vMerge w:val="restart"/>
          </w:tcPr>
          <w:p w14:paraId="61AB4D8E"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val="restart"/>
          </w:tcPr>
          <w:p w14:paraId="03CB394D" w14:textId="77777777" w:rsidR="002239E9" w:rsidRPr="00F54D9C" w:rsidRDefault="002239E9" w:rsidP="00784AD9">
            <w:pPr>
              <w:rPr>
                <w:rFonts w:ascii="Times New Roman" w:hAnsi="Times New Roman" w:cs="Times New Roman"/>
                <w:b/>
                <w:sz w:val="20"/>
                <w:szCs w:val="20"/>
              </w:rPr>
            </w:pPr>
            <w:r w:rsidRPr="00F54D9C">
              <w:rPr>
                <w:rFonts w:ascii="Times New Roman" w:hAnsi="Times New Roman" w:cs="Times New Roman"/>
                <w:b/>
                <w:sz w:val="20"/>
                <w:szCs w:val="20"/>
              </w:rPr>
              <w:t>Jaunu noteikumu ieviešana un piemērošana (4.1. Noteikumu ievērošanas un gudras īstenošanas kultūra; 4.2. Pakalpojumu direktīvas realizēšanas uzlabošana ar paziņošanas procedūras reformu)</w:t>
            </w:r>
          </w:p>
        </w:tc>
        <w:tc>
          <w:tcPr>
            <w:tcW w:w="7371" w:type="dxa"/>
            <w:tcBorders>
              <w:top w:val="single" w:sz="4" w:space="0" w:color="auto"/>
            </w:tcBorders>
          </w:tcPr>
          <w:p w14:paraId="2F75255F" w14:textId="0F1A5946" w:rsidR="002239E9" w:rsidRPr="0013114D" w:rsidRDefault="002239E9"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5.2.1. </w:t>
            </w:r>
            <w:r w:rsidR="00C07F0A" w:rsidRPr="0013114D">
              <w:rPr>
                <w:rFonts w:ascii="Times New Roman" w:hAnsi="Times New Roman" w:cs="Times New Roman"/>
                <w:sz w:val="20"/>
                <w:szCs w:val="20"/>
              </w:rPr>
              <w:t>Izstrādājot politikas plānošanas dokumentus, nodrošināt intervences loģikas ievērošanu (politikas mērķi, sasniedzamie rezultāti, uzdevumi, pasākumi ir balstīti uz atbilstošu argumentāciju un resursu potenciālo pieejamību, kā arī ir savstarpēji loģiski saistīti un atbilstoši, t.sk., uzdevumiem nevar būt maldinošas interpretācijas iespējas).</w:t>
            </w:r>
          </w:p>
        </w:tc>
        <w:tc>
          <w:tcPr>
            <w:tcW w:w="1701" w:type="dxa"/>
          </w:tcPr>
          <w:p w14:paraId="3C276C87" w14:textId="6BBE7478" w:rsidR="002239E9" w:rsidRPr="0013114D" w:rsidRDefault="00F11A57"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Nozaru ministrijas to kompetences ietvaros</w:t>
            </w:r>
          </w:p>
        </w:tc>
      </w:tr>
      <w:tr w:rsidR="002239E9" w:rsidRPr="00F54D9C" w14:paraId="6FF5C48D" w14:textId="77777777" w:rsidTr="002239E9">
        <w:trPr>
          <w:trHeight w:val="66"/>
        </w:trPr>
        <w:tc>
          <w:tcPr>
            <w:tcW w:w="846" w:type="dxa"/>
            <w:vMerge/>
          </w:tcPr>
          <w:p w14:paraId="47792FAE"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0F2707C5" w14:textId="77777777" w:rsidR="002239E9" w:rsidRPr="00F54D9C" w:rsidRDefault="002239E9" w:rsidP="00784AD9">
            <w:pPr>
              <w:rPr>
                <w:rFonts w:ascii="Times New Roman" w:hAnsi="Times New Roman" w:cs="Times New Roman"/>
                <w:b/>
                <w:sz w:val="20"/>
                <w:szCs w:val="20"/>
              </w:rPr>
            </w:pPr>
          </w:p>
        </w:tc>
        <w:tc>
          <w:tcPr>
            <w:tcW w:w="7371" w:type="dxa"/>
          </w:tcPr>
          <w:p w14:paraId="1B073B52" w14:textId="36321F54" w:rsidR="002239E9" w:rsidRPr="00F54D9C" w:rsidRDefault="002239E9" w:rsidP="005A6F41">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5.2.2. Paziņojumu (</w:t>
            </w:r>
            <w:proofErr w:type="spellStart"/>
            <w:r w:rsidRPr="00F54D9C">
              <w:rPr>
                <w:rFonts w:ascii="Times New Roman" w:hAnsi="Times New Roman" w:cs="Times New Roman"/>
                <w:i/>
                <w:sz w:val="20"/>
                <w:szCs w:val="20"/>
              </w:rPr>
              <w:t>notifications</w:t>
            </w:r>
            <w:proofErr w:type="spellEnd"/>
            <w:r w:rsidRPr="00F54D9C">
              <w:rPr>
                <w:rFonts w:ascii="Times New Roman" w:hAnsi="Times New Roman" w:cs="Times New Roman"/>
                <w:sz w:val="20"/>
                <w:szCs w:val="20"/>
              </w:rPr>
              <w:t xml:space="preserve">) sistēmai par jauniem tehniskajiem noteikumiem citās dalībvalstīs jānotiek mērķtiecīgi un svarīgākajās nozarēs (piemēram, orientētai uz </w:t>
            </w:r>
            <w:r w:rsidR="00F90DA1">
              <w:rPr>
                <w:rFonts w:ascii="Times New Roman" w:hAnsi="Times New Roman" w:cs="Times New Roman"/>
                <w:sz w:val="20"/>
                <w:szCs w:val="20"/>
              </w:rPr>
              <w:t>komersantu</w:t>
            </w:r>
            <w:r>
              <w:rPr>
                <w:rFonts w:ascii="Times New Roman" w:hAnsi="Times New Roman" w:cs="Times New Roman"/>
                <w:sz w:val="20"/>
                <w:szCs w:val="20"/>
              </w:rPr>
              <w:t xml:space="preserve"> </w:t>
            </w:r>
            <w:r w:rsidRPr="00F54D9C">
              <w:rPr>
                <w:rFonts w:ascii="Times New Roman" w:hAnsi="Times New Roman" w:cs="Times New Roman"/>
                <w:sz w:val="20"/>
                <w:szCs w:val="20"/>
              </w:rPr>
              <w:t>galvenajiem eksporta mērķa tirgiem).</w:t>
            </w:r>
          </w:p>
          <w:p w14:paraId="7F7B7866" w14:textId="77777777" w:rsidR="002239E9" w:rsidRPr="00F54D9C" w:rsidRDefault="002239E9" w:rsidP="004D63B9">
            <w:pPr>
              <w:spacing w:after="0" w:line="240" w:lineRule="auto"/>
              <w:rPr>
                <w:rFonts w:ascii="Times New Roman" w:hAnsi="Times New Roman" w:cs="Times New Roman"/>
                <w:sz w:val="20"/>
                <w:szCs w:val="20"/>
              </w:rPr>
            </w:pPr>
          </w:p>
        </w:tc>
        <w:tc>
          <w:tcPr>
            <w:tcW w:w="1701" w:type="dxa"/>
          </w:tcPr>
          <w:p w14:paraId="3EC6E96D" w14:textId="77777777" w:rsidR="002239E9" w:rsidRPr="00F54D9C" w:rsidRDefault="002239E9"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EM</w:t>
            </w:r>
          </w:p>
        </w:tc>
      </w:tr>
      <w:tr w:rsidR="002239E9" w:rsidRPr="00F54D9C" w14:paraId="0679FE78" w14:textId="77777777" w:rsidTr="002239E9">
        <w:trPr>
          <w:trHeight w:val="66"/>
        </w:trPr>
        <w:tc>
          <w:tcPr>
            <w:tcW w:w="846" w:type="dxa"/>
            <w:vMerge/>
          </w:tcPr>
          <w:p w14:paraId="428239C7"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18EF5825" w14:textId="77777777" w:rsidR="002239E9" w:rsidRPr="00F54D9C" w:rsidRDefault="002239E9" w:rsidP="00784AD9">
            <w:pPr>
              <w:rPr>
                <w:rFonts w:ascii="Times New Roman" w:hAnsi="Times New Roman" w:cs="Times New Roman"/>
                <w:b/>
                <w:sz w:val="20"/>
                <w:szCs w:val="20"/>
              </w:rPr>
            </w:pPr>
          </w:p>
        </w:tc>
        <w:tc>
          <w:tcPr>
            <w:tcW w:w="7371" w:type="dxa"/>
          </w:tcPr>
          <w:p w14:paraId="15B2552E" w14:textId="77777777" w:rsidR="002239E9" w:rsidRPr="00F54D9C" w:rsidRDefault="002239E9" w:rsidP="005A6F41">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5.2.3. Paziņojumu (</w:t>
            </w:r>
            <w:proofErr w:type="spellStart"/>
            <w:r w:rsidRPr="00F54D9C">
              <w:rPr>
                <w:rFonts w:ascii="Times New Roman" w:hAnsi="Times New Roman" w:cs="Times New Roman"/>
                <w:i/>
                <w:sz w:val="20"/>
                <w:szCs w:val="20"/>
              </w:rPr>
              <w:t>notifications</w:t>
            </w:r>
            <w:proofErr w:type="spellEnd"/>
            <w:r w:rsidRPr="00F54D9C">
              <w:rPr>
                <w:rFonts w:ascii="Times New Roman" w:hAnsi="Times New Roman" w:cs="Times New Roman"/>
                <w:sz w:val="20"/>
                <w:szCs w:val="20"/>
              </w:rPr>
              <w:t>) sistēmai par jauniem tehniskajiem noteikumiem jābūt papildinātai ar 3 mēnešu “nogaidīšanas” (</w:t>
            </w:r>
            <w:proofErr w:type="spellStart"/>
            <w:r w:rsidRPr="00F54D9C">
              <w:rPr>
                <w:rFonts w:ascii="Times New Roman" w:hAnsi="Times New Roman" w:cs="Times New Roman"/>
                <w:i/>
                <w:sz w:val="20"/>
                <w:szCs w:val="20"/>
              </w:rPr>
              <w:t>standstill</w:t>
            </w:r>
            <w:proofErr w:type="spellEnd"/>
            <w:r w:rsidRPr="00F54D9C">
              <w:rPr>
                <w:rFonts w:ascii="Times New Roman" w:hAnsi="Times New Roman" w:cs="Times New Roman"/>
                <w:sz w:val="20"/>
                <w:szCs w:val="20"/>
              </w:rPr>
              <w:t>) periodu.</w:t>
            </w:r>
          </w:p>
          <w:p w14:paraId="757A7CC8" w14:textId="77777777" w:rsidR="002239E9" w:rsidRPr="00F54D9C" w:rsidRDefault="002239E9" w:rsidP="004D63B9">
            <w:pPr>
              <w:spacing w:after="0" w:line="240" w:lineRule="auto"/>
              <w:rPr>
                <w:rFonts w:ascii="Times New Roman" w:hAnsi="Times New Roman" w:cs="Times New Roman"/>
                <w:sz w:val="20"/>
                <w:szCs w:val="20"/>
              </w:rPr>
            </w:pPr>
          </w:p>
        </w:tc>
        <w:tc>
          <w:tcPr>
            <w:tcW w:w="1701" w:type="dxa"/>
          </w:tcPr>
          <w:p w14:paraId="7711F1E6" w14:textId="77777777" w:rsidR="002239E9" w:rsidRPr="00F54D9C" w:rsidRDefault="002239E9"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EM</w:t>
            </w:r>
          </w:p>
        </w:tc>
      </w:tr>
      <w:tr w:rsidR="002239E9" w:rsidRPr="00F54D9C" w14:paraId="6889848C" w14:textId="77777777" w:rsidTr="002239E9">
        <w:trPr>
          <w:trHeight w:val="66"/>
        </w:trPr>
        <w:tc>
          <w:tcPr>
            <w:tcW w:w="846" w:type="dxa"/>
            <w:vMerge/>
          </w:tcPr>
          <w:p w14:paraId="1123E317" w14:textId="77777777" w:rsidR="002239E9" w:rsidRPr="00F54D9C" w:rsidRDefault="002239E9" w:rsidP="004D63B9">
            <w:pPr>
              <w:pStyle w:val="ListParagraph"/>
              <w:numPr>
                <w:ilvl w:val="0"/>
                <w:numId w:val="4"/>
              </w:numPr>
              <w:rPr>
                <w:rFonts w:ascii="Times New Roman" w:hAnsi="Times New Roman" w:cs="Times New Roman"/>
                <w:sz w:val="20"/>
                <w:szCs w:val="20"/>
              </w:rPr>
            </w:pPr>
          </w:p>
        </w:tc>
        <w:tc>
          <w:tcPr>
            <w:tcW w:w="3969" w:type="dxa"/>
            <w:vMerge/>
          </w:tcPr>
          <w:p w14:paraId="28CBA440" w14:textId="77777777" w:rsidR="002239E9" w:rsidRPr="00F54D9C" w:rsidRDefault="002239E9" w:rsidP="00784AD9">
            <w:pPr>
              <w:rPr>
                <w:rFonts w:ascii="Times New Roman" w:hAnsi="Times New Roman" w:cs="Times New Roman"/>
                <w:b/>
                <w:sz w:val="20"/>
                <w:szCs w:val="20"/>
              </w:rPr>
            </w:pPr>
          </w:p>
        </w:tc>
        <w:tc>
          <w:tcPr>
            <w:tcW w:w="7371" w:type="dxa"/>
          </w:tcPr>
          <w:p w14:paraId="67FC551F" w14:textId="77777777" w:rsidR="002239E9" w:rsidRPr="0013114D" w:rsidRDefault="002239E9"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5.2.4. Jāorganizē popularizēšanas pasākumi ES līmeņa palīdzības sniegšanas dienestiem (SOLVIT). </w:t>
            </w:r>
          </w:p>
        </w:tc>
        <w:tc>
          <w:tcPr>
            <w:tcW w:w="1701" w:type="dxa"/>
          </w:tcPr>
          <w:p w14:paraId="565A7D66" w14:textId="77777777" w:rsidR="002239E9" w:rsidRPr="0013114D" w:rsidRDefault="002239E9"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EM</w:t>
            </w:r>
          </w:p>
        </w:tc>
      </w:tr>
      <w:tr w:rsidR="00986CA0" w:rsidRPr="00F54D9C" w14:paraId="55257D12" w14:textId="77777777" w:rsidTr="002239E9">
        <w:trPr>
          <w:trHeight w:val="66"/>
        </w:trPr>
        <w:tc>
          <w:tcPr>
            <w:tcW w:w="846" w:type="dxa"/>
            <w:vMerge/>
          </w:tcPr>
          <w:p w14:paraId="4CDC5447"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3B99FF29" w14:textId="77777777" w:rsidR="00986CA0" w:rsidRPr="00F54D9C" w:rsidRDefault="00986CA0" w:rsidP="00986CA0">
            <w:pPr>
              <w:rPr>
                <w:rFonts w:ascii="Times New Roman" w:hAnsi="Times New Roman" w:cs="Times New Roman"/>
                <w:b/>
                <w:sz w:val="20"/>
                <w:szCs w:val="20"/>
              </w:rPr>
            </w:pPr>
          </w:p>
        </w:tc>
        <w:tc>
          <w:tcPr>
            <w:tcW w:w="7371" w:type="dxa"/>
          </w:tcPr>
          <w:p w14:paraId="1DDE99CB" w14:textId="68D16D79" w:rsidR="00986CA0" w:rsidRPr="0013114D" w:rsidRDefault="00986CA0" w:rsidP="00E73650">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5.2.5. Jauna regulējuma izstrādes gadījumā īpaši jāievēro prasību samērīguma principus, ietekmi uz mazajiem un vidējiem komersantiem, atbalstot jaunu tirgus dalībnieku ienākšanu tirgū un veicinot investīcijām pievilcīgu komercdarbības vidi. Prioritāri jauna regulējuma izstrādes gadījumā </w:t>
            </w:r>
            <w:r w:rsidR="00E73650" w:rsidRPr="0013114D">
              <w:rPr>
                <w:rFonts w:ascii="Times New Roman" w:hAnsi="Times New Roman" w:cs="Times New Roman"/>
                <w:sz w:val="20"/>
                <w:szCs w:val="20"/>
              </w:rPr>
              <w:t>jāsamazina</w:t>
            </w:r>
            <w:r w:rsidRPr="0013114D">
              <w:rPr>
                <w:rFonts w:ascii="Times New Roman" w:hAnsi="Times New Roman" w:cs="Times New Roman"/>
                <w:sz w:val="20"/>
                <w:szCs w:val="20"/>
              </w:rPr>
              <w:t xml:space="preserve"> līdz minimumam pārlieku birokrātiskas un nesamērīgi augstas prasības (</w:t>
            </w:r>
            <w:r w:rsidR="003B57F6" w:rsidRPr="0013114D">
              <w:rPr>
                <w:rFonts w:ascii="Times New Roman" w:hAnsi="Times New Roman" w:cs="Times New Roman"/>
                <w:sz w:val="20"/>
                <w:szCs w:val="20"/>
              </w:rPr>
              <w:t xml:space="preserve">prioritāri, </w:t>
            </w:r>
            <w:r w:rsidRPr="0013114D">
              <w:rPr>
                <w:rFonts w:ascii="Times New Roman" w:hAnsi="Times New Roman" w:cs="Times New Roman"/>
                <w:sz w:val="20"/>
                <w:szCs w:val="20"/>
              </w:rPr>
              <w:t xml:space="preserve">piemēram, </w:t>
            </w:r>
            <w:r w:rsidR="003B57F6" w:rsidRPr="0013114D">
              <w:rPr>
                <w:rFonts w:ascii="Times New Roman" w:hAnsi="Times New Roman" w:cs="Times New Roman"/>
                <w:sz w:val="20"/>
                <w:szCs w:val="20"/>
              </w:rPr>
              <w:t>atbilstošos gadījumos neieviest</w:t>
            </w:r>
            <w:r w:rsidR="00E73650" w:rsidRPr="0013114D">
              <w:rPr>
                <w:rFonts w:ascii="Times New Roman" w:hAnsi="Times New Roman" w:cs="Times New Roman"/>
                <w:sz w:val="20"/>
                <w:szCs w:val="20"/>
              </w:rPr>
              <w:t xml:space="preserve"> </w:t>
            </w:r>
            <w:r w:rsidRPr="0013114D">
              <w:rPr>
                <w:rFonts w:ascii="Times New Roman" w:hAnsi="Times New Roman" w:cs="Times New Roman"/>
                <w:sz w:val="20"/>
                <w:szCs w:val="20"/>
              </w:rPr>
              <w:t>nepieciešamību iegūt licences).</w:t>
            </w:r>
          </w:p>
        </w:tc>
        <w:tc>
          <w:tcPr>
            <w:tcW w:w="1701" w:type="dxa"/>
          </w:tcPr>
          <w:p w14:paraId="7FBEC8AC" w14:textId="3FD037FF" w:rsidR="00986CA0" w:rsidRPr="0013114D" w:rsidRDefault="00986CA0" w:rsidP="00986CA0">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Nozaru ministrijas to kompetences ietvaros</w:t>
            </w:r>
          </w:p>
        </w:tc>
      </w:tr>
      <w:tr w:rsidR="00986CA0" w:rsidRPr="00F54D9C" w14:paraId="5F3B839A" w14:textId="77777777" w:rsidTr="002239E9">
        <w:trPr>
          <w:trHeight w:val="66"/>
        </w:trPr>
        <w:tc>
          <w:tcPr>
            <w:tcW w:w="846" w:type="dxa"/>
            <w:vMerge/>
          </w:tcPr>
          <w:p w14:paraId="2872CDC7"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574D18B1" w14:textId="77777777" w:rsidR="00986CA0" w:rsidRPr="00F54D9C" w:rsidRDefault="00986CA0" w:rsidP="00986CA0">
            <w:pPr>
              <w:rPr>
                <w:rFonts w:ascii="Times New Roman" w:hAnsi="Times New Roman" w:cs="Times New Roman"/>
                <w:b/>
                <w:sz w:val="20"/>
                <w:szCs w:val="20"/>
              </w:rPr>
            </w:pPr>
          </w:p>
        </w:tc>
        <w:tc>
          <w:tcPr>
            <w:tcW w:w="7371" w:type="dxa"/>
          </w:tcPr>
          <w:p w14:paraId="43B9307E" w14:textId="5C87EAB9" w:rsidR="00986CA0" w:rsidRPr="0013114D" w:rsidRDefault="00986CA0" w:rsidP="00986CA0">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5.2.6. Valsts iestādēm jāapkopo iegūtā informācija no nevalstiskā sektora par nevienmērīgas noteikumu piemērošanas gadījumiem citās ES dalībvalstīs, un šī informācija jānodod EM, kas par to informē EK.</w:t>
            </w:r>
          </w:p>
        </w:tc>
        <w:tc>
          <w:tcPr>
            <w:tcW w:w="1701" w:type="dxa"/>
          </w:tcPr>
          <w:p w14:paraId="328624B8" w14:textId="21930A9B" w:rsidR="00986CA0" w:rsidRPr="0013114D" w:rsidRDefault="00986CA0" w:rsidP="00986CA0">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Nozaru ministrijas to kompetences ietvaros</w:t>
            </w:r>
          </w:p>
        </w:tc>
      </w:tr>
      <w:tr w:rsidR="00986CA0" w:rsidRPr="00F54D9C" w14:paraId="6EAA9B06" w14:textId="77777777" w:rsidTr="002239E9">
        <w:trPr>
          <w:trHeight w:val="66"/>
        </w:trPr>
        <w:tc>
          <w:tcPr>
            <w:tcW w:w="846" w:type="dxa"/>
            <w:vMerge/>
          </w:tcPr>
          <w:p w14:paraId="6C979563"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0E4AEEEE" w14:textId="77777777" w:rsidR="00986CA0" w:rsidRPr="00F54D9C" w:rsidRDefault="00986CA0" w:rsidP="00986CA0">
            <w:pPr>
              <w:rPr>
                <w:rFonts w:ascii="Times New Roman" w:hAnsi="Times New Roman" w:cs="Times New Roman"/>
                <w:b/>
                <w:sz w:val="20"/>
                <w:szCs w:val="20"/>
              </w:rPr>
            </w:pPr>
          </w:p>
        </w:tc>
        <w:tc>
          <w:tcPr>
            <w:tcW w:w="7371" w:type="dxa"/>
          </w:tcPr>
          <w:p w14:paraId="6BBCCC97" w14:textId="14922DF7" w:rsidR="00986CA0" w:rsidRPr="0013114D" w:rsidRDefault="00986CA0" w:rsidP="00986CA0">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5.2.7. Valsts iestādēm jauna ES regulējuma izstrādes gadījumā jāveic konsultācijas ar nevalstisko sektoru, īpaši pievēršot uzmanību regulējumā noteiktajiem ieviešanas termiņiem, attiecīgos termiņus proaktīvi mēģinot pieskaņot Latvijas komersantu iespējām.</w:t>
            </w:r>
          </w:p>
        </w:tc>
        <w:tc>
          <w:tcPr>
            <w:tcW w:w="1701" w:type="dxa"/>
          </w:tcPr>
          <w:p w14:paraId="4501BC89" w14:textId="210AA8BD" w:rsidR="00986CA0" w:rsidRPr="0013114D" w:rsidRDefault="00986CA0" w:rsidP="00986CA0">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Nozaru ministrijas to kompetences ietvaros</w:t>
            </w:r>
          </w:p>
        </w:tc>
      </w:tr>
      <w:tr w:rsidR="00986CA0" w:rsidRPr="00F54D9C" w14:paraId="4984F718" w14:textId="77777777" w:rsidTr="002239E9">
        <w:trPr>
          <w:trHeight w:val="704"/>
        </w:trPr>
        <w:tc>
          <w:tcPr>
            <w:tcW w:w="846" w:type="dxa"/>
            <w:vMerge/>
          </w:tcPr>
          <w:p w14:paraId="7EAEEE89"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1801EB64" w14:textId="77777777" w:rsidR="00986CA0" w:rsidRPr="00F54D9C" w:rsidRDefault="00986CA0" w:rsidP="00986CA0">
            <w:pPr>
              <w:rPr>
                <w:rFonts w:ascii="Times New Roman" w:hAnsi="Times New Roman" w:cs="Times New Roman"/>
                <w:b/>
                <w:sz w:val="20"/>
                <w:szCs w:val="20"/>
              </w:rPr>
            </w:pPr>
          </w:p>
        </w:tc>
        <w:tc>
          <w:tcPr>
            <w:tcW w:w="7371" w:type="dxa"/>
          </w:tcPr>
          <w:p w14:paraId="19357112" w14:textId="0132DF9B" w:rsidR="00986CA0" w:rsidRPr="00E727B6" w:rsidRDefault="00986CA0" w:rsidP="00986CA0">
            <w:pPr>
              <w:spacing w:after="0" w:line="240" w:lineRule="auto"/>
              <w:rPr>
                <w:rFonts w:ascii="Times New Roman" w:hAnsi="Times New Roman" w:cs="Times New Roman"/>
                <w:sz w:val="20"/>
                <w:szCs w:val="20"/>
              </w:rPr>
            </w:pPr>
            <w:r>
              <w:rPr>
                <w:rFonts w:ascii="Times New Roman" w:hAnsi="Times New Roman" w:cs="Times New Roman"/>
                <w:sz w:val="20"/>
                <w:szCs w:val="20"/>
              </w:rPr>
              <w:t>5.2.8</w:t>
            </w:r>
            <w:r w:rsidRPr="00E727B6">
              <w:rPr>
                <w:rFonts w:ascii="Times New Roman" w:hAnsi="Times New Roman" w:cs="Times New Roman"/>
                <w:sz w:val="20"/>
                <w:szCs w:val="20"/>
              </w:rPr>
              <w:t>. Ieviešot ES tiesību aktos paredzētās normas nacionālā līmenī jārespektē tajās paredzētie izņēmumi, pielāgojot prasības, ar mērķi veidot komercdarbības izaugsmei labvēlīgu normatīvo vidi.</w:t>
            </w:r>
          </w:p>
        </w:tc>
        <w:tc>
          <w:tcPr>
            <w:tcW w:w="1701" w:type="dxa"/>
          </w:tcPr>
          <w:p w14:paraId="323F82AD" w14:textId="74FEE347" w:rsidR="00986CA0" w:rsidRPr="00E727B6" w:rsidRDefault="00986CA0" w:rsidP="00986CA0">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Nozaru ministrijas to kompetences ietvaros</w:t>
            </w:r>
          </w:p>
        </w:tc>
      </w:tr>
      <w:tr w:rsidR="00986CA0" w:rsidRPr="00F54D9C" w14:paraId="6D3915AF" w14:textId="77777777" w:rsidTr="002239E9">
        <w:trPr>
          <w:trHeight w:val="66"/>
        </w:trPr>
        <w:tc>
          <w:tcPr>
            <w:tcW w:w="846" w:type="dxa"/>
            <w:vMerge/>
          </w:tcPr>
          <w:p w14:paraId="0D08422B"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10DF150F" w14:textId="77777777" w:rsidR="00986CA0" w:rsidRPr="00F54D9C" w:rsidRDefault="00986CA0" w:rsidP="00986CA0">
            <w:pPr>
              <w:rPr>
                <w:rFonts w:ascii="Times New Roman" w:hAnsi="Times New Roman" w:cs="Times New Roman"/>
                <w:b/>
                <w:sz w:val="20"/>
                <w:szCs w:val="20"/>
              </w:rPr>
            </w:pPr>
          </w:p>
        </w:tc>
        <w:tc>
          <w:tcPr>
            <w:tcW w:w="7371" w:type="dxa"/>
          </w:tcPr>
          <w:p w14:paraId="0E7D63EC" w14:textId="2A3140C4" w:rsidR="00986CA0" w:rsidRPr="00E727B6" w:rsidRDefault="00986CA0" w:rsidP="00986CA0">
            <w:pPr>
              <w:spacing w:after="0" w:line="240" w:lineRule="auto"/>
              <w:rPr>
                <w:rFonts w:ascii="Times New Roman" w:hAnsi="Times New Roman" w:cs="Times New Roman"/>
                <w:sz w:val="20"/>
                <w:szCs w:val="20"/>
              </w:rPr>
            </w:pPr>
            <w:r>
              <w:rPr>
                <w:rFonts w:ascii="Times New Roman" w:hAnsi="Times New Roman" w:cs="Times New Roman"/>
                <w:sz w:val="20"/>
                <w:szCs w:val="20"/>
              </w:rPr>
              <w:t>5.2.9</w:t>
            </w:r>
            <w:r w:rsidRPr="00E727B6">
              <w:rPr>
                <w:rFonts w:ascii="Times New Roman" w:hAnsi="Times New Roman" w:cs="Times New Roman"/>
                <w:sz w:val="20"/>
                <w:szCs w:val="20"/>
              </w:rPr>
              <w:t>. Proaktīvi jāmeklē un jāizmanto iespējas citu dalībvalstu atbalstam Latvijas interesēm (piemēram, nostājas saskaņošana Baltijas vai Skandināvijas līmenī to iesniedzot EK), palielinot Latvijas ietekmi ES līmeņa procesos.</w:t>
            </w:r>
          </w:p>
        </w:tc>
        <w:tc>
          <w:tcPr>
            <w:tcW w:w="1701" w:type="dxa"/>
          </w:tcPr>
          <w:p w14:paraId="7B6F05A9" w14:textId="4FA3D683" w:rsidR="00986CA0" w:rsidRPr="00E727B6" w:rsidRDefault="00986CA0" w:rsidP="00986CA0">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Nozaru ministrijas to kompetences ietvaros</w:t>
            </w:r>
          </w:p>
        </w:tc>
      </w:tr>
      <w:tr w:rsidR="00986CA0" w:rsidRPr="00F54D9C" w14:paraId="2EA23C2B" w14:textId="77777777" w:rsidTr="002239E9">
        <w:trPr>
          <w:trHeight w:val="464"/>
        </w:trPr>
        <w:tc>
          <w:tcPr>
            <w:tcW w:w="846" w:type="dxa"/>
            <w:vMerge w:val="restart"/>
          </w:tcPr>
          <w:p w14:paraId="4201CCFD"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val="restart"/>
          </w:tcPr>
          <w:p w14:paraId="5A21EDD6" w14:textId="77777777" w:rsidR="00986CA0" w:rsidRPr="00F54D9C" w:rsidRDefault="00986CA0" w:rsidP="00986CA0">
            <w:pPr>
              <w:rPr>
                <w:rFonts w:ascii="Times New Roman" w:hAnsi="Times New Roman" w:cs="Times New Roman"/>
                <w:b/>
                <w:sz w:val="20"/>
                <w:szCs w:val="20"/>
              </w:rPr>
            </w:pPr>
            <w:r w:rsidRPr="00F54D9C">
              <w:rPr>
                <w:rFonts w:ascii="Times New Roman" w:hAnsi="Times New Roman" w:cs="Times New Roman"/>
                <w:b/>
                <w:sz w:val="20"/>
                <w:szCs w:val="20"/>
              </w:rPr>
              <w:t>Savstarpējās atzīšanas princips (4.3. Vienotā preču tirgus pastiprināšana)</w:t>
            </w:r>
          </w:p>
        </w:tc>
        <w:tc>
          <w:tcPr>
            <w:tcW w:w="7371" w:type="dxa"/>
            <w:vMerge w:val="restart"/>
          </w:tcPr>
          <w:p w14:paraId="66EF8078" w14:textId="1014131D" w:rsidR="00986CA0" w:rsidRPr="00E727B6" w:rsidRDefault="00986CA0" w:rsidP="00986CA0">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6.2.1. Jāīsteno Savstarpējās atzīšanas principa atpazīstamības veicināšanas pasākumi, ņemot vērā EK plānoto “Rīcības plānu savstarpējas atzīšanas principa izpratnes uzlabošanai”.</w:t>
            </w:r>
          </w:p>
        </w:tc>
        <w:tc>
          <w:tcPr>
            <w:tcW w:w="1701" w:type="dxa"/>
            <w:vMerge w:val="restart"/>
          </w:tcPr>
          <w:p w14:paraId="0D2063D3" w14:textId="588D8EA2" w:rsidR="00986CA0" w:rsidRPr="00E727B6" w:rsidRDefault="00986CA0" w:rsidP="00986CA0">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EM</w:t>
            </w:r>
          </w:p>
        </w:tc>
      </w:tr>
      <w:tr w:rsidR="00986CA0" w:rsidRPr="00F54D9C" w14:paraId="6505D09E" w14:textId="77777777" w:rsidTr="002239E9">
        <w:trPr>
          <w:trHeight w:val="464"/>
        </w:trPr>
        <w:tc>
          <w:tcPr>
            <w:tcW w:w="846" w:type="dxa"/>
            <w:vMerge/>
          </w:tcPr>
          <w:p w14:paraId="20EAFF09"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7246C5B2" w14:textId="77777777" w:rsidR="00986CA0" w:rsidRPr="00F54D9C" w:rsidRDefault="00986CA0" w:rsidP="00986CA0">
            <w:pPr>
              <w:rPr>
                <w:rFonts w:ascii="Times New Roman" w:hAnsi="Times New Roman" w:cs="Times New Roman"/>
                <w:b/>
                <w:sz w:val="20"/>
                <w:szCs w:val="20"/>
              </w:rPr>
            </w:pPr>
          </w:p>
        </w:tc>
        <w:tc>
          <w:tcPr>
            <w:tcW w:w="7371" w:type="dxa"/>
            <w:vMerge/>
          </w:tcPr>
          <w:p w14:paraId="5FA38D9C" w14:textId="77777777" w:rsidR="00986CA0" w:rsidRPr="00F54D9C" w:rsidRDefault="00986CA0" w:rsidP="00986CA0">
            <w:pPr>
              <w:spacing w:after="0" w:line="240" w:lineRule="auto"/>
              <w:rPr>
                <w:rFonts w:ascii="Times New Roman" w:hAnsi="Times New Roman" w:cs="Times New Roman"/>
                <w:sz w:val="20"/>
                <w:szCs w:val="20"/>
              </w:rPr>
            </w:pPr>
          </w:p>
        </w:tc>
        <w:tc>
          <w:tcPr>
            <w:tcW w:w="1701" w:type="dxa"/>
            <w:vMerge/>
          </w:tcPr>
          <w:p w14:paraId="207C8BA4" w14:textId="77777777" w:rsidR="00986CA0" w:rsidRPr="00F54D9C" w:rsidRDefault="00986CA0" w:rsidP="00986CA0">
            <w:pPr>
              <w:spacing w:after="0" w:line="240" w:lineRule="auto"/>
              <w:rPr>
                <w:rFonts w:ascii="Times New Roman" w:hAnsi="Times New Roman" w:cs="Times New Roman"/>
                <w:sz w:val="20"/>
                <w:szCs w:val="20"/>
              </w:rPr>
            </w:pPr>
          </w:p>
        </w:tc>
      </w:tr>
      <w:tr w:rsidR="00986CA0" w:rsidRPr="00F54D9C" w14:paraId="0829FCB7" w14:textId="77777777" w:rsidTr="002239E9">
        <w:trPr>
          <w:trHeight w:val="803"/>
        </w:trPr>
        <w:tc>
          <w:tcPr>
            <w:tcW w:w="846" w:type="dxa"/>
            <w:vMerge/>
          </w:tcPr>
          <w:p w14:paraId="2B212686"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31CFB673" w14:textId="77777777" w:rsidR="00986CA0" w:rsidRPr="00F54D9C" w:rsidRDefault="00986CA0" w:rsidP="00986CA0">
            <w:pPr>
              <w:rPr>
                <w:rFonts w:ascii="Times New Roman" w:hAnsi="Times New Roman" w:cs="Times New Roman"/>
                <w:b/>
                <w:sz w:val="20"/>
                <w:szCs w:val="20"/>
              </w:rPr>
            </w:pPr>
          </w:p>
        </w:tc>
        <w:tc>
          <w:tcPr>
            <w:tcW w:w="7371" w:type="dxa"/>
            <w:vMerge/>
          </w:tcPr>
          <w:p w14:paraId="2CFD71C6" w14:textId="77777777" w:rsidR="00986CA0" w:rsidRPr="00F54D9C" w:rsidRDefault="00986CA0" w:rsidP="00986CA0">
            <w:pPr>
              <w:spacing w:after="0" w:line="240" w:lineRule="auto"/>
              <w:rPr>
                <w:rFonts w:ascii="Times New Roman" w:hAnsi="Times New Roman" w:cs="Times New Roman"/>
                <w:sz w:val="20"/>
                <w:szCs w:val="20"/>
              </w:rPr>
            </w:pPr>
          </w:p>
        </w:tc>
        <w:tc>
          <w:tcPr>
            <w:tcW w:w="1701" w:type="dxa"/>
            <w:vMerge/>
          </w:tcPr>
          <w:p w14:paraId="12029565" w14:textId="77777777" w:rsidR="00986CA0" w:rsidRPr="00F54D9C" w:rsidRDefault="00986CA0" w:rsidP="00986CA0">
            <w:pPr>
              <w:spacing w:after="0" w:line="240" w:lineRule="auto"/>
              <w:rPr>
                <w:rFonts w:ascii="Times New Roman" w:hAnsi="Times New Roman" w:cs="Times New Roman"/>
                <w:sz w:val="20"/>
                <w:szCs w:val="20"/>
              </w:rPr>
            </w:pPr>
          </w:p>
        </w:tc>
      </w:tr>
      <w:tr w:rsidR="00986CA0" w:rsidRPr="00F54D9C" w14:paraId="11F61F23" w14:textId="77777777" w:rsidTr="002239E9">
        <w:trPr>
          <w:trHeight w:val="802"/>
        </w:trPr>
        <w:tc>
          <w:tcPr>
            <w:tcW w:w="846" w:type="dxa"/>
            <w:vMerge/>
          </w:tcPr>
          <w:p w14:paraId="4DD0B4B9"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5AB1F88B" w14:textId="77777777" w:rsidR="00986CA0" w:rsidRPr="00F54D9C" w:rsidRDefault="00986CA0" w:rsidP="00986CA0">
            <w:pPr>
              <w:rPr>
                <w:rFonts w:ascii="Times New Roman" w:hAnsi="Times New Roman" w:cs="Times New Roman"/>
                <w:b/>
                <w:sz w:val="20"/>
                <w:szCs w:val="20"/>
              </w:rPr>
            </w:pPr>
          </w:p>
        </w:tc>
        <w:tc>
          <w:tcPr>
            <w:tcW w:w="7371" w:type="dxa"/>
            <w:vMerge/>
          </w:tcPr>
          <w:p w14:paraId="1582B2F8" w14:textId="77777777" w:rsidR="00986CA0" w:rsidRPr="00F54D9C" w:rsidRDefault="00986CA0" w:rsidP="00986CA0">
            <w:pPr>
              <w:spacing w:after="0" w:line="240" w:lineRule="auto"/>
              <w:rPr>
                <w:rFonts w:ascii="Times New Roman" w:hAnsi="Times New Roman" w:cs="Times New Roman"/>
                <w:sz w:val="20"/>
                <w:szCs w:val="20"/>
              </w:rPr>
            </w:pPr>
          </w:p>
        </w:tc>
        <w:tc>
          <w:tcPr>
            <w:tcW w:w="1701" w:type="dxa"/>
            <w:vMerge/>
          </w:tcPr>
          <w:p w14:paraId="521886BF" w14:textId="77777777" w:rsidR="00986CA0" w:rsidRPr="00F54D9C" w:rsidRDefault="00986CA0" w:rsidP="00986CA0">
            <w:pPr>
              <w:spacing w:after="0" w:line="240" w:lineRule="auto"/>
              <w:rPr>
                <w:rFonts w:ascii="Times New Roman" w:hAnsi="Times New Roman" w:cs="Times New Roman"/>
                <w:sz w:val="20"/>
                <w:szCs w:val="20"/>
              </w:rPr>
            </w:pPr>
          </w:p>
        </w:tc>
      </w:tr>
      <w:tr w:rsidR="00986CA0" w:rsidRPr="00F54D9C" w14:paraId="05764910" w14:textId="77777777" w:rsidTr="002239E9">
        <w:trPr>
          <w:trHeight w:val="233"/>
        </w:trPr>
        <w:tc>
          <w:tcPr>
            <w:tcW w:w="846" w:type="dxa"/>
            <w:vMerge w:val="restart"/>
          </w:tcPr>
          <w:p w14:paraId="2A153BB6"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val="restart"/>
          </w:tcPr>
          <w:p w14:paraId="0BA07F3A" w14:textId="77777777" w:rsidR="00986CA0" w:rsidRPr="00F54D9C" w:rsidRDefault="00986CA0" w:rsidP="00986CA0">
            <w:pPr>
              <w:rPr>
                <w:rFonts w:ascii="Times New Roman" w:hAnsi="Times New Roman" w:cs="Times New Roman"/>
                <w:b/>
                <w:sz w:val="20"/>
                <w:szCs w:val="20"/>
              </w:rPr>
            </w:pPr>
            <w:r w:rsidRPr="00F54D9C">
              <w:rPr>
                <w:rFonts w:ascii="Times New Roman" w:hAnsi="Times New Roman" w:cs="Times New Roman"/>
                <w:b/>
                <w:sz w:val="20"/>
                <w:szCs w:val="20"/>
              </w:rPr>
              <w:t>Neatbilstīgu ražojumu novēršana ES tirgū (4.3. Vienotā preču tirgus pastiprināšana)</w:t>
            </w:r>
          </w:p>
        </w:tc>
        <w:tc>
          <w:tcPr>
            <w:tcW w:w="7371" w:type="dxa"/>
          </w:tcPr>
          <w:p w14:paraId="1B54A3CF" w14:textId="77777777" w:rsidR="00986CA0" w:rsidRDefault="00986CA0" w:rsidP="00986CA0">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7.2.1. Jāveic informēšanas kampaņas, lai patērētājiem palielinātu izpratni par to, kas ir prasībām neatbilstošs produkts vai pakalpojums un kā to noteikt.</w:t>
            </w:r>
          </w:p>
          <w:p w14:paraId="191CEC61" w14:textId="77777777" w:rsidR="00986CA0" w:rsidRDefault="00986CA0" w:rsidP="00986CA0">
            <w:pPr>
              <w:spacing w:after="0" w:line="240" w:lineRule="auto"/>
              <w:rPr>
                <w:rFonts w:ascii="Times New Roman" w:hAnsi="Times New Roman" w:cs="Times New Roman"/>
                <w:sz w:val="20"/>
                <w:szCs w:val="20"/>
              </w:rPr>
            </w:pPr>
          </w:p>
          <w:p w14:paraId="05A51737" w14:textId="77777777" w:rsidR="00986CA0" w:rsidRPr="00F54D9C" w:rsidRDefault="00986CA0" w:rsidP="00986CA0">
            <w:pPr>
              <w:spacing w:after="0" w:line="240" w:lineRule="auto"/>
              <w:rPr>
                <w:rFonts w:ascii="Times New Roman" w:hAnsi="Times New Roman" w:cs="Times New Roman"/>
                <w:sz w:val="20"/>
                <w:szCs w:val="20"/>
              </w:rPr>
            </w:pPr>
          </w:p>
        </w:tc>
        <w:tc>
          <w:tcPr>
            <w:tcW w:w="1701" w:type="dxa"/>
          </w:tcPr>
          <w:p w14:paraId="29784185" w14:textId="77777777" w:rsidR="00986CA0" w:rsidRPr="00F54D9C" w:rsidRDefault="00986CA0" w:rsidP="00986CA0">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EM</w:t>
            </w:r>
          </w:p>
        </w:tc>
      </w:tr>
      <w:tr w:rsidR="00986CA0" w:rsidRPr="00F54D9C" w14:paraId="03F3EE4A" w14:textId="77777777" w:rsidTr="002239E9">
        <w:trPr>
          <w:trHeight w:val="232"/>
        </w:trPr>
        <w:tc>
          <w:tcPr>
            <w:tcW w:w="846" w:type="dxa"/>
            <w:vMerge/>
          </w:tcPr>
          <w:p w14:paraId="25DD91B4" w14:textId="77777777" w:rsidR="00986CA0" w:rsidRPr="00F54D9C" w:rsidRDefault="00986CA0" w:rsidP="00986CA0">
            <w:pPr>
              <w:pStyle w:val="ListParagraph"/>
              <w:numPr>
                <w:ilvl w:val="0"/>
                <w:numId w:val="4"/>
              </w:numPr>
              <w:rPr>
                <w:rFonts w:ascii="Times New Roman" w:hAnsi="Times New Roman" w:cs="Times New Roman"/>
                <w:sz w:val="20"/>
                <w:szCs w:val="20"/>
              </w:rPr>
            </w:pPr>
          </w:p>
        </w:tc>
        <w:tc>
          <w:tcPr>
            <w:tcW w:w="3969" w:type="dxa"/>
            <w:vMerge/>
          </w:tcPr>
          <w:p w14:paraId="402B6448" w14:textId="77777777" w:rsidR="00986CA0" w:rsidRPr="00F54D9C" w:rsidRDefault="00986CA0" w:rsidP="00986CA0">
            <w:pPr>
              <w:rPr>
                <w:rFonts w:ascii="Times New Roman" w:hAnsi="Times New Roman" w:cs="Times New Roman"/>
                <w:b/>
                <w:sz w:val="20"/>
                <w:szCs w:val="20"/>
              </w:rPr>
            </w:pPr>
          </w:p>
        </w:tc>
        <w:tc>
          <w:tcPr>
            <w:tcW w:w="7371" w:type="dxa"/>
          </w:tcPr>
          <w:p w14:paraId="39A4F91F" w14:textId="77777777" w:rsidR="00986CA0" w:rsidRPr="00F54D9C" w:rsidRDefault="00986CA0" w:rsidP="00986CA0">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 xml:space="preserve">7.2.2. </w:t>
            </w:r>
            <w:r w:rsidRPr="00544EDD">
              <w:rPr>
                <w:rFonts w:ascii="Times New Roman" w:hAnsi="Times New Roman" w:cs="Times New Roman"/>
                <w:sz w:val="20"/>
                <w:szCs w:val="20"/>
              </w:rPr>
              <w:t>Jāveicina efektīva sadarbība starp tirgus dalībniekiem un tirgus uzraudzības iestādēm, t.sk. jāveic informēšanas pasākumi par noteikto kārtību un atbilstošu informācijas apmaiņu par prasībām neatbilstošas preces tirgū paziņošanu tirgus uzraudzības iestādēm.</w:t>
            </w:r>
          </w:p>
          <w:p w14:paraId="08F5EF4F" w14:textId="77777777" w:rsidR="00986CA0" w:rsidRPr="00F54D9C" w:rsidRDefault="00986CA0" w:rsidP="00986CA0">
            <w:pPr>
              <w:spacing w:after="0" w:line="240" w:lineRule="auto"/>
              <w:rPr>
                <w:rFonts w:ascii="Times New Roman" w:hAnsi="Times New Roman" w:cs="Times New Roman"/>
                <w:sz w:val="20"/>
                <w:szCs w:val="20"/>
              </w:rPr>
            </w:pPr>
          </w:p>
        </w:tc>
        <w:tc>
          <w:tcPr>
            <w:tcW w:w="1701" w:type="dxa"/>
          </w:tcPr>
          <w:p w14:paraId="5DEA6364" w14:textId="77777777" w:rsidR="00986CA0" w:rsidRPr="00F54D9C" w:rsidRDefault="00986CA0" w:rsidP="00986CA0">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EM</w:t>
            </w:r>
          </w:p>
        </w:tc>
      </w:tr>
    </w:tbl>
    <w:p w14:paraId="40094322" w14:textId="77777777" w:rsidR="00BD5D87" w:rsidRPr="00F54D9C" w:rsidRDefault="00BD5D87"/>
    <w:p w14:paraId="3E61364F" w14:textId="77777777" w:rsidR="00BD5D87" w:rsidRPr="00F54D9C" w:rsidRDefault="00BD5D87" w:rsidP="00BD5D87">
      <w:pPr>
        <w:spacing w:line="240" w:lineRule="auto"/>
        <w:jc w:val="center"/>
        <w:rPr>
          <w:rFonts w:ascii="Times New Roman" w:hAnsi="Times New Roman" w:cs="Times New Roman"/>
          <w:i/>
          <w:sz w:val="24"/>
          <w:szCs w:val="24"/>
        </w:rPr>
      </w:pPr>
      <w:r w:rsidRPr="00F54D9C">
        <w:rPr>
          <w:rFonts w:ascii="Times New Roman" w:hAnsi="Times New Roman" w:cs="Times New Roman"/>
          <w:i/>
          <w:sz w:val="24"/>
          <w:szCs w:val="24"/>
        </w:rPr>
        <w:t>Darbseminārs par ES Digitālā vienotā tirgus stratēģiju</w:t>
      </w:r>
    </w:p>
    <w:tbl>
      <w:tblPr>
        <w:tblStyle w:val="TableGrid"/>
        <w:tblW w:w="13887" w:type="dxa"/>
        <w:tblLayout w:type="fixed"/>
        <w:tblLook w:val="04A0" w:firstRow="1" w:lastRow="0" w:firstColumn="1" w:lastColumn="0" w:noHBand="0" w:noVBand="1"/>
      </w:tblPr>
      <w:tblGrid>
        <w:gridCol w:w="846"/>
        <w:gridCol w:w="3969"/>
        <w:gridCol w:w="7371"/>
        <w:gridCol w:w="1701"/>
      </w:tblGrid>
      <w:tr w:rsidR="00583B1B" w:rsidRPr="00F54D9C" w14:paraId="79D995C5" w14:textId="77777777" w:rsidTr="00583B1B">
        <w:tc>
          <w:tcPr>
            <w:tcW w:w="846" w:type="dxa"/>
          </w:tcPr>
          <w:p w14:paraId="326D4F10" w14:textId="77777777" w:rsidR="00583B1B" w:rsidRPr="00F54D9C" w:rsidRDefault="00583B1B" w:rsidP="004D63B9">
            <w:pPr>
              <w:rPr>
                <w:rFonts w:ascii="Times New Roman" w:hAnsi="Times New Roman" w:cs="Times New Roman"/>
                <w:b/>
                <w:sz w:val="20"/>
                <w:szCs w:val="20"/>
              </w:rPr>
            </w:pPr>
            <w:r w:rsidRPr="00F54D9C">
              <w:rPr>
                <w:rFonts w:ascii="Times New Roman" w:hAnsi="Times New Roman" w:cs="Times New Roman"/>
                <w:b/>
                <w:sz w:val="20"/>
                <w:szCs w:val="20"/>
              </w:rPr>
              <w:lastRenderedPageBreak/>
              <w:t>Nr.</w:t>
            </w:r>
          </w:p>
        </w:tc>
        <w:tc>
          <w:tcPr>
            <w:tcW w:w="3969" w:type="dxa"/>
          </w:tcPr>
          <w:p w14:paraId="267EF4E7" w14:textId="77777777" w:rsidR="00583B1B" w:rsidRPr="00F54D9C" w:rsidRDefault="00583B1B" w:rsidP="004D63B9">
            <w:pPr>
              <w:rPr>
                <w:rFonts w:ascii="Times New Roman" w:hAnsi="Times New Roman" w:cs="Times New Roman"/>
                <w:b/>
                <w:sz w:val="20"/>
                <w:szCs w:val="20"/>
              </w:rPr>
            </w:pPr>
            <w:r w:rsidRPr="00F54D9C">
              <w:rPr>
                <w:rFonts w:ascii="Times New Roman" w:hAnsi="Times New Roman" w:cs="Times New Roman"/>
                <w:b/>
                <w:sz w:val="20"/>
                <w:szCs w:val="20"/>
              </w:rPr>
              <w:t>Darbsemināra tēma (iniciatīvas numurs un nosaukums ES Digitālā vienotā tirgus stratēģijā)</w:t>
            </w:r>
          </w:p>
        </w:tc>
        <w:tc>
          <w:tcPr>
            <w:tcW w:w="7371" w:type="dxa"/>
          </w:tcPr>
          <w:p w14:paraId="7AD0D704" w14:textId="43369610" w:rsidR="00583B1B" w:rsidRPr="00F54D9C" w:rsidRDefault="00F94BF9" w:rsidP="004D63B9">
            <w:pPr>
              <w:spacing w:after="0" w:line="240" w:lineRule="auto"/>
              <w:rPr>
                <w:rFonts w:ascii="Times New Roman" w:hAnsi="Times New Roman" w:cs="Times New Roman"/>
                <w:b/>
                <w:sz w:val="20"/>
                <w:szCs w:val="20"/>
              </w:rPr>
            </w:pPr>
            <w:r>
              <w:rPr>
                <w:rFonts w:ascii="Times New Roman" w:hAnsi="Times New Roman" w:cs="Times New Roman"/>
                <w:b/>
                <w:sz w:val="20"/>
                <w:szCs w:val="20"/>
              </w:rPr>
              <w:t>Ieteicamie</w:t>
            </w:r>
            <w:r w:rsidR="00583B1B" w:rsidRPr="00F54D9C">
              <w:rPr>
                <w:rFonts w:ascii="Times New Roman" w:hAnsi="Times New Roman" w:cs="Times New Roman"/>
                <w:b/>
                <w:sz w:val="20"/>
                <w:szCs w:val="20"/>
              </w:rPr>
              <w:t xml:space="preserve"> pasākumi Latvijā</w:t>
            </w:r>
          </w:p>
        </w:tc>
        <w:tc>
          <w:tcPr>
            <w:tcW w:w="1701" w:type="dxa"/>
          </w:tcPr>
          <w:p w14:paraId="38D5B6FB" w14:textId="77777777" w:rsidR="00583B1B" w:rsidRPr="00F54D9C" w:rsidRDefault="00583B1B" w:rsidP="004D63B9">
            <w:pPr>
              <w:spacing w:after="0" w:line="240" w:lineRule="auto"/>
              <w:rPr>
                <w:rFonts w:ascii="Times New Roman" w:hAnsi="Times New Roman" w:cs="Times New Roman"/>
                <w:b/>
                <w:sz w:val="20"/>
                <w:szCs w:val="20"/>
              </w:rPr>
            </w:pPr>
            <w:r w:rsidRPr="00F54D9C">
              <w:rPr>
                <w:rFonts w:ascii="Times New Roman" w:hAnsi="Times New Roman" w:cs="Times New Roman"/>
                <w:b/>
                <w:sz w:val="20"/>
                <w:szCs w:val="20"/>
              </w:rPr>
              <w:t>Atbildīgā iestāde</w:t>
            </w:r>
            <w:r>
              <w:rPr>
                <w:rFonts w:ascii="Times New Roman" w:hAnsi="Times New Roman" w:cs="Times New Roman"/>
                <w:b/>
                <w:sz w:val="20"/>
                <w:szCs w:val="20"/>
              </w:rPr>
              <w:t xml:space="preserve"> par nacionālā līmeņa pasākumiem</w:t>
            </w:r>
          </w:p>
        </w:tc>
      </w:tr>
      <w:tr w:rsidR="00583B1B" w:rsidRPr="00F54D9C" w14:paraId="53A96C05" w14:textId="77777777" w:rsidTr="00583B1B">
        <w:tc>
          <w:tcPr>
            <w:tcW w:w="846" w:type="dxa"/>
          </w:tcPr>
          <w:p w14:paraId="2B53978F"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tcPr>
          <w:p w14:paraId="40EA1F7E" w14:textId="46AF10FF" w:rsidR="00583B1B" w:rsidRPr="00F54D9C" w:rsidRDefault="00583B1B" w:rsidP="00F90DA1">
            <w:pPr>
              <w:rPr>
                <w:rFonts w:ascii="Times New Roman" w:hAnsi="Times New Roman" w:cs="Times New Roman"/>
                <w:b/>
                <w:sz w:val="20"/>
                <w:szCs w:val="20"/>
              </w:rPr>
            </w:pPr>
            <w:r w:rsidRPr="00F54D9C">
              <w:rPr>
                <w:rFonts w:ascii="Times New Roman" w:hAnsi="Times New Roman" w:cs="Times New Roman"/>
                <w:b/>
                <w:sz w:val="20"/>
                <w:szCs w:val="20"/>
              </w:rPr>
              <w:t xml:space="preserve">Pārrobežu tiešsaistes līgumi (2.1. Pārrobežu e-komercijas noteikumi, kuriem patērētāji un </w:t>
            </w:r>
            <w:r w:rsidR="00F90DA1">
              <w:rPr>
                <w:rFonts w:ascii="Times New Roman" w:hAnsi="Times New Roman" w:cs="Times New Roman"/>
                <w:b/>
                <w:sz w:val="20"/>
                <w:szCs w:val="20"/>
              </w:rPr>
              <w:t>komersanti</w:t>
            </w:r>
            <w:r w:rsidRPr="00F54D9C">
              <w:rPr>
                <w:rFonts w:ascii="Times New Roman" w:hAnsi="Times New Roman" w:cs="Times New Roman"/>
                <w:b/>
                <w:sz w:val="20"/>
                <w:szCs w:val="20"/>
              </w:rPr>
              <w:t xml:space="preserve"> var uzticēties)</w:t>
            </w:r>
          </w:p>
        </w:tc>
        <w:tc>
          <w:tcPr>
            <w:tcW w:w="7371" w:type="dxa"/>
          </w:tcPr>
          <w:p w14:paraId="194DF0B4" w14:textId="77777777" w:rsidR="00583B1B" w:rsidRPr="00F54D9C" w:rsidRDefault="00583B1B"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8.2.1. Jāveicina regulējuma harmonizācija reģionālā vai līdzīgi domājošo valstu līmenī, kur tas nav izdevies ES līmenī.</w:t>
            </w:r>
          </w:p>
        </w:tc>
        <w:tc>
          <w:tcPr>
            <w:tcW w:w="1701" w:type="dxa"/>
          </w:tcPr>
          <w:p w14:paraId="5E17D73F" w14:textId="77777777" w:rsidR="00583B1B" w:rsidRPr="00F54D9C" w:rsidRDefault="00583B1B"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EM</w:t>
            </w:r>
          </w:p>
        </w:tc>
      </w:tr>
      <w:tr w:rsidR="00583B1B" w:rsidRPr="00F54D9C" w14:paraId="33A51319" w14:textId="77777777" w:rsidTr="00583B1B">
        <w:trPr>
          <w:trHeight w:val="464"/>
        </w:trPr>
        <w:tc>
          <w:tcPr>
            <w:tcW w:w="846" w:type="dxa"/>
            <w:vMerge w:val="restart"/>
          </w:tcPr>
          <w:p w14:paraId="25A1D761"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val="restart"/>
          </w:tcPr>
          <w:p w14:paraId="4CD07CBA" w14:textId="77777777" w:rsidR="00583B1B" w:rsidRPr="00F54D9C" w:rsidRDefault="00583B1B" w:rsidP="004D63B9">
            <w:pPr>
              <w:rPr>
                <w:rFonts w:ascii="Times New Roman" w:hAnsi="Times New Roman" w:cs="Times New Roman"/>
                <w:b/>
                <w:sz w:val="20"/>
                <w:szCs w:val="20"/>
              </w:rPr>
            </w:pPr>
            <w:r w:rsidRPr="00F54D9C">
              <w:rPr>
                <w:rFonts w:ascii="Times New Roman" w:hAnsi="Times New Roman" w:cs="Times New Roman"/>
                <w:b/>
                <w:sz w:val="20"/>
                <w:szCs w:val="20"/>
              </w:rPr>
              <w:t>Ģeogrāfiskie ierobežojumi (2.3. Novērst nepamatotu ģeogrāfisko bloķēšanu)</w:t>
            </w:r>
          </w:p>
        </w:tc>
        <w:tc>
          <w:tcPr>
            <w:tcW w:w="7371" w:type="dxa"/>
            <w:vMerge w:val="restart"/>
          </w:tcPr>
          <w:p w14:paraId="57DDAE6A" w14:textId="77777777" w:rsidR="00583B1B" w:rsidRPr="00F54D9C" w:rsidRDefault="00583B1B" w:rsidP="004D63B9">
            <w:pPr>
              <w:spacing w:after="0" w:line="240" w:lineRule="auto"/>
              <w:rPr>
                <w:rFonts w:ascii="Times New Roman" w:hAnsi="Times New Roman" w:cs="Times New Roman"/>
                <w:sz w:val="20"/>
                <w:szCs w:val="20"/>
              </w:rPr>
            </w:pPr>
            <w:r w:rsidRPr="00F54D9C">
              <w:rPr>
                <w:rFonts w:ascii="Times New Roman" w:hAnsi="Times New Roman" w:cs="Times New Roman"/>
                <w:sz w:val="20"/>
                <w:szCs w:val="20"/>
              </w:rPr>
              <w:t>-</w:t>
            </w:r>
          </w:p>
        </w:tc>
        <w:tc>
          <w:tcPr>
            <w:tcW w:w="1701" w:type="dxa"/>
            <w:vMerge w:val="restart"/>
          </w:tcPr>
          <w:p w14:paraId="6E790441" w14:textId="77777777" w:rsidR="00583B1B" w:rsidRPr="00F54D9C" w:rsidRDefault="00583B1B" w:rsidP="004D63B9">
            <w:pPr>
              <w:spacing w:after="0" w:line="240" w:lineRule="auto"/>
              <w:rPr>
                <w:rFonts w:ascii="Times New Roman" w:hAnsi="Times New Roman" w:cs="Times New Roman"/>
                <w:sz w:val="20"/>
                <w:szCs w:val="20"/>
              </w:rPr>
            </w:pPr>
          </w:p>
        </w:tc>
      </w:tr>
      <w:tr w:rsidR="00583B1B" w:rsidRPr="00F54D9C" w14:paraId="39A2E083" w14:textId="77777777" w:rsidTr="00583B1B">
        <w:trPr>
          <w:trHeight w:val="920"/>
        </w:trPr>
        <w:tc>
          <w:tcPr>
            <w:tcW w:w="846" w:type="dxa"/>
            <w:vMerge/>
          </w:tcPr>
          <w:p w14:paraId="5EDA65B2"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tcPr>
          <w:p w14:paraId="7B7C3FAB" w14:textId="77777777" w:rsidR="00583B1B" w:rsidRPr="00F54D9C" w:rsidRDefault="00583B1B" w:rsidP="004D63B9">
            <w:pPr>
              <w:rPr>
                <w:rFonts w:ascii="Times New Roman" w:hAnsi="Times New Roman" w:cs="Times New Roman"/>
                <w:b/>
                <w:sz w:val="20"/>
                <w:szCs w:val="20"/>
              </w:rPr>
            </w:pPr>
          </w:p>
        </w:tc>
        <w:tc>
          <w:tcPr>
            <w:tcW w:w="7371" w:type="dxa"/>
            <w:vMerge/>
          </w:tcPr>
          <w:p w14:paraId="7DCB1F17" w14:textId="77777777" w:rsidR="00583B1B" w:rsidRPr="00F54D9C" w:rsidRDefault="00583B1B" w:rsidP="004D63B9">
            <w:pPr>
              <w:spacing w:after="0" w:line="240" w:lineRule="auto"/>
              <w:rPr>
                <w:rFonts w:ascii="Times New Roman" w:hAnsi="Times New Roman" w:cs="Times New Roman"/>
                <w:sz w:val="20"/>
                <w:szCs w:val="20"/>
              </w:rPr>
            </w:pPr>
          </w:p>
        </w:tc>
        <w:tc>
          <w:tcPr>
            <w:tcW w:w="1701" w:type="dxa"/>
            <w:vMerge/>
          </w:tcPr>
          <w:p w14:paraId="7474A31F" w14:textId="77777777" w:rsidR="00583B1B" w:rsidRPr="00F54D9C" w:rsidRDefault="00583B1B" w:rsidP="004D63B9">
            <w:pPr>
              <w:spacing w:after="0" w:line="240" w:lineRule="auto"/>
              <w:rPr>
                <w:rFonts w:ascii="Times New Roman" w:hAnsi="Times New Roman" w:cs="Times New Roman"/>
                <w:sz w:val="20"/>
                <w:szCs w:val="20"/>
              </w:rPr>
            </w:pPr>
          </w:p>
        </w:tc>
      </w:tr>
      <w:tr w:rsidR="00583B1B" w:rsidRPr="00F54D9C" w14:paraId="745BDB1C" w14:textId="77777777" w:rsidTr="00583B1B">
        <w:trPr>
          <w:trHeight w:val="909"/>
        </w:trPr>
        <w:tc>
          <w:tcPr>
            <w:tcW w:w="846" w:type="dxa"/>
            <w:vMerge w:val="restart"/>
          </w:tcPr>
          <w:p w14:paraId="1482F946"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val="restart"/>
          </w:tcPr>
          <w:p w14:paraId="7FA1AA66" w14:textId="77777777" w:rsidR="00583B1B" w:rsidRPr="00F54D9C" w:rsidRDefault="00583B1B" w:rsidP="004D63B9">
            <w:pPr>
              <w:rPr>
                <w:rFonts w:ascii="Times New Roman" w:hAnsi="Times New Roman" w:cs="Times New Roman"/>
                <w:b/>
                <w:sz w:val="20"/>
                <w:szCs w:val="20"/>
              </w:rPr>
            </w:pPr>
            <w:r w:rsidRPr="00F54D9C">
              <w:rPr>
                <w:rFonts w:ascii="Times New Roman" w:hAnsi="Times New Roman" w:cs="Times New Roman"/>
                <w:b/>
                <w:sz w:val="20"/>
                <w:szCs w:val="20"/>
              </w:rPr>
              <w:t>PVN administratīvā sloga mazināšana (2.5. PVN sloga un šķēršļu mazināšana pārrobežu tirdzniecībā)</w:t>
            </w:r>
          </w:p>
        </w:tc>
        <w:tc>
          <w:tcPr>
            <w:tcW w:w="7371" w:type="dxa"/>
            <w:vMerge w:val="restart"/>
          </w:tcPr>
          <w:p w14:paraId="384F46E6" w14:textId="77777777" w:rsidR="00583B1B" w:rsidRPr="00F54D9C" w:rsidRDefault="00583B1B" w:rsidP="00620B6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vMerge w:val="restart"/>
          </w:tcPr>
          <w:p w14:paraId="545FA578" w14:textId="77777777" w:rsidR="00583B1B" w:rsidRPr="00F54D9C" w:rsidRDefault="00583B1B" w:rsidP="004D63B9">
            <w:pPr>
              <w:spacing w:after="0" w:line="240" w:lineRule="auto"/>
              <w:rPr>
                <w:rFonts w:ascii="Times New Roman" w:hAnsi="Times New Roman" w:cs="Times New Roman"/>
                <w:sz w:val="20"/>
                <w:szCs w:val="20"/>
              </w:rPr>
            </w:pPr>
          </w:p>
        </w:tc>
      </w:tr>
      <w:tr w:rsidR="00583B1B" w:rsidRPr="00F54D9C" w14:paraId="286DB839" w14:textId="77777777" w:rsidTr="00583B1B">
        <w:trPr>
          <w:trHeight w:val="909"/>
        </w:trPr>
        <w:tc>
          <w:tcPr>
            <w:tcW w:w="846" w:type="dxa"/>
            <w:vMerge/>
          </w:tcPr>
          <w:p w14:paraId="02F1BE4E"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tcPr>
          <w:p w14:paraId="0F1E7701" w14:textId="77777777" w:rsidR="00583B1B" w:rsidRPr="00F54D9C" w:rsidRDefault="00583B1B" w:rsidP="004D63B9">
            <w:pPr>
              <w:rPr>
                <w:rFonts w:ascii="Times New Roman" w:hAnsi="Times New Roman" w:cs="Times New Roman"/>
                <w:b/>
                <w:sz w:val="20"/>
                <w:szCs w:val="20"/>
              </w:rPr>
            </w:pPr>
          </w:p>
        </w:tc>
        <w:tc>
          <w:tcPr>
            <w:tcW w:w="7371" w:type="dxa"/>
            <w:vMerge/>
          </w:tcPr>
          <w:p w14:paraId="22C968A6" w14:textId="77777777" w:rsidR="00583B1B" w:rsidRPr="00F54D9C" w:rsidRDefault="00583B1B" w:rsidP="004D63B9">
            <w:pPr>
              <w:spacing w:after="0" w:line="240" w:lineRule="auto"/>
              <w:rPr>
                <w:rFonts w:ascii="Times New Roman" w:hAnsi="Times New Roman" w:cs="Times New Roman"/>
                <w:sz w:val="20"/>
                <w:szCs w:val="20"/>
              </w:rPr>
            </w:pPr>
          </w:p>
        </w:tc>
        <w:tc>
          <w:tcPr>
            <w:tcW w:w="1701" w:type="dxa"/>
            <w:vMerge/>
          </w:tcPr>
          <w:p w14:paraId="23C06EF7" w14:textId="77777777" w:rsidR="00583B1B" w:rsidRDefault="00583B1B" w:rsidP="004D63B9">
            <w:pPr>
              <w:spacing w:after="0" w:line="240" w:lineRule="auto"/>
              <w:rPr>
                <w:rFonts w:ascii="Times New Roman" w:hAnsi="Times New Roman" w:cs="Times New Roman"/>
                <w:sz w:val="20"/>
                <w:szCs w:val="20"/>
              </w:rPr>
            </w:pPr>
          </w:p>
        </w:tc>
      </w:tr>
      <w:tr w:rsidR="00583B1B" w:rsidRPr="00F54D9C" w14:paraId="116FDD3C" w14:textId="77777777" w:rsidTr="00583B1B">
        <w:trPr>
          <w:trHeight w:val="233"/>
        </w:trPr>
        <w:tc>
          <w:tcPr>
            <w:tcW w:w="846" w:type="dxa"/>
            <w:vMerge w:val="restart"/>
          </w:tcPr>
          <w:p w14:paraId="144128EB"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val="restart"/>
          </w:tcPr>
          <w:p w14:paraId="22CB7A6B" w14:textId="77777777" w:rsidR="00583B1B" w:rsidRPr="00F54D9C" w:rsidRDefault="00583B1B" w:rsidP="004D63B9">
            <w:pPr>
              <w:rPr>
                <w:rFonts w:ascii="Times New Roman" w:hAnsi="Times New Roman" w:cs="Times New Roman"/>
                <w:b/>
                <w:sz w:val="20"/>
                <w:szCs w:val="20"/>
              </w:rPr>
            </w:pPr>
            <w:r w:rsidRPr="00F54D9C">
              <w:rPr>
                <w:rFonts w:ascii="Times New Roman" w:hAnsi="Times New Roman" w:cs="Times New Roman"/>
                <w:b/>
                <w:sz w:val="20"/>
                <w:szCs w:val="20"/>
              </w:rPr>
              <w:t>Interneta platformas (3.3. Mērķim atbilstīga normatīvā vide platformām un starpniekiem)</w:t>
            </w:r>
          </w:p>
        </w:tc>
        <w:tc>
          <w:tcPr>
            <w:tcW w:w="7371" w:type="dxa"/>
          </w:tcPr>
          <w:p w14:paraId="17D6A678" w14:textId="77777777" w:rsidR="00583B1B" w:rsidRPr="00F54D9C" w:rsidRDefault="00583B1B" w:rsidP="00620B6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20BD18DF" w14:textId="77777777" w:rsidR="00583B1B" w:rsidRPr="00F54D9C" w:rsidRDefault="00583B1B" w:rsidP="004D63B9">
            <w:pPr>
              <w:spacing w:after="0" w:line="240" w:lineRule="auto"/>
              <w:rPr>
                <w:rFonts w:ascii="Times New Roman" w:hAnsi="Times New Roman" w:cs="Times New Roman"/>
                <w:sz w:val="20"/>
                <w:szCs w:val="20"/>
              </w:rPr>
            </w:pPr>
          </w:p>
        </w:tc>
      </w:tr>
      <w:tr w:rsidR="00583B1B" w:rsidRPr="00F54D9C" w14:paraId="725023BC" w14:textId="77777777" w:rsidTr="00583B1B">
        <w:trPr>
          <w:trHeight w:val="232"/>
        </w:trPr>
        <w:tc>
          <w:tcPr>
            <w:tcW w:w="846" w:type="dxa"/>
            <w:vMerge/>
          </w:tcPr>
          <w:p w14:paraId="0B86FF72"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tcPr>
          <w:p w14:paraId="5502782D" w14:textId="77777777" w:rsidR="00583B1B" w:rsidRPr="00F54D9C" w:rsidRDefault="00583B1B" w:rsidP="004D63B9">
            <w:pPr>
              <w:rPr>
                <w:rFonts w:ascii="Times New Roman" w:hAnsi="Times New Roman" w:cs="Times New Roman"/>
                <w:b/>
                <w:sz w:val="20"/>
                <w:szCs w:val="20"/>
              </w:rPr>
            </w:pPr>
          </w:p>
        </w:tc>
        <w:tc>
          <w:tcPr>
            <w:tcW w:w="7371" w:type="dxa"/>
          </w:tcPr>
          <w:p w14:paraId="1D52D84F" w14:textId="77777777" w:rsidR="00583B1B" w:rsidRPr="00F54D9C" w:rsidRDefault="00583B1B" w:rsidP="00620B6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0E41185B" w14:textId="77777777" w:rsidR="00583B1B" w:rsidRPr="00F54D9C" w:rsidRDefault="00583B1B" w:rsidP="004D63B9">
            <w:pPr>
              <w:spacing w:after="0" w:line="240" w:lineRule="auto"/>
              <w:rPr>
                <w:rFonts w:ascii="Times New Roman" w:hAnsi="Times New Roman" w:cs="Times New Roman"/>
                <w:sz w:val="20"/>
                <w:szCs w:val="20"/>
              </w:rPr>
            </w:pPr>
          </w:p>
        </w:tc>
      </w:tr>
      <w:tr w:rsidR="00583B1B" w:rsidRPr="00F54D9C" w14:paraId="673811C9" w14:textId="77777777" w:rsidTr="00583B1B">
        <w:trPr>
          <w:trHeight w:val="464"/>
        </w:trPr>
        <w:tc>
          <w:tcPr>
            <w:tcW w:w="846" w:type="dxa"/>
            <w:vMerge w:val="restart"/>
          </w:tcPr>
          <w:p w14:paraId="0777EAD9"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val="restart"/>
          </w:tcPr>
          <w:p w14:paraId="1E792A93" w14:textId="77777777" w:rsidR="00583B1B" w:rsidRPr="00F54D9C" w:rsidRDefault="00583B1B" w:rsidP="004D63B9">
            <w:pPr>
              <w:rPr>
                <w:rFonts w:ascii="Times New Roman" w:hAnsi="Times New Roman" w:cs="Times New Roman"/>
                <w:b/>
                <w:sz w:val="20"/>
                <w:szCs w:val="20"/>
              </w:rPr>
            </w:pPr>
            <w:r w:rsidRPr="00F54D9C">
              <w:rPr>
                <w:rFonts w:ascii="Times New Roman" w:hAnsi="Times New Roman" w:cs="Times New Roman"/>
                <w:b/>
                <w:sz w:val="20"/>
                <w:szCs w:val="20"/>
              </w:rPr>
              <w:t>Datu aizsardzība / Kiberdrošība (3.4. Uzticības stiprināšana digitālajiem pakalpojumiem, drošībai tajos un attiecībā uz personas datu apstrādi)</w:t>
            </w:r>
          </w:p>
        </w:tc>
        <w:tc>
          <w:tcPr>
            <w:tcW w:w="7371" w:type="dxa"/>
            <w:vMerge w:val="restart"/>
          </w:tcPr>
          <w:p w14:paraId="329C4C90" w14:textId="77777777" w:rsidR="00583B1B" w:rsidRPr="00E727B6" w:rsidRDefault="00583B1B" w:rsidP="004D63B9">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 xml:space="preserve">12.2.1. Jāīsteno pasākumi, kas veicinātu digitālo </w:t>
            </w:r>
            <w:proofErr w:type="spellStart"/>
            <w:r w:rsidRPr="00E727B6">
              <w:rPr>
                <w:rFonts w:ascii="Times New Roman" w:hAnsi="Times New Roman" w:cs="Times New Roman"/>
                <w:sz w:val="20"/>
                <w:szCs w:val="20"/>
              </w:rPr>
              <w:t>pratību</w:t>
            </w:r>
            <w:proofErr w:type="spellEnd"/>
            <w:r w:rsidRPr="00E727B6">
              <w:rPr>
                <w:rFonts w:ascii="Times New Roman" w:hAnsi="Times New Roman" w:cs="Times New Roman"/>
                <w:sz w:val="20"/>
                <w:szCs w:val="20"/>
              </w:rPr>
              <w:t xml:space="preserve"> visās jomās, mērķtiecīgi informējot sabiedrību par drošību internetā.</w:t>
            </w:r>
          </w:p>
        </w:tc>
        <w:tc>
          <w:tcPr>
            <w:tcW w:w="1701" w:type="dxa"/>
            <w:vMerge w:val="restart"/>
          </w:tcPr>
          <w:p w14:paraId="313206B5" w14:textId="77777777" w:rsidR="00583B1B" w:rsidRPr="00E727B6" w:rsidRDefault="00583B1B" w:rsidP="004D63B9">
            <w:pPr>
              <w:spacing w:after="0" w:line="240" w:lineRule="auto"/>
              <w:rPr>
                <w:rFonts w:ascii="Times New Roman" w:hAnsi="Times New Roman" w:cs="Times New Roman"/>
                <w:sz w:val="20"/>
                <w:szCs w:val="20"/>
              </w:rPr>
            </w:pPr>
            <w:proofErr w:type="spellStart"/>
            <w:r w:rsidRPr="00E727B6">
              <w:rPr>
                <w:rFonts w:ascii="Times New Roman" w:hAnsi="Times New Roman" w:cs="Times New Roman"/>
                <w:sz w:val="20"/>
                <w:szCs w:val="20"/>
              </w:rPr>
              <w:t>AiM</w:t>
            </w:r>
            <w:proofErr w:type="spellEnd"/>
          </w:p>
        </w:tc>
      </w:tr>
      <w:tr w:rsidR="00583B1B" w:rsidRPr="00F54D9C" w14:paraId="078582F0" w14:textId="77777777" w:rsidTr="00583B1B">
        <w:trPr>
          <w:trHeight w:val="464"/>
        </w:trPr>
        <w:tc>
          <w:tcPr>
            <w:tcW w:w="846" w:type="dxa"/>
            <w:vMerge/>
          </w:tcPr>
          <w:p w14:paraId="6D0F4986"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tcPr>
          <w:p w14:paraId="7E847D08" w14:textId="77777777" w:rsidR="00583B1B" w:rsidRPr="00F54D9C" w:rsidRDefault="00583B1B" w:rsidP="004D63B9">
            <w:pPr>
              <w:rPr>
                <w:rFonts w:ascii="Times New Roman" w:hAnsi="Times New Roman" w:cs="Times New Roman"/>
                <w:b/>
                <w:sz w:val="20"/>
                <w:szCs w:val="20"/>
              </w:rPr>
            </w:pPr>
          </w:p>
        </w:tc>
        <w:tc>
          <w:tcPr>
            <w:tcW w:w="7371" w:type="dxa"/>
            <w:vMerge/>
          </w:tcPr>
          <w:p w14:paraId="3B0DE29A" w14:textId="77777777" w:rsidR="00583B1B" w:rsidRPr="00E727B6" w:rsidRDefault="00583B1B" w:rsidP="004D63B9">
            <w:pPr>
              <w:spacing w:after="0" w:line="240" w:lineRule="auto"/>
              <w:rPr>
                <w:rFonts w:ascii="Times New Roman" w:hAnsi="Times New Roman" w:cs="Times New Roman"/>
                <w:sz w:val="20"/>
                <w:szCs w:val="20"/>
              </w:rPr>
            </w:pPr>
          </w:p>
        </w:tc>
        <w:tc>
          <w:tcPr>
            <w:tcW w:w="1701" w:type="dxa"/>
            <w:vMerge/>
          </w:tcPr>
          <w:p w14:paraId="1EBB0397" w14:textId="77777777" w:rsidR="00583B1B" w:rsidRPr="00E727B6" w:rsidRDefault="00583B1B" w:rsidP="004D63B9">
            <w:pPr>
              <w:spacing w:after="0" w:line="240" w:lineRule="auto"/>
              <w:rPr>
                <w:rFonts w:ascii="Times New Roman" w:hAnsi="Times New Roman" w:cs="Times New Roman"/>
                <w:sz w:val="20"/>
                <w:szCs w:val="20"/>
              </w:rPr>
            </w:pPr>
          </w:p>
        </w:tc>
      </w:tr>
      <w:tr w:rsidR="00583B1B" w:rsidRPr="00F54D9C" w14:paraId="47CAFD28" w14:textId="77777777" w:rsidTr="00583B1B">
        <w:trPr>
          <w:trHeight w:val="464"/>
        </w:trPr>
        <w:tc>
          <w:tcPr>
            <w:tcW w:w="846" w:type="dxa"/>
            <w:vMerge/>
          </w:tcPr>
          <w:p w14:paraId="27FCE4D1" w14:textId="77777777" w:rsidR="00583B1B" w:rsidRPr="00F54D9C" w:rsidRDefault="00583B1B" w:rsidP="004D63B9">
            <w:pPr>
              <w:pStyle w:val="ListParagraph"/>
              <w:numPr>
                <w:ilvl w:val="0"/>
                <w:numId w:val="4"/>
              </w:numPr>
              <w:rPr>
                <w:rFonts w:ascii="Times New Roman" w:hAnsi="Times New Roman" w:cs="Times New Roman"/>
                <w:sz w:val="20"/>
                <w:szCs w:val="20"/>
              </w:rPr>
            </w:pPr>
          </w:p>
        </w:tc>
        <w:tc>
          <w:tcPr>
            <w:tcW w:w="3969" w:type="dxa"/>
            <w:vMerge/>
          </w:tcPr>
          <w:p w14:paraId="2BE2DF2C" w14:textId="77777777" w:rsidR="00583B1B" w:rsidRPr="00F54D9C" w:rsidRDefault="00583B1B" w:rsidP="004D63B9">
            <w:pPr>
              <w:rPr>
                <w:rFonts w:ascii="Times New Roman" w:hAnsi="Times New Roman" w:cs="Times New Roman"/>
                <w:b/>
                <w:sz w:val="20"/>
                <w:szCs w:val="20"/>
              </w:rPr>
            </w:pPr>
          </w:p>
        </w:tc>
        <w:tc>
          <w:tcPr>
            <w:tcW w:w="7371" w:type="dxa"/>
            <w:vMerge/>
          </w:tcPr>
          <w:p w14:paraId="6D4D1239" w14:textId="77777777" w:rsidR="00583B1B" w:rsidRPr="00E727B6" w:rsidRDefault="00583B1B" w:rsidP="004D63B9">
            <w:pPr>
              <w:spacing w:after="0" w:line="240" w:lineRule="auto"/>
              <w:rPr>
                <w:rFonts w:ascii="Times New Roman" w:hAnsi="Times New Roman" w:cs="Times New Roman"/>
                <w:sz w:val="20"/>
                <w:szCs w:val="20"/>
              </w:rPr>
            </w:pPr>
          </w:p>
        </w:tc>
        <w:tc>
          <w:tcPr>
            <w:tcW w:w="1701" w:type="dxa"/>
            <w:vMerge/>
          </w:tcPr>
          <w:p w14:paraId="40C10433" w14:textId="77777777" w:rsidR="00583B1B" w:rsidRPr="00E727B6" w:rsidRDefault="00583B1B" w:rsidP="004D63B9">
            <w:pPr>
              <w:spacing w:after="0" w:line="240" w:lineRule="auto"/>
              <w:rPr>
                <w:rFonts w:ascii="Times New Roman" w:hAnsi="Times New Roman" w:cs="Times New Roman"/>
                <w:sz w:val="20"/>
                <w:szCs w:val="20"/>
              </w:rPr>
            </w:pPr>
          </w:p>
        </w:tc>
      </w:tr>
      <w:tr w:rsidR="003C0AE5" w:rsidRPr="00F54D9C" w14:paraId="2A1BC46E" w14:textId="77777777" w:rsidTr="00A803A6">
        <w:trPr>
          <w:trHeight w:val="1178"/>
        </w:trPr>
        <w:tc>
          <w:tcPr>
            <w:tcW w:w="846" w:type="dxa"/>
          </w:tcPr>
          <w:p w14:paraId="515EBF32" w14:textId="77777777" w:rsidR="003C0AE5" w:rsidRPr="00F54D9C" w:rsidRDefault="003C0AE5" w:rsidP="004D63B9">
            <w:pPr>
              <w:pStyle w:val="ListParagraph"/>
              <w:numPr>
                <w:ilvl w:val="0"/>
                <w:numId w:val="4"/>
              </w:numPr>
              <w:rPr>
                <w:rFonts w:ascii="Times New Roman" w:hAnsi="Times New Roman" w:cs="Times New Roman"/>
                <w:sz w:val="20"/>
                <w:szCs w:val="20"/>
              </w:rPr>
            </w:pPr>
          </w:p>
        </w:tc>
        <w:tc>
          <w:tcPr>
            <w:tcW w:w="3969" w:type="dxa"/>
          </w:tcPr>
          <w:p w14:paraId="3AD9CEEF" w14:textId="77777777" w:rsidR="003C0AE5" w:rsidRPr="00F54D9C" w:rsidRDefault="003C0AE5" w:rsidP="004D63B9">
            <w:pPr>
              <w:rPr>
                <w:rFonts w:ascii="Times New Roman" w:hAnsi="Times New Roman" w:cs="Times New Roman"/>
                <w:b/>
                <w:sz w:val="20"/>
                <w:szCs w:val="20"/>
              </w:rPr>
            </w:pPr>
            <w:r w:rsidRPr="00F54D9C">
              <w:rPr>
                <w:rFonts w:ascii="Times New Roman" w:hAnsi="Times New Roman" w:cs="Times New Roman"/>
                <w:b/>
                <w:sz w:val="20"/>
                <w:szCs w:val="20"/>
              </w:rPr>
              <w:t>Mākoņdatošana un datu brīva aprite (4.1. Datu ekonomikas veidošana)</w:t>
            </w:r>
          </w:p>
        </w:tc>
        <w:tc>
          <w:tcPr>
            <w:tcW w:w="7371" w:type="dxa"/>
          </w:tcPr>
          <w:p w14:paraId="3931689E" w14:textId="7632BB98" w:rsidR="003C0AE5" w:rsidRPr="0013114D" w:rsidRDefault="003C0AE5" w:rsidP="003103B8">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13.2.1. Jāīsteno pasākumi izglītības politikas jomā, kas veicinātu inovāciju un tehnoloģiju izmantošanu skolās. </w:t>
            </w:r>
          </w:p>
          <w:p w14:paraId="221329AB" w14:textId="77777777" w:rsidR="003C0AE5" w:rsidRPr="0013114D" w:rsidRDefault="003C0AE5" w:rsidP="004D63B9">
            <w:pPr>
              <w:spacing w:after="0" w:line="240" w:lineRule="auto"/>
              <w:rPr>
                <w:rFonts w:ascii="Times New Roman" w:hAnsi="Times New Roman" w:cs="Times New Roman"/>
                <w:sz w:val="20"/>
                <w:szCs w:val="20"/>
              </w:rPr>
            </w:pPr>
          </w:p>
        </w:tc>
        <w:tc>
          <w:tcPr>
            <w:tcW w:w="1701" w:type="dxa"/>
          </w:tcPr>
          <w:p w14:paraId="5432560B" w14:textId="2F2A93A3" w:rsidR="003C0AE5" w:rsidRPr="0013114D" w:rsidRDefault="003C0AE5" w:rsidP="004D63B9">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IZM</w:t>
            </w:r>
          </w:p>
        </w:tc>
      </w:tr>
      <w:tr w:rsidR="003C0AE5" w:rsidRPr="00F54D9C" w14:paraId="6E34504B" w14:textId="77777777" w:rsidTr="003C0AE5">
        <w:trPr>
          <w:trHeight w:val="345"/>
        </w:trPr>
        <w:tc>
          <w:tcPr>
            <w:tcW w:w="846" w:type="dxa"/>
            <w:vMerge w:val="restart"/>
          </w:tcPr>
          <w:p w14:paraId="0874B2FB"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val="restart"/>
          </w:tcPr>
          <w:p w14:paraId="0002FB7D" w14:textId="77777777" w:rsidR="003C0AE5" w:rsidRPr="00F54D9C" w:rsidRDefault="003C0AE5" w:rsidP="003C0AE5">
            <w:pPr>
              <w:rPr>
                <w:rFonts w:ascii="Times New Roman" w:hAnsi="Times New Roman" w:cs="Times New Roman"/>
                <w:b/>
                <w:sz w:val="20"/>
                <w:szCs w:val="20"/>
              </w:rPr>
            </w:pPr>
            <w:r w:rsidRPr="00F54D9C">
              <w:rPr>
                <w:rFonts w:ascii="Times New Roman" w:hAnsi="Times New Roman" w:cs="Times New Roman"/>
                <w:b/>
                <w:sz w:val="20"/>
                <w:szCs w:val="20"/>
              </w:rPr>
              <w:t>E-Pārvalde (</w:t>
            </w:r>
            <w:r w:rsidRPr="00F54D9C">
              <w:rPr>
                <w:rFonts w:ascii="Times New Roman" w:hAnsi="Times New Roman" w:cs="Times New Roman"/>
                <w:b/>
                <w:iCs/>
                <w:sz w:val="20"/>
                <w:szCs w:val="20"/>
              </w:rPr>
              <w:t>4.3.2. E-pārvaldība</w:t>
            </w:r>
            <w:r w:rsidRPr="00F54D9C">
              <w:rPr>
                <w:rFonts w:ascii="Times New Roman" w:hAnsi="Times New Roman" w:cs="Times New Roman"/>
                <w:b/>
                <w:sz w:val="20"/>
                <w:szCs w:val="20"/>
              </w:rPr>
              <w:t>)</w:t>
            </w:r>
          </w:p>
        </w:tc>
        <w:tc>
          <w:tcPr>
            <w:tcW w:w="7371" w:type="dxa"/>
          </w:tcPr>
          <w:p w14:paraId="624BD61F" w14:textId="7613314A"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14.2.1. Jāstiprina VARAM atbildība un kapacitāte, lai nodrošinātu efektīvāku </w:t>
            </w:r>
            <w:proofErr w:type="spellStart"/>
            <w:r w:rsidRPr="0013114D">
              <w:rPr>
                <w:rFonts w:ascii="Times New Roman" w:hAnsi="Times New Roman" w:cs="Times New Roman"/>
                <w:sz w:val="20"/>
                <w:szCs w:val="20"/>
              </w:rPr>
              <w:t>pārnozaru</w:t>
            </w:r>
            <w:proofErr w:type="spellEnd"/>
            <w:r w:rsidRPr="0013114D">
              <w:rPr>
                <w:rFonts w:ascii="Times New Roman" w:hAnsi="Times New Roman" w:cs="Times New Roman"/>
                <w:sz w:val="20"/>
                <w:szCs w:val="20"/>
              </w:rPr>
              <w:t xml:space="preserve"> digitālo jautājumu koordinēšanu Latvijā un starptautiski.</w:t>
            </w:r>
          </w:p>
          <w:p w14:paraId="53A2A8F4" w14:textId="38897A29" w:rsidR="003C0AE5" w:rsidRPr="0013114D" w:rsidRDefault="003C0AE5" w:rsidP="003C0AE5">
            <w:pPr>
              <w:spacing w:after="0" w:line="240" w:lineRule="auto"/>
              <w:rPr>
                <w:rFonts w:ascii="Times New Roman" w:hAnsi="Times New Roman" w:cs="Times New Roman"/>
                <w:sz w:val="20"/>
                <w:szCs w:val="20"/>
              </w:rPr>
            </w:pPr>
          </w:p>
        </w:tc>
        <w:tc>
          <w:tcPr>
            <w:tcW w:w="1701" w:type="dxa"/>
          </w:tcPr>
          <w:p w14:paraId="22388ADF" w14:textId="126241E6"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VARAM</w:t>
            </w:r>
          </w:p>
        </w:tc>
      </w:tr>
      <w:tr w:rsidR="003C0AE5" w:rsidRPr="00F54D9C" w14:paraId="32F4A327" w14:textId="77777777" w:rsidTr="00583B1B">
        <w:trPr>
          <w:trHeight w:val="345"/>
        </w:trPr>
        <w:tc>
          <w:tcPr>
            <w:tcW w:w="846" w:type="dxa"/>
            <w:vMerge/>
          </w:tcPr>
          <w:p w14:paraId="73ADC04B"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tcPr>
          <w:p w14:paraId="6BB6E0D3" w14:textId="77777777" w:rsidR="003C0AE5" w:rsidRPr="00F54D9C" w:rsidRDefault="003C0AE5" w:rsidP="003C0AE5">
            <w:pPr>
              <w:rPr>
                <w:rFonts w:ascii="Times New Roman" w:hAnsi="Times New Roman" w:cs="Times New Roman"/>
                <w:b/>
                <w:sz w:val="20"/>
                <w:szCs w:val="20"/>
              </w:rPr>
            </w:pPr>
          </w:p>
        </w:tc>
        <w:tc>
          <w:tcPr>
            <w:tcW w:w="7371" w:type="dxa"/>
          </w:tcPr>
          <w:p w14:paraId="61DBE7ED" w14:textId="2B2B4CCB" w:rsidR="003C0AE5" w:rsidRPr="00E727B6" w:rsidRDefault="003C0AE5" w:rsidP="003C0AE5">
            <w:pPr>
              <w:spacing w:after="0" w:line="240" w:lineRule="auto"/>
              <w:rPr>
                <w:rFonts w:ascii="Times New Roman" w:hAnsi="Times New Roman" w:cs="Times New Roman"/>
                <w:sz w:val="20"/>
                <w:szCs w:val="20"/>
              </w:rPr>
            </w:pPr>
            <w:r>
              <w:rPr>
                <w:rFonts w:ascii="Times New Roman" w:hAnsi="Times New Roman" w:cs="Times New Roman"/>
                <w:sz w:val="20"/>
                <w:szCs w:val="20"/>
              </w:rPr>
              <w:t>14.2.2</w:t>
            </w:r>
            <w:r w:rsidRPr="00E727B6">
              <w:rPr>
                <w:rFonts w:ascii="Times New Roman" w:hAnsi="Times New Roman" w:cs="Times New Roman"/>
                <w:sz w:val="20"/>
                <w:szCs w:val="20"/>
              </w:rPr>
              <w:t>. Jāturpina veikt pasākumi, lai e-parakstu radītu pieejamāku iedzīvotājiem un komersantiem, vienlaikus veicot atbilstošus informēšanas pasākumus par aktuālo situāciju un noteikto kārtību e-paraksta pieejamībai.</w:t>
            </w:r>
          </w:p>
        </w:tc>
        <w:tc>
          <w:tcPr>
            <w:tcW w:w="1701" w:type="dxa"/>
          </w:tcPr>
          <w:p w14:paraId="4C5D50E1" w14:textId="4240F790" w:rsidR="003C0AE5" w:rsidRPr="00E727B6" w:rsidRDefault="003C0AE5" w:rsidP="003C0AE5">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VARAM</w:t>
            </w:r>
          </w:p>
        </w:tc>
      </w:tr>
      <w:tr w:rsidR="003C0AE5" w:rsidRPr="00F54D9C" w14:paraId="716BF288" w14:textId="77777777" w:rsidTr="00583B1B">
        <w:trPr>
          <w:trHeight w:val="66"/>
        </w:trPr>
        <w:tc>
          <w:tcPr>
            <w:tcW w:w="846" w:type="dxa"/>
            <w:vMerge/>
          </w:tcPr>
          <w:p w14:paraId="67F951CB"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tcPr>
          <w:p w14:paraId="62C3BF05" w14:textId="77777777" w:rsidR="003C0AE5" w:rsidRPr="00F54D9C" w:rsidRDefault="003C0AE5" w:rsidP="003C0AE5">
            <w:pPr>
              <w:rPr>
                <w:rFonts w:ascii="Times New Roman" w:hAnsi="Times New Roman" w:cs="Times New Roman"/>
                <w:b/>
                <w:sz w:val="20"/>
                <w:szCs w:val="20"/>
              </w:rPr>
            </w:pPr>
          </w:p>
        </w:tc>
        <w:tc>
          <w:tcPr>
            <w:tcW w:w="7371" w:type="dxa"/>
          </w:tcPr>
          <w:p w14:paraId="04A2EA31" w14:textId="75F1EC23" w:rsidR="003C0AE5" w:rsidRPr="00E727B6" w:rsidRDefault="003C0AE5" w:rsidP="003C0AE5">
            <w:pPr>
              <w:spacing w:after="0" w:line="240" w:lineRule="auto"/>
              <w:rPr>
                <w:rFonts w:ascii="Times New Roman" w:hAnsi="Times New Roman" w:cs="Times New Roman"/>
                <w:sz w:val="20"/>
                <w:szCs w:val="20"/>
              </w:rPr>
            </w:pPr>
            <w:r>
              <w:rPr>
                <w:rFonts w:ascii="Times New Roman" w:hAnsi="Times New Roman" w:cs="Times New Roman"/>
                <w:sz w:val="20"/>
                <w:szCs w:val="20"/>
              </w:rPr>
              <w:t>14.2.3</w:t>
            </w:r>
            <w:r w:rsidRPr="00E727B6">
              <w:rPr>
                <w:rFonts w:ascii="Times New Roman" w:hAnsi="Times New Roman" w:cs="Times New Roman"/>
                <w:sz w:val="20"/>
                <w:szCs w:val="20"/>
              </w:rPr>
              <w:t>. Jāveic pasākumi preču pārvietošanas dokumentu un rēķinu sagatavošanai, apritei un nolasīšanai tiešsaistē. - Uzņēmējdarbības vides uzlabošanas pasākumu plāna 5.20.uzdevums</w:t>
            </w:r>
          </w:p>
          <w:p w14:paraId="78FF1C69" w14:textId="77777777" w:rsidR="003C0AE5" w:rsidRPr="00E727B6" w:rsidRDefault="003C0AE5" w:rsidP="003C0AE5">
            <w:pPr>
              <w:spacing w:after="0" w:line="240" w:lineRule="auto"/>
              <w:rPr>
                <w:rFonts w:ascii="Times New Roman" w:hAnsi="Times New Roman" w:cs="Times New Roman"/>
                <w:sz w:val="20"/>
                <w:szCs w:val="20"/>
              </w:rPr>
            </w:pPr>
          </w:p>
        </w:tc>
        <w:tc>
          <w:tcPr>
            <w:tcW w:w="1701" w:type="dxa"/>
          </w:tcPr>
          <w:p w14:paraId="6DF1D457" w14:textId="77777777" w:rsidR="003C0AE5" w:rsidRPr="00E727B6" w:rsidRDefault="003C0AE5" w:rsidP="003C0AE5">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FM</w:t>
            </w:r>
          </w:p>
        </w:tc>
      </w:tr>
      <w:tr w:rsidR="003C0AE5" w:rsidRPr="00F54D9C" w14:paraId="17C15371" w14:textId="77777777" w:rsidTr="00583B1B">
        <w:trPr>
          <w:trHeight w:val="66"/>
        </w:trPr>
        <w:tc>
          <w:tcPr>
            <w:tcW w:w="846" w:type="dxa"/>
            <w:vMerge/>
          </w:tcPr>
          <w:p w14:paraId="55443F05"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tcPr>
          <w:p w14:paraId="36328725" w14:textId="77777777" w:rsidR="003C0AE5" w:rsidRPr="00F54D9C" w:rsidRDefault="003C0AE5" w:rsidP="003C0AE5">
            <w:pPr>
              <w:rPr>
                <w:rFonts w:ascii="Times New Roman" w:hAnsi="Times New Roman" w:cs="Times New Roman"/>
                <w:b/>
                <w:sz w:val="20"/>
                <w:szCs w:val="20"/>
              </w:rPr>
            </w:pPr>
          </w:p>
        </w:tc>
        <w:tc>
          <w:tcPr>
            <w:tcW w:w="7371" w:type="dxa"/>
          </w:tcPr>
          <w:p w14:paraId="42C0C745" w14:textId="6D169F03" w:rsidR="003C0AE5" w:rsidRPr="00E727B6" w:rsidRDefault="003C0AE5" w:rsidP="003C0AE5">
            <w:pPr>
              <w:spacing w:after="0" w:line="240" w:lineRule="auto"/>
              <w:rPr>
                <w:rFonts w:ascii="Times New Roman" w:hAnsi="Times New Roman" w:cs="Times New Roman"/>
                <w:sz w:val="20"/>
                <w:szCs w:val="20"/>
              </w:rPr>
            </w:pPr>
            <w:r>
              <w:rPr>
                <w:rFonts w:ascii="Times New Roman" w:hAnsi="Times New Roman" w:cs="Times New Roman"/>
                <w:sz w:val="20"/>
                <w:szCs w:val="20"/>
              </w:rPr>
              <w:t>14.2.4</w:t>
            </w:r>
            <w:r w:rsidRPr="00E727B6">
              <w:rPr>
                <w:rFonts w:ascii="Times New Roman" w:hAnsi="Times New Roman" w:cs="Times New Roman"/>
                <w:sz w:val="20"/>
                <w:szCs w:val="20"/>
              </w:rPr>
              <w:t>. Iepirkumu elektroniskas norises sistēmas ieviešana - Uzņēmējdarbības vides uzlabošanas pasākumu plāna 11.8.uzdevums</w:t>
            </w:r>
          </w:p>
        </w:tc>
        <w:tc>
          <w:tcPr>
            <w:tcW w:w="1701" w:type="dxa"/>
          </w:tcPr>
          <w:p w14:paraId="78A97383" w14:textId="77777777" w:rsidR="003C0AE5" w:rsidRPr="00E727B6" w:rsidRDefault="003C0AE5" w:rsidP="003C0AE5">
            <w:pPr>
              <w:spacing w:after="0" w:line="240" w:lineRule="auto"/>
              <w:rPr>
                <w:rFonts w:ascii="Times New Roman" w:hAnsi="Times New Roman" w:cs="Times New Roman"/>
                <w:sz w:val="20"/>
                <w:szCs w:val="20"/>
              </w:rPr>
            </w:pPr>
            <w:r w:rsidRPr="00E727B6">
              <w:rPr>
                <w:rFonts w:ascii="Times New Roman" w:hAnsi="Times New Roman" w:cs="Times New Roman"/>
                <w:sz w:val="20"/>
                <w:szCs w:val="20"/>
              </w:rPr>
              <w:t>VARAM</w:t>
            </w:r>
          </w:p>
        </w:tc>
      </w:tr>
      <w:tr w:rsidR="003C0AE5" w:rsidRPr="00F54D9C" w14:paraId="342901E2" w14:textId="77777777" w:rsidTr="00416012">
        <w:trPr>
          <w:trHeight w:val="1380"/>
        </w:trPr>
        <w:tc>
          <w:tcPr>
            <w:tcW w:w="846" w:type="dxa"/>
            <w:vMerge/>
          </w:tcPr>
          <w:p w14:paraId="6EAACA6C"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tcPr>
          <w:p w14:paraId="2924902A" w14:textId="77777777" w:rsidR="003C0AE5" w:rsidRPr="00F54D9C" w:rsidRDefault="003C0AE5" w:rsidP="003C0AE5">
            <w:pPr>
              <w:rPr>
                <w:rFonts w:ascii="Times New Roman" w:hAnsi="Times New Roman" w:cs="Times New Roman"/>
                <w:b/>
                <w:sz w:val="20"/>
                <w:szCs w:val="20"/>
              </w:rPr>
            </w:pPr>
          </w:p>
        </w:tc>
        <w:tc>
          <w:tcPr>
            <w:tcW w:w="7371" w:type="dxa"/>
          </w:tcPr>
          <w:p w14:paraId="794F1345" w14:textId="69D0C5F4"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14.2.5. Jāveicina un jāpaātrina elektroniskās deklarēšanas sistēmas (turpmāk – EDS) funkcionalitātes uzlabojumi, atskaiš</w:t>
            </w:r>
            <w:bookmarkStart w:id="0" w:name="_GoBack"/>
            <w:bookmarkEnd w:id="0"/>
            <w:r w:rsidRPr="0013114D">
              <w:rPr>
                <w:rFonts w:ascii="Times New Roman" w:hAnsi="Times New Roman" w:cs="Times New Roman"/>
                <w:sz w:val="20"/>
                <w:szCs w:val="20"/>
              </w:rPr>
              <w:t>u vienkāršošana un vienas informācijas vairākkārtēja nepieprasīšana, t.sk. nepieciešams ieviest iespēju visās jomās iesniegt vairākus dokumentus vienlaikus, nepieciešamības gadījumā veicot grozījumus atbilstošajos normatīvajos aktos. - Uzņēmējdarbības vides uzlabošanas pasākumu plāna 5.21.uzdevums</w:t>
            </w:r>
          </w:p>
        </w:tc>
        <w:tc>
          <w:tcPr>
            <w:tcW w:w="1701" w:type="dxa"/>
          </w:tcPr>
          <w:p w14:paraId="69A32E02" w14:textId="4F864CC2"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FM</w:t>
            </w:r>
          </w:p>
        </w:tc>
      </w:tr>
      <w:tr w:rsidR="003C0AE5" w:rsidRPr="00F54D9C" w14:paraId="3AF77BF0" w14:textId="77777777" w:rsidTr="00583B1B">
        <w:trPr>
          <w:trHeight w:val="66"/>
        </w:trPr>
        <w:tc>
          <w:tcPr>
            <w:tcW w:w="846" w:type="dxa"/>
            <w:vMerge/>
          </w:tcPr>
          <w:p w14:paraId="57F7DAEF"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tcPr>
          <w:p w14:paraId="5A96E43B" w14:textId="77777777" w:rsidR="003C0AE5" w:rsidRPr="00F54D9C" w:rsidRDefault="003C0AE5" w:rsidP="003C0AE5">
            <w:pPr>
              <w:rPr>
                <w:rFonts w:ascii="Times New Roman" w:hAnsi="Times New Roman" w:cs="Times New Roman"/>
                <w:b/>
                <w:sz w:val="20"/>
                <w:szCs w:val="20"/>
              </w:rPr>
            </w:pPr>
          </w:p>
        </w:tc>
        <w:tc>
          <w:tcPr>
            <w:tcW w:w="7371" w:type="dxa"/>
          </w:tcPr>
          <w:p w14:paraId="1CBDFF67" w14:textId="05B6F201"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14.2.6. Jāizstrādā risinājums vienotai un drošai saziņai starp valsts iestādēm un uzņēmumiem, nodrošinot arī dokumentu uzglabāšanu noteiktā apjomā</w:t>
            </w:r>
          </w:p>
        </w:tc>
        <w:tc>
          <w:tcPr>
            <w:tcW w:w="1701" w:type="dxa"/>
          </w:tcPr>
          <w:p w14:paraId="3FFBD3C1" w14:textId="77777777"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VARAM</w:t>
            </w:r>
          </w:p>
        </w:tc>
      </w:tr>
      <w:tr w:rsidR="003C0AE5" w:rsidRPr="00C73636" w14:paraId="7B8E5E58" w14:textId="77777777" w:rsidTr="00583B1B">
        <w:trPr>
          <w:trHeight w:val="66"/>
        </w:trPr>
        <w:tc>
          <w:tcPr>
            <w:tcW w:w="846" w:type="dxa"/>
            <w:vMerge/>
            <w:tcBorders>
              <w:bottom w:val="single" w:sz="4" w:space="0" w:color="auto"/>
            </w:tcBorders>
          </w:tcPr>
          <w:p w14:paraId="435A8473" w14:textId="77777777" w:rsidR="003C0AE5" w:rsidRPr="00F54D9C" w:rsidRDefault="003C0AE5" w:rsidP="003C0AE5">
            <w:pPr>
              <w:pStyle w:val="ListParagraph"/>
              <w:numPr>
                <w:ilvl w:val="0"/>
                <w:numId w:val="4"/>
              </w:numPr>
              <w:rPr>
                <w:rFonts w:ascii="Times New Roman" w:hAnsi="Times New Roman" w:cs="Times New Roman"/>
                <w:sz w:val="20"/>
                <w:szCs w:val="20"/>
              </w:rPr>
            </w:pPr>
          </w:p>
        </w:tc>
        <w:tc>
          <w:tcPr>
            <w:tcW w:w="3969" w:type="dxa"/>
            <w:vMerge/>
            <w:tcBorders>
              <w:bottom w:val="single" w:sz="4" w:space="0" w:color="auto"/>
            </w:tcBorders>
          </w:tcPr>
          <w:p w14:paraId="0297F697" w14:textId="77777777" w:rsidR="003C0AE5" w:rsidRPr="00F54D9C" w:rsidRDefault="003C0AE5" w:rsidP="003C0AE5">
            <w:pPr>
              <w:rPr>
                <w:rFonts w:ascii="Times New Roman" w:hAnsi="Times New Roman" w:cs="Times New Roman"/>
                <w:b/>
                <w:sz w:val="20"/>
                <w:szCs w:val="20"/>
              </w:rPr>
            </w:pPr>
          </w:p>
        </w:tc>
        <w:tc>
          <w:tcPr>
            <w:tcW w:w="7371" w:type="dxa"/>
            <w:tcBorders>
              <w:bottom w:val="single" w:sz="4" w:space="0" w:color="auto"/>
            </w:tcBorders>
          </w:tcPr>
          <w:p w14:paraId="3A2B5F30" w14:textId="3C849B2B"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 xml:space="preserve">14.2.7. </w:t>
            </w:r>
            <w:r w:rsidR="00423345" w:rsidRPr="0013114D">
              <w:rPr>
                <w:rFonts w:ascii="Times New Roman" w:hAnsi="Times New Roman" w:cs="Times New Roman"/>
                <w:sz w:val="20"/>
                <w:szCs w:val="20"/>
              </w:rPr>
              <w:t>Jāizstrādā risinājumi plašākai, automatizētai datu pieejamībai un apmaiņai mašīnlasāmā formā.</w:t>
            </w:r>
          </w:p>
        </w:tc>
        <w:tc>
          <w:tcPr>
            <w:tcW w:w="1701" w:type="dxa"/>
            <w:tcBorders>
              <w:bottom w:val="single" w:sz="4" w:space="0" w:color="auto"/>
            </w:tcBorders>
          </w:tcPr>
          <w:p w14:paraId="2CEF8357" w14:textId="77777777" w:rsidR="003C0AE5" w:rsidRPr="0013114D" w:rsidRDefault="003C0AE5" w:rsidP="003C0AE5">
            <w:pPr>
              <w:spacing w:after="0" w:line="240" w:lineRule="auto"/>
              <w:rPr>
                <w:rFonts w:ascii="Times New Roman" w:hAnsi="Times New Roman" w:cs="Times New Roman"/>
                <w:sz w:val="20"/>
                <w:szCs w:val="20"/>
              </w:rPr>
            </w:pPr>
            <w:r w:rsidRPr="0013114D">
              <w:rPr>
                <w:rFonts w:ascii="Times New Roman" w:hAnsi="Times New Roman" w:cs="Times New Roman"/>
                <w:sz w:val="20"/>
                <w:szCs w:val="20"/>
              </w:rPr>
              <w:t>VARAM</w:t>
            </w:r>
          </w:p>
        </w:tc>
      </w:tr>
    </w:tbl>
    <w:p w14:paraId="1FC64996" w14:textId="77777777" w:rsidR="009D6BE4" w:rsidRDefault="009D6BE4"/>
    <w:sectPr w:rsidR="009D6BE4" w:rsidSect="002B3AF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993" w:right="1418" w:bottom="1134" w:left="1134" w:header="709" w:footer="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4D7F" w14:textId="77777777" w:rsidR="004D06F9" w:rsidRDefault="004D06F9" w:rsidP="00F54CB9">
      <w:pPr>
        <w:spacing w:after="0" w:line="240" w:lineRule="auto"/>
      </w:pPr>
      <w:r>
        <w:separator/>
      </w:r>
    </w:p>
  </w:endnote>
  <w:endnote w:type="continuationSeparator" w:id="0">
    <w:p w14:paraId="16B032FE" w14:textId="77777777" w:rsidR="004D06F9" w:rsidRDefault="004D06F9" w:rsidP="00F5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299D" w14:textId="77777777" w:rsidR="009E0FEC" w:rsidRDefault="009E0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33B1" w14:textId="77777777" w:rsidR="0006637D" w:rsidRDefault="0006637D" w:rsidP="00090D02">
    <w:pPr>
      <w:pStyle w:val="Footer"/>
      <w:rPr>
        <w:bCs/>
      </w:rPr>
    </w:pPr>
  </w:p>
  <w:p w14:paraId="3264BD2E" w14:textId="13340F5F" w:rsidR="0006637D" w:rsidRPr="00DA456F" w:rsidRDefault="0006637D" w:rsidP="00090D02">
    <w:pPr>
      <w:pStyle w:val="Footer"/>
      <w:rPr>
        <w:rFonts w:ascii="Times New Roman" w:hAnsi="Times New Roman" w:cs="Times New Roman"/>
        <w:bCs/>
      </w:rPr>
    </w:pPr>
    <w:r w:rsidRPr="00DA456F">
      <w:rPr>
        <w:rFonts w:ascii="Times New Roman" w:hAnsi="Times New Roman" w:cs="Times New Roman"/>
        <w:bCs/>
      </w:rPr>
      <w:t>Pielikums informatīvajam ziņojumam “</w:t>
    </w:r>
    <w:r w:rsidR="009E0FEC" w:rsidRPr="009E0FEC">
      <w:rPr>
        <w:rFonts w:ascii="Times New Roman" w:hAnsi="Times New Roman" w:cs="Times New Roman"/>
        <w:bCs/>
      </w:rPr>
      <w:t>Par Ekonomikas ministrijas organizētajiem darbsemināriem par Eiropas Savienības Vienotā un Digitālā vienotā tirgus jautājumiem, identificētajām Latvijas interesēm un ieteicamajiem pasākumiem nacionālajā līmenī</w:t>
    </w:r>
    <w:r w:rsidRPr="00DA456F">
      <w:rPr>
        <w:rFonts w:ascii="Times New Roman" w:hAnsi="Times New Roman" w:cs="Times New Roman"/>
        <w:bCs/>
      </w:rPr>
      <w:t>”</w:t>
    </w:r>
  </w:p>
  <w:p w14:paraId="5DBA6A2C" w14:textId="77777777" w:rsidR="0006637D" w:rsidRPr="00DA456F" w:rsidRDefault="0006637D">
    <w:pPr>
      <w:pStyle w:val="Footer"/>
      <w:rPr>
        <w:rFonts w:ascii="Times New Roman" w:hAnsi="Times New Roman" w:cs="Times New Roman"/>
      </w:rPr>
    </w:pPr>
  </w:p>
  <w:p w14:paraId="5388105F" w14:textId="77777777" w:rsidR="0006637D" w:rsidRDefault="00066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A45E" w14:textId="77777777" w:rsidR="009E0FEC" w:rsidRDefault="009E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14928" w14:textId="77777777" w:rsidR="004D06F9" w:rsidRDefault="004D06F9" w:rsidP="00F54CB9">
      <w:pPr>
        <w:spacing w:after="0" w:line="240" w:lineRule="auto"/>
      </w:pPr>
      <w:r>
        <w:separator/>
      </w:r>
    </w:p>
  </w:footnote>
  <w:footnote w:type="continuationSeparator" w:id="0">
    <w:p w14:paraId="0D525288" w14:textId="77777777" w:rsidR="004D06F9" w:rsidRDefault="004D06F9" w:rsidP="00F54CB9">
      <w:pPr>
        <w:spacing w:after="0" w:line="240" w:lineRule="auto"/>
      </w:pPr>
      <w:r>
        <w:continuationSeparator/>
      </w:r>
    </w:p>
  </w:footnote>
  <w:footnote w:id="1">
    <w:p w14:paraId="71CE33F9" w14:textId="77777777" w:rsidR="002239E9" w:rsidRPr="00941D34" w:rsidRDefault="002239E9">
      <w:pPr>
        <w:pStyle w:val="FootnoteText"/>
        <w:rPr>
          <w:color w:val="2A2A2A"/>
          <w:sz w:val="19"/>
          <w:szCs w:val="19"/>
          <w:shd w:val="clear" w:color="auto" w:fill="FFFFFF"/>
        </w:rPr>
      </w:pPr>
      <w:r w:rsidRPr="00941D34">
        <w:rPr>
          <w:rStyle w:val="FootnoteReference"/>
        </w:rPr>
        <w:footnoteRef/>
      </w:r>
      <w:r w:rsidRPr="00941D34">
        <w:t xml:space="preserve"> </w:t>
      </w:r>
      <w:r w:rsidRPr="00941D34">
        <w:rPr>
          <w:shd w:val="clear" w:color="auto" w:fill="FFFFFF"/>
        </w:rPr>
        <w:t>Valsts sekretāru 2016.gada 18.augusta sanāksmes Protokola Nr.32 2.§</w:t>
      </w:r>
    </w:p>
  </w:footnote>
  <w:footnote w:id="2">
    <w:p w14:paraId="0EACCAA0" w14:textId="77777777" w:rsidR="002239E9" w:rsidRDefault="002239E9">
      <w:pPr>
        <w:pStyle w:val="FootnoteText"/>
      </w:pPr>
      <w:r>
        <w:rPr>
          <w:rStyle w:val="FootnoteReference"/>
        </w:rPr>
        <w:footnoteRef/>
      </w:r>
      <w:r>
        <w:t xml:space="preserve"> </w:t>
      </w:r>
      <w:r w:rsidRPr="00941D34">
        <w:t>Ministru kabineta 2016. gada 29. septembr</w:t>
      </w:r>
      <w:r>
        <w:t>a</w:t>
      </w:r>
      <w:r w:rsidRPr="00941D34">
        <w:t xml:space="preserve"> rīkojums Nr. 566</w:t>
      </w:r>
      <w:r>
        <w:t>, 6.1.punkts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07BC" w14:textId="77777777" w:rsidR="009E0FEC" w:rsidRDefault="009E0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38C2" w14:textId="77777777" w:rsidR="009E0FEC" w:rsidRDefault="009E0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985F" w14:textId="77777777" w:rsidR="009E0FEC" w:rsidRDefault="009E0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27"/>
    <w:multiLevelType w:val="hybridMultilevel"/>
    <w:tmpl w:val="AFC0ECE2"/>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0050DD"/>
    <w:multiLevelType w:val="hybridMultilevel"/>
    <w:tmpl w:val="F87EC564"/>
    <w:lvl w:ilvl="0" w:tplc="CAF820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F00834"/>
    <w:multiLevelType w:val="hybridMultilevel"/>
    <w:tmpl w:val="CB40F56C"/>
    <w:lvl w:ilvl="0" w:tplc="CCBE366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A9243C"/>
    <w:multiLevelType w:val="hybridMultilevel"/>
    <w:tmpl w:val="A8BA5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D9"/>
    <w:rsid w:val="00001AA9"/>
    <w:rsid w:val="000060C0"/>
    <w:rsid w:val="00007FBA"/>
    <w:rsid w:val="00012E84"/>
    <w:rsid w:val="00015F00"/>
    <w:rsid w:val="00015F75"/>
    <w:rsid w:val="00026769"/>
    <w:rsid w:val="000268B9"/>
    <w:rsid w:val="0003072F"/>
    <w:rsid w:val="00030F2F"/>
    <w:rsid w:val="000323C0"/>
    <w:rsid w:val="00033A72"/>
    <w:rsid w:val="0003723F"/>
    <w:rsid w:val="00037277"/>
    <w:rsid w:val="0004198F"/>
    <w:rsid w:val="000430A6"/>
    <w:rsid w:val="00044262"/>
    <w:rsid w:val="000468CA"/>
    <w:rsid w:val="00047491"/>
    <w:rsid w:val="000538D5"/>
    <w:rsid w:val="00053C15"/>
    <w:rsid w:val="000555A4"/>
    <w:rsid w:val="0005756E"/>
    <w:rsid w:val="00057DA0"/>
    <w:rsid w:val="00062FB8"/>
    <w:rsid w:val="00066258"/>
    <w:rsid w:val="0006637D"/>
    <w:rsid w:val="0007043A"/>
    <w:rsid w:val="000715AF"/>
    <w:rsid w:val="00073009"/>
    <w:rsid w:val="000738A9"/>
    <w:rsid w:val="00076171"/>
    <w:rsid w:val="000830ED"/>
    <w:rsid w:val="00085A5F"/>
    <w:rsid w:val="000869B1"/>
    <w:rsid w:val="000869E2"/>
    <w:rsid w:val="00090D02"/>
    <w:rsid w:val="00092BEC"/>
    <w:rsid w:val="00094F8D"/>
    <w:rsid w:val="000953AA"/>
    <w:rsid w:val="000A2462"/>
    <w:rsid w:val="000A4161"/>
    <w:rsid w:val="000A7553"/>
    <w:rsid w:val="000B02BC"/>
    <w:rsid w:val="000B0E6B"/>
    <w:rsid w:val="000B5520"/>
    <w:rsid w:val="000B565B"/>
    <w:rsid w:val="000C1CFD"/>
    <w:rsid w:val="000C514D"/>
    <w:rsid w:val="000C7B82"/>
    <w:rsid w:val="000C7D06"/>
    <w:rsid w:val="000D3703"/>
    <w:rsid w:val="000E57C9"/>
    <w:rsid w:val="000E6DB4"/>
    <w:rsid w:val="000E7233"/>
    <w:rsid w:val="000E75AC"/>
    <w:rsid w:val="000F00CA"/>
    <w:rsid w:val="000F04FF"/>
    <w:rsid w:val="000F100D"/>
    <w:rsid w:val="00101DFC"/>
    <w:rsid w:val="001071A7"/>
    <w:rsid w:val="00107C1D"/>
    <w:rsid w:val="0011428B"/>
    <w:rsid w:val="00117EA2"/>
    <w:rsid w:val="001221C9"/>
    <w:rsid w:val="00122463"/>
    <w:rsid w:val="00123867"/>
    <w:rsid w:val="00124847"/>
    <w:rsid w:val="00124EAD"/>
    <w:rsid w:val="00127143"/>
    <w:rsid w:val="0013114D"/>
    <w:rsid w:val="001312BC"/>
    <w:rsid w:val="00133657"/>
    <w:rsid w:val="001336AA"/>
    <w:rsid w:val="00134ECC"/>
    <w:rsid w:val="00135227"/>
    <w:rsid w:val="00135F89"/>
    <w:rsid w:val="00141379"/>
    <w:rsid w:val="00150488"/>
    <w:rsid w:val="00152E2F"/>
    <w:rsid w:val="00154BB9"/>
    <w:rsid w:val="0015520B"/>
    <w:rsid w:val="001559BA"/>
    <w:rsid w:val="0015676C"/>
    <w:rsid w:val="0015680C"/>
    <w:rsid w:val="00160C17"/>
    <w:rsid w:val="00161AD3"/>
    <w:rsid w:val="001628FD"/>
    <w:rsid w:val="00167301"/>
    <w:rsid w:val="00172ACB"/>
    <w:rsid w:val="00174A9F"/>
    <w:rsid w:val="00175DB3"/>
    <w:rsid w:val="00176E6C"/>
    <w:rsid w:val="0018098D"/>
    <w:rsid w:val="001828D9"/>
    <w:rsid w:val="00183181"/>
    <w:rsid w:val="00183512"/>
    <w:rsid w:val="001848B9"/>
    <w:rsid w:val="00185118"/>
    <w:rsid w:val="00190086"/>
    <w:rsid w:val="00193485"/>
    <w:rsid w:val="00193E71"/>
    <w:rsid w:val="001A07C6"/>
    <w:rsid w:val="001A1B05"/>
    <w:rsid w:val="001A57CC"/>
    <w:rsid w:val="001A5BAB"/>
    <w:rsid w:val="001A61C0"/>
    <w:rsid w:val="001A621C"/>
    <w:rsid w:val="001A6846"/>
    <w:rsid w:val="001B34D9"/>
    <w:rsid w:val="001C13C4"/>
    <w:rsid w:val="001C1ACE"/>
    <w:rsid w:val="001C275D"/>
    <w:rsid w:val="001C2B41"/>
    <w:rsid w:val="001C389C"/>
    <w:rsid w:val="001C5677"/>
    <w:rsid w:val="001C5D88"/>
    <w:rsid w:val="001C6240"/>
    <w:rsid w:val="001C6B94"/>
    <w:rsid w:val="001D287E"/>
    <w:rsid w:val="001D66AE"/>
    <w:rsid w:val="001D7929"/>
    <w:rsid w:val="001E0B17"/>
    <w:rsid w:val="001E48B8"/>
    <w:rsid w:val="001E6939"/>
    <w:rsid w:val="001F13A0"/>
    <w:rsid w:val="001F26E3"/>
    <w:rsid w:val="001F79C4"/>
    <w:rsid w:val="00200479"/>
    <w:rsid w:val="00201556"/>
    <w:rsid w:val="0020223D"/>
    <w:rsid w:val="00212507"/>
    <w:rsid w:val="00213E64"/>
    <w:rsid w:val="002177ED"/>
    <w:rsid w:val="00220443"/>
    <w:rsid w:val="00220F93"/>
    <w:rsid w:val="002219DE"/>
    <w:rsid w:val="0022268C"/>
    <w:rsid w:val="00222C29"/>
    <w:rsid w:val="002239E9"/>
    <w:rsid w:val="00225054"/>
    <w:rsid w:val="00227327"/>
    <w:rsid w:val="00227FF7"/>
    <w:rsid w:val="002322B3"/>
    <w:rsid w:val="00234207"/>
    <w:rsid w:val="00234C96"/>
    <w:rsid w:val="00236E80"/>
    <w:rsid w:val="00237A86"/>
    <w:rsid w:val="00243804"/>
    <w:rsid w:val="0024410D"/>
    <w:rsid w:val="00246258"/>
    <w:rsid w:val="00246CCE"/>
    <w:rsid w:val="00254A36"/>
    <w:rsid w:val="00256605"/>
    <w:rsid w:val="00261929"/>
    <w:rsid w:val="002634D7"/>
    <w:rsid w:val="00263D91"/>
    <w:rsid w:val="00267A2A"/>
    <w:rsid w:val="00271F7E"/>
    <w:rsid w:val="0027245D"/>
    <w:rsid w:val="002725B2"/>
    <w:rsid w:val="00280CAE"/>
    <w:rsid w:val="0028135B"/>
    <w:rsid w:val="00286819"/>
    <w:rsid w:val="002869E9"/>
    <w:rsid w:val="00293DFC"/>
    <w:rsid w:val="00293E54"/>
    <w:rsid w:val="002953DF"/>
    <w:rsid w:val="00295FBE"/>
    <w:rsid w:val="002A3933"/>
    <w:rsid w:val="002B0394"/>
    <w:rsid w:val="002B3AF6"/>
    <w:rsid w:val="002B4445"/>
    <w:rsid w:val="002B5175"/>
    <w:rsid w:val="002B6F03"/>
    <w:rsid w:val="002C1B32"/>
    <w:rsid w:val="002C6F59"/>
    <w:rsid w:val="002D01BF"/>
    <w:rsid w:val="002D0224"/>
    <w:rsid w:val="002D287D"/>
    <w:rsid w:val="002D49AB"/>
    <w:rsid w:val="002D673A"/>
    <w:rsid w:val="002E1AB8"/>
    <w:rsid w:val="002E2F65"/>
    <w:rsid w:val="002E3CFB"/>
    <w:rsid w:val="002E47E8"/>
    <w:rsid w:val="002E73BA"/>
    <w:rsid w:val="002F0844"/>
    <w:rsid w:val="002F289C"/>
    <w:rsid w:val="002F2F84"/>
    <w:rsid w:val="002F3E82"/>
    <w:rsid w:val="002F42BE"/>
    <w:rsid w:val="002F49A6"/>
    <w:rsid w:val="002F523E"/>
    <w:rsid w:val="002F73EB"/>
    <w:rsid w:val="002F7A0B"/>
    <w:rsid w:val="00300393"/>
    <w:rsid w:val="00300CB2"/>
    <w:rsid w:val="00300CD2"/>
    <w:rsid w:val="00301C16"/>
    <w:rsid w:val="00302869"/>
    <w:rsid w:val="00302948"/>
    <w:rsid w:val="00302B97"/>
    <w:rsid w:val="00305CAE"/>
    <w:rsid w:val="003066B8"/>
    <w:rsid w:val="00306F60"/>
    <w:rsid w:val="003103B8"/>
    <w:rsid w:val="00310961"/>
    <w:rsid w:val="00310FD9"/>
    <w:rsid w:val="00312018"/>
    <w:rsid w:val="003134B7"/>
    <w:rsid w:val="0031452E"/>
    <w:rsid w:val="00314EE8"/>
    <w:rsid w:val="00315A15"/>
    <w:rsid w:val="003201E4"/>
    <w:rsid w:val="00322A1D"/>
    <w:rsid w:val="00322E35"/>
    <w:rsid w:val="003239B3"/>
    <w:rsid w:val="003242B0"/>
    <w:rsid w:val="00326BCE"/>
    <w:rsid w:val="003302F8"/>
    <w:rsid w:val="003326F6"/>
    <w:rsid w:val="003330AE"/>
    <w:rsid w:val="00333E22"/>
    <w:rsid w:val="00333EB2"/>
    <w:rsid w:val="00334F68"/>
    <w:rsid w:val="00335495"/>
    <w:rsid w:val="00336751"/>
    <w:rsid w:val="003421C6"/>
    <w:rsid w:val="00344DDA"/>
    <w:rsid w:val="00346226"/>
    <w:rsid w:val="00346E67"/>
    <w:rsid w:val="00351711"/>
    <w:rsid w:val="003523FE"/>
    <w:rsid w:val="00354DCE"/>
    <w:rsid w:val="00354EDE"/>
    <w:rsid w:val="00356898"/>
    <w:rsid w:val="00356F27"/>
    <w:rsid w:val="00360D54"/>
    <w:rsid w:val="0036128D"/>
    <w:rsid w:val="0036325E"/>
    <w:rsid w:val="003636B3"/>
    <w:rsid w:val="0036726F"/>
    <w:rsid w:val="003700CB"/>
    <w:rsid w:val="00370B41"/>
    <w:rsid w:val="00370B98"/>
    <w:rsid w:val="00373BAC"/>
    <w:rsid w:val="003749E8"/>
    <w:rsid w:val="003752A8"/>
    <w:rsid w:val="00381A02"/>
    <w:rsid w:val="003835EB"/>
    <w:rsid w:val="00384B6D"/>
    <w:rsid w:val="00392942"/>
    <w:rsid w:val="003958ED"/>
    <w:rsid w:val="00395949"/>
    <w:rsid w:val="003A3362"/>
    <w:rsid w:val="003A5879"/>
    <w:rsid w:val="003A5F91"/>
    <w:rsid w:val="003A76F9"/>
    <w:rsid w:val="003B0AF4"/>
    <w:rsid w:val="003B1254"/>
    <w:rsid w:val="003B12CF"/>
    <w:rsid w:val="003B23EE"/>
    <w:rsid w:val="003B2A34"/>
    <w:rsid w:val="003B3844"/>
    <w:rsid w:val="003B4933"/>
    <w:rsid w:val="003B57F6"/>
    <w:rsid w:val="003B64C3"/>
    <w:rsid w:val="003C0AE5"/>
    <w:rsid w:val="003C25E8"/>
    <w:rsid w:val="003C7AAB"/>
    <w:rsid w:val="003D18CA"/>
    <w:rsid w:val="003D62D9"/>
    <w:rsid w:val="003D6442"/>
    <w:rsid w:val="003D6B7F"/>
    <w:rsid w:val="003E0F85"/>
    <w:rsid w:val="003E1E8D"/>
    <w:rsid w:val="003E25AF"/>
    <w:rsid w:val="003E2D82"/>
    <w:rsid w:val="003E2E11"/>
    <w:rsid w:val="003E44A4"/>
    <w:rsid w:val="003E6D6A"/>
    <w:rsid w:val="003E702A"/>
    <w:rsid w:val="003F0E6C"/>
    <w:rsid w:val="003F2385"/>
    <w:rsid w:val="003F23CF"/>
    <w:rsid w:val="003F4F44"/>
    <w:rsid w:val="003F584A"/>
    <w:rsid w:val="003F6CB0"/>
    <w:rsid w:val="004053A2"/>
    <w:rsid w:val="00406ACB"/>
    <w:rsid w:val="00415A25"/>
    <w:rsid w:val="00420F88"/>
    <w:rsid w:val="00423345"/>
    <w:rsid w:val="004244C4"/>
    <w:rsid w:val="00427D47"/>
    <w:rsid w:val="0043226E"/>
    <w:rsid w:val="00433BA3"/>
    <w:rsid w:val="00434137"/>
    <w:rsid w:val="004356D5"/>
    <w:rsid w:val="00436F51"/>
    <w:rsid w:val="004479B5"/>
    <w:rsid w:val="0045489A"/>
    <w:rsid w:val="00454E94"/>
    <w:rsid w:val="0045533E"/>
    <w:rsid w:val="0045623F"/>
    <w:rsid w:val="0046398A"/>
    <w:rsid w:val="00471F1A"/>
    <w:rsid w:val="0047318A"/>
    <w:rsid w:val="004746F8"/>
    <w:rsid w:val="00475869"/>
    <w:rsid w:val="00475CE1"/>
    <w:rsid w:val="00482D93"/>
    <w:rsid w:val="0048477A"/>
    <w:rsid w:val="00484B1F"/>
    <w:rsid w:val="00484EB0"/>
    <w:rsid w:val="00485236"/>
    <w:rsid w:val="00490251"/>
    <w:rsid w:val="00491611"/>
    <w:rsid w:val="00493C65"/>
    <w:rsid w:val="00493C85"/>
    <w:rsid w:val="00493C9D"/>
    <w:rsid w:val="004975BE"/>
    <w:rsid w:val="004A20AD"/>
    <w:rsid w:val="004A4BB2"/>
    <w:rsid w:val="004B0D9A"/>
    <w:rsid w:val="004B14E3"/>
    <w:rsid w:val="004B6777"/>
    <w:rsid w:val="004C076B"/>
    <w:rsid w:val="004C44A6"/>
    <w:rsid w:val="004C5AC8"/>
    <w:rsid w:val="004C67AE"/>
    <w:rsid w:val="004C7F78"/>
    <w:rsid w:val="004D0114"/>
    <w:rsid w:val="004D06F9"/>
    <w:rsid w:val="004D0A2B"/>
    <w:rsid w:val="004D0FC6"/>
    <w:rsid w:val="004D1C56"/>
    <w:rsid w:val="004D23E5"/>
    <w:rsid w:val="004D3EE2"/>
    <w:rsid w:val="004D5DBB"/>
    <w:rsid w:val="004D63B9"/>
    <w:rsid w:val="004D780A"/>
    <w:rsid w:val="004F10EE"/>
    <w:rsid w:val="004F16DD"/>
    <w:rsid w:val="004F6602"/>
    <w:rsid w:val="005012D9"/>
    <w:rsid w:val="0050712C"/>
    <w:rsid w:val="005106F0"/>
    <w:rsid w:val="00510F2D"/>
    <w:rsid w:val="00512E6E"/>
    <w:rsid w:val="00513050"/>
    <w:rsid w:val="00514079"/>
    <w:rsid w:val="00514B7F"/>
    <w:rsid w:val="00515E86"/>
    <w:rsid w:val="00517424"/>
    <w:rsid w:val="00517AB7"/>
    <w:rsid w:val="0052050D"/>
    <w:rsid w:val="005240C4"/>
    <w:rsid w:val="0052419E"/>
    <w:rsid w:val="00525F91"/>
    <w:rsid w:val="00526FE7"/>
    <w:rsid w:val="00531394"/>
    <w:rsid w:val="005358D3"/>
    <w:rsid w:val="00535E65"/>
    <w:rsid w:val="005416F3"/>
    <w:rsid w:val="005423B7"/>
    <w:rsid w:val="00544EDD"/>
    <w:rsid w:val="0055333B"/>
    <w:rsid w:val="00553918"/>
    <w:rsid w:val="00554BAA"/>
    <w:rsid w:val="005563A6"/>
    <w:rsid w:val="005563F1"/>
    <w:rsid w:val="00557972"/>
    <w:rsid w:val="00560FAE"/>
    <w:rsid w:val="00561BCE"/>
    <w:rsid w:val="00562037"/>
    <w:rsid w:val="00573459"/>
    <w:rsid w:val="005737C9"/>
    <w:rsid w:val="00583B1B"/>
    <w:rsid w:val="00583B6F"/>
    <w:rsid w:val="00590EA0"/>
    <w:rsid w:val="00593E60"/>
    <w:rsid w:val="005A2A1D"/>
    <w:rsid w:val="005A4460"/>
    <w:rsid w:val="005A5C8A"/>
    <w:rsid w:val="005A6728"/>
    <w:rsid w:val="005A6F41"/>
    <w:rsid w:val="005A725C"/>
    <w:rsid w:val="005A76C3"/>
    <w:rsid w:val="005B0C6D"/>
    <w:rsid w:val="005B1CD3"/>
    <w:rsid w:val="005B41FD"/>
    <w:rsid w:val="005B4570"/>
    <w:rsid w:val="005B5F6C"/>
    <w:rsid w:val="005B62E0"/>
    <w:rsid w:val="005C34B9"/>
    <w:rsid w:val="005C46D1"/>
    <w:rsid w:val="005D0507"/>
    <w:rsid w:val="005D1C23"/>
    <w:rsid w:val="005D22A7"/>
    <w:rsid w:val="005D22F4"/>
    <w:rsid w:val="005D268A"/>
    <w:rsid w:val="005D3838"/>
    <w:rsid w:val="005D58D4"/>
    <w:rsid w:val="005D58F5"/>
    <w:rsid w:val="005D637D"/>
    <w:rsid w:val="005D6453"/>
    <w:rsid w:val="005E4383"/>
    <w:rsid w:val="005E4CB9"/>
    <w:rsid w:val="005E57A7"/>
    <w:rsid w:val="005E59A8"/>
    <w:rsid w:val="005F082B"/>
    <w:rsid w:val="006017FD"/>
    <w:rsid w:val="00604EA9"/>
    <w:rsid w:val="006052DA"/>
    <w:rsid w:val="006063D9"/>
    <w:rsid w:val="00612025"/>
    <w:rsid w:val="00617DB0"/>
    <w:rsid w:val="00620B65"/>
    <w:rsid w:val="0062122A"/>
    <w:rsid w:val="006212A6"/>
    <w:rsid w:val="00621D8F"/>
    <w:rsid w:val="00623F3B"/>
    <w:rsid w:val="0063242F"/>
    <w:rsid w:val="006377F6"/>
    <w:rsid w:val="00637E75"/>
    <w:rsid w:val="00637F86"/>
    <w:rsid w:val="006441EA"/>
    <w:rsid w:val="00650E41"/>
    <w:rsid w:val="00651442"/>
    <w:rsid w:val="006526C9"/>
    <w:rsid w:val="00656C34"/>
    <w:rsid w:val="006570B0"/>
    <w:rsid w:val="00657105"/>
    <w:rsid w:val="00660BDD"/>
    <w:rsid w:val="006618D3"/>
    <w:rsid w:val="0066369A"/>
    <w:rsid w:val="00663C87"/>
    <w:rsid w:val="00663F0C"/>
    <w:rsid w:val="0066597C"/>
    <w:rsid w:val="00666A36"/>
    <w:rsid w:val="0067223E"/>
    <w:rsid w:val="00673E5F"/>
    <w:rsid w:val="006803B3"/>
    <w:rsid w:val="00681AB7"/>
    <w:rsid w:val="0068246A"/>
    <w:rsid w:val="00685796"/>
    <w:rsid w:val="00685C1E"/>
    <w:rsid w:val="00691A93"/>
    <w:rsid w:val="00693F1C"/>
    <w:rsid w:val="00695553"/>
    <w:rsid w:val="006A10F9"/>
    <w:rsid w:val="006A4775"/>
    <w:rsid w:val="006A585A"/>
    <w:rsid w:val="006A5CC8"/>
    <w:rsid w:val="006A61D4"/>
    <w:rsid w:val="006B33F7"/>
    <w:rsid w:val="006B45E1"/>
    <w:rsid w:val="006B6267"/>
    <w:rsid w:val="006C064E"/>
    <w:rsid w:val="006C082C"/>
    <w:rsid w:val="006C0949"/>
    <w:rsid w:val="006C6F71"/>
    <w:rsid w:val="006D0304"/>
    <w:rsid w:val="006D1A04"/>
    <w:rsid w:val="006D695A"/>
    <w:rsid w:val="006E3167"/>
    <w:rsid w:val="006E36CA"/>
    <w:rsid w:val="006E5E54"/>
    <w:rsid w:val="006E67BD"/>
    <w:rsid w:val="006F07E1"/>
    <w:rsid w:val="006F0D90"/>
    <w:rsid w:val="00706297"/>
    <w:rsid w:val="0070666A"/>
    <w:rsid w:val="00707412"/>
    <w:rsid w:val="0071071A"/>
    <w:rsid w:val="00711D7A"/>
    <w:rsid w:val="0071362B"/>
    <w:rsid w:val="00720B6C"/>
    <w:rsid w:val="00722464"/>
    <w:rsid w:val="007227DB"/>
    <w:rsid w:val="00723719"/>
    <w:rsid w:val="00725DF3"/>
    <w:rsid w:val="00730273"/>
    <w:rsid w:val="00735785"/>
    <w:rsid w:val="0073637C"/>
    <w:rsid w:val="00736B60"/>
    <w:rsid w:val="00742765"/>
    <w:rsid w:val="00743CE3"/>
    <w:rsid w:val="00744B99"/>
    <w:rsid w:val="00744F9B"/>
    <w:rsid w:val="007456F1"/>
    <w:rsid w:val="00745C46"/>
    <w:rsid w:val="00746DDE"/>
    <w:rsid w:val="007524A3"/>
    <w:rsid w:val="0075317F"/>
    <w:rsid w:val="00753A51"/>
    <w:rsid w:val="00760937"/>
    <w:rsid w:val="00761C1F"/>
    <w:rsid w:val="0076253D"/>
    <w:rsid w:val="0076338C"/>
    <w:rsid w:val="00765854"/>
    <w:rsid w:val="00766CB6"/>
    <w:rsid w:val="00767939"/>
    <w:rsid w:val="00770861"/>
    <w:rsid w:val="00771ABA"/>
    <w:rsid w:val="00773432"/>
    <w:rsid w:val="00774C45"/>
    <w:rsid w:val="0077654A"/>
    <w:rsid w:val="007775DF"/>
    <w:rsid w:val="00784AD9"/>
    <w:rsid w:val="0079077D"/>
    <w:rsid w:val="0079487A"/>
    <w:rsid w:val="00795A12"/>
    <w:rsid w:val="00795F4E"/>
    <w:rsid w:val="007A37F0"/>
    <w:rsid w:val="007B0328"/>
    <w:rsid w:val="007B7A89"/>
    <w:rsid w:val="007B7AF3"/>
    <w:rsid w:val="007C5C0F"/>
    <w:rsid w:val="007C7F25"/>
    <w:rsid w:val="007D18A2"/>
    <w:rsid w:val="007D34C6"/>
    <w:rsid w:val="007D481B"/>
    <w:rsid w:val="007E423C"/>
    <w:rsid w:val="007E5C76"/>
    <w:rsid w:val="007F59BD"/>
    <w:rsid w:val="007F638B"/>
    <w:rsid w:val="007F7145"/>
    <w:rsid w:val="00802510"/>
    <w:rsid w:val="00804F83"/>
    <w:rsid w:val="0081077E"/>
    <w:rsid w:val="0081091E"/>
    <w:rsid w:val="00812242"/>
    <w:rsid w:val="0081389B"/>
    <w:rsid w:val="00816731"/>
    <w:rsid w:val="008176DC"/>
    <w:rsid w:val="00820BD7"/>
    <w:rsid w:val="00822BD5"/>
    <w:rsid w:val="008261C8"/>
    <w:rsid w:val="0083046E"/>
    <w:rsid w:val="00830603"/>
    <w:rsid w:val="0083097A"/>
    <w:rsid w:val="00836867"/>
    <w:rsid w:val="00837849"/>
    <w:rsid w:val="0084029A"/>
    <w:rsid w:val="00841CD0"/>
    <w:rsid w:val="00842B49"/>
    <w:rsid w:val="0084356D"/>
    <w:rsid w:val="008442EE"/>
    <w:rsid w:val="008467DA"/>
    <w:rsid w:val="008511DA"/>
    <w:rsid w:val="00851B59"/>
    <w:rsid w:val="0085514C"/>
    <w:rsid w:val="00855C73"/>
    <w:rsid w:val="00863B71"/>
    <w:rsid w:val="00865835"/>
    <w:rsid w:val="00866D85"/>
    <w:rsid w:val="008758D7"/>
    <w:rsid w:val="0087677C"/>
    <w:rsid w:val="008772BB"/>
    <w:rsid w:val="00877AD2"/>
    <w:rsid w:val="00877BCC"/>
    <w:rsid w:val="00881F74"/>
    <w:rsid w:val="008847D6"/>
    <w:rsid w:val="008922B2"/>
    <w:rsid w:val="00897718"/>
    <w:rsid w:val="008A27E1"/>
    <w:rsid w:val="008A789C"/>
    <w:rsid w:val="008B188B"/>
    <w:rsid w:val="008B4E41"/>
    <w:rsid w:val="008B4FFE"/>
    <w:rsid w:val="008C03A4"/>
    <w:rsid w:val="008C0B32"/>
    <w:rsid w:val="008C16C5"/>
    <w:rsid w:val="008C2F69"/>
    <w:rsid w:val="008C4C04"/>
    <w:rsid w:val="008C4CEB"/>
    <w:rsid w:val="008C51F8"/>
    <w:rsid w:val="008C52B8"/>
    <w:rsid w:val="008D17A1"/>
    <w:rsid w:val="008D3B0A"/>
    <w:rsid w:val="008D7325"/>
    <w:rsid w:val="008D78B2"/>
    <w:rsid w:val="008E0F67"/>
    <w:rsid w:val="008E2D8A"/>
    <w:rsid w:val="008E377F"/>
    <w:rsid w:val="008E4DBE"/>
    <w:rsid w:val="008F5506"/>
    <w:rsid w:val="008F7102"/>
    <w:rsid w:val="00900771"/>
    <w:rsid w:val="009009CD"/>
    <w:rsid w:val="00900BD2"/>
    <w:rsid w:val="00904C6D"/>
    <w:rsid w:val="00905861"/>
    <w:rsid w:val="0090594B"/>
    <w:rsid w:val="009059FA"/>
    <w:rsid w:val="00906595"/>
    <w:rsid w:val="00906FA8"/>
    <w:rsid w:val="00907B01"/>
    <w:rsid w:val="00910700"/>
    <w:rsid w:val="00911454"/>
    <w:rsid w:val="00914BBA"/>
    <w:rsid w:val="00916B46"/>
    <w:rsid w:val="00916B53"/>
    <w:rsid w:val="00917F69"/>
    <w:rsid w:val="00920509"/>
    <w:rsid w:val="009205BD"/>
    <w:rsid w:val="00921165"/>
    <w:rsid w:val="009239B6"/>
    <w:rsid w:val="009254B5"/>
    <w:rsid w:val="00932C0D"/>
    <w:rsid w:val="009348B4"/>
    <w:rsid w:val="0093537D"/>
    <w:rsid w:val="00935C33"/>
    <w:rsid w:val="0093613D"/>
    <w:rsid w:val="00941D34"/>
    <w:rsid w:val="00946281"/>
    <w:rsid w:val="009541C9"/>
    <w:rsid w:val="00956280"/>
    <w:rsid w:val="0096088A"/>
    <w:rsid w:val="009632CF"/>
    <w:rsid w:val="0097397A"/>
    <w:rsid w:val="00973CE7"/>
    <w:rsid w:val="00977934"/>
    <w:rsid w:val="009807B3"/>
    <w:rsid w:val="009814F4"/>
    <w:rsid w:val="00984567"/>
    <w:rsid w:val="00986107"/>
    <w:rsid w:val="00986CA0"/>
    <w:rsid w:val="00987E77"/>
    <w:rsid w:val="00987E9F"/>
    <w:rsid w:val="0099374A"/>
    <w:rsid w:val="00994334"/>
    <w:rsid w:val="00994B8A"/>
    <w:rsid w:val="00995A2D"/>
    <w:rsid w:val="00996F8E"/>
    <w:rsid w:val="009A050A"/>
    <w:rsid w:val="009A0FB4"/>
    <w:rsid w:val="009A6D24"/>
    <w:rsid w:val="009B04F5"/>
    <w:rsid w:val="009B3293"/>
    <w:rsid w:val="009B4689"/>
    <w:rsid w:val="009B4CD6"/>
    <w:rsid w:val="009C3120"/>
    <w:rsid w:val="009C40A0"/>
    <w:rsid w:val="009C7679"/>
    <w:rsid w:val="009D0E84"/>
    <w:rsid w:val="009D37F7"/>
    <w:rsid w:val="009D6BE4"/>
    <w:rsid w:val="009D7ABB"/>
    <w:rsid w:val="009E0FEC"/>
    <w:rsid w:val="009E445F"/>
    <w:rsid w:val="009E76FE"/>
    <w:rsid w:val="009F0D59"/>
    <w:rsid w:val="009F1259"/>
    <w:rsid w:val="009F1680"/>
    <w:rsid w:val="009F48D6"/>
    <w:rsid w:val="009F61CE"/>
    <w:rsid w:val="009F71B5"/>
    <w:rsid w:val="00A010D5"/>
    <w:rsid w:val="00A0197A"/>
    <w:rsid w:val="00A0656E"/>
    <w:rsid w:val="00A06F1A"/>
    <w:rsid w:val="00A071B0"/>
    <w:rsid w:val="00A07C72"/>
    <w:rsid w:val="00A10AD8"/>
    <w:rsid w:val="00A10CD3"/>
    <w:rsid w:val="00A11176"/>
    <w:rsid w:val="00A21B22"/>
    <w:rsid w:val="00A2491B"/>
    <w:rsid w:val="00A24FE9"/>
    <w:rsid w:val="00A30B9B"/>
    <w:rsid w:val="00A32FAB"/>
    <w:rsid w:val="00A34137"/>
    <w:rsid w:val="00A34B80"/>
    <w:rsid w:val="00A40916"/>
    <w:rsid w:val="00A43EC1"/>
    <w:rsid w:val="00A458F1"/>
    <w:rsid w:val="00A524E1"/>
    <w:rsid w:val="00A52C89"/>
    <w:rsid w:val="00A53ECA"/>
    <w:rsid w:val="00A557CD"/>
    <w:rsid w:val="00A55BF8"/>
    <w:rsid w:val="00A56C5D"/>
    <w:rsid w:val="00A57784"/>
    <w:rsid w:val="00A61232"/>
    <w:rsid w:val="00A61748"/>
    <w:rsid w:val="00A63044"/>
    <w:rsid w:val="00A63638"/>
    <w:rsid w:val="00A651A3"/>
    <w:rsid w:val="00A6653E"/>
    <w:rsid w:val="00A66EE5"/>
    <w:rsid w:val="00A7198F"/>
    <w:rsid w:val="00A74039"/>
    <w:rsid w:val="00A779B5"/>
    <w:rsid w:val="00A829C9"/>
    <w:rsid w:val="00A83A75"/>
    <w:rsid w:val="00A83BA9"/>
    <w:rsid w:val="00A84C9D"/>
    <w:rsid w:val="00A90E78"/>
    <w:rsid w:val="00A93DBA"/>
    <w:rsid w:val="00AA4388"/>
    <w:rsid w:val="00AA498E"/>
    <w:rsid w:val="00AB04B4"/>
    <w:rsid w:val="00AB103D"/>
    <w:rsid w:val="00AB13A5"/>
    <w:rsid w:val="00AB1471"/>
    <w:rsid w:val="00AB4876"/>
    <w:rsid w:val="00AB55CE"/>
    <w:rsid w:val="00AB668D"/>
    <w:rsid w:val="00AB68FD"/>
    <w:rsid w:val="00AC1281"/>
    <w:rsid w:val="00AC2861"/>
    <w:rsid w:val="00AC37B3"/>
    <w:rsid w:val="00AD0A02"/>
    <w:rsid w:val="00AD1C06"/>
    <w:rsid w:val="00AD24D1"/>
    <w:rsid w:val="00AD6365"/>
    <w:rsid w:val="00AD689C"/>
    <w:rsid w:val="00AD7B87"/>
    <w:rsid w:val="00AE05D0"/>
    <w:rsid w:val="00AE199E"/>
    <w:rsid w:val="00AE1DA8"/>
    <w:rsid w:val="00AE33BF"/>
    <w:rsid w:val="00AE557B"/>
    <w:rsid w:val="00AE6DE0"/>
    <w:rsid w:val="00AE757F"/>
    <w:rsid w:val="00AF0AB7"/>
    <w:rsid w:val="00AF1038"/>
    <w:rsid w:val="00AF1172"/>
    <w:rsid w:val="00AF2D63"/>
    <w:rsid w:val="00AF36AC"/>
    <w:rsid w:val="00AF3ACA"/>
    <w:rsid w:val="00AF4444"/>
    <w:rsid w:val="00B01063"/>
    <w:rsid w:val="00B01786"/>
    <w:rsid w:val="00B02FA5"/>
    <w:rsid w:val="00B052DF"/>
    <w:rsid w:val="00B055CC"/>
    <w:rsid w:val="00B07862"/>
    <w:rsid w:val="00B07938"/>
    <w:rsid w:val="00B115B0"/>
    <w:rsid w:val="00B137F6"/>
    <w:rsid w:val="00B1774E"/>
    <w:rsid w:val="00B20777"/>
    <w:rsid w:val="00B2169F"/>
    <w:rsid w:val="00B22828"/>
    <w:rsid w:val="00B22DC4"/>
    <w:rsid w:val="00B23C8E"/>
    <w:rsid w:val="00B2673B"/>
    <w:rsid w:val="00B3212B"/>
    <w:rsid w:val="00B34178"/>
    <w:rsid w:val="00B34E7E"/>
    <w:rsid w:val="00B420F9"/>
    <w:rsid w:val="00B431CE"/>
    <w:rsid w:val="00B43E29"/>
    <w:rsid w:val="00B46379"/>
    <w:rsid w:val="00B469FA"/>
    <w:rsid w:val="00B47019"/>
    <w:rsid w:val="00B47AC9"/>
    <w:rsid w:val="00B50BA1"/>
    <w:rsid w:val="00B523AC"/>
    <w:rsid w:val="00B567EE"/>
    <w:rsid w:val="00B601B0"/>
    <w:rsid w:val="00B60ECA"/>
    <w:rsid w:val="00B61FF4"/>
    <w:rsid w:val="00B62A07"/>
    <w:rsid w:val="00B64054"/>
    <w:rsid w:val="00B647EC"/>
    <w:rsid w:val="00B64A55"/>
    <w:rsid w:val="00B64F5B"/>
    <w:rsid w:val="00B66F29"/>
    <w:rsid w:val="00B67078"/>
    <w:rsid w:val="00B712A7"/>
    <w:rsid w:val="00B72C20"/>
    <w:rsid w:val="00B72DF9"/>
    <w:rsid w:val="00B736FB"/>
    <w:rsid w:val="00B75AE5"/>
    <w:rsid w:val="00B76F3C"/>
    <w:rsid w:val="00B85DD0"/>
    <w:rsid w:val="00B86776"/>
    <w:rsid w:val="00B90D5C"/>
    <w:rsid w:val="00B96B99"/>
    <w:rsid w:val="00B97CE3"/>
    <w:rsid w:val="00BA1168"/>
    <w:rsid w:val="00BA30A7"/>
    <w:rsid w:val="00BB2557"/>
    <w:rsid w:val="00BB2E56"/>
    <w:rsid w:val="00BB6C87"/>
    <w:rsid w:val="00BC2231"/>
    <w:rsid w:val="00BC2443"/>
    <w:rsid w:val="00BC456E"/>
    <w:rsid w:val="00BC66A5"/>
    <w:rsid w:val="00BC7768"/>
    <w:rsid w:val="00BC77CE"/>
    <w:rsid w:val="00BD093D"/>
    <w:rsid w:val="00BD5D87"/>
    <w:rsid w:val="00BD6C69"/>
    <w:rsid w:val="00BE198F"/>
    <w:rsid w:val="00BE7663"/>
    <w:rsid w:val="00BF04B2"/>
    <w:rsid w:val="00BF6D0E"/>
    <w:rsid w:val="00C05621"/>
    <w:rsid w:val="00C05680"/>
    <w:rsid w:val="00C05777"/>
    <w:rsid w:val="00C06141"/>
    <w:rsid w:val="00C06A91"/>
    <w:rsid w:val="00C07526"/>
    <w:rsid w:val="00C07DA5"/>
    <w:rsid w:val="00C07F0A"/>
    <w:rsid w:val="00C07F87"/>
    <w:rsid w:val="00C14A04"/>
    <w:rsid w:val="00C1745C"/>
    <w:rsid w:val="00C209AD"/>
    <w:rsid w:val="00C214D3"/>
    <w:rsid w:val="00C21D2C"/>
    <w:rsid w:val="00C22C74"/>
    <w:rsid w:val="00C27E00"/>
    <w:rsid w:val="00C3025D"/>
    <w:rsid w:val="00C3171E"/>
    <w:rsid w:val="00C3313C"/>
    <w:rsid w:val="00C35C40"/>
    <w:rsid w:val="00C40CD1"/>
    <w:rsid w:val="00C40CF2"/>
    <w:rsid w:val="00C4110C"/>
    <w:rsid w:val="00C43863"/>
    <w:rsid w:val="00C43F8E"/>
    <w:rsid w:val="00C4567E"/>
    <w:rsid w:val="00C45ECA"/>
    <w:rsid w:val="00C469FE"/>
    <w:rsid w:val="00C50E08"/>
    <w:rsid w:val="00C5377E"/>
    <w:rsid w:val="00C66F34"/>
    <w:rsid w:val="00C73636"/>
    <w:rsid w:val="00C742FE"/>
    <w:rsid w:val="00C74C8A"/>
    <w:rsid w:val="00C767CA"/>
    <w:rsid w:val="00C81C64"/>
    <w:rsid w:val="00C83693"/>
    <w:rsid w:val="00C8378A"/>
    <w:rsid w:val="00C85397"/>
    <w:rsid w:val="00C8680A"/>
    <w:rsid w:val="00C92AAF"/>
    <w:rsid w:val="00C948FC"/>
    <w:rsid w:val="00CA1F13"/>
    <w:rsid w:val="00CA25FB"/>
    <w:rsid w:val="00CA44DC"/>
    <w:rsid w:val="00CB053A"/>
    <w:rsid w:val="00CB0F83"/>
    <w:rsid w:val="00CB35CE"/>
    <w:rsid w:val="00CB4ADA"/>
    <w:rsid w:val="00CB7CAF"/>
    <w:rsid w:val="00CB7DC3"/>
    <w:rsid w:val="00CC2D8E"/>
    <w:rsid w:val="00CC335E"/>
    <w:rsid w:val="00CC3745"/>
    <w:rsid w:val="00CD3515"/>
    <w:rsid w:val="00CD560E"/>
    <w:rsid w:val="00CD76DF"/>
    <w:rsid w:val="00CF1CCA"/>
    <w:rsid w:val="00CF22B4"/>
    <w:rsid w:val="00CF2840"/>
    <w:rsid w:val="00CF3B8F"/>
    <w:rsid w:val="00CF4E7F"/>
    <w:rsid w:val="00CF52FD"/>
    <w:rsid w:val="00CF6374"/>
    <w:rsid w:val="00CF77EC"/>
    <w:rsid w:val="00D00D33"/>
    <w:rsid w:val="00D10DED"/>
    <w:rsid w:val="00D114EC"/>
    <w:rsid w:val="00D13B3E"/>
    <w:rsid w:val="00D23072"/>
    <w:rsid w:val="00D24AA9"/>
    <w:rsid w:val="00D27F26"/>
    <w:rsid w:val="00D311E9"/>
    <w:rsid w:val="00D324F5"/>
    <w:rsid w:val="00D3628B"/>
    <w:rsid w:val="00D36A24"/>
    <w:rsid w:val="00D455BB"/>
    <w:rsid w:val="00D465F5"/>
    <w:rsid w:val="00D513EB"/>
    <w:rsid w:val="00D5200A"/>
    <w:rsid w:val="00D52AC4"/>
    <w:rsid w:val="00D542F1"/>
    <w:rsid w:val="00D573FB"/>
    <w:rsid w:val="00D57489"/>
    <w:rsid w:val="00D631F5"/>
    <w:rsid w:val="00D659CE"/>
    <w:rsid w:val="00D7019F"/>
    <w:rsid w:val="00D7157B"/>
    <w:rsid w:val="00D72454"/>
    <w:rsid w:val="00D72A16"/>
    <w:rsid w:val="00D73D85"/>
    <w:rsid w:val="00D757B5"/>
    <w:rsid w:val="00D76015"/>
    <w:rsid w:val="00D8062E"/>
    <w:rsid w:val="00D80A26"/>
    <w:rsid w:val="00D90F16"/>
    <w:rsid w:val="00D91435"/>
    <w:rsid w:val="00D9180E"/>
    <w:rsid w:val="00D9340C"/>
    <w:rsid w:val="00D95886"/>
    <w:rsid w:val="00D97012"/>
    <w:rsid w:val="00DA456F"/>
    <w:rsid w:val="00DA4B3D"/>
    <w:rsid w:val="00DA7500"/>
    <w:rsid w:val="00DB1999"/>
    <w:rsid w:val="00DB56CF"/>
    <w:rsid w:val="00DB56DB"/>
    <w:rsid w:val="00DB58E7"/>
    <w:rsid w:val="00DB7F89"/>
    <w:rsid w:val="00DC31F6"/>
    <w:rsid w:val="00DC5485"/>
    <w:rsid w:val="00DD1486"/>
    <w:rsid w:val="00DD314C"/>
    <w:rsid w:val="00DD37CC"/>
    <w:rsid w:val="00DE3480"/>
    <w:rsid w:val="00DE55C4"/>
    <w:rsid w:val="00DE5C0A"/>
    <w:rsid w:val="00DF05A5"/>
    <w:rsid w:val="00DF1332"/>
    <w:rsid w:val="00DF41C5"/>
    <w:rsid w:val="00DF61EE"/>
    <w:rsid w:val="00DF70B2"/>
    <w:rsid w:val="00DF734D"/>
    <w:rsid w:val="00E0111B"/>
    <w:rsid w:val="00E01F1F"/>
    <w:rsid w:val="00E01F85"/>
    <w:rsid w:val="00E03BB5"/>
    <w:rsid w:val="00E06819"/>
    <w:rsid w:val="00E06EFE"/>
    <w:rsid w:val="00E138C3"/>
    <w:rsid w:val="00E15076"/>
    <w:rsid w:val="00E15238"/>
    <w:rsid w:val="00E167FD"/>
    <w:rsid w:val="00E21886"/>
    <w:rsid w:val="00E263D9"/>
    <w:rsid w:val="00E27C71"/>
    <w:rsid w:val="00E32EE2"/>
    <w:rsid w:val="00E3316A"/>
    <w:rsid w:val="00E35F7A"/>
    <w:rsid w:val="00E369C2"/>
    <w:rsid w:val="00E37564"/>
    <w:rsid w:val="00E405BC"/>
    <w:rsid w:val="00E40974"/>
    <w:rsid w:val="00E427D5"/>
    <w:rsid w:val="00E42D10"/>
    <w:rsid w:val="00E4416D"/>
    <w:rsid w:val="00E513E8"/>
    <w:rsid w:val="00E527A8"/>
    <w:rsid w:val="00E53A2B"/>
    <w:rsid w:val="00E53C55"/>
    <w:rsid w:val="00E54E77"/>
    <w:rsid w:val="00E559FE"/>
    <w:rsid w:val="00E562CD"/>
    <w:rsid w:val="00E61664"/>
    <w:rsid w:val="00E63EBE"/>
    <w:rsid w:val="00E65019"/>
    <w:rsid w:val="00E678CA"/>
    <w:rsid w:val="00E7113E"/>
    <w:rsid w:val="00E71CD0"/>
    <w:rsid w:val="00E71D2C"/>
    <w:rsid w:val="00E72001"/>
    <w:rsid w:val="00E727B6"/>
    <w:rsid w:val="00E73650"/>
    <w:rsid w:val="00E73F67"/>
    <w:rsid w:val="00E746D1"/>
    <w:rsid w:val="00E8341A"/>
    <w:rsid w:val="00E83EE8"/>
    <w:rsid w:val="00E852FE"/>
    <w:rsid w:val="00E855AA"/>
    <w:rsid w:val="00E8585C"/>
    <w:rsid w:val="00E86DAE"/>
    <w:rsid w:val="00E95A18"/>
    <w:rsid w:val="00E96A39"/>
    <w:rsid w:val="00EA0F0C"/>
    <w:rsid w:val="00EA146E"/>
    <w:rsid w:val="00EA206A"/>
    <w:rsid w:val="00EA2D5E"/>
    <w:rsid w:val="00EA3925"/>
    <w:rsid w:val="00EA43B7"/>
    <w:rsid w:val="00EA5F23"/>
    <w:rsid w:val="00EA6B27"/>
    <w:rsid w:val="00EB07B1"/>
    <w:rsid w:val="00EB3090"/>
    <w:rsid w:val="00EB356D"/>
    <w:rsid w:val="00EB3A91"/>
    <w:rsid w:val="00EB4A4B"/>
    <w:rsid w:val="00EC0EFD"/>
    <w:rsid w:val="00EC152A"/>
    <w:rsid w:val="00EC4656"/>
    <w:rsid w:val="00ED0985"/>
    <w:rsid w:val="00ED4C11"/>
    <w:rsid w:val="00ED596E"/>
    <w:rsid w:val="00ED629E"/>
    <w:rsid w:val="00EE110B"/>
    <w:rsid w:val="00EE209C"/>
    <w:rsid w:val="00EE284A"/>
    <w:rsid w:val="00EE6FAF"/>
    <w:rsid w:val="00EE73D2"/>
    <w:rsid w:val="00EF1FB0"/>
    <w:rsid w:val="00EF4154"/>
    <w:rsid w:val="00EF4BF1"/>
    <w:rsid w:val="00EF6408"/>
    <w:rsid w:val="00F0022C"/>
    <w:rsid w:val="00F01BA2"/>
    <w:rsid w:val="00F02707"/>
    <w:rsid w:val="00F02A9A"/>
    <w:rsid w:val="00F02D50"/>
    <w:rsid w:val="00F11A57"/>
    <w:rsid w:val="00F11B14"/>
    <w:rsid w:val="00F11BCF"/>
    <w:rsid w:val="00F151FC"/>
    <w:rsid w:val="00F17E52"/>
    <w:rsid w:val="00F212DA"/>
    <w:rsid w:val="00F2179C"/>
    <w:rsid w:val="00F25F66"/>
    <w:rsid w:val="00F26495"/>
    <w:rsid w:val="00F3117C"/>
    <w:rsid w:val="00F34068"/>
    <w:rsid w:val="00F350F8"/>
    <w:rsid w:val="00F41A2D"/>
    <w:rsid w:val="00F4271D"/>
    <w:rsid w:val="00F4457A"/>
    <w:rsid w:val="00F54CB9"/>
    <w:rsid w:val="00F54D9C"/>
    <w:rsid w:val="00F557A0"/>
    <w:rsid w:val="00F567BA"/>
    <w:rsid w:val="00F62AD3"/>
    <w:rsid w:val="00F64A1F"/>
    <w:rsid w:val="00F65CE0"/>
    <w:rsid w:val="00F65E76"/>
    <w:rsid w:val="00F67FAA"/>
    <w:rsid w:val="00F718F9"/>
    <w:rsid w:val="00F72D90"/>
    <w:rsid w:val="00F76100"/>
    <w:rsid w:val="00F7649B"/>
    <w:rsid w:val="00F8348C"/>
    <w:rsid w:val="00F84B25"/>
    <w:rsid w:val="00F90DA1"/>
    <w:rsid w:val="00F91448"/>
    <w:rsid w:val="00F921E2"/>
    <w:rsid w:val="00F930B4"/>
    <w:rsid w:val="00F94BF9"/>
    <w:rsid w:val="00FA3F4E"/>
    <w:rsid w:val="00FA64E4"/>
    <w:rsid w:val="00FA76F3"/>
    <w:rsid w:val="00FB3025"/>
    <w:rsid w:val="00FB6475"/>
    <w:rsid w:val="00FB68B3"/>
    <w:rsid w:val="00FC05DB"/>
    <w:rsid w:val="00FC19EB"/>
    <w:rsid w:val="00FC492C"/>
    <w:rsid w:val="00FD06C5"/>
    <w:rsid w:val="00FD284E"/>
    <w:rsid w:val="00FD371A"/>
    <w:rsid w:val="00FD659E"/>
    <w:rsid w:val="00FE0ED8"/>
    <w:rsid w:val="00FE1346"/>
    <w:rsid w:val="00FE207A"/>
    <w:rsid w:val="00FE2919"/>
    <w:rsid w:val="00FE2F83"/>
    <w:rsid w:val="00FE333F"/>
    <w:rsid w:val="00FE5703"/>
    <w:rsid w:val="00FE5FA5"/>
    <w:rsid w:val="00FE70C4"/>
    <w:rsid w:val="00FF0980"/>
    <w:rsid w:val="00FF7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161C"/>
  <w15:chartTrackingRefBased/>
  <w15:docId w15:val="{88F67826-CCEC-45E2-9ABF-29D3187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5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56E"/>
    <w:pPr>
      <w:ind w:left="720"/>
      <w:contextualSpacing/>
    </w:pPr>
  </w:style>
  <w:style w:type="paragraph" w:styleId="BalloonText">
    <w:name w:val="Balloon Text"/>
    <w:basedOn w:val="Normal"/>
    <w:link w:val="BalloonTextChar"/>
    <w:uiPriority w:val="99"/>
    <w:semiHidden/>
    <w:unhideWhenUsed/>
    <w:rsid w:val="00BD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87"/>
    <w:rPr>
      <w:rFonts w:ascii="Segoe UI" w:hAnsi="Segoe UI" w:cs="Segoe UI"/>
      <w:sz w:val="18"/>
      <w:szCs w:val="18"/>
    </w:rPr>
  </w:style>
  <w:style w:type="paragraph" w:styleId="FootnoteText">
    <w:name w:val="footnote text"/>
    <w:basedOn w:val="Normal"/>
    <w:link w:val="FootnoteTextChar"/>
    <w:uiPriority w:val="99"/>
    <w:semiHidden/>
    <w:unhideWhenUsed/>
    <w:rsid w:val="00F54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B9"/>
    <w:rPr>
      <w:rFonts w:asciiTheme="minorHAnsi" w:hAnsiTheme="minorHAnsi"/>
      <w:sz w:val="20"/>
      <w:szCs w:val="20"/>
    </w:rPr>
  </w:style>
  <w:style w:type="character" w:styleId="FootnoteReference">
    <w:name w:val="footnote reference"/>
    <w:rsid w:val="00F54CB9"/>
    <w:rPr>
      <w:rFonts w:cs="Times New Roman"/>
      <w:vertAlign w:val="superscript"/>
    </w:rPr>
  </w:style>
  <w:style w:type="character" w:styleId="Hyperlink">
    <w:name w:val="Hyperlink"/>
    <w:basedOn w:val="DefaultParagraphFont"/>
    <w:uiPriority w:val="99"/>
    <w:unhideWhenUsed/>
    <w:rsid w:val="00C92AAF"/>
    <w:rPr>
      <w:color w:val="0563C1" w:themeColor="hyperlink"/>
      <w:u w:val="single"/>
    </w:rPr>
  </w:style>
  <w:style w:type="character" w:styleId="CommentReference">
    <w:name w:val="annotation reference"/>
    <w:basedOn w:val="DefaultParagraphFont"/>
    <w:uiPriority w:val="99"/>
    <w:semiHidden/>
    <w:unhideWhenUsed/>
    <w:rsid w:val="000F100D"/>
    <w:rPr>
      <w:sz w:val="16"/>
      <w:szCs w:val="16"/>
    </w:rPr>
  </w:style>
  <w:style w:type="paragraph" w:styleId="CommentText">
    <w:name w:val="annotation text"/>
    <w:basedOn w:val="Normal"/>
    <w:link w:val="CommentTextChar"/>
    <w:semiHidden/>
    <w:unhideWhenUsed/>
    <w:rsid w:val="000F100D"/>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0F100D"/>
    <w:rPr>
      <w:rFonts w:eastAsia="Calibri" w:cs="Times New Roman"/>
      <w:sz w:val="20"/>
      <w:szCs w:val="20"/>
    </w:rPr>
  </w:style>
  <w:style w:type="paragraph" w:styleId="Header">
    <w:name w:val="header"/>
    <w:basedOn w:val="Normal"/>
    <w:link w:val="HeaderChar"/>
    <w:uiPriority w:val="99"/>
    <w:unhideWhenUsed/>
    <w:rsid w:val="00090D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D02"/>
    <w:rPr>
      <w:rFonts w:asciiTheme="minorHAnsi" w:hAnsiTheme="minorHAnsi"/>
      <w:sz w:val="22"/>
    </w:rPr>
  </w:style>
  <w:style w:type="paragraph" w:styleId="Footer">
    <w:name w:val="footer"/>
    <w:basedOn w:val="Normal"/>
    <w:link w:val="FooterChar"/>
    <w:uiPriority w:val="99"/>
    <w:unhideWhenUsed/>
    <w:rsid w:val="00090D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D02"/>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623F3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3F3B"/>
    <w:rPr>
      <w:rFonts w:asciiTheme="minorHAnsi" w:eastAsia="Calibri"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0053">
      <w:bodyDiv w:val="1"/>
      <w:marLeft w:val="0"/>
      <w:marRight w:val="0"/>
      <w:marTop w:val="0"/>
      <w:marBottom w:val="0"/>
      <w:divBdr>
        <w:top w:val="none" w:sz="0" w:space="0" w:color="auto"/>
        <w:left w:val="none" w:sz="0" w:space="0" w:color="auto"/>
        <w:bottom w:val="none" w:sz="0" w:space="0" w:color="auto"/>
        <w:right w:val="none" w:sz="0" w:space="0" w:color="auto"/>
      </w:divBdr>
    </w:div>
    <w:div w:id="686903837">
      <w:bodyDiv w:val="1"/>
      <w:marLeft w:val="0"/>
      <w:marRight w:val="0"/>
      <w:marTop w:val="0"/>
      <w:marBottom w:val="0"/>
      <w:divBdr>
        <w:top w:val="none" w:sz="0" w:space="0" w:color="auto"/>
        <w:left w:val="none" w:sz="0" w:space="0" w:color="auto"/>
        <w:bottom w:val="none" w:sz="0" w:space="0" w:color="auto"/>
        <w:right w:val="none" w:sz="0" w:space="0" w:color="auto"/>
      </w:divBdr>
    </w:div>
    <w:div w:id="1450856278">
      <w:bodyDiv w:val="1"/>
      <w:marLeft w:val="0"/>
      <w:marRight w:val="0"/>
      <w:marTop w:val="0"/>
      <w:marBottom w:val="0"/>
      <w:divBdr>
        <w:top w:val="none" w:sz="0" w:space="0" w:color="auto"/>
        <w:left w:val="none" w:sz="0" w:space="0" w:color="auto"/>
        <w:bottom w:val="none" w:sz="0" w:space="0" w:color="auto"/>
        <w:right w:val="none" w:sz="0" w:space="0" w:color="auto"/>
      </w:divBdr>
    </w:div>
    <w:div w:id="16184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1FE6-D0B4-4AD6-8E6A-A91DD0E8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6277</Words>
  <Characters>3579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Informatīvā ziņojuma "Par Latvijas interesēm Eiropas Savienības Vienotā un Digitālā  vienotā tirgus jomā un saistīto pasākumu izpildi" pielikums</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Latvijas interesēm Eiropas Savienības Vienotā un Digitālā  vienotā tirgus jomā un saistīto pasākumu izpildi" pielikums</dc:title>
  <dc:subject/>
  <dc:creator>Reinis Bērziņš</dc:creator>
  <cp:keywords/>
  <dc:description/>
  <cp:lastModifiedBy>Reinis Bērziņš</cp:lastModifiedBy>
  <cp:revision>71</cp:revision>
  <dcterms:created xsi:type="dcterms:W3CDTF">2016-10-28T10:47:00Z</dcterms:created>
  <dcterms:modified xsi:type="dcterms:W3CDTF">2016-12-07T07:51:00Z</dcterms:modified>
</cp:coreProperties>
</file>