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63" w:rsidRDefault="007402C2" w:rsidP="00807B63">
      <w:pPr>
        <w:spacing w:after="0"/>
        <w:jc w:val="center"/>
        <w:rPr>
          <w:b/>
          <w:szCs w:val="28"/>
        </w:rPr>
      </w:pPr>
      <w:bookmarkStart w:id="0" w:name="OLE_LINK1"/>
      <w:bookmarkStart w:id="1" w:name="OLE_LINK2"/>
      <w:r w:rsidRPr="007F3DFB">
        <w:rPr>
          <w:b/>
          <w:szCs w:val="28"/>
        </w:rPr>
        <w:t xml:space="preserve">Ministru kabineta noteikumu projekta </w:t>
      </w:r>
      <w:bookmarkEnd w:id="0"/>
      <w:bookmarkEnd w:id="1"/>
    </w:p>
    <w:p w:rsidR="007402C2" w:rsidRPr="007F3DFB" w:rsidRDefault="00807B63" w:rsidP="00513F9D">
      <w:pPr>
        <w:jc w:val="center"/>
        <w:rPr>
          <w:b/>
          <w:szCs w:val="28"/>
        </w:rPr>
      </w:pPr>
      <w:r w:rsidRPr="00807B63">
        <w:rPr>
          <w:b/>
          <w:szCs w:val="28"/>
        </w:rPr>
        <w:t xml:space="preserve">„ </w:t>
      </w:r>
      <w:r w:rsidR="000B1AAD" w:rsidRPr="000B1AAD">
        <w:rPr>
          <w:b/>
          <w:szCs w:val="28"/>
        </w:rPr>
        <w:t>Administratīvo teritoriju un teritoriālo vienību klasifikator</w:t>
      </w:r>
      <w:r w:rsidR="00064A32">
        <w:rPr>
          <w:b/>
          <w:szCs w:val="28"/>
        </w:rPr>
        <w:t>a noteikumi</w:t>
      </w:r>
      <w:r w:rsidRPr="00807B63">
        <w:rPr>
          <w:b/>
          <w:szCs w:val="28"/>
        </w:rPr>
        <w:t>” sākotnējās ietekmes novērtējuma ziņojums (anotācija)</w:t>
      </w:r>
    </w:p>
    <w:tbl>
      <w:tblPr>
        <w:tblW w:w="9274" w:type="dxa"/>
        <w:tblCellSpacing w:w="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"/>
        <w:gridCol w:w="9"/>
        <w:gridCol w:w="585"/>
        <w:gridCol w:w="2714"/>
        <w:gridCol w:w="5952"/>
      </w:tblGrid>
      <w:tr w:rsidR="007F3DFB" w:rsidRPr="007F3DFB" w:rsidTr="00F27031">
        <w:trPr>
          <w:gridBefore w:val="2"/>
          <w:wBefore w:w="14" w:type="dxa"/>
          <w:tblCellSpacing w:w="0" w:type="dxa"/>
        </w:trPr>
        <w:tc>
          <w:tcPr>
            <w:tcW w:w="9260" w:type="dxa"/>
            <w:gridSpan w:val="4"/>
            <w:vAlign w:val="center"/>
          </w:tcPr>
          <w:p w:rsidR="00050288" w:rsidRPr="007F3DFB" w:rsidRDefault="00050288" w:rsidP="00FC59F3">
            <w:pPr>
              <w:spacing w:before="60" w:after="60" w:line="240" w:lineRule="auto"/>
              <w:ind w:left="720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7F3DFB" w:rsidRPr="007F3DFB" w:rsidTr="00F27031">
        <w:trPr>
          <w:gridBefore w:val="2"/>
          <w:wBefore w:w="14" w:type="dxa"/>
          <w:tblCellSpacing w:w="0" w:type="dxa"/>
        </w:trPr>
        <w:tc>
          <w:tcPr>
            <w:tcW w:w="594" w:type="dxa"/>
            <w:gridSpan w:val="2"/>
          </w:tcPr>
          <w:p w:rsidR="00B60333" w:rsidRPr="007F3DFB" w:rsidRDefault="009C31DB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B60333" w:rsidRPr="007F3DFB">
              <w:rPr>
                <w:szCs w:val="28"/>
              </w:rPr>
              <w:t>1. </w:t>
            </w:r>
          </w:p>
        </w:tc>
        <w:tc>
          <w:tcPr>
            <w:tcW w:w="2714" w:type="dxa"/>
          </w:tcPr>
          <w:p w:rsidR="00B60333" w:rsidRPr="007F3DFB" w:rsidRDefault="00B60333" w:rsidP="00424590">
            <w:pPr>
              <w:spacing w:before="60" w:after="60"/>
              <w:rPr>
                <w:szCs w:val="28"/>
              </w:rPr>
            </w:pPr>
            <w:r w:rsidRPr="007F3DFB">
              <w:rPr>
                <w:szCs w:val="28"/>
              </w:rPr>
              <w:t> Pamatojums</w:t>
            </w:r>
          </w:p>
        </w:tc>
        <w:tc>
          <w:tcPr>
            <w:tcW w:w="5952" w:type="dxa"/>
          </w:tcPr>
          <w:p w:rsidR="00513F9D" w:rsidRPr="007F3DFB" w:rsidRDefault="00474EB9" w:rsidP="002A0317">
            <w:pPr>
              <w:pStyle w:val="Header"/>
              <w:tabs>
                <w:tab w:val="clear" w:pos="4153"/>
                <w:tab w:val="clear" w:pos="8306"/>
              </w:tabs>
              <w:spacing w:before="60" w:after="120"/>
              <w:ind w:right="127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807B63" w:rsidRPr="00807B63">
              <w:rPr>
                <w:szCs w:val="28"/>
              </w:rPr>
              <w:t>Ministru kabineta noteikumu projekts „</w:t>
            </w:r>
            <w:r w:rsidR="000B1AAD" w:rsidRPr="000B1AAD">
              <w:rPr>
                <w:szCs w:val="28"/>
              </w:rPr>
              <w:t>Administratīvo teritoriju un teritoriālo vienību klasifikator</w:t>
            </w:r>
            <w:r w:rsidR="00064A32">
              <w:rPr>
                <w:szCs w:val="28"/>
              </w:rPr>
              <w:t>a noteikumi</w:t>
            </w:r>
            <w:r w:rsidR="00807B63" w:rsidRPr="00807B63">
              <w:rPr>
                <w:szCs w:val="28"/>
              </w:rPr>
              <w:t>” (turpmāk – noteikumu projekts) ir sagatavots, izpildot Statistikas likuma 21.panta</w:t>
            </w:r>
            <w:r w:rsidR="00941A86">
              <w:rPr>
                <w:szCs w:val="28"/>
              </w:rPr>
              <w:t xml:space="preserve"> </w:t>
            </w:r>
            <w:r w:rsidR="0018618D">
              <w:rPr>
                <w:szCs w:val="28"/>
              </w:rPr>
              <w:t>1</w:t>
            </w:r>
            <w:r w:rsidR="00941A86">
              <w:rPr>
                <w:szCs w:val="28"/>
              </w:rPr>
              <w:t>.punkta</w:t>
            </w:r>
            <w:r w:rsidR="00807B63" w:rsidRPr="00807B63">
              <w:rPr>
                <w:szCs w:val="28"/>
              </w:rPr>
              <w:t xml:space="preserve"> prasības, kas paredz, ka Ministru kabinets </w:t>
            </w:r>
            <w:r w:rsidR="000B1AAD" w:rsidRPr="000B1AAD">
              <w:rPr>
                <w:szCs w:val="28"/>
              </w:rPr>
              <w:t>nosaka nacionālās statistiskās klasifikācijas</w:t>
            </w:r>
            <w:r w:rsidR="00807B63" w:rsidRPr="00807B63">
              <w:rPr>
                <w:szCs w:val="28"/>
              </w:rPr>
              <w:t>.</w:t>
            </w:r>
          </w:p>
        </w:tc>
      </w:tr>
      <w:tr w:rsidR="007F3DFB" w:rsidRPr="007F3DFB" w:rsidTr="00F27031">
        <w:trPr>
          <w:gridBefore w:val="2"/>
          <w:wBefore w:w="14" w:type="dxa"/>
          <w:trHeight w:val="809"/>
          <w:tblCellSpacing w:w="0" w:type="dxa"/>
        </w:trPr>
        <w:tc>
          <w:tcPr>
            <w:tcW w:w="594" w:type="dxa"/>
            <w:gridSpan w:val="2"/>
          </w:tcPr>
          <w:p w:rsidR="00B60333" w:rsidRPr="007F3DFB" w:rsidRDefault="00B60333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2.</w:t>
            </w:r>
            <w:r w:rsidR="008855D4" w:rsidRPr="007F3DFB">
              <w:rPr>
                <w:szCs w:val="28"/>
              </w:rPr>
              <w:t> </w:t>
            </w:r>
          </w:p>
        </w:tc>
        <w:tc>
          <w:tcPr>
            <w:tcW w:w="2714" w:type="dxa"/>
          </w:tcPr>
          <w:p w:rsidR="00B60333" w:rsidRPr="007F3DFB" w:rsidRDefault="00474EB9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760B3F" w:rsidRPr="007F3DFB">
              <w:rPr>
                <w:szCs w:val="28"/>
              </w:rPr>
              <w:t>Pašreizējā</w:t>
            </w:r>
            <w:r w:rsidR="00B60333" w:rsidRPr="007F3DFB">
              <w:rPr>
                <w:szCs w:val="28"/>
              </w:rPr>
              <w:t xml:space="preserve"> situācija un problēmas</w:t>
            </w:r>
            <w:r w:rsidR="00D84445" w:rsidRPr="007F3DFB">
              <w:rPr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5952" w:type="dxa"/>
          </w:tcPr>
          <w:p w:rsidR="00513F9D" w:rsidRDefault="00474EB9" w:rsidP="002A0317">
            <w:pPr>
              <w:spacing w:before="60" w:after="60" w:line="240" w:lineRule="auto"/>
              <w:ind w:right="127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807B63" w:rsidRPr="00807B63">
              <w:rPr>
                <w:szCs w:val="28"/>
              </w:rPr>
              <w:t xml:space="preserve">Saskaņā ar Statistikas likuma pārejas noteikumu 2.punktu noteikumu projekts aizstās Ministru kabineta </w:t>
            </w:r>
            <w:r w:rsidR="000B1AAD" w:rsidRPr="000B1AAD">
              <w:rPr>
                <w:szCs w:val="28"/>
              </w:rPr>
              <w:t>2010.gada 30.marta noteikum</w:t>
            </w:r>
            <w:r w:rsidR="000B1AAD">
              <w:rPr>
                <w:szCs w:val="28"/>
              </w:rPr>
              <w:t>us</w:t>
            </w:r>
            <w:r w:rsidR="000B1AAD" w:rsidRPr="000B1AAD">
              <w:rPr>
                <w:szCs w:val="28"/>
              </w:rPr>
              <w:t xml:space="preserve"> Nr.315 </w:t>
            </w:r>
            <w:r w:rsidR="009A46AE" w:rsidRPr="009A46AE">
              <w:t>„</w:t>
            </w:r>
            <w:r w:rsidR="000B1AAD" w:rsidRPr="000B1AAD">
              <w:rPr>
                <w:szCs w:val="28"/>
              </w:rPr>
              <w:t>Noteikumi par Administratīvo teritoriju un teritoriālo vienību klasifikatoru</w:t>
            </w:r>
            <w:r w:rsidR="00361477" w:rsidRPr="0018618D">
              <w:rPr>
                <w:color w:val="000000"/>
                <w:szCs w:val="28"/>
                <w:lang w:eastAsia="lv-LV"/>
              </w:rPr>
              <w:t>”</w:t>
            </w:r>
            <w:r w:rsidR="00807B63" w:rsidRPr="00807B63">
              <w:rPr>
                <w:szCs w:val="28"/>
              </w:rPr>
              <w:t>.</w:t>
            </w:r>
          </w:p>
          <w:p w:rsidR="003945AD" w:rsidRDefault="00EB2603" w:rsidP="002A0317">
            <w:pPr>
              <w:spacing w:before="60" w:after="60" w:line="240" w:lineRule="auto"/>
              <w:ind w:right="127"/>
              <w:jc w:val="both"/>
            </w:pPr>
            <w:r>
              <w:t xml:space="preserve"> </w:t>
            </w:r>
            <w:r w:rsidR="0018618D" w:rsidRPr="0018618D">
              <w:t>Noteikum</w:t>
            </w:r>
            <w:r w:rsidR="0018618D">
              <w:t>u projekts</w:t>
            </w:r>
            <w:r w:rsidR="0018618D" w:rsidRPr="0018618D">
              <w:t xml:space="preserve"> nosaka nacionālo statistisko klasifikāciju </w:t>
            </w:r>
            <w:r w:rsidR="009A46AE" w:rsidRPr="009A46AE">
              <w:t>„</w:t>
            </w:r>
            <w:r w:rsidR="0018618D" w:rsidRPr="0018618D">
              <w:t>Administratīvo teritoriju un teritoriālo vienību klasifikators</w:t>
            </w:r>
            <w:r w:rsidR="00361477" w:rsidRPr="0018618D">
              <w:rPr>
                <w:color w:val="000000"/>
                <w:szCs w:val="28"/>
                <w:lang w:eastAsia="lv-LV"/>
              </w:rPr>
              <w:t>”</w:t>
            </w:r>
            <w:r w:rsidR="0018618D" w:rsidRPr="0018618D">
              <w:t xml:space="preserve"> (turpmāk – klasifikators)</w:t>
            </w:r>
            <w:r w:rsidR="0018618D">
              <w:t xml:space="preserve">. </w:t>
            </w:r>
          </w:p>
          <w:p w:rsidR="003945AD" w:rsidRDefault="0018618D" w:rsidP="002A03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60" w:line="240" w:lineRule="auto"/>
              <w:ind w:right="127"/>
              <w:jc w:val="both"/>
              <w:rPr>
                <w:szCs w:val="28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03360">
              <w:rPr>
                <w:szCs w:val="28"/>
              </w:rPr>
              <w:t>Noteikumu projekta</w:t>
            </w:r>
            <w:r w:rsidR="00807B63" w:rsidRPr="00807B63">
              <w:rPr>
                <w:szCs w:val="28"/>
              </w:rPr>
              <w:t xml:space="preserve"> izstrād</w:t>
            </w:r>
            <w:r w:rsidR="00E03360">
              <w:rPr>
                <w:szCs w:val="28"/>
              </w:rPr>
              <w:t>e</w:t>
            </w:r>
            <w:r w:rsidR="00807B63" w:rsidRPr="00807B63">
              <w:rPr>
                <w:szCs w:val="28"/>
              </w:rPr>
              <w:t>s</w:t>
            </w:r>
            <w:r w:rsidR="00E03360">
              <w:rPr>
                <w:szCs w:val="28"/>
              </w:rPr>
              <w:t xml:space="preserve"> mērķis ir</w:t>
            </w:r>
            <w:r w:rsidR="00807B63" w:rsidRPr="00807B63">
              <w:rPr>
                <w:szCs w:val="28"/>
              </w:rPr>
              <w:t xml:space="preserve"> </w:t>
            </w:r>
            <w:r w:rsidR="003945AD">
              <w:rPr>
                <w:szCs w:val="28"/>
              </w:rPr>
              <w:t>nodrošinā</w:t>
            </w:r>
            <w:r w:rsidR="00807B63" w:rsidRPr="00807B63">
              <w:rPr>
                <w:szCs w:val="28"/>
              </w:rPr>
              <w:t>t</w:t>
            </w:r>
            <w:r w:rsidR="00941A86">
              <w:rPr>
                <w:szCs w:val="28"/>
              </w:rPr>
              <w:t xml:space="preserve"> </w:t>
            </w:r>
            <w:r w:rsidR="003945AD" w:rsidRPr="003945AD">
              <w:rPr>
                <w:szCs w:val="28"/>
              </w:rPr>
              <w:t>vienotu administratīvo teritoriju un teritoriālo vienību kodēšanu valstī</w:t>
            </w:r>
            <w:r w:rsidR="003945AD">
              <w:rPr>
                <w:szCs w:val="28"/>
              </w:rPr>
              <w:t xml:space="preserve">. </w:t>
            </w:r>
          </w:p>
          <w:p w:rsidR="00D84445" w:rsidRPr="007F3DFB" w:rsidRDefault="003945AD" w:rsidP="002A0317">
            <w:pPr>
              <w:pStyle w:val="Default"/>
              <w:spacing w:before="60" w:after="60"/>
              <w:ind w:right="127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Noteikumu projekta pielikums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ietver 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Administratīvo teritoriju un apdzīvoto vietu likumā noteikt</w:t>
            </w:r>
            <w:r w:rsidR="004154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o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administratīv</w:t>
            </w:r>
            <w:r w:rsidR="004154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o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teritorij</w:t>
            </w:r>
            <w:r w:rsidR="004154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u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un tajās ietilpstoš</w:t>
            </w:r>
            <w:r w:rsidR="004154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o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teritoriālā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iedalījuma </w:t>
            </w:r>
            <w:r w:rsidRPr="003945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vienīb</w:t>
            </w:r>
            <w:r w:rsidR="004154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u kodus</w:t>
            </w:r>
            <w:r w:rsidR="00807B63" w:rsidRPr="00807B6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066D72">
              <w:rPr>
                <w:color w:val="auto"/>
                <w:sz w:val="28"/>
                <w:szCs w:val="28"/>
              </w:rPr>
              <w:tab/>
            </w:r>
            <w:r w:rsidR="00545330">
              <w:rPr>
                <w:szCs w:val="28"/>
              </w:rPr>
              <w:t xml:space="preserve"> </w:t>
            </w:r>
          </w:p>
        </w:tc>
      </w:tr>
      <w:tr w:rsidR="007F3DFB" w:rsidRPr="007F3DFB" w:rsidTr="00F27031">
        <w:trPr>
          <w:gridBefore w:val="2"/>
          <w:wBefore w:w="14" w:type="dxa"/>
          <w:tblCellSpacing w:w="0" w:type="dxa"/>
        </w:trPr>
        <w:tc>
          <w:tcPr>
            <w:tcW w:w="594" w:type="dxa"/>
            <w:gridSpan w:val="2"/>
          </w:tcPr>
          <w:p w:rsidR="00B60333" w:rsidRPr="007F3DFB" w:rsidRDefault="00C10287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B60333" w:rsidRPr="007F3DFB">
              <w:rPr>
                <w:szCs w:val="28"/>
              </w:rPr>
              <w:t>3. </w:t>
            </w:r>
          </w:p>
        </w:tc>
        <w:tc>
          <w:tcPr>
            <w:tcW w:w="2714" w:type="dxa"/>
          </w:tcPr>
          <w:p w:rsidR="00B60333" w:rsidRPr="007F3DFB" w:rsidRDefault="00474EB9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4E61B8" w:rsidRPr="007F3DFB">
              <w:rPr>
                <w:szCs w:val="28"/>
              </w:rPr>
              <w:t>Projekta izstrādē iesaistītās institūcijas</w:t>
            </w:r>
          </w:p>
        </w:tc>
        <w:tc>
          <w:tcPr>
            <w:tcW w:w="5952" w:type="dxa"/>
          </w:tcPr>
          <w:p w:rsidR="00B60333" w:rsidRPr="007F3DFB" w:rsidRDefault="00474EB9" w:rsidP="00D40ED3">
            <w:pPr>
              <w:spacing w:before="60" w:after="60" w:line="240" w:lineRule="auto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FB2C59">
              <w:rPr>
                <w:szCs w:val="28"/>
              </w:rPr>
              <w:t xml:space="preserve">Centrālā statistikas pārvalde </w:t>
            </w:r>
          </w:p>
        </w:tc>
      </w:tr>
      <w:tr w:rsidR="007F3DFB" w:rsidRPr="007F3DFB" w:rsidTr="00F27031">
        <w:trPr>
          <w:gridBefore w:val="2"/>
          <w:wBefore w:w="14" w:type="dxa"/>
          <w:trHeight w:val="624"/>
          <w:tblCellSpacing w:w="0" w:type="dxa"/>
        </w:trPr>
        <w:tc>
          <w:tcPr>
            <w:tcW w:w="594" w:type="dxa"/>
            <w:gridSpan w:val="2"/>
          </w:tcPr>
          <w:p w:rsidR="00B60333" w:rsidRPr="007F3DFB" w:rsidRDefault="00C10287" w:rsidP="002D6A74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4E61B8" w:rsidRPr="007F3DFB">
              <w:rPr>
                <w:szCs w:val="28"/>
              </w:rPr>
              <w:t>4</w:t>
            </w:r>
            <w:r w:rsidR="00B60333" w:rsidRPr="007F3DFB">
              <w:rPr>
                <w:szCs w:val="28"/>
              </w:rPr>
              <w:t>. </w:t>
            </w:r>
            <w:r w:rsidR="002D6A74" w:rsidRPr="007F3DFB">
              <w:rPr>
                <w:szCs w:val="28"/>
              </w:rPr>
              <w:t xml:space="preserve"> </w:t>
            </w:r>
          </w:p>
        </w:tc>
        <w:tc>
          <w:tcPr>
            <w:tcW w:w="2714" w:type="dxa"/>
          </w:tcPr>
          <w:p w:rsidR="00B60333" w:rsidRPr="007F3DFB" w:rsidRDefault="0089211B" w:rsidP="009C4D1D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B60333" w:rsidRPr="007F3DFB">
              <w:rPr>
                <w:szCs w:val="28"/>
              </w:rPr>
              <w:t>Cita informācija</w:t>
            </w:r>
          </w:p>
        </w:tc>
        <w:tc>
          <w:tcPr>
            <w:tcW w:w="5952" w:type="dxa"/>
          </w:tcPr>
          <w:p w:rsidR="00A01F50" w:rsidRPr="007F3DFB" w:rsidRDefault="00474EB9" w:rsidP="00935D73">
            <w:pPr>
              <w:spacing w:before="60" w:after="60" w:line="240" w:lineRule="auto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B60333" w:rsidRPr="007F3DFB">
              <w:rPr>
                <w:szCs w:val="28"/>
              </w:rPr>
              <w:t>Nav</w:t>
            </w:r>
            <w:r w:rsidR="00935D73">
              <w:rPr>
                <w:szCs w:val="28"/>
              </w:rPr>
              <w:t>.</w:t>
            </w:r>
          </w:p>
        </w:tc>
      </w:tr>
      <w:tr w:rsidR="007F3DFB" w:rsidRPr="007F3DFB" w:rsidTr="00F2703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55"/>
          <w:tblCellSpacing w:w="15" w:type="dxa"/>
        </w:trPr>
        <w:tc>
          <w:tcPr>
            <w:tcW w:w="9266" w:type="dxa"/>
            <w:gridSpan w:val="5"/>
            <w:vAlign w:val="center"/>
            <w:hideMark/>
          </w:tcPr>
          <w:p w:rsidR="00912F25" w:rsidRPr="007F3DFB" w:rsidRDefault="00912F25" w:rsidP="00027310">
            <w:pPr>
              <w:spacing w:before="60" w:after="60" w:line="240" w:lineRule="auto"/>
              <w:ind w:left="720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F3DFB" w:rsidRPr="007F3DFB" w:rsidTr="00F2703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465"/>
          <w:tblCellSpacing w:w="15" w:type="dxa"/>
        </w:trPr>
        <w:tc>
          <w:tcPr>
            <w:tcW w:w="600" w:type="dxa"/>
            <w:gridSpan w:val="3"/>
            <w:hideMark/>
          </w:tcPr>
          <w:p w:rsidR="00912F25" w:rsidRPr="007F3DFB" w:rsidRDefault="00C10287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C31DB" w:rsidRPr="007F3DFB">
              <w:rPr>
                <w:rFonts w:eastAsia="Times New Roman"/>
                <w:szCs w:val="28"/>
                <w:lang w:eastAsia="lv-LV"/>
              </w:rPr>
              <w:t>1.</w:t>
            </w:r>
          </w:p>
        </w:tc>
        <w:tc>
          <w:tcPr>
            <w:tcW w:w="2714" w:type="dxa"/>
            <w:hideMark/>
          </w:tcPr>
          <w:p w:rsidR="00912F25" w:rsidRPr="007F3DFB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952" w:type="dxa"/>
            <w:hideMark/>
          </w:tcPr>
          <w:p w:rsidR="00912F25" w:rsidRPr="007F3DFB" w:rsidRDefault="00C10287" w:rsidP="00F27031">
            <w:pPr>
              <w:spacing w:before="60" w:after="6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szCs w:val="28"/>
              </w:rPr>
              <w:t> </w:t>
            </w:r>
            <w:r w:rsidR="0091483D" w:rsidRPr="0091483D">
              <w:rPr>
                <w:szCs w:val="28"/>
              </w:rPr>
              <w:t>Par statistisko klasifikāciju piemērošanu</w:t>
            </w:r>
            <w:r w:rsidR="00F27031">
              <w:rPr>
                <w:szCs w:val="28"/>
              </w:rPr>
              <w:t xml:space="preserve"> un statistikas datu bāzu</w:t>
            </w:r>
            <w:r w:rsidR="0091483D" w:rsidRPr="0091483D">
              <w:rPr>
                <w:szCs w:val="28"/>
              </w:rPr>
              <w:t xml:space="preserve"> uzturēšanu atbildīgās </w:t>
            </w:r>
            <w:r w:rsidR="00C5620D">
              <w:rPr>
                <w:szCs w:val="28"/>
              </w:rPr>
              <w:t>valsts institūcijas</w:t>
            </w:r>
            <w:r w:rsidR="00E240FA">
              <w:rPr>
                <w:szCs w:val="28"/>
              </w:rPr>
              <w:t xml:space="preserve"> vai privātpersonas</w:t>
            </w:r>
            <w:r w:rsidR="0091483D" w:rsidRPr="0091483D">
              <w:rPr>
                <w:szCs w:val="28"/>
              </w:rPr>
              <w:t>.</w:t>
            </w:r>
            <w:r w:rsidR="00242CCD" w:rsidRPr="007F3DFB">
              <w:rPr>
                <w:iCs/>
                <w:szCs w:val="28"/>
                <w:lang w:eastAsia="lv-LV"/>
              </w:rPr>
              <w:t xml:space="preserve"> </w:t>
            </w:r>
          </w:p>
        </w:tc>
      </w:tr>
      <w:tr w:rsidR="007F3DFB" w:rsidRPr="007F3DFB" w:rsidTr="00F2703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10"/>
          <w:tblCellSpacing w:w="15" w:type="dxa"/>
        </w:trPr>
        <w:tc>
          <w:tcPr>
            <w:tcW w:w="600" w:type="dxa"/>
            <w:gridSpan w:val="3"/>
            <w:hideMark/>
          </w:tcPr>
          <w:p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2. </w:t>
            </w:r>
          </w:p>
        </w:tc>
        <w:tc>
          <w:tcPr>
            <w:tcW w:w="2714" w:type="dxa"/>
            <w:hideMark/>
          </w:tcPr>
          <w:p w:rsidR="00912F25" w:rsidRPr="007F3DFB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 xml:space="preserve">Tiesiskā regulējuma ietekme uz 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lastRenderedPageBreak/>
              <w:t>tautsaimniecību un administratīvo slogu</w:t>
            </w:r>
          </w:p>
        </w:tc>
        <w:tc>
          <w:tcPr>
            <w:tcW w:w="5952" w:type="dxa"/>
            <w:hideMark/>
          </w:tcPr>
          <w:p w:rsidR="00BF221B" w:rsidRPr="007F3DFB" w:rsidRDefault="00C10287" w:rsidP="00070E99">
            <w:pPr>
              <w:spacing w:before="60" w:after="6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lastRenderedPageBreak/>
              <w:t> </w:t>
            </w:r>
            <w:r w:rsidR="00A06A28" w:rsidRPr="007F3DFB">
              <w:rPr>
                <w:rFonts w:eastAsia="Times New Roman"/>
                <w:szCs w:val="28"/>
                <w:lang w:eastAsia="lv-LV"/>
              </w:rPr>
              <w:t xml:space="preserve">Noteikumu projekts pats par sevi nerada pienākumu </w:t>
            </w:r>
            <w:r w:rsidR="0091483D" w:rsidRPr="0091483D">
              <w:rPr>
                <w:rFonts w:eastAsia="Times New Roman"/>
                <w:szCs w:val="28"/>
                <w:lang w:eastAsia="lv-LV"/>
              </w:rPr>
              <w:t xml:space="preserve">valsts </w:t>
            </w:r>
            <w:r w:rsidR="00A37283">
              <w:rPr>
                <w:rFonts w:eastAsia="Times New Roman"/>
                <w:szCs w:val="28"/>
                <w:lang w:eastAsia="lv-LV"/>
              </w:rPr>
              <w:t xml:space="preserve">institūcijām piemērot </w:t>
            </w:r>
            <w:r w:rsidR="00D40ED3">
              <w:rPr>
                <w:szCs w:val="28"/>
              </w:rPr>
              <w:t>a</w:t>
            </w:r>
            <w:r w:rsidR="00D40ED3" w:rsidRPr="00D40ED3">
              <w:rPr>
                <w:szCs w:val="28"/>
              </w:rPr>
              <w:t xml:space="preserve">dministratīvo teritoriju </w:t>
            </w:r>
            <w:r w:rsidR="00D40ED3" w:rsidRPr="00D40ED3">
              <w:rPr>
                <w:szCs w:val="28"/>
              </w:rPr>
              <w:lastRenderedPageBreak/>
              <w:t xml:space="preserve">un teritoriālo vienību </w:t>
            </w:r>
            <w:r w:rsidR="00D40ED3">
              <w:rPr>
                <w:szCs w:val="28"/>
              </w:rPr>
              <w:t>kodus</w:t>
            </w:r>
            <w:r w:rsidR="00A06A28" w:rsidRPr="007F3DFB">
              <w:rPr>
                <w:rFonts w:eastAsia="Times New Roman"/>
                <w:szCs w:val="28"/>
                <w:lang w:eastAsia="lv-LV"/>
              </w:rPr>
              <w:t>.</w:t>
            </w:r>
            <w:r w:rsidR="00D40ED3">
              <w:rPr>
                <w:rFonts w:eastAsia="Times New Roman"/>
                <w:szCs w:val="28"/>
                <w:lang w:eastAsia="lv-LV"/>
              </w:rPr>
              <w:t xml:space="preserve"> Tie ir</w:t>
            </w:r>
            <w:r w:rsidR="00FB2C59">
              <w:rPr>
                <w:rFonts w:eastAsia="Times New Roman"/>
                <w:szCs w:val="28"/>
                <w:lang w:eastAsia="lv-LV"/>
              </w:rPr>
              <w:t xml:space="preserve"> nepieciešam</w:t>
            </w:r>
            <w:r w:rsidR="00D40ED3">
              <w:rPr>
                <w:rFonts w:eastAsia="Times New Roman"/>
                <w:szCs w:val="28"/>
                <w:lang w:eastAsia="lv-LV"/>
              </w:rPr>
              <w:t>i</w:t>
            </w:r>
            <w:r w:rsidR="00FB2C59">
              <w:rPr>
                <w:rFonts w:eastAsia="Times New Roman"/>
                <w:szCs w:val="28"/>
                <w:lang w:eastAsia="lv-LV"/>
              </w:rPr>
              <w:t>,</w:t>
            </w:r>
            <w:r w:rsidR="00FB2C59">
              <w:t xml:space="preserve"> </w:t>
            </w:r>
            <w:r w:rsidR="00FB2C59" w:rsidRPr="00FB2C59">
              <w:rPr>
                <w:rFonts w:eastAsia="Times New Roman"/>
                <w:szCs w:val="28"/>
                <w:lang w:eastAsia="lv-LV"/>
              </w:rPr>
              <w:t>lai nodrošinātu oficiālās statistikas programmā noteikto oficiālo statistiku</w:t>
            </w:r>
            <w:r w:rsidR="00D40ED3">
              <w:rPr>
                <w:rFonts w:eastAsia="Times New Roman"/>
                <w:szCs w:val="28"/>
                <w:lang w:eastAsia="lv-LV"/>
              </w:rPr>
              <w:t xml:space="preserve"> sadalījumā pa administratīvajām</w:t>
            </w:r>
            <w:r w:rsidR="00070E99">
              <w:rPr>
                <w:rFonts w:eastAsia="Times New Roman"/>
                <w:szCs w:val="28"/>
                <w:lang w:eastAsia="lv-LV"/>
              </w:rPr>
              <w:t xml:space="preserve"> teritorijām vai atbilstoši teritoriālajam iedalījumam.</w:t>
            </w:r>
            <w:r w:rsidR="00FB2C59" w:rsidRPr="00FB2C59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FB2C59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4E788A">
              <w:rPr>
                <w:szCs w:val="28"/>
              </w:rPr>
              <w:t xml:space="preserve"> </w:t>
            </w:r>
          </w:p>
        </w:tc>
      </w:tr>
      <w:tr w:rsidR="007F3DFB" w:rsidRPr="007F3DFB" w:rsidTr="00F2703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10"/>
          <w:tblCellSpacing w:w="15" w:type="dxa"/>
        </w:trPr>
        <w:tc>
          <w:tcPr>
            <w:tcW w:w="600" w:type="dxa"/>
            <w:gridSpan w:val="3"/>
            <w:hideMark/>
          </w:tcPr>
          <w:p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lastRenderedPageBreak/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3</w:t>
            </w:r>
            <w:r w:rsidR="009C4D1D" w:rsidRPr="007F3DFB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hideMark/>
          </w:tcPr>
          <w:p w:rsidR="00912F25" w:rsidRPr="007F3DFB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5952" w:type="dxa"/>
            <w:hideMark/>
          </w:tcPr>
          <w:p w:rsidR="00912F25" w:rsidRDefault="00C10287" w:rsidP="005D4C1D">
            <w:pPr>
              <w:spacing w:before="60" w:after="60" w:line="240" w:lineRule="auto"/>
              <w:contextualSpacing/>
              <w:jc w:val="both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>Ņemot vērā II sadaļas 2.punktā aprakstīto,</w:t>
            </w:r>
            <w:r w:rsidR="0021249B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5D4C1D">
              <w:rPr>
                <w:rFonts w:eastAsia="Times New Roman"/>
                <w:szCs w:val="28"/>
                <w:lang w:eastAsia="lv-LV"/>
              </w:rPr>
              <w:t>katra</w:t>
            </w:r>
            <w:r w:rsidR="0021249B">
              <w:rPr>
                <w:rFonts w:eastAsia="Times New Roman"/>
                <w:szCs w:val="28"/>
                <w:lang w:eastAsia="lv-LV"/>
              </w:rPr>
              <w:t xml:space="preserve"> gada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 xml:space="preserve"> a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dministratīvā</w:t>
            </w:r>
            <w:r w:rsidR="001D1A6C">
              <w:rPr>
                <w:rFonts w:eastAsia="Times New Roman"/>
                <w:szCs w:val="28"/>
                <w:lang w:eastAsia="lv-LV"/>
              </w:rPr>
              <w:t>s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1D1A6C">
              <w:rPr>
                <w:rFonts w:eastAsia="Times New Roman"/>
                <w:szCs w:val="28"/>
                <w:lang w:eastAsia="lv-LV"/>
              </w:rPr>
              <w:t>izmaksas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1D1A6C">
              <w:rPr>
                <w:rFonts w:eastAsia="Times New Roman"/>
                <w:szCs w:val="28"/>
                <w:lang w:eastAsia="lv-LV"/>
              </w:rPr>
              <w:t>ir</w:t>
            </w:r>
            <w:r w:rsidR="005D1B2F" w:rsidRPr="005D1B2F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1D1A6C">
              <w:rPr>
                <w:rFonts w:eastAsia="Times New Roman"/>
                <w:szCs w:val="28"/>
                <w:lang w:eastAsia="lv-LV"/>
              </w:rPr>
              <w:t xml:space="preserve">ietvertas </w:t>
            </w:r>
            <w:r w:rsidR="00E5103B">
              <w:rPr>
                <w:rFonts w:eastAsia="Times New Roman"/>
                <w:szCs w:val="28"/>
                <w:lang w:eastAsia="lv-LV"/>
              </w:rPr>
              <w:t xml:space="preserve">oficiālās statistikas </w:t>
            </w:r>
            <w:r w:rsidR="000D5012" w:rsidRPr="000D5012">
              <w:rPr>
                <w:rFonts w:eastAsia="Times New Roman"/>
                <w:szCs w:val="28"/>
                <w:lang w:eastAsia="lv-LV"/>
              </w:rPr>
              <w:t>nodrošināšana</w:t>
            </w:r>
            <w:r w:rsidR="000D5012">
              <w:rPr>
                <w:rFonts w:eastAsia="Times New Roman"/>
                <w:szCs w:val="28"/>
                <w:lang w:eastAsia="lv-LV"/>
              </w:rPr>
              <w:t>s izmaksā</w:t>
            </w:r>
            <w:r w:rsidR="001D1A6C">
              <w:rPr>
                <w:rFonts w:eastAsia="Times New Roman"/>
                <w:szCs w:val="28"/>
                <w:lang w:eastAsia="lv-LV"/>
              </w:rPr>
              <w:t xml:space="preserve">s </w:t>
            </w:r>
            <w:r w:rsidR="00405D9C">
              <w:rPr>
                <w:rFonts w:eastAsia="Times New Roman"/>
                <w:szCs w:val="28"/>
                <w:lang w:eastAsia="lv-LV"/>
              </w:rPr>
              <w:t>saskaņā ar</w:t>
            </w:r>
            <w:r w:rsidR="000D5012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1D1A6C">
              <w:rPr>
                <w:rFonts w:eastAsia="Times New Roman"/>
                <w:szCs w:val="28"/>
                <w:lang w:eastAsia="lv-LV"/>
              </w:rPr>
              <w:t xml:space="preserve">Oficiālās </w:t>
            </w:r>
            <w:r w:rsidR="005D1B2F" w:rsidRPr="005D1B2F">
              <w:rPr>
                <w:rFonts w:eastAsia="Times New Roman"/>
                <w:szCs w:val="28"/>
                <w:lang w:eastAsia="lv-LV"/>
              </w:rPr>
              <w:t>s</w:t>
            </w:r>
            <w:r w:rsidR="001D1A6C">
              <w:rPr>
                <w:rFonts w:eastAsia="Times New Roman"/>
                <w:szCs w:val="28"/>
                <w:lang w:eastAsia="lv-LV"/>
              </w:rPr>
              <w:t xml:space="preserve">tatistikas </w:t>
            </w:r>
            <w:r w:rsidR="005D1B2F" w:rsidRPr="005D1B2F">
              <w:rPr>
                <w:rFonts w:eastAsia="Times New Roman"/>
                <w:szCs w:val="28"/>
                <w:lang w:eastAsia="lv-LV"/>
              </w:rPr>
              <w:t>programm</w:t>
            </w:r>
            <w:r w:rsidR="00405D9C">
              <w:rPr>
                <w:rFonts w:eastAsia="Times New Roman"/>
                <w:szCs w:val="28"/>
                <w:lang w:eastAsia="lv-LV"/>
              </w:rPr>
              <w:t>u</w:t>
            </w:r>
            <w:r w:rsidR="001D1A6C">
              <w:rPr>
                <w:rFonts w:eastAsia="Times New Roman"/>
                <w:szCs w:val="28"/>
                <w:lang w:eastAsia="lv-LV"/>
              </w:rPr>
              <w:t xml:space="preserve"> 2017. – 2019.gadam</w:t>
            </w:r>
            <w:r w:rsidR="005D1B2F">
              <w:rPr>
                <w:rFonts w:eastAsia="Times New Roman"/>
                <w:szCs w:val="28"/>
                <w:lang w:eastAsia="lv-LV"/>
              </w:rPr>
              <w:t>.</w:t>
            </w:r>
          </w:p>
          <w:p w:rsidR="00D8343A" w:rsidRPr="007F3DFB" w:rsidRDefault="002A0317" w:rsidP="00FD6055">
            <w:pPr>
              <w:spacing w:before="60" w:after="60" w:line="240" w:lineRule="auto"/>
              <w:contextualSpacing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A62657">
              <w:rPr>
                <w:rFonts w:eastAsia="Times New Roman"/>
                <w:szCs w:val="28"/>
                <w:lang w:eastAsia="lv-LV"/>
              </w:rPr>
              <w:t xml:space="preserve">Bez tam, </w:t>
            </w:r>
            <w:r w:rsidR="003C5E57" w:rsidRPr="003C5E57">
              <w:rPr>
                <w:rFonts w:eastAsia="Times New Roman"/>
                <w:szCs w:val="28"/>
                <w:lang w:eastAsia="lv-LV"/>
              </w:rPr>
              <w:t>katra gada administratīvās izmaksas nevar aprēķināt pēc Ministru kabineta 2009.gada 15.decembra instrukcijā Nr.19 „Tiesību akta projekta sākotnējās ietekmes izvērtēšanas kārtība” 2</w:t>
            </w:r>
            <w:r w:rsidR="00441396">
              <w:rPr>
                <w:rFonts w:eastAsia="Times New Roman"/>
                <w:szCs w:val="28"/>
                <w:lang w:eastAsia="lv-LV"/>
              </w:rPr>
              <w:t>4</w:t>
            </w:r>
            <w:r w:rsidR="003C5E57" w:rsidRPr="003C5E57">
              <w:rPr>
                <w:rFonts w:eastAsia="Times New Roman"/>
                <w:szCs w:val="28"/>
                <w:lang w:eastAsia="lv-LV"/>
              </w:rPr>
              <w:t>.punktā noteiktās metodikas</w:t>
            </w:r>
            <w:r w:rsidR="003C5E57">
              <w:rPr>
                <w:rFonts w:eastAsia="Times New Roman"/>
                <w:szCs w:val="28"/>
                <w:lang w:eastAsia="lv-LV"/>
              </w:rPr>
              <w:t xml:space="preserve">, jo </w:t>
            </w:r>
            <w:r w:rsidR="00A62657">
              <w:rPr>
                <w:rFonts w:eastAsia="Times New Roman"/>
                <w:szCs w:val="28"/>
                <w:lang w:eastAsia="lv-LV"/>
              </w:rPr>
              <w:t xml:space="preserve">klasifikatora </w:t>
            </w:r>
            <w:r w:rsidR="00A62657" w:rsidRPr="00A62657">
              <w:rPr>
                <w:rFonts w:eastAsia="Times New Roman"/>
                <w:szCs w:val="28"/>
                <w:lang w:eastAsia="lv-LV"/>
              </w:rPr>
              <w:t xml:space="preserve">atjaunošanas regularitāte un </w:t>
            </w:r>
            <w:r w:rsidR="003C5E57">
              <w:rPr>
                <w:rFonts w:eastAsia="Times New Roman"/>
                <w:szCs w:val="28"/>
                <w:lang w:eastAsia="lv-LV"/>
              </w:rPr>
              <w:t xml:space="preserve">izmaiņu </w:t>
            </w:r>
            <w:r w:rsidR="00A62657" w:rsidRPr="00A62657">
              <w:rPr>
                <w:rFonts w:eastAsia="Times New Roman"/>
                <w:szCs w:val="28"/>
                <w:lang w:eastAsia="lv-LV"/>
              </w:rPr>
              <w:t xml:space="preserve">apjoms </w:t>
            </w:r>
            <w:r w:rsidR="00A62657" w:rsidRPr="00064A32">
              <w:rPr>
                <w:rFonts w:eastAsia="Times New Roman"/>
                <w:szCs w:val="28"/>
                <w:lang w:eastAsia="lv-LV"/>
              </w:rPr>
              <w:t>ir</w:t>
            </w:r>
            <w:r w:rsidR="00A62657" w:rsidRPr="00AD29EB">
              <w:rPr>
                <w:rFonts w:eastAsia="Times New Roman"/>
                <w:szCs w:val="28"/>
                <w:highlight w:val="yellow"/>
                <w:lang w:eastAsia="lv-LV"/>
              </w:rPr>
              <w:t xml:space="preserve"> </w:t>
            </w:r>
            <w:r w:rsidR="006B1FF7" w:rsidRPr="00064A32">
              <w:rPr>
                <w:rFonts w:eastAsia="Times New Roman"/>
                <w:szCs w:val="28"/>
                <w:lang w:eastAsia="lv-LV"/>
              </w:rPr>
              <w:t xml:space="preserve">atkarīgs </w:t>
            </w:r>
            <w:r w:rsidR="003C5E57" w:rsidRPr="00064A32">
              <w:rPr>
                <w:rFonts w:eastAsia="Times New Roman"/>
                <w:szCs w:val="28"/>
                <w:lang w:eastAsia="lv-LV"/>
              </w:rPr>
              <w:t>no grozījumiem Administratīvo teritoriju un apdzīvoto vietu likum</w:t>
            </w:r>
            <w:r w:rsidR="00D1659C" w:rsidRPr="00064A32">
              <w:rPr>
                <w:rFonts w:eastAsia="Times New Roman"/>
                <w:szCs w:val="28"/>
                <w:lang w:eastAsia="lv-LV"/>
              </w:rPr>
              <w:t>ā</w:t>
            </w:r>
            <w:r w:rsidR="003C5E57" w:rsidRPr="00064A32">
              <w:rPr>
                <w:rFonts w:eastAsia="Times New Roman"/>
                <w:szCs w:val="28"/>
                <w:lang w:eastAsia="lv-LV"/>
              </w:rPr>
              <w:t xml:space="preserve">. </w:t>
            </w:r>
          </w:p>
        </w:tc>
      </w:tr>
      <w:tr w:rsidR="007F3DFB" w:rsidRPr="007F3DFB" w:rsidTr="00F27031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345"/>
          <w:tblCellSpacing w:w="15" w:type="dxa"/>
        </w:trPr>
        <w:tc>
          <w:tcPr>
            <w:tcW w:w="600" w:type="dxa"/>
            <w:gridSpan w:val="3"/>
            <w:hideMark/>
          </w:tcPr>
          <w:p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4</w:t>
            </w:r>
            <w:r w:rsidR="009C4D1D" w:rsidRPr="007F3DFB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hideMark/>
          </w:tcPr>
          <w:p w:rsidR="00912F25" w:rsidRPr="007F3DFB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Cita informācija</w:t>
            </w:r>
          </w:p>
        </w:tc>
        <w:tc>
          <w:tcPr>
            <w:tcW w:w="5952" w:type="dxa"/>
            <w:hideMark/>
          </w:tcPr>
          <w:p w:rsidR="00912F25" w:rsidRPr="007F3DFB" w:rsidRDefault="0089211B" w:rsidP="00935D73">
            <w:pPr>
              <w:spacing w:before="60" w:after="6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Nav</w:t>
            </w:r>
            <w:r w:rsidR="00935D73">
              <w:rPr>
                <w:rFonts w:eastAsia="Times New Roman"/>
                <w:szCs w:val="28"/>
                <w:lang w:eastAsia="lv-LV"/>
              </w:rPr>
              <w:t>.</w:t>
            </w:r>
          </w:p>
        </w:tc>
      </w:tr>
      <w:tr w:rsidR="00A645C1" w:rsidRPr="00987F69" w:rsidTr="00F27031">
        <w:tblPrEx>
          <w:tblBorders>
            <w:bottom w:val="none" w:sz="0" w:space="0" w:color="auto"/>
          </w:tblBorders>
        </w:tblPrEx>
        <w:trPr>
          <w:trHeight w:val="680"/>
          <w:tblCellSpacing w:w="0" w:type="dxa"/>
        </w:trPr>
        <w:tc>
          <w:tcPr>
            <w:tcW w:w="9274" w:type="dxa"/>
            <w:gridSpan w:val="6"/>
            <w:vAlign w:val="center"/>
          </w:tcPr>
          <w:p w:rsidR="00A645C1" w:rsidRPr="00987F69" w:rsidRDefault="00A645C1" w:rsidP="00BA6650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</w:rPr>
              <w:t>VI. Sabiedrības līdzdalība un komunikācijas aktivitātes</w:t>
            </w:r>
          </w:p>
        </w:tc>
      </w:tr>
      <w:tr w:rsidR="00A645C1" w:rsidRPr="00A645C1" w:rsidTr="00F27031">
        <w:tblPrEx>
          <w:tblBorders>
            <w:bottom w:val="none" w:sz="0" w:space="0" w:color="auto"/>
          </w:tblBorders>
        </w:tblPrEx>
        <w:trPr>
          <w:trHeight w:val="680"/>
          <w:tblCellSpacing w:w="0" w:type="dxa"/>
        </w:trPr>
        <w:tc>
          <w:tcPr>
            <w:tcW w:w="9274" w:type="dxa"/>
            <w:gridSpan w:val="6"/>
            <w:vAlign w:val="center"/>
          </w:tcPr>
          <w:tbl>
            <w:tblPr>
              <w:tblW w:w="925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3720"/>
              <w:gridCol w:w="4824"/>
            </w:tblGrid>
            <w:tr w:rsidR="00A645C1" w:rsidRPr="00A645C1" w:rsidTr="00FD6055">
              <w:trPr>
                <w:tblCellSpacing w:w="0" w:type="dxa"/>
              </w:trPr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rFonts w:eastAsia="Times New Roman"/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1.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645C1">
                    <w:rPr>
                      <w:sz w:val="28"/>
                      <w:szCs w:val="28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4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645C1" w:rsidRPr="00A645C1" w:rsidRDefault="00A645C1" w:rsidP="000F767B">
                  <w:pPr>
                    <w:pStyle w:val="naiskr"/>
                    <w:spacing w:before="60" w:beforeAutospacing="0" w:after="60" w:afterAutospacing="0"/>
                    <w:ind w:right="127"/>
                    <w:jc w:val="both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645C1">
                    <w:rPr>
                      <w:sz w:val="28"/>
                      <w:szCs w:val="28"/>
                    </w:rPr>
                    <w:t xml:space="preserve">Īpašas sabiedrības līdzdalības </w:t>
                  </w:r>
                  <w:r w:rsidRPr="00064A32">
                    <w:rPr>
                      <w:sz w:val="28"/>
                      <w:szCs w:val="28"/>
                    </w:rPr>
                    <w:t>u</w:t>
                  </w:r>
                  <w:r w:rsidRPr="00A645C1">
                    <w:rPr>
                      <w:sz w:val="28"/>
                      <w:szCs w:val="28"/>
                    </w:rPr>
                    <w:t>n komunikācijas aktivitātes nav plānotas.</w:t>
                  </w:r>
                </w:p>
              </w:tc>
            </w:tr>
            <w:tr w:rsidR="00A645C1" w:rsidRPr="00A645C1" w:rsidTr="00FD6055">
              <w:trPr>
                <w:trHeight w:val="284"/>
                <w:tblCellSpacing w:w="0" w:type="dxa"/>
              </w:trPr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rFonts w:eastAsia="Times New Roman"/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2. 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645C1">
                    <w:rPr>
                      <w:sz w:val="28"/>
                      <w:szCs w:val="28"/>
                    </w:rPr>
                    <w:t>Sabiedrības līdzdalība projekta izstrādē</w:t>
                  </w:r>
                </w:p>
              </w:tc>
              <w:tc>
                <w:tcPr>
                  <w:tcW w:w="4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FD6055">
                  <w:pPr>
                    <w:pStyle w:val="naiskr"/>
                    <w:spacing w:before="60" w:beforeAutospacing="0" w:after="60" w:afterAutospacing="0"/>
                    <w:ind w:right="127"/>
                    <w:jc w:val="both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="00A25A44" w:rsidRPr="00EC768F">
                    <w:rPr>
                      <w:sz w:val="28"/>
                      <w:szCs w:val="28"/>
                    </w:rPr>
                    <w:t>Lai informētu sabiedrību un nodrošinātu iespēju izteikt viedokļus, noteikumu projekts kopā ar sākotnējās ietekmes novērtējuma ziņojumu tik</w:t>
                  </w:r>
                  <w:r w:rsidR="00B7499E">
                    <w:rPr>
                      <w:sz w:val="28"/>
                      <w:szCs w:val="28"/>
                    </w:rPr>
                    <w:t>a</w:t>
                  </w:r>
                  <w:r w:rsidR="00A25A44" w:rsidRPr="00EC768F">
                    <w:rPr>
                      <w:sz w:val="28"/>
                      <w:szCs w:val="28"/>
                    </w:rPr>
                    <w:t xml:space="preserve"> ievietots Ekonomikas ministrijas un Centrālās statistikas pārvaldes </w:t>
                  </w:r>
                  <w:r w:rsidR="00B7499E" w:rsidRPr="00EC768F">
                    <w:rPr>
                      <w:sz w:val="28"/>
                      <w:szCs w:val="28"/>
                    </w:rPr>
                    <w:t>mājaslapā</w:t>
                  </w:r>
                  <w:r w:rsidR="00A25A44" w:rsidRPr="00EC768F">
                    <w:rPr>
                      <w:sz w:val="28"/>
                      <w:szCs w:val="28"/>
                    </w:rPr>
                    <w:t xml:space="preserve"> internetā, aicinot sabiedrību izteikt atsauksmes un viedokļus.</w:t>
                  </w:r>
                </w:p>
              </w:tc>
            </w:tr>
            <w:tr w:rsidR="00A645C1" w:rsidRPr="00A645C1" w:rsidTr="00FD6055">
              <w:trPr>
                <w:trHeight w:val="284"/>
                <w:tblCellSpacing w:w="0" w:type="dxa"/>
              </w:trPr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rFonts w:eastAsia="Times New Roman"/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3.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645C1">
                    <w:rPr>
                      <w:sz w:val="28"/>
                      <w:szCs w:val="28"/>
                    </w:rPr>
                    <w:t>Sabiedrības līdzdalības rezultāti</w:t>
                  </w:r>
                </w:p>
              </w:tc>
              <w:tc>
                <w:tcPr>
                  <w:tcW w:w="4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047CFA" w:rsidP="00285F88">
                  <w:pPr>
                    <w:pStyle w:val="naiskr"/>
                    <w:tabs>
                      <w:tab w:val="left" w:pos="2190"/>
                    </w:tabs>
                    <w:spacing w:before="60" w:beforeAutospacing="0" w:after="60" w:afterAutospacing="0"/>
                    <w:jc w:val="both"/>
                    <w:rPr>
                      <w:sz w:val="28"/>
                      <w:szCs w:val="28"/>
                    </w:rPr>
                  </w:pPr>
                  <w:r w:rsidRPr="00EC768F">
                    <w:rPr>
                      <w:sz w:val="28"/>
                      <w:szCs w:val="28"/>
                    </w:rPr>
                    <w:t>Atsauksmes vai viedokļi par noteikumu projektu netika saņemti.</w:t>
                  </w:r>
                </w:p>
              </w:tc>
            </w:tr>
            <w:tr w:rsidR="00A645C1" w:rsidRPr="00A645C1" w:rsidTr="00FD6055">
              <w:trPr>
                <w:trHeight w:val="284"/>
                <w:tblCellSpacing w:w="0" w:type="dxa"/>
              </w:trPr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rFonts w:eastAsia="Times New Roman"/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4.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A645C1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645C1">
                    <w:rPr>
                      <w:sz w:val="28"/>
                      <w:szCs w:val="28"/>
                    </w:rPr>
                    <w:t>Cita informācija</w:t>
                  </w:r>
                </w:p>
              </w:tc>
              <w:tc>
                <w:tcPr>
                  <w:tcW w:w="4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45C1" w:rsidRPr="00A645C1" w:rsidRDefault="00A645C1" w:rsidP="00A645C1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A645C1">
                    <w:rPr>
                      <w:sz w:val="28"/>
                      <w:szCs w:val="28"/>
                    </w:rPr>
                    <w:t>Nav.</w:t>
                  </w:r>
                </w:p>
              </w:tc>
            </w:tr>
          </w:tbl>
          <w:p w:rsidR="00A645C1" w:rsidRPr="00A645C1" w:rsidRDefault="00A645C1" w:rsidP="00BA6650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</w:p>
        </w:tc>
      </w:tr>
      <w:tr w:rsidR="007F3DFB" w:rsidRPr="007F3DFB" w:rsidTr="00F27031">
        <w:trPr>
          <w:gridBefore w:val="3"/>
          <w:wBefore w:w="23" w:type="dxa"/>
          <w:trHeight w:val="680"/>
          <w:tblCellSpacing w:w="0" w:type="dxa"/>
        </w:trPr>
        <w:tc>
          <w:tcPr>
            <w:tcW w:w="9251" w:type="dxa"/>
            <w:gridSpan w:val="3"/>
            <w:vAlign w:val="center"/>
          </w:tcPr>
          <w:p w:rsidR="00EE383D" w:rsidRPr="007F3DFB" w:rsidRDefault="00EE383D" w:rsidP="0091753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7F3DFB">
              <w:rPr>
                <w:rFonts w:eastAsia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F3DFB" w:rsidRPr="007F3DFB" w:rsidTr="00F27031">
        <w:trPr>
          <w:gridBefore w:val="3"/>
          <w:wBefore w:w="23" w:type="dxa"/>
          <w:trHeight w:val="809"/>
          <w:tblCellSpacing w:w="0" w:type="dxa"/>
        </w:trPr>
        <w:tc>
          <w:tcPr>
            <w:tcW w:w="9251" w:type="dxa"/>
            <w:gridSpan w:val="3"/>
          </w:tcPr>
          <w:tbl>
            <w:tblPr>
              <w:tblW w:w="9378" w:type="dxa"/>
              <w:tblCellSpacing w:w="0" w:type="dxa"/>
              <w:tblBorders>
                <w:top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038"/>
              <w:gridCol w:w="4826"/>
            </w:tblGrid>
            <w:tr w:rsidR="000D5012" w:rsidRPr="007F3DFB" w:rsidTr="00E14A9E">
              <w:trPr>
                <w:trHeight w:val="427"/>
                <w:tblCellSpacing w:w="0" w:type="dxa"/>
              </w:trPr>
              <w:tc>
                <w:tcPr>
                  <w:tcW w:w="514" w:type="dxa"/>
                  <w:tcBorders>
                    <w:top w:val="nil"/>
                  </w:tcBorders>
                  <w:hideMark/>
                </w:tcPr>
                <w:p w:rsidR="000D5012" w:rsidRPr="007F3DFB" w:rsidRDefault="000D5012" w:rsidP="000D5012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4038" w:type="dxa"/>
                  <w:tcBorders>
                    <w:top w:val="nil"/>
                  </w:tcBorders>
                  <w:hideMark/>
                </w:tcPr>
                <w:p w:rsidR="000D5012" w:rsidRPr="007F3DFB" w:rsidRDefault="000D5012" w:rsidP="00935D73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Projekta izpildē iesaistītās institūcijas</w:t>
                  </w:r>
                </w:p>
              </w:tc>
              <w:tc>
                <w:tcPr>
                  <w:tcW w:w="4826" w:type="dxa"/>
                  <w:tcBorders>
                    <w:top w:val="nil"/>
                  </w:tcBorders>
                  <w:hideMark/>
                </w:tcPr>
                <w:p w:rsidR="000D5012" w:rsidRPr="007F3DFB" w:rsidRDefault="000D5012" w:rsidP="00E14A9E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 w:rsidRPr="00DD38FC">
                    <w:t>Centrālā statistikas pārvalde</w:t>
                  </w:r>
                </w:p>
              </w:tc>
            </w:tr>
            <w:tr w:rsidR="000D5012" w:rsidRPr="007F3DFB" w:rsidTr="00E14A9E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:rsidR="000D5012" w:rsidRPr="007F3DFB" w:rsidRDefault="000D5012" w:rsidP="000D5012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lastRenderedPageBreak/>
                    <w:t> 2.</w:t>
                  </w:r>
                </w:p>
              </w:tc>
              <w:tc>
                <w:tcPr>
                  <w:tcW w:w="4038" w:type="dxa"/>
                </w:tcPr>
                <w:p w:rsidR="000D5012" w:rsidRPr="007F3DFB" w:rsidRDefault="000D5012" w:rsidP="00935D73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Projekta izpildes ietekme uz pārvaldes funkcijām un institucionālo struktūru.</w:t>
                  </w:r>
                </w:p>
                <w:p w:rsidR="000D5012" w:rsidRPr="007F3DFB" w:rsidRDefault="000D5012" w:rsidP="00935D73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Jaunu institūciju izveide, esošu institūciju likvidācija vai reorganizācija, to ietekme uz institūciju cilvēkresursiem.</w:t>
                  </w:r>
                </w:p>
              </w:tc>
              <w:tc>
                <w:tcPr>
                  <w:tcW w:w="4826" w:type="dxa"/>
                </w:tcPr>
                <w:p w:rsidR="00302066" w:rsidRDefault="00405D9C" w:rsidP="00935D73">
                  <w:pPr>
                    <w:spacing w:before="60" w:after="60" w:line="240" w:lineRule="auto"/>
                  </w:pPr>
                  <w:r>
                    <w:t>N</w:t>
                  </w:r>
                  <w:r w:rsidR="000D5012" w:rsidRPr="00DD38FC">
                    <w:t>oteikumu projekts nemaina Centrālās statistikas pārvaldes, ministriju un citu valsts institūciju kompetenci un funkcijas</w:t>
                  </w:r>
                  <w:r>
                    <w:t>.</w:t>
                  </w:r>
                </w:p>
                <w:p w:rsidR="000D5012" w:rsidRPr="007F3DFB" w:rsidRDefault="00405D9C" w:rsidP="00935D73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>
                    <w:t>N</w:t>
                  </w:r>
                  <w:r w:rsidR="000D5012" w:rsidRPr="00DD38FC">
                    <w:t>oteikum</w:t>
                  </w:r>
                  <w:r>
                    <w:t>u</w:t>
                  </w:r>
                  <w:r w:rsidR="000D5012" w:rsidRPr="00DD38FC">
                    <w:t xml:space="preserve"> p</w:t>
                  </w:r>
                  <w:r>
                    <w:t>rojekts neparedz veidot jaunas, likvidēt esošās vai reorganizēt valsts institūcijas</w:t>
                  </w:r>
                  <w:r w:rsidR="000D5012" w:rsidRPr="00DD38FC">
                    <w:t xml:space="preserve">. </w:t>
                  </w:r>
                </w:p>
              </w:tc>
            </w:tr>
            <w:tr w:rsidR="007F3DFB" w:rsidRPr="007F3DFB" w:rsidTr="00E14A9E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4038" w:type="dxa"/>
                </w:tcPr>
                <w:p w:rsidR="00A900BF" w:rsidRPr="007F3DFB" w:rsidRDefault="00A900BF" w:rsidP="00935D73">
                  <w:pPr>
                    <w:spacing w:before="60" w:after="60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Cita informācija</w:t>
                  </w:r>
                </w:p>
              </w:tc>
              <w:tc>
                <w:tcPr>
                  <w:tcW w:w="4826" w:type="dxa"/>
                </w:tcPr>
                <w:p w:rsidR="00A900BF" w:rsidRPr="007F3DFB" w:rsidRDefault="00A900BF" w:rsidP="00935D73">
                  <w:pPr>
                    <w:spacing w:before="60" w:after="60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Nav</w:t>
                  </w:r>
                  <w:r w:rsidR="00935D73">
                    <w:rPr>
                      <w:szCs w:val="28"/>
                      <w:lang w:eastAsia="lv-LV"/>
                    </w:rPr>
                    <w:t>.</w:t>
                  </w:r>
                </w:p>
              </w:tc>
            </w:tr>
          </w:tbl>
          <w:p w:rsidR="00A900BF" w:rsidRPr="007F3DFB" w:rsidRDefault="00A900BF" w:rsidP="00436C7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Cs w:val="28"/>
                <w:lang w:eastAsia="lv-LV"/>
              </w:rPr>
            </w:pPr>
          </w:p>
        </w:tc>
      </w:tr>
    </w:tbl>
    <w:p w:rsidR="003D3A3D" w:rsidRPr="007F3DFB" w:rsidRDefault="00F35789">
      <w:pPr>
        <w:pStyle w:val="naisf"/>
        <w:spacing w:before="60" w:beforeAutospacing="0" w:after="60" w:afterAutospacing="0"/>
        <w:rPr>
          <w:i/>
          <w:sz w:val="28"/>
          <w:szCs w:val="28"/>
        </w:rPr>
      </w:pPr>
      <w:r w:rsidRPr="007F3DFB">
        <w:rPr>
          <w:i/>
          <w:sz w:val="28"/>
          <w:szCs w:val="28"/>
        </w:rPr>
        <w:lastRenderedPageBreak/>
        <w:t>Anotācijas III</w:t>
      </w:r>
      <w:r w:rsidR="00AA2194">
        <w:rPr>
          <w:i/>
          <w:sz w:val="28"/>
          <w:szCs w:val="28"/>
        </w:rPr>
        <w:t>,</w:t>
      </w:r>
      <w:r w:rsidR="0039081A" w:rsidRPr="007F3DFB">
        <w:rPr>
          <w:i/>
          <w:sz w:val="28"/>
          <w:szCs w:val="28"/>
        </w:rPr>
        <w:t xml:space="preserve"> </w:t>
      </w:r>
      <w:r w:rsidRPr="007F3DFB">
        <w:rPr>
          <w:i/>
          <w:sz w:val="28"/>
          <w:szCs w:val="28"/>
        </w:rPr>
        <w:t xml:space="preserve">IV </w:t>
      </w:r>
      <w:r w:rsidR="00AA2194">
        <w:rPr>
          <w:i/>
          <w:sz w:val="28"/>
          <w:szCs w:val="28"/>
        </w:rPr>
        <w:t xml:space="preserve">un V </w:t>
      </w:r>
      <w:r w:rsidRPr="007F3DFB">
        <w:rPr>
          <w:i/>
          <w:sz w:val="28"/>
          <w:szCs w:val="28"/>
        </w:rPr>
        <w:t xml:space="preserve">sadaļa – </w:t>
      </w:r>
      <w:r w:rsidRPr="007F3DFB">
        <w:rPr>
          <w:bCs/>
          <w:i/>
          <w:sz w:val="28"/>
          <w:szCs w:val="28"/>
        </w:rPr>
        <w:t>projekts šīs jomas neskar</w:t>
      </w:r>
      <w:r w:rsidRPr="007F3DFB">
        <w:rPr>
          <w:i/>
          <w:sz w:val="28"/>
          <w:szCs w:val="28"/>
        </w:rPr>
        <w:t>.</w:t>
      </w:r>
    </w:p>
    <w:p w:rsidR="00D7128A" w:rsidRPr="007F3DFB" w:rsidRDefault="00D7128A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:rsidR="00987F69" w:rsidRPr="007F3DFB" w:rsidRDefault="00987F69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:rsidR="00AA2194" w:rsidRPr="005D3283" w:rsidRDefault="00AA2194" w:rsidP="00AA2194">
      <w:pPr>
        <w:spacing w:after="0" w:line="240" w:lineRule="auto"/>
        <w:ind w:firstLine="357"/>
        <w:jc w:val="both"/>
        <w:rPr>
          <w:bCs/>
          <w:color w:val="000000"/>
          <w:szCs w:val="28"/>
        </w:rPr>
      </w:pPr>
      <w:r w:rsidRPr="005D3283">
        <w:rPr>
          <w:bCs/>
          <w:color w:val="000000"/>
          <w:szCs w:val="28"/>
        </w:rPr>
        <w:t>Ministru prezidenta biedrs,</w:t>
      </w:r>
    </w:p>
    <w:p w:rsidR="00AA2194" w:rsidRPr="005D3283" w:rsidRDefault="00AA2194" w:rsidP="00AA2194">
      <w:pPr>
        <w:spacing w:after="0" w:line="240" w:lineRule="auto"/>
        <w:ind w:firstLine="357"/>
        <w:jc w:val="both"/>
        <w:rPr>
          <w:szCs w:val="28"/>
        </w:rPr>
      </w:pPr>
      <w:r w:rsidRPr="005D3283">
        <w:rPr>
          <w:bCs/>
          <w:color w:val="000000"/>
          <w:szCs w:val="28"/>
        </w:rPr>
        <w:t>ekonomikas ministrs</w:t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szCs w:val="28"/>
        </w:rPr>
        <w:t>A.Ašeradens</w:t>
      </w:r>
    </w:p>
    <w:p w:rsidR="00AA2194" w:rsidRPr="005D3283" w:rsidRDefault="00AA2194" w:rsidP="00AA2194">
      <w:pPr>
        <w:ind w:firstLine="360"/>
        <w:jc w:val="both"/>
        <w:rPr>
          <w:bCs/>
          <w:color w:val="000000"/>
          <w:szCs w:val="28"/>
          <w:highlight w:val="yellow"/>
        </w:rPr>
      </w:pPr>
    </w:p>
    <w:p w:rsidR="00AA2194" w:rsidRPr="005D3283" w:rsidRDefault="00AA2194" w:rsidP="00AA2194">
      <w:pPr>
        <w:spacing w:after="0" w:line="240" w:lineRule="auto"/>
        <w:ind w:firstLine="357"/>
        <w:jc w:val="both"/>
        <w:rPr>
          <w:szCs w:val="28"/>
        </w:rPr>
      </w:pPr>
      <w:r w:rsidRPr="005D3283">
        <w:rPr>
          <w:szCs w:val="28"/>
        </w:rPr>
        <w:t xml:space="preserve">Vīza: </w:t>
      </w:r>
    </w:p>
    <w:p w:rsidR="00AA2194" w:rsidRPr="005D3283" w:rsidRDefault="00AA2194" w:rsidP="00AA2194">
      <w:pPr>
        <w:spacing w:after="0" w:line="240" w:lineRule="auto"/>
        <w:ind w:firstLine="357"/>
        <w:jc w:val="both"/>
        <w:rPr>
          <w:rFonts w:eastAsia="Times New Roman"/>
          <w:szCs w:val="28"/>
        </w:rPr>
      </w:pPr>
      <w:r w:rsidRPr="005D3283">
        <w:rPr>
          <w:szCs w:val="28"/>
        </w:rPr>
        <w:t xml:space="preserve">Valsts sekretārs </w:t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  <w:t>J.Stinka</w:t>
      </w:r>
    </w:p>
    <w:p w:rsidR="00AA2194" w:rsidRDefault="00AA2194" w:rsidP="00AA2194">
      <w:pPr>
        <w:spacing w:after="0" w:line="240" w:lineRule="auto"/>
        <w:rPr>
          <w:rFonts w:eastAsia="Times New Roman"/>
          <w:color w:val="1F497D"/>
          <w:szCs w:val="28"/>
        </w:rPr>
      </w:pPr>
    </w:p>
    <w:p w:rsidR="00154DAA" w:rsidRDefault="00154DAA" w:rsidP="00AA2194">
      <w:pPr>
        <w:spacing w:after="0" w:line="240" w:lineRule="auto"/>
        <w:rPr>
          <w:rFonts w:eastAsia="Times New Roman"/>
          <w:color w:val="1F497D"/>
          <w:szCs w:val="28"/>
        </w:rPr>
      </w:pPr>
    </w:p>
    <w:p w:rsidR="00154DAA" w:rsidRDefault="00154DAA" w:rsidP="00AA2194">
      <w:pPr>
        <w:spacing w:after="0" w:line="240" w:lineRule="auto"/>
        <w:rPr>
          <w:rFonts w:eastAsia="Times New Roman"/>
          <w:color w:val="1F497D"/>
          <w:szCs w:val="28"/>
        </w:rPr>
      </w:pPr>
    </w:p>
    <w:p w:rsidR="00D7128A" w:rsidRPr="00154DAA" w:rsidRDefault="00C27CA0" w:rsidP="00674A83">
      <w:pPr>
        <w:tabs>
          <w:tab w:val="left" w:pos="779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lv-LV"/>
        </w:rPr>
        <w:t>24.01.2017</w:t>
      </w:r>
      <w:r w:rsidR="00CF0FFC">
        <w:rPr>
          <w:rFonts w:eastAsia="Times New Roman"/>
          <w:sz w:val="24"/>
          <w:szCs w:val="24"/>
          <w:lang w:eastAsia="lv-LV"/>
        </w:rPr>
        <w:t>.</w:t>
      </w:r>
      <w:r w:rsidR="00B66B37" w:rsidRPr="00154DAA">
        <w:rPr>
          <w:rFonts w:eastAsia="Times New Roman"/>
          <w:sz w:val="24"/>
          <w:szCs w:val="24"/>
          <w:lang w:eastAsia="lv-LV"/>
        </w:rPr>
        <w:tab/>
      </w:r>
      <w:r w:rsidR="00B66B37" w:rsidRPr="00154DAA">
        <w:rPr>
          <w:rFonts w:eastAsia="Times New Roman"/>
          <w:sz w:val="24"/>
          <w:szCs w:val="24"/>
          <w:lang w:eastAsia="lv-LV"/>
        </w:rPr>
        <w:tab/>
      </w:r>
      <w:r w:rsidR="00B66B37" w:rsidRPr="00154DAA">
        <w:rPr>
          <w:rFonts w:eastAsia="Times New Roman"/>
          <w:sz w:val="24"/>
          <w:szCs w:val="24"/>
          <w:lang w:eastAsia="lv-LV"/>
        </w:rPr>
        <w:tab/>
      </w:r>
      <w:r w:rsidR="00B66B37" w:rsidRPr="00154DAA">
        <w:rPr>
          <w:sz w:val="24"/>
          <w:szCs w:val="24"/>
        </w:rPr>
        <w:t xml:space="preserve"> </w:t>
      </w:r>
    </w:p>
    <w:p w:rsidR="00AA2194" w:rsidRPr="00154DAA" w:rsidRDefault="00AA2194" w:rsidP="00AA2194">
      <w:pPr>
        <w:spacing w:after="0" w:line="240" w:lineRule="auto"/>
        <w:ind w:right="-284"/>
        <w:rPr>
          <w:sz w:val="24"/>
          <w:szCs w:val="24"/>
        </w:rPr>
      </w:pPr>
      <w:r w:rsidRPr="00154DAA">
        <w:rPr>
          <w:sz w:val="24"/>
          <w:szCs w:val="24"/>
        </w:rPr>
        <w:fldChar w:fldCharType="begin"/>
      </w:r>
      <w:r w:rsidRPr="00154DAA">
        <w:rPr>
          <w:sz w:val="24"/>
          <w:szCs w:val="24"/>
        </w:rPr>
        <w:instrText xml:space="preserve"> NUMWORDS  \* MERGEFORMAT </w:instrText>
      </w:r>
      <w:r w:rsidRPr="00154DAA">
        <w:rPr>
          <w:sz w:val="24"/>
          <w:szCs w:val="24"/>
        </w:rPr>
        <w:fldChar w:fldCharType="separate"/>
      </w:r>
      <w:r w:rsidR="00193338">
        <w:rPr>
          <w:noProof/>
          <w:sz w:val="24"/>
          <w:szCs w:val="24"/>
        </w:rPr>
        <w:t>486</w:t>
      </w:r>
      <w:r w:rsidRPr="00154DAA">
        <w:rPr>
          <w:sz w:val="24"/>
          <w:szCs w:val="24"/>
        </w:rPr>
        <w:fldChar w:fldCharType="end"/>
      </w:r>
      <w:bookmarkStart w:id="2" w:name="_GoBack"/>
      <w:bookmarkEnd w:id="2"/>
    </w:p>
    <w:p w:rsidR="00C61646" w:rsidRDefault="00C61646">
      <w:pPr>
        <w:spacing w:after="0" w:line="240" w:lineRule="auto"/>
        <w:rPr>
          <w:sz w:val="24"/>
          <w:szCs w:val="24"/>
        </w:rPr>
      </w:pPr>
      <w:r w:rsidRPr="00C61646">
        <w:rPr>
          <w:sz w:val="24"/>
          <w:szCs w:val="24"/>
        </w:rPr>
        <w:t>I.Začeste</w:t>
      </w:r>
      <w:r w:rsidR="00017DF0" w:rsidRPr="00154DAA">
        <w:rPr>
          <w:sz w:val="24"/>
          <w:szCs w:val="24"/>
        </w:rPr>
        <w:t xml:space="preserve"> </w:t>
      </w:r>
    </w:p>
    <w:p w:rsidR="00AA2194" w:rsidRDefault="00017DF0">
      <w:pPr>
        <w:spacing w:after="0" w:line="240" w:lineRule="auto"/>
        <w:rPr>
          <w:sz w:val="24"/>
          <w:szCs w:val="24"/>
        </w:rPr>
      </w:pPr>
      <w:r w:rsidRPr="00154DAA">
        <w:rPr>
          <w:sz w:val="24"/>
          <w:szCs w:val="24"/>
        </w:rPr>
        <w:t>67366</w:t>
      </w:r>
      <w:r w:rsidR="00AA2194" w:rsidRPr="00154DAA">
        <w:rPr>
          <w:sz w:val="24"/>
          <w:szCs w:val="24"/>
        </w:rPr>
        <w:t>897</w:t>
      </w:r>
      <w:r w:rsidR="00C61646">
        <w:rPr>
          <w:sz w:val="24"/>
          <w:szCs w:val="24"/>
        </w:rPr>
        <w:t xml:space="preserve">, </w:t>
      </w:r>
      <w:hyperlink r:id="rId8" w:history="1">
        <w:r w:rsidR="00064A32" w:rsidRPr="00D140B4">
          <w:rPr>
            <w:rStyle w:val="Hyperlink"/>
            <w:sz w:val="24"/>
            <w:szCs w:val="24"/>
          </w:rPr>
          <w:t>Ieva.Zaceste@csb.gov.lv</w:t>
        </w:r>
      </w:hyperlink>
    </w:p>
    <w:p w:rsidR="00064A32" w:rsidRPr="00064A32" w:rsidRDefault="00064A32" w:rsidP="0006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064A32">
        <w:rPr>
          <w:sz w:val="24"/>
          <w:szCs w:val="24"/>
        </w:rPr>
        <w:t>.</w:t>
      </w:r>
      <w:r>
        <w:rPr>
          <w:sz w:val="24"/>
          <w:szCs w:val="24"/>
        </w:rPr>
        <w:t>Orlova</w:t>
      </w:r>
      <w:r w:rsidRPr="00064A32">
        <w:rPr>
          <w:sz w:val="24"/>
          <w:szCs w:val="24"/>
        </w:rPr>
        <w:t xml:space="preserve"> </w:t>
      </w:r>
    </w:p>
    <w:p w:rsidR="00064A32" w:rsidRDefault="00064A32" w:rsidP="00064A32">
      <w:pPr>
        <w:spacing w:after="0" w:line="240" w:lineRule="auto"/>
        <w:rPr>
          <w:sz w:val="24"/>
          <w:szCs w:val="24"/>
        </w:rPr>
      </w:pPr>
      <w:r w:rsidRPr="00064A32">
        <w:rPr>
          <w:sz w:val="24"/>
          <w:szCs w:val="24"/>
        </w:rPr>
        <w:t>67366</w:t>
      </w:r>
      <w:r>
        <w:rPr>
          <w:sz w:val="24"/>
          <w:szCs w:val="24"/>
        </w:rPr>
        <w:t>962</w:t>
      </w:r>
      <w:r w:rsidRPr="00064A32">
        <w:rPr>
          <w:sz w:val="24"/>
          <w:szCs w:val="24"/>
        </w:rPr>
        <w:t xml:space="preserve">, </w:t>
      </w:r>
      <w:hyperlink r:id="rId9" w:history="1">
        <w:r w:rsidRPr="00D140B4">
          <w:rPr>
            <w:rStyle w:val="Hyperlink"/>
            <w:sz w:val="24"/>
            <w:szCs w:val="24"/>
          </w:rPr>
          <w:t>Nadezda.Orlova@csb.gov.lv</w:t>
        </w:r>
      </w:hyperlink>
    </w:p>
    <w:p w:rsidR="00064A32" w:rsidRPr="00154DAA" w:rsidRDefault="00064A32" w:rsidP="00064A32">
      <w:pPr>
        <w:spacing w:after="0" w:line="240" w:lineRule="auto"/>
        <w:rPr>
          <w:sz w:val="24"/>
          <w:szCs w:val="24"/>
        </w:rPr>
      </w:pPr>
    </w:p>
    <w:p w:rsidR="00AA2194" w:rsidRDefault="00AA2194" w:rsidP="00AA2194">
      <w:pPr>
        <w:rPr>
          <w:sz w:val="22"/>
        </w:rPr>
      </w:pPr>
    </w:p>
    <w:p w:rsidR="007402C2" w:rsidRPr="00AA2194" w:rsidRDefault="007402C2" w:rsidP="00AA2194">
      <w:pPr>
        <w:rPr>
          <w:sz w:val="22"/>
        </w:rPr>
      </w:pPr>
    </w:p>
    <w:sectPr w:rsidR="007402C2" w:rsidRPr="00AA2194" w:rsidSect="007B1FFC">
      <w:headerReference w:type="default" r:id="rId10"/>
      <w:footerReference w:type="default" r:id="rId11"/>
      <w:footerReference w:type="first" r:id="rId12"/>
      <w:pgSz w:w="11906" w:h="16838"/>
      <w:pgMar w:top="1134" w:right="849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83" w:rsidRDefault="005D7983">
      <w:pPr>
        <w:spacing w:after="0" w:line="240" w:lineRule="auto"/>
      </w:pPr>
      <w:r>
        <w:separator/>
      </w:r>
    </w:p>
  </w:endnote>
  <w:endnote w:type="continuationSeparator" w:id="0">
    <w:p w:rsidR="005D7983" w:rsidRDefault="005D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8" w:rsidRPr="00AA2194" w:rsidRDefault="00AC2398" w:rsidP="00AC2398">
    <w:pPr>
      <w:pStyle w:val="Footer"/>
      <w:jc w:val="both"/>
      <w:rPr>
        <w:sz w:val="24"/>
        <w:szCs w:val="24"/>
      </w:rPr>
    </w:pPr>
    <w:r w:rsidRPr="00AA2194">
      <w:rPr>
        <w:sz w:val="24"/>
        <w:szCs w:val="24"/>
      </w:rPr>
      <w:fldChar w:fldCharType="begin"/>
    </w:r>
    <w:r w:rsidRPr="00AA2194">
      <w:rPr>
        <w:sz w:val="24"/>
        <w:szCs w:val="24"/>
      </w:rPr>
      <w:instrText xml:space="preserve"> FILENAME  \* MERGEFORMAT </w:instrText>
    </w:r>
    <w:r w:rsidRPr="00AA2194">
      <w:rPr>
        <w:sz w:val="24"/>
        <w:szCs w:val="24"/>
      </w:rPr>
      <w:fldChar w:fldCharType="separate"/>
    </w:r>
    <w:r w:rsidR="00047CFA">
      <w:rPr>
        <w:noProof/>
        <w:sz w:val="24"/>
        <w:szCs w:val="24"/>
      </w:rPr>
      <w:t>EMAnot_240117_atvk</w:t>
    </w:r>
    <w:r w:rsidRPr="00AA2194">
      <w:rPr>
        <w:sz w:val="24"/>
        <w:szCs w:val="24"/>
      </w:rPr>
      <w:fldChar w:fldCharType="end"/>
    </w:r>
    <w:r w:rsidRPr="00AA2194">
      <w:rPr>
        <w:sz w:val="24"/>
        <w:szCs w:val="24"/>
      </w:rPr>
      <w:t xml:space="preserve">; </w:t>
    </w:r>
    <w:r w:rsidRPr="009A46AE">
      <w:rPr>
        <w:color w:val="000000"/>
        <w:sz w:val="24"/>
        <w:szCs w:val="24"/>
      </w:rPr>
      <w:t>Administratīvo teritoriju un teritoriālo vienību klasifikator</w:t>
    </w:r>
    <w:r>
      <w:rPr>
        <w:color w:val="000000"/>
        <w:sz w:val="24"/>
        <w:szCs w:val="24"/>
      </w:rPr>
      <w:t>a noteikumi</w:t>
    </w:r>
  </w:p>
  <w:p w:rsidR="008855D4" w:rsidRDefault="008855D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4" w:rsidRPr="00AA2194" w:rsidRDefault="00AA2194" w:rsidP="00AA2194">
    <w:pPr>
      <w:pStyle w:val="Footer"/>
      <w:jc w:val="both"/>
      <w:rPr>
        <w:sz w:val="24"/>
        <w:szCs w:val="24"/>
      </w:rPr>
    </w:pPr>
    <w:r w:rsidRPr="00AA2194">
      <w:rPr>
        <w:sz w:val="24"/>
        <w:szCs w:val="24"/>
      </w:rPr>
      <w:fldChar w:fldCharType="begin"/>
    </w:r>
    <w:r w:rsidRPr="00AA2194">
      <w:rPr>
        <w:sz w:val="24"/>
        <w:szCs w:val="24"/>
      </w:rPr>
      <w:instrText xml:space="preserve"> FILENAME  \* MERGEFORMAT </w:instrText>
    </w:r>
    <w:r w:rsidRPr="00AA2194">
      <w:rPr>
        <w:sz w:val="24"/>
        <w:szCs w:val="24"/>
      </w:rPr>
      <w:fldChar w:fldCharType="separate"/>
    </w:r>
    <w:r w:rsidR="00047CFA">
      <w:rPr>
        <w:noProof/>
        <w:sz w:val="24"/>
        <w:szCs w:val="24"/>
      </w:rPr>
      <w:t>EMAnot_240117_atvk</w:t>
    </w:r>
    <w:r w:rsidRPr="00AA2194">
      <w:rPr>
        <w:sz w:val="24"/>
        <w:szCs w:val="24"/>
      </w:rPr>
      <w:fldChar w:fldCharType="end"/>
    </w:r>
    <w:r w:rsidRPr="00AA2194">
      <w:rPr>
        <w:sz w:val="24"/>
        <w:szCs w:val="24"/>
      </w:rPr>
      <w:t xml:space="preserve">; </w:t>
    </w:r>
    <w:r w:rsidR="009A46AE" w:rsidRPr="009A46AE">
      <w:rPr>
        <w:color w:val="000000"/>
        <w:sz w:val="24"/>
        <w:szCs w:val="24"/>
      </w:rPr>
      <w:t>Administratīvo teritoriju un teritoriālo vienību klasifikator</w:t>
    </w:r>
    <w:r w:rsidR="00064A32">
      <w:rPr>
        <w:color w:val="000000"/>
        <w:sz w:val="24"/>
        <w:szCs w:val="24"/>
      </w:rPr>
      <w:t>a noteikumi</w:t>
    </w:r>
  </w:p>
  <w:p w:rsidR="008855D4" w:rsidRPr="00AA2194" w:rsidRDefault="008855D4" w:rsidP="00AA2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83" w:rsidRDefault="005D7983">
      <w:pPr>
        <w:spacing w:after="0" w:line="240" w:lineRule="auto"/>
      </w:pPr>
      <w:r>
        <w:separator/>
      </w:r>
    </w:p>
  </w:footnote>
  <w:footnote w:type="continuationSeparator" w:id="0">
    <w:p w:rsidR="005D7983" w:rsidRDefault="005D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D4" w:rsidRDefault="008855D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7A3A5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855D4" w:rsidRDefault="00885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8A5"/>
    <w:multiLevelType w:val="hybridMultilevel"/>
    <w:tmpl w:val="8D36E3B4"/>
    <w:lvl w:ilvl="0" w:tplc="ECAC1846">
      <w:start w:val="1"/>
      <w:numFmt w:val="decimal"/>
      <w:pStyle w:val="VSIPpiezime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" w15:restartNumberingAfterBreak="0">
    <w:nsid w:val="65C75675"/>
    <w:multiLevelType w:val="multilevel"/>
    <w:tmpl w:val="19426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DA6CD6"/>
    <w:multiLevelType w:val="hybridMultilevel"/>
    <w:tmpl w:val="2DE8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EB"/>
    <w:rsid w:val="000011B3"/>
    <w:rsid w:val="000035BC"/>
    <w:rsid w:val="00010382"/>
    <w:rsid w:val="0001268F"/>
    <w:rsid w:val="00017DF0"/>
    <w:rsid w:val="000201EE"/>
    <w:rsid w:val="000229DD"/>
    <w:rsid w:val="00023165"/>
    <w:rsid w:val="0002443B"/>
    <w:rsid w:val="00027310"/>
    <w:rsid w:val="00035577"/>
    <w:rsid w:val="00047CFA"/>
    <w:rsid w:val="00050288"/>
    <w:rsid w:val="00052CD3"/>
    <w:rsid w:val="00054028"/>
    <w:rsid w:val="00064A32"/>
    <w:rsid w:val="00065F19"/>
    <w:rsid w:val="00066D72"/>
    <w:rsid w:val="00066E63"/>
    <w:rsid w:val="00070E99"/>
    <w:rsid w:val="00074855"/>
    <w:rsid w:val="00076A72"/>
    <w:rsid w:val="00083CF2"/>
    <w:rsid w:val="00086261"/>
    <w:rsid w:val="00096CC6"/>
    <w:rsid w:val="000976B0"/>
    <w:rsid w:val="000A0F38"/>
    <w:rsid w:val="000A786E"/>
    <w:rsid w:val="000B1AAD"/>
    <w:rsid w:val="000C0A2A"/>
    <w:rsid w:val="000C0E5F"/>
    <w:rsid w:val="000C2254"/>
    <w:rsid w:val="000D4EC6"/>
    <w:rsid w:val="000D5012"/>
    <w:rsid w:val="000D6E53"/>
    <w:rsid w:val="000E01ED"/>
    <w:rsid w:val="000E3961"/>
    <w:rsid w:val="000E6C20"/>
    <w:rsid w:val="000F079F"/>
    <w:rsid w:val="000F18F5"/>
    <w:rsid w:val="000F767B"/>
    <w:rsid w:val="000F7D2B"/>
    <w:rsid w:val="00100D4A"/>
    <w:rsid w:val="00113BCC"/>
    <w:rsid w:val="00124A7A"/>
    <w:rsid w:val="001266D1"/>
    <w:rsid w:val="00130AF2"/>
    <w:rsid w:val="001319A7"/>
    <w:rsid w:val="001326F2"/>
    <w:rsid w:val="00134962"/>
    <w:rsid w:val="00141910"/>
    <w:rsid w:val="0014229F"/>
    <w:rsid w:val="001513BB"/>
    <w:rsid w:val="0015248F"/>
    <w:rsid w:val="00154DAA"/>
    <w:rsid w:val="0015612A"/>
    <w:rsid w:val="00156AC8"/>
    <w:rsid w:val="00157210"/>
    <w:rsid w:val="0017315A"/>
    <w:rsid w:val="00174028"/>
    <w:rsid w:val="00174486"/>
    <w:rsid w:val="00184116"/>
    <w:rsid w:val="0018618D"/>
    <w:rsid w:val="00193338"/>
    <w:rsid w:val="0019535F"/>
    <w:rsid w:val="001A41BE"/>
    <w:rsid w:val="001C0365"/>
    <w:rsid w:val="001C3FC8"/>
    <w:rsid w:val="001C45AF"/>
    <w:rsid w:val="001C5104"/>
    <w:rsid w:val="001C72B2"/>
    <w:rsid w:val="001C78E7"/>
    <w:rsid w:val="001D1A6C"/>
    <w:rsid w:val="001D2AA8"/>
    <w:rsid w:val="001E41A1"/>
    <w:rsid w:val="001F0CA1"/>
    <w:rsid w:val="001F21A4"/>
    <w:rsid w:val="001F2C51"/>
    <w:rsid w:val="002016F4"/>
    <w:rsid w:val="0020451B"/>
    <w:rsid w:val="0021042D"/>
    <w:rsid w:val="0021249B"/>
    <w:rsid w:val="00222FA7"/>
    <w:rsid w:val="002426E9"/>
    <w:rsid w:val="00242CCD"/>
    <w:rsid w:val="0024389E"/>
    <w:rsid w:val="00246835"/>
    <w:rsid w:val="0026484F"/>
    <w:rsid w:val="00264CF0"/>
    <w:rsid w:val="0027221A"/>
    <w:rsid w:val="002810EB"/>
    <w:rsid w:val="00283840"/>
    <w:rsid w:val="002852BD"/>
    <w:rsid w:val="00285F88"/>
    <w:rsid w:val="0028780E"/>
    <w:rsid w:val="00293C74"/>
    <w:rsid w:val="0029675F"/>
    <w:rsid w:val="002A0317"/>
    <w:rsid w:val="002A2401"/>
    <w:rsid w:val="002A2752"/>
    <w:rsid w:val="002A614B"/>
    <w:rsid w:val="002A6E75"/>
    <w:rsid w:val="002A7EB2"/>
    <w:rsid w:val="002B7237"/>
    <w:rsid w:val="002C135E"/>
    <w:rsid w:val="002C5BF7"/>
    <w:rsid w:val="002D1DA3"/>
    <w:rsid w:val="002D6A74"/>
    <w:rsid w:val="002E0FF7"/>
    <w:rsid w:val="002E7EF7"/>
    <w:rsid w:val="002F1466"/>
    <w:rsid w:val="002F4D56"/>
    <w:rsid w:val="0030105E"/>
    <w:rsid w:val="00302066"/>
    <w:rsid w:val="00310DB4"/>
    <w:rsid w:val="003149BE"/>
    <w:rsid w:val="003156BB"/>
    <w:rsid w:val="00324E4A"/>
    <w:rsid w:val="00330A23"/>
    <w:rsid w:val="0033592D"/>
    <w:rsid w:val="00355FD0"/>
    <w:rsid w:val="003565EE"/>
    <w:rsid w:val="00356C1D"/>
    <w:rsid w:val="00361477"/>
    <w:rsid w:val="003620B3"/>
    <w:rsid w:val="0036664C"/>
    <w:rsid w:val="00380E77"/>
    <w:rsid w:val="00387870"/>
    <w:rsid w:val="0039081A"/>
    <w:rsid w:val="003945AD"/>
    <w:rsid w:val="00395A9C"/>
    <w:rsid w:val="003A0BEE"/>
    <w:rsid w:val="003A34BB"/>
    <w:rsid w:val="003A6FB2"/>
    <w:rsid w:val="003B2F83"/>
    <w:rsid w:val="003B62F8"/>
    <w:rsid w:val="003B633A"/>
    <w:rsid w:val="003B7BE0"/>
    <w:rsid w:val="003C230A"/>
    <w:rsid w:val="003C5E57"/>
    <w:rsid w:val="003D1360"/>
    <w:rsid w:val="003D347B"/>
    <w:rsid w:val="003D3A3D"/>
    <w:rsid w:val="003D4F79"/>
    <w:rsid w:val="003D68D9"/>
    <w:rsid w:val="003E1FD7"/>
    <w:rsid w:val="003E6549"/>
    <w:rsid w:val="003F3719"/>
    <w:rsid w:val="004000E1"/>
    <w:rsid w:val="00402B45"/>
    <w:rsid w:val="00403EDC"/>
    <w:rsid w:val="00405D9C"/>
    <w:rsid w:val="00415434"/>
    <w:rsid w:val="00420143"/>
    <w:rsid w:val="00424590"/>
    <w:rsid w:val="00425329"/>
    <w:rsid w:val="0043592D"/>
    <w:rsid w:val="004359CF"/>
    <w:rsid w:val="00436C71"/>
    <w:rsid w:val="00441396"/>
    <w:rsid w:val="00441D10"/>
    <w:rsid w:val="00446470"/>
    <w:rsid w:val="00446B9E"/>
    <w:rsid w:val="00447810"/>
    <w:rsid w:val="00450169"/>
    <w:rsid w:val="00455F1E"/>
    <w:rsid w:val="00456FFB"/>
    <w:rsid w:val="00457A56"/>
    <w:rsid w:val="00465506"/>
    <w:rsid w:val="004664D0"/>
    <w:rsid w:val="00474EB9"/>
    <w:rsid w:val="0047718B"/>
    <w:rsid w:val="00496FDB"/>
    <w:rsid w:val="004A04BF"/>
    <w:rsid w:val="004A33A1"/>
    <w:rsid w:val="004B4753"/>
    <w:rsid w:val="004B60C1"/>
    <w:rsid w:val="004B7914"/>
    <w:rsid w:val="004C0E14"/>
    <w:rsid w:val="004D22F0"/>
    <w:rsid w:val="004E52CF"/>
    <w:rsid w:val="004E61B8"/>
    <w:rsid w:val="004E788A"/>
    <w:rsid w:val="004E7931"/>
    <w:rsid w:val="004F04FB"/>
    <w:rsid w:val="004F7548"/>
    <w:rsid w:val="00513DDB"/>
    <w:rsid w:val="00513F9D"/>
    <w:rsid w:val="005158FA"/>
    <w:rsid w:val="00517C4B"/>
    <w:rsid w:val="00527546"/>
    <w:rsid w:val="0053324F"/>
    <w:rsid w:val="0053725F"/>
    <w:rsid w:val="0054527F"/>
    <w:rsid w:val="00545330"/>
    <w:rsid w:val="00554A06"/>
    <w:rsid w:val="005550C6"/>
    <w:rsid w:val="005640F6"/>
    <w:rsid w:val="00565966"/>
    <w:rsid w:val="00576D95"/>
    <w:rsid w:val="00577052"/>
    <w:rsid w:val="005809AF"/>
    <w:rsid w:val="0058221B"/>
    <w:rsid w:val="0058527D"/>
    <w:rsid w:val="005873B4"/>
    <w:rsid w:val="005879A6"/>
    <w:rsid w:val="00590681"/>
    <w:rsid w:val="00595703"/>
    <w:rsid w:val="00596742"/>
    <w:rsid w:val="005A3424"/>
    <w:rsid w:val="005A4222"/>
    <w:rsid w:val="005A4D63"/>
    <w:rsid w:val="005A562E"/>
    <w:rsid w:val="005A60B4"/>
    <w:rsid w:val="005A6C33"/>
    <w:rsid w:val="005A6FA1"/>
    <w:rsid w:val="005B3C57"/>
    <w:rsid w:val="005B7004"/>
    <w:rsid w:val="005C0E1F"/>
    <w:rsid w:val="005D1B2F"/>
    <w:rsid w:val="005D4A60"/>
    <w:rsid w:val="005D4C1D"/>
    <w:rsid w:val="005D60BF"/>
    <w:rsid w:val="005D7983"/>
    <w:rsid w:val="005E387E"/>
    <w:rsid w:val="005E4E93"/>
    <w:rsid w:val="005E755F"/>
    <w:rsid w:val="005E7782"/>
    <w:rsid w:val="005F18F1"/>
    <w:rsid w:val="005F1CEB"/>
    <w:rsid w:val="005F416C"/>
    <w:rsid w:val="005F6376"/>
    <w:rsid w:val="00610470"/>
    <w:rsid w:val="00612AEE"/>
    <w:rsid w:val="0061639C"/>
    <w:rsid w:val="006168BB"/>
    <w:rsid w:val="00626526"/>
    <w:rsid w:val="0063335D"/>
    <w:rsid w:val="006354FB"/>
    <w:rsid w:val="00637925"/>
    <w:rsid w:val="00641943"/>
    <w:rsid w:val="00652D20"/>
    <w:rsid w:val="00666AAE"/>
    <w:rsid w:val="00671CAE"/>
    <w:rsid w:val="006728DC"/>
    <w:rsid w:val="00674A83"/>
    <w:rsid w:val="006827FE"/>
    <w:rsid w:val="00683628"/>
    <w:rsid w:val="00690BAF"/>
    <w:rsid w:val="00691735"/>
    <w:rsid w:val="006929A7"/>
    <w:rsid w:val="00694081"/>
    <w:rsid w:val="006A0D3C"/>
    <w:rsid w:val="006A1FAD"/>
    <w:rsid w:val="006A355C"/>
    <w:rsid w:val="006A59DF"/>
    <w:rsid w:val="006B1FF7"/>
    <w:rsid w:val="006B450C"/>
    <w:rsid w:val="006B4581"/>
    <w:rsid w:val="006B598B"/>
    <w:rsid w:val="006B6EFB"/>
    <w:rsid w:val="006C0867"/>
    <w:rsid w:val="006C2C70"/>
    <w:rsid w:val="006C4A9E"/>
    <w:rsid w:val="006D23AC"/>
    <w:rsid w:val="006E0728"/>
    <w:rsid w:val="006E3C34"/>
    <w:rsid w:val="00701C22"/>
    <w:rsid w:val="00704FA2"/>
    <w:rsid w:val="00706AF7"/>
    <w:rsid w:val="00707A68"/>
    <w:rsid w:val="00720AA9"/>
    <w:rsid w:val="00732086"/>
    <w:rsid w:val="007402C2"/>
    <w:rsid w:val="00741048"/>
    <w:rsid w:val="0075214A"/>
    <w:rsid w:val="00752E87"/>
    <w:rsid w:val="00752F4F"/>
    <w:rsid w:val="0075415D"/>
    <w:rsid w:val="00756722"/>
    <w:rsid w:val="00760B3F"/>
    <w:rsid w:val="00765C3B"/>
    <w:rsid w:val="007662CE"/>
    <w:rsid w:val="00773D87"/>
    <w:rsid w:val="00774B1E"/>
    <w:rsid w:val="0077667C"/>
    <w:rsid w:val="00786509"/>
    <w:rsid w:val="00787D53"/>
    <w:rsid w:val="00792827"/>
    <w:rsid w:val="007A3A58"/>
    <w:rsid w:val="007B1E51"/>
    <w:rsid w:val="007B1FFC"/>
    <w:rsid w:val="007B3317"/>
    <w:rsid w:val="007B5FD0"/>
    <w:rsid w:val="007C3E2B"/>
    <w:rsid w:val="007C7E73"/>
    <w:rsid w:val="007D3429"/>
    <w:rsid w:val="007D38F4"/>
    <w:rsid w:val="007D3EDD"/>
    <w:rsid w:val="007E4110"/>
    <w:rsid w:val="007E6525"/>
    <w:rsid w:val="007F3DFB"/>
    <w:rsid w:val="007F4879"/>
    <w:rsid w:val="007F4931"/>
    <w:rsid w:val="007F5F34"/>
    <w:rsid w:val="007F64F0"/>
    <w:rsid w:val="00801E41"/>
    <w:rsid w:val="00802171"/>
    <w:rsid w:val="008051CC"/>
    <w:rsid w:val="008069C2"/>
    <w:rsid w:val="0080730B"/>
    <w:rsid w:val="00807B63"/>
    <w:rsid w:val="00807C74"/>
    <w:rsid w:val="0081061C"/>
    <w:rsid w:val="00816B0E"/>
    <w:rsid w:val="008210A7"/>
    <w:rsid w:val="008248D3"/>
    <w:rsid w:val="00826657"/>
    <w:rsid w:val="00827790"/>
    <w:rsid w:val="0083418B"/>
    <w:rsid w:val="00835530"/>
    <w:rsid w:val="0084404C"/>
    <w:rsid w:val="008510ED"/>
    <w:rsid w:val="00852D43"/>
    <w:rsid w:val="008572F7"/>
    <w:rsid w:val="00865B45"/>
    <w:rsid w:val="0086768D"/>
    <w:rsid w:val="0087087A"/>
    <w:rsid w:val="00870AD5"/>
    <w:rsid w:val="00876B9A"/>
    <w:rsid w:val="00877AE6"/>
    <w:rsid w:val="008855D4"/>
    <w:rsid w:val="0089211B"/>
    <w:rsid w:val="0089217F"/>
    <w:rsid w:val="008A12D8"/>
    <w:rsid w:val="008C3541"/>
    <w:rsid w:val="008C4AC0"/>
    <w:rsid w:val="008C588E"/>
    <w:rsid w:val="008D1C63"/>
    <w:rsid w:val="008D4B60"/>
    <w:rsid w:val="008D6184"/>
    <w:rsid w:val="008E09C6"/>
    <w:rsid w:val="008E5196"/>
    <w:rsid w:val="008F0A7D"/>
    <w:rsid w:val="008F22E1"/>
    <w:rsid w:val="008F2435"/>
    <w:rsid w:val="008F6A97"/>
    <w:rsid w:val="008F70E9"/>
    <w:rsid w:val="00900213"/>
    <w:rsid w:val="00900359"/>
    <w:rsid w:val="00903B7D"/>
    <w:rsid w:val="00907F78"/>
    <w:rsid w:val="00910D4C"/>
    <w:rsid w:val="00911CDE"/>
    <w:rsid w:val="00911F93"/>
    <w:rsid w:val="00912F25"/>
    <w:rsid w:val="0091483D"/>
    <w:rsid w:val="00916088"/>
    <w:rsid w:val="009160D0"/>
    <w:rsid w:val="00917533"/>
    <w:rsid w:val="00917E94"/>
    <w:rsid w:val="0092201B"/>
    <w:rsid w:val="00923762"/>
    <w:rsid w:val="00923808"/>
    <w:rsid w:val="00924B87"/>
    <w:rsid w:val="00930E97"/>
    <w:rsid w:val="00935D73"/>
    <w:rsid w:val="009368D3"/>
    <w:rsid w:val="00941A86"/>
    <w:rsid w:val="00942084"/>
    <w:rsid w:val="00944520"/>
    <w:rsid w:val="00947768"/>
    <w:rsid w:val="00956310"/>
    <w:rsid w:val="009601DB"/>
    <w:rsid w:val="00961BEB"/>
    <w:rsid w:val="00963BC8"/>
    <w:rsid w:val="00970A85"/>
    <w:rsid w:val="009721EA"/>
    <w:rsid w:val="0098060E"/>
    <w:rsid w:val="009807B1"/>
    <w:rsid w:val="00987F06"/>
    <w:rsid w:val="00987F69"/>
    <w:rsid w:val="00991E3F"/>
    <w:rsid w:val="009945C0"/>
    <w:rsid w:val="009A2AB1"/>
    <w:rsid w:val="009A3DF6"/>
    <w:rsid w:val="009A46AE"/>
    <w:rsid w:val="009A7E8C"/>
    <w:rsid w:val="009B0D7E"/>
    <w:rsid w:val="009B6D91"/>
    <w:rsid w:val="009B6DF2"/>
    <w:rsid w:val="009C31DB"/>
    <w:rsid w:val="009C4919"/>
    <w:rsid w:val="009C4D1D"/>
    <w:rsid w:val="009D6529"/>
    <w:rsid w:val="009D7EAF"/>
    <w:rsid w:val="009E2953"/>
    <w:rsid w:val="009E34B6"/>
    <w:rsid w:val="009E6EA7"/>
    <w:rsid w:val="009F0D38"/>
    <w:rsid w:val="009F2BB8"/>
    <w:rsid w:val="009F5268"/>
    <w:rsid w:val="009F670B"/>
    <w:rsid w:val="009F7139"/>
    <w:rsid w:val="00A01F50"/>
    <w:rsid w:val="00A05961"/>
    <w:rsid w:val="00A06A28"/>
    <w:rsid w:val="00A103C8"/>
    <w:rsid w:val="00A10FC3"/>
    <w:rsid w:val="00A14D9D"/>
    <w:rsid w:val="00A168F3"/>
    <w:rsid w:val="00A2356C"/>
    <w:rsid w:val="00A25A44"/>
    <w:rsid w:val="00A307BF"/>
    <w:rsid w:val="00A34780"/>
    <w:rsid w:val="00A3667F"/>
    <w:rsid w:val="00A37283"/>
    <w:rsid w:val="00A43898"/>
    <w:rsid w:val="00A43BE5"/>
    <w:rsid w:val="00A5577D"/>
    <w:rsid w:val="00A57B9E"/>
    <w:rsid w:val="00A62657"/>
    <w:rsid w:val="00A6289C"/>
    <w:rsid w:val="00A645C1"/>
    <w:rsid w:val="00A844D5"/>
    <w:rsid w:val="00A900BF"/>
    <w:rsid w:val="00A90DEB"/>
    <w:rsid w:val="00A93ACF"/>
    <w:rsid w:val="00AA2194"/>
    <w:rsid w:val="00AB5C6F"/>
    <w:rsid w:val="00AB6067"/>
    <w:rsid w:val="00AC16A7"/>
    <w:rsid w:val="00AC196F"/>
    <w:rsid w:val="00AC2398"/>
    <w:rsid w:val="00AC720B"/>
    <w:rsid w:val="00AD0AA1"/>
    <w:rsid w:val="00AD230F"/>
    <w:rsid w:val="00AD29EB"/>
    <w:rsid w:val="00AE26ED"/>
    <w:rsid w:val="00AE475B"/>
    <w:rsid w:val="00AE5E46"/>
    <w:rsid w:val="00AE606A"/>
    <w:rsid w:val="00AF1944"/>
    <w:rsid w:val="00AF4EDA"/>
    <w:rsid w:val="00AF598C"/>
    <w:rsid w:val="00B02651"/>
    <w:rsid w:val="00B0397E"/>
    <w:rsid w:val="00B16571"/>
    <w:rsid w:val="00B205CB"/>
    <w:rsid w:val="00B21C05"/>
    <w:rsid w:val="00B369A6"/>
    <w:rsid w:val="00B37C6A"/>
    <w:rsid w:val="00B41DE6"/>
    <w:rsid w:val="00B471A0"/>
    <w:rsid w:val="00B511F7"/>
    <w:rsid w:val="00B60333"/>
    <w:rsid w:val="00B64240"/>
    <w:rsid w:val="00B645ED"/>
    <w:rsid w:val="00B66B37"/>
    <w:rsid w:val="00B67986"/>
    <w:rsid w:val="00B71163"/>
    <w:rsid w:val="00B711D9"/>
    <w:rsid w:val="00B720C4"/>
    <w:rsid w:val="00B72ACE"/>
    <w:rsid w:val="00B73A90"/>
    <w:rsid w:val="00B74365"/>
    <w:rsid w:val="00B74704"/>
    <w:rsid w:val="00B74730"/>
    <w:rsid w:val="00B7499E"/>
    <w:rsid w:val="00B805FF"/>
    <w:rsid w:val="00B81E85"/>
    <w:rsid w:val="00B825A5"/>
    <w:rsid w:val="00B86761"/>
    <w:rsid w:val="00B93791"/>
    <w:rsid w:val="00BA67AE"/>
    <w:rsid w:val="00BB049A"/>
    <w:rsid w:val="00BB07DA"/>
    <w:rsid w:val="00BB1E1E"/>
    <w:rsid w:val="00BC0F75"/>
    <w:rsid w:val="00BC4143"/>
    <w:rsid w:val="00BC5092"/>
    <w:rsid w:val="00BD08E2"/>
    <w:rsid w:val="00BD1E76"/>
    <w:rsid w:val="00BE32FD"/>
    <w:rsid w:val="00BE583F"/>
    <w:rsid w:val="00BE7AB2"/>
    <w:rsid w:val="00BF221B"/>
    <w:rsid w:val="00C0093B"/>
    <w:rsid w:val="00C01C47"/>
    <w:rsid w:val="00C052DC"/>
    <w:rsid w:val="00C0548D"/>
    <w:rsid w:val="00C10287"/>
    <w:rsid w:val="00C10710"/>
    <w:rsid w:val="00C158C8"/>
    <w:rsid w:val="00C1731B"/>
    <w:rsid w:val="00C20C67"/>
    <w:rsid w:val="00C22D3C"/>
    <w:rsid w:val="00C24B17"/>
    <w:rsid w:val="00C27791"/>
    <w:rsid w:val="00C27CA0"/>
    <w:rsid w:val="00C36648"/>
    <w:rsid w:val="00C408B1"/>
    <w:rsid w:val="00C46944"/>
    <w:rsid w:val="00C46F83"/>
    <w:rsid w:val="00C479C7"/>
    <w:rsid w:val="00C5620D"/>
    <w:rsid w:val="00C57FD9"/>
    <w:rsid w:val="00C613FA"/>
    <w:rsid w:val="00C61646"/>
    <w:rsid w:val="00C61BA7"/>
    <w:rsid w:val="00C62B24"/>
    <w:rsid w:val="00C662AB"/>
    <w:rsid w:val="00C82D72"/>
    <w:rsid w:val="00C82FEF"/>
    <w:rsid w:val="00C86DC0"/>
    <w:rsid w:val="00C92464"/>
    <w:rsid w:val="00CA35E2"/>
    <w:rsid w:val="00CA46E0"/>
    <w:rsid w:val="00CA7D87"/>
    <w:rsid w:val="00CB169E"/>
    <w:rsid w:val="00CB6B52"/>
    <w:rsid w:val="00CC5DD9"/>
    <w:rsid w:val="00CD0B33"/>
    <w:rsid w:val="00CD1CD3"/>
    <w:rsid w:val="00CD350A"/>
    <w:rsid w:val="00CE11E1"/>
    <w:rsid w:val="00CE6FA4"/>
    <w:rsid w:val="00CF0FFC"/>
    <w:rsid w:val="00CF2185"/>
    <w:rsid w:val="00CF3992"/>
    <w:rsid w:val="00CF41B6"/>
    <w:rsid w:val="00D0452F"/>
    <w:rsid w:val="00D1134E"/>
    <w:rsid w:val="00D1659C"/>
    <w:rsid w:val="00D204F2"/>
    <w:rsid w:val="00D26FD7"/>
    <w:rsid w:val="00D40ED3"/>
    <w:rsid w:val="00D421CB"/>
    <w:rsid w:val="00D4750D"/>
    <w:rsid w:val="00D5446A"/>
    <w:rsid w:val="00D57F62"/>
    <w:rsid w:val="00D67256"/>
    <w:rsid w:val="00D7128A"/>
    <w:rsid w:val="00D73A07"/>
    <w:rsid w:val="00D77398"/>
    <w:rsid w:val="00D80128"/>
    <w:rsid w:val="00D826AA"/>
    <w:rsid w:val="00D8343A"/>
    <w:rsid w:val="00D84445"/>
    <w:rsid w:val="00D86CD5"/>
    <w:rsid w:val="00D93875"/>
    <w:rsid w:val="00D9794D"/>
    <w:rsid w:val="00DA2A51"/>
    <w:rsid w:val="00DB25E7"/>
    <w:rsid w:val="00DB2F4F"/>
    <w:rsid w:val="00DC0E4D"/>
    <w:rsid w:val="00DC2E06"/>
    <w:rsid w:val="00DC40CC"/>
    <w:rsid w:val="00DC5BE4"/>
    <w:rsid w:val="00DD5B87"/>
    <w:rsid w:val="00DD5C7E"/>
    <w:rsid w:val="00DD7928"/>
    <w:rsid w:val="00DE01F9"/>
    <w:rsid w:val="00DE3B24"/>
    <w:rsid w:val="00DE4761"/>
    <w:rsid w:val="00DF3729"/>
    <w:rsid w:val="00E0048A"/>
    <w:rsid w:val="00E009A2"/>
    <w:rsid w:val="00E00F1C"/>
    <w:rsid w:val="00E03360"/>
    <w:rsid w:val="00E11087"/>
    <w:rsid w:val="00E137C5"/>
    <w:rsid w:val="00E14A9E"/>
    <w:rsid w:val="00E14E61"/>
    <w:rsid w:val="00E2041E"/>
    <w:rsid w:val="00E2088A"/>
    <w:rsid w:val="00E20DDA"/>
    <w:rsid w:val="00E22162"/>
    <w:rsid w:val="00E23A07"/>
    <w:rsid w:val="00E240FA"/>
    <w:rsid w:val="00E252C9"/>
    <w:rsid w:val="00E36AB7"/>
    <w:rsid w:val="00E42012"/>
    <w:rsid w:val="00E423B9"/>
    <w:rsid w:val="00E44FE6"/>
    <w:rsid w:val="00E47AB9"/>
    <w:rsid w:val="00E5103B"/>
    <w:rsid w:val="00E63CA7"/>
    <w:rsid w:val="00E72D7C"/>
    <w:rsid w:val="00E930B2"/>
    <w:rsid w:val="00EA1BE9"/>
    <w:rsid w:val="00EA3569"/>
    <w:rsid w:val="00EA4F2E"/>
    <w:rsid w:val="00EA594A"/>
    <w:rsid w:val="00EA61C4"/>
    <w:rsid w:val="00EA6A3D"/>
    <w:rsid w:val="00EA7973"/>
    <w:rsid w:val="00EB2603"/>
    <w:rsid w:val="00EB697D"/>
    <w:rsid w:val="00EC3D1F"/>
    <w:rsid w:val="00EC70E2"/>
    <w:rsid w:val="00ED311C"/>
    <w:rsid w:val="00EE383D"/>
    <w:rsid w:val="00EE79BC"/>
    <w:rsid w:val="00EF4C4B"/>
    <w:rsid w:val="00EF5F74"/>
    <w:rsid w:val="00EF5F8B"/>
    <w:rsid w:val="00EF7118"/>
    <w:rsid w:val="00F024B4"/>
    <w:rsid w:val="00F04961"/>
    <w:rsid w:val="00F06360"/>
    <w:rsid w:val="00F07D98"/>
    <w:rsid w:val="00F10F76"/>
    <w:rsid w:val="00F12053"/>
    <w:rsid w:val="00F13F15"/>
    <w:rsid w:val="00F142E3"/>
    <w:rsid w:val="00F24DCA"/>
    <w:rsid w:val="00F27031"/>
    <w:rsid w:val="00F3193B"/>
    <w:rsid w:val="00F33AFA"/>
    <w:rsid w:val="00F35789"/>
    <w:rsid w:val="00F54F19"/>
    <w:rsid w:val="00F56C18"/>
    <w:rsid w:val="00F612A2"/>
    <w:rsid w:val="00F6195F"/>
    <w:rsid w:val="00F6205C"/>
    <w:rsid w:val="00F6440F"/>
    <w:rsid w:val="00F71910"/>
    <w:rsid w:val="00F7256F"/>
    <w:rsid w:val="00F80379"/>
    <w:rsid w:val="00F80FF1"/>
    <w:rsid w:val="00F82CB5"/>
    <w:rsid w:val="00F900B3"/>
    <w:rsid w:val="00F94985"/>
    <w:rsid w:val="00F95322"/>
    <w:rsid w:val="00FA339A"/>
    <w:rsid w:val="00FB26E5"/>
    <w:rsid w:val="00FB2C59"/>
    <w:rsid w:val="00FC59F3"/>
    <w:rsid w:val="00FC74DB"/>
    <w:rsid w:val="00FD16C3"/>
    <w:rsid w:val="00FD49EC"/>
    <w:rsid w:val="00FD6055"/>
    <w:rsid w:val="00FE163C"/>
    <w:rsid w:val="00FF23F6"/>
    <w:rsid w:val="00FF2EA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B049-D57A-42D7-8BB4-A2F51C4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924B87"/>
    <w:pPr>
      <w:keepNext/>
      <w:keepLines/>
      <w:spacing w:before="480" w:after="0" w:line="240" w:lineRule="auto"/>
      <w:outlineLvl w:val="0"/>
    </w:pPr>
    <w:rPr>
      <w:rFonts w:eastAsia="Times New Roman"/>
      <w:cap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 w:line="240" w:lineRule="auto"/>
      <w:jc w:val="right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pPr>
      <w:spacing w:after="120" w:line="480" w:lineRule="auto"/>
    </w:pPr>
    <w:rPr>
      <w:rFonts w:ascii="Calibri" w:eastAsia="Times New Roman" w:hAnsi="Calibri"/>
      <w:lang w:eastAsia="lv-LV"/>
    </w:rPr>
  </w:style>
  <w:style w:type="character" w:customStyle="1" w:styleId="BodyText2Char">
    <w:name w:val="Body Text 2 Char"/>
    <w:rPr>
      <w:rFonts w:ascii="Calibri" w:eastAsia="Times New Roman" w:hAnsi="Calibri" w:cs="Times New Roman"/>
      <w:lang w:eastAsia="lv-LV"/>
    </w:rPr>
  </w:style>
  <w:style w:type="paragraph" w:customStyle="1" w:styleId="naisf">
    <w:name w:val="naisf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Point1">
    <w:name w:val="Point 1"/>
    <w:basedOn w:val="Normal"/>
    <w:pPr>
      <w:spacing w:before="120" w:after="120" w:line="360" w:lineRule="auto"/>
      <w:ind w:left="1417" w:hanging="567"/>
    </w:pPr>
    <w:rPr>
      <w:rFonts w:eastAsia="Times New Roman"/>
      <w:sz w:val="24"/>
      <w:szCs w:val="20"/>
    </w:rPr>
  </w:style>
  <w:style w:type="paragraph" w:customStyle="1" w:styleId="Char">
    <w:name w:val="Char"/>
    <w:basedOn w:val="Normal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naiskr">
    <w:name w:val="naiskr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">
    <w:name w:val="Body Text"/>
    <w:basedOn w:val="Normal"/>
    <w:pPr>
      <w:tabs>
        <w:tab w:val="left" w:pos="371"/>
      </w:tabs>
      <w:spacing w:after="0" w:line="240" w:lineRule="auto"/>
      <w:jc w:val="both"/>
    </w:pPr>
    <w:rPr>
      <w:szCs w:val="28"/>
    </w:rPr>
  </w:style>
  <w:style w:type="paragraph" w:styleId="FootnoteText">
    <w:name w:val="foot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customStyle="1" w:styleId="naisnod">
    <w:name w:val="naisnod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Indent">
    <w:name w:val="Body Text Indent"/>
    <w:basedOn w:val="Normal"/>
    <w:pPr>
      <w:widowControl w:val="0"/>
      <w:spacing w:before="60" w:after="60" w:line="360" w:lineRule="auto"/>
      <w:ind w:firstLine="720"/>
      <w:jc w:val="both"/>
    </w:pPr>
    <w:rPr>
      <w:rFonts w:eastAsia="Times New Roman"/>
      <w:sz w:val="26"/>
      <w:szCs w:val="20"/>
    </w:rPr>
  </w:style>
  <w:style w:type="paragraph" w:customStyle="1" w:styleId="VSIPpiezimes">
    <w:name w:val="VSIP piezimes"/>
    <w:basedOn w:val="FootnoteText"/>
    <w:pPr>
      <w:numPr>
        <w:numId w:val="1"/>
      </w:numPr>
      <w:tabs>
        <w:tab w:val="clear" w:pos="360"/>
        <w:tab w:val="num" w:pos="1171"/>
      </w:tabs>
      <w:spacing w:after="60"/>
      <w:ind w:left="1171" w:hanging="360"/>
    </w:pPr>
  </w:style>
  <w:style w:type="paragraph" w:styleId="BodyTextIndent2">
    <w:name w:val="Body Text Indent 2"/>
    <w:basedOn w:val="Normal"/>
    <w:pPr>
      <w:spacing w:after="0" w:line="240" w:lineRule="auto"/>
      <w:ind w:firstLine="701"/>
      <w:jc w:val="both"/>
    </w:pPr>
  </w:style>
  <w:style w:type="paragraph" w:customStyle="1" w:styleId="naisc">
    <w:name w:val="naisc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OC2">
    <w:name w:val="toc 2"/>
    <w:basedOn w:val="Normal"/>
    <w:next w:val="Normal"/>
    <w:autoRedefine/>
    <w:semiHidden/>
    <w:pPr>
      <w:spacing w:before="120" w:after="0" w:line="240" w:lineRule="auto"/>
      <w:ind w:left="240"/>
    </w:pPr>
    <w:rPr>
      <w:rFonts w:eastAsia="Times New Roman"/>
      <w:b/>
      <w:bCs/>
      <w:sz w:val="24"/>
      <w:szCs w:val="26"/>
      <w:lang w:val="en-GB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lv-LV"/>
    </w:rPr>
  </w:style>
  <w:style w:type="paragraph" w:styleId="EndnoteText">
    <w:name w:val="end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styleId="BodyText3">
    <w:name w:val="Body Text 3"/>
    <w:basedOn w:val="Normal"/>
    <w:pPr>
      <w:tabs>
        <w:tab w:val="num" w:pos="1080"/>
        <w:tab w:val="num" w:pos="1171"/>
        <w:tab w:val="left" w:pos="4827"/>
      </w:tabs>
      <w:autoSpaceDE w:val="0"/>
      <w:autoSpaceDN w:val="0"/>
      <w:adjustRightInd w:val="0"/>
      <w:spacing w:before="60" w:after="60" w:line="240" w:lineRule="auto"/>
      <w:ind w:right="82"/>
      <w:jc w:val="both"/>
    </w:pPr>
  </w:style>
  <w:style w:type="paragraph" w:styleId="EnvelopeReturn">
    <w:name w:val="envelope return"/>
    <w:basedOn w:val="Normal"/>
    <w:pPr>
      <w:spacing w:after="120" w:line="240" w:lineRule="auto"/>
      <w:ind w:firstLine="720"/>
      <w:jc w:val="both"/>
    </w:pPr>
    <w:rPr>
      <w:rFonts w:ascii="Arial" w:eastAsia="Times New Roman" w:hAnsi="Arial" w:cs="Arial"/>
      <w:szCs w:val="20"/>
      <w:lang w:val="en-AU"/>
    </w:rPr>
  </w:style>
  <w:style w:type="character" w:styleId="CommentReference">
    <w:name w:val="annotation reference"/>
    <w:semiHidden/>
    <w:rsid w:val="00961BEB"/>
    <w:rPr>
      <w:sz w:val="16"/>
      <w:szCs w:val="16"/>
    </w:rPr>
  </w:style>
  <w:style w:type="paragraph" w:styleId="CommentText">
    <w:name w:val="annotation text"/>
    <w:basedOn w:val="Normal"/>
    <w:semiHidden/>
    <w:rsid w:val="00961B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BEB"/>
    <w:rPr>
      <w:b/>
      <w:bCs/>
    </w:rPr>
  </w:style>
  <w:style w:type="character" w:customStyle="1" w:styleId="Heading1Char">
    <w:name w:val="Heading 1 Char"/>
    <w:link w:val="Heading1"/>
    <w:rsid w:val="00924B87"/>
    <w:rPr>
      <w:rFonts w:ascii="Times New Roman" w:eastAsia="Times New Roman" w:hAnsi="Times New Roman"/>
      <w:caps/>
      <w:kern w:val="28"/>
      <w:sz w:val="24"/>
      <w:lang w:eastAsia="en-US"/>
    </w:rPr>
  </w:style>
  <w:style w:type="paragraph" w:customStyle="1" w:styleId="Default">
    <w:name w:val="Default"/>
    <w:rsid w:val="001F0C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Normal"/>
    <w:rsid w:val="00C62B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Zaceste@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Orlova@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CB70-6D26-4103-9D1E-FB88398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3939</Characters>
  <Application>Microsoft Office Word</Application>
  <DocSecurity>0</DocSecurity>
  <Lines>492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“Statistisko klasifikāciju saraksts un šajā sarakstā iekļauto statistisko klasifikāciju ieviešanas, uzturēšanas un publicēšanas kārtība</vt:lpstr>
    </vt:vector>
  </TitlesOfParts>
  <Manager>Centrālā statistikas pārvalde</Manager>
  <Company>Ekonomikas ministrija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“Statistisko klasifikāciju saraksts un šajā sarakstā iekļauto statistisko klasifikāciju ieviešanas, uzturēšanas un publicēšanas kārtība</dc:title>
  <dc:subject>Anotācija</dc:subject>
  <dc:creator>I.Začeste</dc:creator>
  <dc:description>67366897, Ieva.Zaceste@csb.gov.lv</dc:description>
  <cp:lastModifiedBy>Jānis Ušpelis</cp:lastModifiedBy>
  <cp:revision>2</cp:revision>
  <cp:lastPrinted>2014-05-10T07:25:00Z</cp:lastPrinted>
  <dcterms:created xsi:type="dcterms:W3CDTF">2017-01-27T11:52:00Z</dcterms:created>
  <dcterms:modified xsi:type="dcterms:W3CDTF">2017-01-27T11:52:00Z</dcterms:modified>
</cp:coreProperties>
</file>