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49" w:rsidRPr="008453CD" w:rsidRDefault="00193E45" w:rsidP="00295622">
      <w:pPr>
        <w:jc w:val="center"/>
        <w:rPr>
          <w:b/>
          <w:sz w:val="28"/>
          <w:szCs w:val="28"/>
        </w:rPr>
      </w:pPr>
      <w:bookmarkStart w:id="0" w:name="OLE_LINK3"/>
      <w:bookmarkStart w:id="1" w:name="OLE_LINK4"/>
      <w:bookmarkStart w:id="2" w:name="OLE_LINK5"/>
      <w:bookmarkStart w:id="3" w:name="OLE_LINK1"/>
      <w:bookmarkStart w:id="4" w:name="OLE_LINK2"/>
      <w:bookmarkStart w:id="5" w:name="_GoBack"/>
      <w:bookmarkEnd w:id="5"/>
      <w:r w:rsidRPr="00E52C93">
        <w:rPr>
          <w:b/>
          <w:sz w:val="28"/>
          <w:szCs w:val="28"/>
        </w:rPr>
        <w:t>Ministru kabineta noteikumu projekta „</w:t>
      </w:r>
      <w:r w:rsidR="008632DB" w:rsidRPr="008632DB">
        <w:rPr>
          <w:b/>
          <w:sz w:val="28"/>
          <w:szCs w:val="28"/>
        </w:rPr>
        <w:t xml:space="preserve">Kārtība, kādā novērtē un pieņem lēmumu par to, vai piekļuve dabasgāzes krātuvēm ir </w:t>
      </w:r>
      <w:r w:rsidR="00570607">
        <w:rPr>
          <w:b/>
          <w:sz w:val="28"/>
          <w:szCs w:val="28"/>
        </w:rPr>
        <w:t>tehniski un ekonomiski pamatota</w:t>
      </w:r>
      <w:r w:rsidR="00891DCF">
        <w:rPr>
          <w:b/>
          <w:sz w:val="28"/>
          <w:szCs w:val="28"/>
        </w:rPr>
        <w:t>”</w:t>
      </w:r>
      <w:r w:rsidR="00891DCF" w:rsidRPr="00E52C93">
        <w:rPr>
          <w:b/>
          <w:sz w:val="28"/>
          <w:szCs w:val="28"/>
        </w:rPr>
        <w:t xml:space="preserve"> </w:t>
      </w:r>
      <w:r w:rsidR="00E21ADD">
        <w:rPr>
          <w:b/>
          <w:sz w:val="28"/>
          <w:szCs w:val="28"/>
        </w:rPr>
        <w:t xml:space="preserve">sākotnējās ietekmes novērtējuma ziņojums </w:t>
      </w:r>
      <w:r w:rsidRPr="00E52C93">
        <w:rPr>
          <w:b/>
          <w:sz w:val="28"/>
          <w:szCs w:val="28"/>
        </w:rPr>
        <w:t>(</w:t>
      </w:r>
      <w:r w:rsidRPr="00E52C93">
        <w:rPr>
          <w:b/>
          <w:bCs/>
          <w:sz w:val="28"/>
          <w:szCs w:val="28"/>
        </w:rPr>
        <w:t>anotācija)</w:t>
      </w:r>
      <w:bookmarkEnd w:id="0"/>
      <w:bookmarkEnd w:id="1"/>
      <w:bookmarkEnd w:id="2"/>
      <w:bookmarkEnd w:id="3"/>
      <w:bookmarkEnd w:id="4"/>
    </w:p>
    <w:p w:rsidR="00193E45" w:rsidRPr="00882A82" w:rsidRDefault="00193E45" w:rsidP="00193E45">
      <w:pPr>
        <w:tabs>
          <w:tab w:val="left" w:pos="7230"/>
        </w:tabs>
        <w:rPr>
          <w:color w:val="FF0000"/>
          <w:sz w:val="26"/>
          <w:szCs w:val="26"/>
        </w:rPr>
      </w:pPr>
    </w:p>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858"/>
        <w:gridCol w:w="5954"/>
      </w:tblGrid>
      <w:tr w:rsidR="00193E45" w:rsidRPr="00CF5D2E" w:rsidTr="003D39E6">
        <w:tc>
          <w:tcPr>
            <w:tcW w:w="9336" w:type="dxa"/>
            <w:gridSpan w:val="3"/>
            <w:vAlign w:val="center"/>
          </w:tcPr>
          <w:p w:rsidR="00193E45" w:rsidRPr="00CF5D2E" w:rsidRDefault="00193E45" w:rsidP="00912A6D">
            <w:pPr>
              <w:jc w:val="center"/>
            </w:pPr>
            <w:r w:rsidRPr="00CF5D2E">
              <w:rPr>
                <w:b/>
              </w:rPr>
              <w:t>I. Tiesību akta projekta izstrādes nepieciešamība</w:t>
            </w:r>
          </w:p>
        </w:tc>
      </w:tr>
      <w:tr w:rsidR="00193E45" w:rsidRPr="00CF5D2E" w:rsidTr="003D39E6">
        <w:trPr>
          <w:trHeight w:val="439"/>
        </w:trPr>
        <w:tc>
          <w:tcPr>
            <w:tcW w:w="524" w:type="dxa"/>
          </w:tcPr>
          <w:p w:rsidR="00193E45" w:rsidRPr="00CF5D2E" w:rsidRDefault="00193E45" w:rsidP="00912A6D">
            <w:pPr>
              <w:ind w:left="57" w:right="57"/>
            </w:pPr>
            <w:r w:rsidRPr="00CF5D2E">
              <w:t> 1.</w:t>
            </w:r>
          </w:p>
        </w:tc>
        <w:tc>
          <w:tcPr>
            <w:tcW w:w="2858" w:type="dxa"/>
          </w:tcPr>
          <w:p w:rsidR="00193E45" w:rsidRPr="00CF5D2E" w:rsidRDefault="00193E45" w:rsidP="00912A6D">
            <w:pPr>
              <w:ind w:left="57" w:right="57"/>
              <w:jc w:val="both"/>
            </w:pPr>
            <w:r w:rsidRPr="00CF5D2E">
              <w:t>Pamatojums</w:t>
            </w:r>
          </w:p>
          <w:p w:rsidR="00891DCF" w:rsidRPr="00CF5D2E" w:rsidRDefault="00891DCF" w:rsidP="00912A6D">
            <w:pPr>
              <w:ind w:left="57" w:right="57"/>
              <w:jc w:val="both"/>
            </w:pPr>
          </w:p>
          <w:p w:rsidR="00891DCF" w:rsidRPr="00CF5D2E" w:rsidRDefault="00891DCF" w:rsidP="00912A6D">
            <w:pPr>
              <w:ind w:left="57" w:right="57"/>
              <w:jc w:val="both"/>
            </w:pPr>
          </w:p>
        </w:tc>
        <w:tc>
          <w:tcPr>
            <w:tcW w:w="5954" w:type="dxa"/>
          </w:tcPr>
          <w:p w:rsidR="00CC5693" w:rsidRDefault="00193E45" w:rsidP="000A0C56">
            <w:pPr>
              <w:ind w:left="57" w:right="57"/>
              <w:jc w:val="both"/>
            </w:pPr>
            <w:r w:rsidRPr="00CF5D2E">
              <w:t xml:space="preserve">Ministru kabineta noteikumu projekts </w:t>
            </w:r>
            <w:r w:rsidR="000A0C56" w:rsidRPr="000A0C56">
              <w:t>„Kārtība, kādā novērtē un pieņem lēmumu par to, vai piekļuve dabasgāzes krātuvēm ir tehniski un ekonomiski pamatota”</w:t>
            </w:r>
            <w:r w:rsidR="0032711D" w:rsidRPr="00CF5D2E">
              <w:t xml:space="preserve"> </w:t>
            </w:r>
            <w:r w:rsidRPr="00CF5D2E">
              <w:t xml:space="preserve">(turpmāk – </w:t>
            </w:r>
            <w:r w:rsidR="00CA2D4F" w:rsidRPr="00CF5D2E">
              <w:t>noteikumu projekts</w:t>
            </w:r>
            <w:r w:rsidRPr="00CF5D2E">
              <w:t xml:space="preserve">) tiek </w:t>
            </w:r>
            <w:r w:rsidR="00D97223" w:rsidRPr="00CF5D2E">
              <w:t>izdot</w:t>
            </w:r>
            <w:r w:rsidR="00CA2D4F" w:rsidRPr="00CF5D2E">
              <w:t>s</w:t>
            </w:r>
            <w:r w:rsidR="00D97223" w:rsidRPr="00CF5D2E">
              <w:t xml:space="preserve"> </w:t>
            </w:r>
            <w:r w:rsidR="00EA05A6" w:rsidRPr="00CF5D2E">
              <w:t>saskaņā ar Enerģētikas likuma</w:t>
            </w:r>
            <w:r w:rsidR="00B9039A">
              <w:t xml:space="preserve"> (turpmāk – Likums)</w:t>
            </w:r>
            <w:r w:rsidR="00B9039A" w:rsidRPr="00CF5D2E">
              <w:t xml:space="preserve">, </w:t>
            </w:r>
            <w:proofErr w:type="gramStart"/>
            <w:r w:rsidR="00EA05A6" w:rsidRPr="00CF5D2E">
              <w:t>44.panta</w:t>
            </w:r>
            <w:proofErr w:type="gramEnd"/>
            <w:r w:rsidR="00EA05A6" w:rsidRPr="00CF5D2E">
              <w:t xml:space="preserve"> otro</w:t>
            </w:r>
            <w:r w:rsidR="00BE2C74">
              <w:t xml:space="preserve"> </w:t>
            </w:r>
            <w:r w:rsidR="001B205E">
              <w:t xml:space="preserve">daļu </w:t>
            </w:r>
            <w:r w:rsidR="00BE2C74">
              <w:t xml:space="preserve">un </w:t>
            </w:r>
            <w:r w:rsidR="00F75C1E">
              <w:t xml:space="preserve">par Brīvo pakalpojuma sniegšanas likuma 14.panta </w:t>
            </w:r>
            <w:r w:rsidR="00D13199">
              <w:t>otro</w:t>
            </w:r>
            <w:r w:rsidR="00F75C1E">
              <w:t xml:space="preserve"> daļu</w:t>
            </w:r>
            <w:r w:rsidR="00BE2C74">
              <w:t>.</w:t>
            </w:r>
          </w:p>
          <w:p w:rsidR="00193E45" w:rsidRPr="00CF5D2E" w:rsidRDefault="00CC5693" w:rsidP="000A0C56">
            <w:pPr>
              <w:ind w:left="57" w:right="57"/>
              <w:jc w:val="both"/>
            </w:pPr>
            <w:r>
              <w:t xml:space="preserve">Noteikumu projekts ir nepieciešams, pamatojoties uz prasībām, kas jāievēro Latvijai kā Eiropas Savienības (turpmāk - ES) dalībvalstij, un to ieviešana ir atbilstoša prasībām, kas minētas </w:t>
            </w:r>
            <w:r w:rsidRPr="00CF5D2E">
              <w:t xml:space="preserve">Eiropas Parlamenta un Padomes </w:t>
            </w:r>
            <w:proofErr w:type="gramStart"/>
            <w:r w:rsidRPr="00CF5D2E">
              <w:t>2009.gada</w:t>
            </w:r>
            <w:proofErr w:type="gramEnd"/>
            <w:r w:rsidRPr="00CF5D2E">
              <w:t xml:space="preserve"> 13.jūlija Direktīv</w:t>
            </w:r>
            <w:r>
              <w:t>ā</w:t>
            </w:r>
            <w:r w:rsidRPr="00CF5D2E">
              <w:t xml:space="preserve"> 2009/73/EK</w:t>
            </w:r>
            <w:r>
              <w:rPr>
                <w:rStyle w:val="FootnoteReference"/>
              </w:rPr>
              <w:footnoteReference w:id="1"/>
            </w:r>
            <w:r w:rsidRPr="00CF5D2E">
              <w:t xml:space="preserve"> </w:t>
            </w:r>
            <w:r>
              <w:t>par kopīgiem noteikumiem attiecībā uz dabasgāzes iekšējo tirgu un par Direktīvas 2003/55/EK atcelšanu</w:t>
            </w:r>
            <w:r w:rsidRPr="00CF5D2E" w:rsidDel="003B0D73">
              <w:t xml:space="preserve"> </w:t>
            </w:r>
            <w:r>
              <w:t xml:space="preserve">(turpmāk - </w:t>
            </w:r>
            <w:r w:rsidRPr="00CF5D2E">
              <w:t>Direktīva 2009/73/EK</w:t>
            </w:r>
            <w:r>
              <w:t xml:space="preserve">) </w:t>
            </w:r>
            <w:r w:rsidRPr="00CF5D2E">
              <w:t>un Eiropas Parlamenta un Pado</w:t>
            </w:r>
            <w:r>
              <w:t xml:space="preserve">mes 2009. gada 13. jūlija Regulā Nr.715/2009 </w:t>
            </w:r>
            <w:r w:rsidRPr="007C509B">
              <w:t>par nosacījumiem attiecībā uz piekļuvi dabasgāzes pārvades tīkliem un par Regulas (EK) Nr. 1775/2005</w:t>
            </w:r>
            <w:r>
              <w:rPr>
                <w:rStyle w:val="FootnoteReference"/>
              </w:rPr>
              <w:footnoteReference w:id="2"/>
            </w:r>
            <w:r w:rsidRPr="007C509B">
              <w:t xml:space="preserve"> atcelšanu</w:t>
            </w:r>
            <w:r>
              <w:t xml:space="preserve"> (turpmāk – Regula Nr.715/2009).</w:t>
            </w:r>
          </w:p>
        </w:tc>
      </w:tr>
      <w:tr w:rsidR="00193E45" w:rsidRPr="00CF5D2E" w:rsidTr="003D39E6">
        <w:trPr>
          <w:trHeight w:val="132"/>
        </w:trPr>
        <w:tc>
          <w:tcPr>
            <w:tcW w:w="524" w:type="dxa"/>
          </w:tcPr>
          <w:p w:rsidR="00193E45" w:rsidRPr="00CF5D2E" w:rsidRDefault="00193E45" w:rsidP="00912A6D">
            <w:pPr>
              <w:ind w:left="57" w:right="57"/>
            </w:pPr>
            <w:r w:rsidRPr="00CF5D2E">
              <w:t> 2.</w:t>
            </w:r>
          </w:p>
        </w:tc>
        <w:tc>
          <w:tcPr>
            <w:tcW w:w="2858" w:type="dxa"/>
          </w:tcPr>
          <w:p w:rsidR="00193E45" w:rsidRPr="00CF5D2E" w:rsidRDefault="00193E45" w:rsidP="00912A6D">
            <w:pPr>
              <w:ind w:left="57" w:right="57"/>
              <w:jc w:val="both"/>
            </w:pPr>
            <w:r w:rsidRPr="00CF5D2E">
              <w:t>Pašreizējā situācija un problēmas, kuru risināšanai tiesību akta projekts izstrādāts, tiesiskā regulējuma mērķis un būtība</w:t>
            </w:r>
          </w:p>
        </w:tc>
        <w:tc>
          <w:tcPr>
            <w:tcW w:w="5954" w:type="dxa"/>
          </w:tcPr>
          <w:p w:rsidR="005A0262" w:rsidRDefault="005A0262" w:rsidP="005A0262">
            <w:pPr>
              <w:ind w:right="81"/>
              <w:jc w:val="both"/>
            </w:pPr>
            <w:r>
              <w:t xml:space="preserve">Dabasgāzes krātuves ir svarīga dabasgāzes infrastruktūras sastāvdaļa, kas ļauj pārvades sistēmu operatoram nodrošināt dabasgāzes apgādes elastīgo pieprasījumu, uzglabājot dabasgāzi laika periodiem, kad pieprasījums pēc tās pieaug. Tā ir instruments stabilai un drošai dabasgāzes apgādei Latvijas un Baltijas reģiona līmenī. </w:t>
            </w:r>
          </w:p>
          <w:p w:rsidR="003C3908" w:rsidRDefault="004255DC" w:rsidP="003C3908">
            <w:pPr>
              <w:pStyle w:val="naiskr"/>
              <w:spacing w:before="0" w:after="0"/>
              <w:ind w:right="57"/>
              <w:jc w:val="both"/>
            </w:pPr>
            <w:r w:rsidRPr="00CF5D2E">
              <w:t xml:space="preserve">Direktīva 2009/73/EK paredz </w:t>
            </w:r>
            <w:r w:rsidR="004A7A92" w:rsidRPr="00CF5D2E">
              <w:t xml:space="preserve">ES dalībvalstīm </w:t>
            </w:r>
            <w:r w:rsidRPr="00CF5D2E">
              <w:t>virkni kopīgu noteikumu dabasgāzes pārvadei, sadalei, piegādei un uzglabāšanai un nosaka normas, kas attiecas uz dabasgāzes nozares organizāciju un darbī</w:t>
            </w:r>
            <w:r w:rsidR="00CF5D2E" w:rsidRPr="00CF5D2E">
              <w:t>bu</w:t>
            </w:r>
            <w:r w:rsidR="00706F54">
              <w:t>.</w:t>
            </w:r>
            <w:r w:rsidR="001028E5" w:rsidRPr="00CF5D2E">
              <w:t xml:space="preserve"> Īstenojot </w:t>
            </w:r>
            <w:proofErr w:type="gramStart"/>
            <w:r w:rsidR="001028E5" w:rsidRPr="00CF5D2E">
              <w:t>dabasgā</w:t>
            </w:r>
            <w:r w:rsidR="001028E5">
              <w:t xml:space="preserve">zes tirgus reformu atbilstoši </w:t>
            </w:r>
            <w:r w:rsidR="001028E5" w:rsidRPr="00CF5D2E">
              <w:t>Direktīva</w:t>
            </w:r>
            <w:r w:rsidR="001028E5">
              <w:t>s</w:t>
            </w:r>
            <w:proofErr w:type="gramEnd"/>
            <w:r w:rsidR="001028E5" w:rsidRPr="00CF5D2E">
              <w:t xml:space="preserve"> 2009/73/EK</w:t>
            </w:r>
            <w:r w:rsidR="001028E5">
              <w:t xml:space="preserve"> un Regulas Nr.715/2009 nosacījumiem, ir paredzēts nodrošināt treš</w:t>
            </w:r>
            <w:r w:rsidR="00E179E4">
              <w:t>o</w:t>
            </w:r>
            <w:r w:rsidR="001028E5">
              <w:t xml:space="preserve"> p</w:t>
            </w:r>
            <w:r w:rsidR="00B56A40">
              <w:t>ušu</w:t>
            </w:r>
            <w:r w:rsidR="00E179E4">
              <w:t xml:space="preserve"> (komersantu)</w:t>
            </w:r>
            <w:r w:rsidR="001028E5">
              <w:t xml:space="preserve"> piekļuvi dabasgāzes infrastruktūrai, tajā skaitā arī dabasgāzes uzglabāšanas krātuvēm.</w:t>
            </w:r>
          </w:p>
          <w:p w:rsidR="003F4950" w:rsidRDefault="00334C52" w:rsidP="003F4950">
            <w:pPr>
              <w:pStyle w:val="naiskr"/>
              <w:spacing w:before="0" w:after="0"/>
              <w:ind w:right="57"/>
              <w:jc w:val="both"/>
            </w:pPr>
            <w:r>
              <w:t xml:space="preserve">Pamatojoties uz </w:t>
            </w:r>
            <w:r w:rsidRPr="00CF5D2E">
              <w:t>Direktīva</w:t>
            </w:r>
            <w:r>
              <w:t>s</w:t>
            </w:r>
            <w:r w:rsidRPr="00CF5D2E">
              <w:t xml:space="preserve"> 2009/73/EK</w:t>
            </w:r>
            <w:r>
              <w:t xml:space="preserve"> un Regulas Nr.715/2009 nosacījumiem </w:t>
            </w:r>
            <w:r w:rsidRPr="00CF5D2E">
              <w:t>Saeima</w:t>
            </w:r>
            <w:r>
              <w:t xml:space="preserve"> </w:t>
            </w:r>
            <w:proofErr w:type="gramStart"/>
            <w:r>
              <w:t>2014.gada</w:t>
            </w:r>
            <w:proofErr w:type="gramEnd"/>
            <w:r>
              <w:t xml:space="preserve"> 13.martā pieņēma</w:t>
            </w:r>
            <w:r w:rsidRPr="00CF5D2E">
              <w:t xml:space="preserve"> likumprojektu „Grozījumi Enerģētikas likumā”</w:t>
            </w:r>
            <w:r>
              <w:t xml:space="preserve"> (spēkā stājies 2014.gada 26.martā)</w:t>
            </w:r>
            <w:r>
              <w:rPr>
                <w:rStyle w:val="FootnoteReference"/>
              </w:rPr>
              <w:footnoteReference w:id="3"/>
            </w:r>
            <w:r>
              <w:t xml:space="preserve">, </w:t>
            </w:r>
            <w:r w:rsidRPr="00CF5D2E">
              <w:t xml:space="preserve">kas paredz, </w:t>
            </w:r>
            <w:r>
              <w:t xml:space="preserve">ka </w:t>
            </w:r>
            <w:r w:rsidRPr="00CF5D2E">
              <w:t xml:space="preserve">pārvades sistēmas operatora </w:t>
            </w:r>
            <w:r w:rsidR="00EE325C">
              <w:t xml:space="preserve">juridiskajai </w:t>
            </w:r>
            <w:r w:rsidRPr="00CF5D2E">
              <w:t xml:space="preserve">nodalīšanai (no tirdzniecības </w:t>
            </w:r>
            <w:r w:rsidRPr="00CF5D2E">
              <w:lastRenderedPageBreak/>
              <w:t>un sadales sistēmas operatora) ir jābūt pabeigtai līdz 2017.gada 3.aprīlim</w:t>
            </w:r>
            <w:r>
              <w:t>.</w:t>
            </w:r>
            <w:r w:rsidR="001028E5" w:rsidRPr="00CF5D2E">
              <w:t xml:space="preserve"> </w:t>
            </w:r>
          </w:p>
          <w:p w:rsidR="003C3908" w:rsidRDefault="003F4950" w:rsidP="003C3908">
            <w:pPr>
              <w:pStyle w:val="naiskr"/>
              <w:spacing w:before="0" w:after="0"/>
              <w:ind w:right="57"/>
              <w:jc w:val="both"/>
            </w:pPr>
            <w:r>
              <w:t xml:space="preserve">Atbilstoši Likumam paredzēts, ka dabasgāzes uzglabāšanas pakalpojumus varēs sniegt </w:t>
            </w:r>
            <w:r w:rsidRPr="00CF5D2E">
              <w:t xml:space="preserve">no </w:t>
            </w:r>
            <w:proofErr w:type="gramStart"/>
            <w:r w:rsidRPr="00CF5D2E">
              <w:t>2017.gada</w:t>
            </w:r>
            <w:proofErr w:type="gramEnd"/>
            <w:r w:rsidRPr="00CF5D2E">
              <w:t xml:space="preserve"> 3.aprīļa</w:t>
            </w:r>
            <w:r>
              <w:t xml:space="preserve"> komersants, kas ir </w:t>
            </w:r>
            <w:r w:rsidR="0047664C">
              <w:t>v</w:t>
            </w:r>
            <w:r w:rsidR="0047664C" w:rsidRPr="0047664C">
              <w:t>irszemes vai pazemes dabasgāzes (tostarp sašķidrinātās dabasgāzes) krātuves operators (licencēts komersants, kas nodarbojas ar dabasgāzes vai sašķidrinātās dabasgāzes uzglabāšanas pakalpojuma sniegšanu)</w:t>
            </w:r>
            <w:r w:rsidR="0047664C">
              <w:t xml:space="preserve">, ja </w:t>
            </w:r>
            <w:r w:rsidR="0047664C" w:rsidRPr="0047664C">
              <w:t>piekļuve</w:t>
            </w:r>
            <w:r w:rsidR="0047664C">
              <w:t xml:space="preserve"> dabasgāzes krātuves operatora krātuvei</w:t>
            </w:r>
            <w:r w:rsidR="0047664C" w:rsidRPr="0047664C">
              <w:t xml:space="preserve"> (izņemot Inčukalna pazemes gāzes krātuvi) ir tehniski un ekonomiski pamatota, lai nodrošinātu efektīvu piekļuvi sistēmai lietotāju apgādes vajadzībām un palīgpakalpojumu saņemšanu.</w:t>
            </w:r>
            <w:r w:rsidR="006F2A92">
              <w:t xml:space="preserve"> </w:t>
            </w:r>
          </w:p>
          <w:p w:rsidR="00722834" w:rsidRDefault="001232B9" w:rsidP="00722834">
            <w:pPr>
              <w:pStyle w:val="naiskr"/>
              <w:spacing w:before="0" w:after="0"/>
              <w:ind w:right="57"/>
              <w:jc w:val="both"/>
            </w:pPr>
            <w:r>
              <w:t>Šobrīd</w:t>
            </w:r>
            <w:r w:rsidR="00722834">
              <w:t xml:space="preserve"> Latvijā darbojas viena dabasgāzes pazemes krātuve Inčukalnā</w:t>
            </w:r>
            <w:r w:rsidR="00722834">
              <w:rPr>
                <w:rStyle w:val="FootnoteReference"/>
              </w:rPr>
              <w:footnoteReference w:id="4"/>
            </w:r>
            <w:r w:rsidR="005A0262">
              <w:t xml:space="preserve">. </w:t>
            </w:r>
            <w:r w:rsidR="00FF1783">
              <w:t>Pazemes k</w:t>
            </w:r>
            <w:r w:rsidR="00722834">
              <w:t xml:space="preserve">rātuvju izveides potenciāls ir arī </w:t>
            </w:r>
            <w:proofErr w:type="spellStart"/>
            <w:r w:rsidR="00722834" w:rsidRPr="00010454">
              <w:t>Ziemeļblīdenes</w:t>
            </w:r>
            <w:proofErr w:type="spellEnd"/>
            <w:r w:rsidR="00722834" w:rsidRPr="00010454">
              <w:t>, Snēpeles un Degoles struktūras.</w:t>
            </w:r>
            <w:r w:rsidR="00722834">
              <w:t xml:space="preserve"> </w:t>
            </w:r>
            <w:r w:rsidR="00722834" w:rsidRPr="00657525">
              <w:t>Dobeles struktūra</w:t>
            </w:r>
            <w:r w:rsidR="00722834" w:rsidRPr="00010454">
              <w:t xml:space="preserve"> šim nolūkam jau ir daļēji izpētīta</w:t>
            </w:r>
            <w:r w:rsidR="00722834">
              <w:t xml:space="preserve"> un atzīta par perspektīvāko. Ģeoloģisko struktūru raksturojums </w:t>
            </w:r>
            <w:proofErr w:type="gramStart"/>
            <w:r w:rsidR="00722834">
              <w:t>dabasgāzes pazemes krātuvju izveidei pieejams Latvijas Vides</w:t>
            </w:r>
            <w:proofErr w:type="gramEnd"/>
            <w:r w:rsidR="00722834">
              <w:t>, ģeoloģijas un meteoroloģijas centra tīmekļvietnē</w:t>
            </w:r>
            <w:r w:rsidR="00722834">
              <w:rPr>
                <w:rStyle w:val="FootnoteReference"/>
              </w:rPr>
              <w:footnoteReference w:id="5"/>
            </w:r>
            <w:r w:rsidR="00722834">
              <w:t>.</w:t>
            </w:r>
          </w:p>
          <w:p w:rsidR="00722834" w:rsidRDefault="00722834" w:rsidP="00722834">
            <w:pPr>
              <w:ind w:right="81"/>
              <w:jc w:val="both"/>
            </w:pPr>
            <w:r>
              <w:t>Ar g</w:t>
            </w:r>
            <w:r w:rsidRPr="00CF5D2E">
              <w:t>rozījumi</w:t>
            </w:r>
            <w:r>
              <w:t xml:space="preserve">em Enerģētikas likumā, kas spēkā stājās </w:t>
            </w:r>
            <w:proofErr w:type="gramStart"/>
            <w:r>
              <w:t>2014.gada</w:t>
            </w:r>
            <w:proofErr w:type="gramEnd"/>
            <w:r>
              <w:t xml:space="preserve"> 26.martā, papildus tiek radītas infrastruktūras attīstības iespējas attiecībā uz kuģu </w:t>
            </w:r>
            <w:proofErr w:type="spellStart"/>
            <w:r>
              <w:t>bunkurēšanu</w:t>
            </w:r>
            <w:proofErr w:type="spellEnd"/>
            <w:r>
              <w:t xml:space="preserve"> (gā</w:t>
            </w:r>
            <w:r w:rsidR="00EE325C">
              <w:t>zes uzglabāšanu) Latvijas ostās.</w:t>
            </w:r>
          </w:p>
          <w:p w:rsidR="005F7E70" w:rsidRDefault="005E23EB" w:rsidP="005F7E70">
            <w:pPr>
              <w:pStyle w:val="naiskr"/>
              <w:spacing w:before="0" w:after="0"/>
              <w:ind w:right="57"/>
              <w:jc w:val="both"/>
            </w:pPr>
            <w:r>
              <w:t>Noteikumu projekts paredz, l</w:t>
            </w:r>
            <w:r w:rsidR="005C5F0C">
              <w:t>ai saņemtu tiesības izmantot dabasgāzes krātuves, personai</w:t>
            </w:r>
            <w:r w:rsidR="00155C25">
              <w:t xml:space="preserve"> (fizikai un juridiskai)</w:t>
            </w:r>
            <w:r w:rsidR="005C5F0C">
              <w:t xml:space="preserve">, kas vēlas </w:t>
            </w:r>
            <w:r w:rsidR="007020AA">
              <w:t xml:space="preserve">būvēt Latvijas Republikas teritorijā krātuvi un </w:t>
            </w:r>
            <w:r w:rsidR="005C5F0C">
              <w:t xml:space="preserve">kļūt </w:t>
            </w:r>
            <w:r w:rsidR="00155C25">
              <w:t>par</w:t>
            </w:r>
            <w:r w:rsidR="007020AA">
              <w:t xml:space="preserve"> šīs</w:t>
            </w:r>
            <w:r w:rsidR="00155C25">
              <w:t xml:space="preserve"> </w:t>
            </w:r>
            <w:r w:rsidR="005C5F0C">
              <w:t>dabasgāzes krātuves operatoru</w:t>
            </w:r>
            <w:r w:rsidR="00155C25">
              <w:t>, lai sniegtu dabasgāzes uzglabāšanas pakalpojumus trešajām pusēm,</w:t>
            </w:r>
            <w:r w:rsidR="005C5F0C">
              <w:t xml:space="preserve"> ir jāiesniedz Ekonomikas ministrijā iesniegums </w:t>
            </w:r>
            <w:r w:rsidR="005C5F0C" w:rsidRPr="00461CC1">
              <w:t>lēmuma saņemšanai par to, vai piekļuve dabasgāzes krātuvēm ir tehniski un ekonomiski pamatota.</w:t>
            </w:r>
            <w:r w:rsidR="005C5F0C">
              <w:t xml:space="preserve"> </w:t>
            </w:r>
            <w:r w:rsidR="005F7E70">
              <w:t xml:space="preserve">Iesniegumā persona norāda informāciju par plānoto krātuvi. Iesniegumā norādītā informācija turpmāk tiks izmantota nozares politikas plānošanā. </w:t>
            </w:r>
          </w:p>
          <w:p w:rsidR="00F27D7E" w:rsidRDefault="00912B48" w:rsidP="00013E07">
            <w:pPr>
              <w:pStyle w:val="naiskr"/>
              <w:spacing w:before="0" w:after="0"/>
              <w:ind w:right="57"/>
              <w:jc w:val="both"/>
            </w:pPr>
            <w:r>
              <w:t>Lēmums</w:t>
            </w:r>
            <w:r w:rsidR="005F7E70" w:rsidRPr="00461CC1">
              <w:t xml:space="preserve"> par to, vai piekļuve dabasgāzes krātuvēm ir </w:t>
            </w:r>
            <w:r w:rsidR="005F7E70">
              <w:t xml:space="preserve">tehniski un ekonomiski pamatota, </w:t>
            </w:r>
            <w:r>
              <w:t>tiek pieņemts</w:t>
            </w:r>
            <w:r w:rsidR="001232B9">
              <w:t>,</w:t>
            </w:r>
            <w:r>
              <w:t xml:space="preserve"> balstoties uz </w:t>
            </w:r>
            <w:r w:rsidR="00F27D7E">
              <w:t xml:space="preserve">tehniskiem un ekonomiskiem kritērijiem. Par kritērijiem </w:t>
            </w:r>
            <w:r w:rsidR="00F27D7E" w:rsidRPr="00570607">
              <w:t xml:space="preserve">piekļuves dabasgāzes krātuvēm nodrošināšanai </w:t>
            </w:r>
            <w:r w:rsidR="005C5F0C">
              <w:t xml:space="preserve">trešajām </w:t>
            </w:r>
            <w:r w:rsidR="00155C25">
              <w:t>pusēm</w:t>
            </w:r>
            <w:r w:rsidR="005C5F0C">
              <w:t xml:space="preserve"> </w:t>
            </w:r>
            <w:r w:rsidR="00F27D7E" w:rsidRPr="00570607">
              <w:t>kalpo dabasgāzes</w:t>
            </w:r>
            <w:r w:rsidR="00F27D7E">
              <w:t xml:space="preserve"> krātuves</w:t>
            </w:r>
            <w:r w:rsidR="00033C20">
              <w:t xml:space="preserve"> </w:t>
            </w:r>
            <w:r w:rsidR="00F27D7E">
              <w:t>tilpums</w:t>
            </w:r>
            <w:r w:rsidR="00033C20">
              <w:t xml:space="preserve">, kas paredzēts dabasgāzes uzglabāšanai, </w:t>
            </w:r>
            <w:r w:rsidR="001232B9">
              <w:t>ir lielāks nekā</w:t>
            </w:r>
            <w:r w:rsidR="00BA37F1">
              <w:t xml:space="preserve"> </w:t>
            </w:r>
            <w:r w:rsidR="00F27D7E">
              <w:t xml:space="preserve">20 tūkstoši kubikmetri </w:t>
            </w:r>
            <w:r w:rsidR="00F27D7E" w:rsidRPr="00D52AD9">
              <w:t>(m</w:t>
            </w:r>
            <w:r w:rsidR="00F27D7E" w:rsidRPr="00D52AD9">
              <w:rPr>
                <w:vertAlign w:val="superscript"/>
              </w:rPr>
              <w:t>3</w:t>
            </w:r>
            <w:r w:rsidR="00F27D7E" w:rsidRPr="00D52AD9">
              <w:t>)</w:t>
            </w:r>
            <w:r w:rsidR="00F27D7E">
              <w:t>, dabasgāzes krātuve</w:t>
            </w:r>
            <w:r w:rsidR="00033C20">
              <w:t>i plānots</w:t>
            </w:r>
            <w:r w:rsidR="00F27D7E" w:rsidRPr="00570607">
              <w:t xml:space="preserve"> savienojums ar dabasgāzes pārvades sistēmu</w:t>
            </w:r>
            <w:r w:rsidR="00F27D7E">
              <w:t xml:space="preserve"> un </w:t>
            </w:r>
            <w:r w:rsidR="00F27D7E" w:rsidRPr="00570607">
              <w:t>dabasgāze</w:t>
            </w:r>
            <w:r w:rsidR="00F27D7E">
              <w:t>s</w:t>
            </w:r>
            <w:r w:rsidR="00F27D7E" w:rsidRPr="00570607">
              <w:t xml:space="preserve"> </w:t>
            </w:r>
            <w:r w:rsidR="00F27D7E">
              <w:t xml:space="preserve">uzglabāšana </w:t>
            </w:r>
            <w:r w:rsidR="00F27D7E" w:rsidRPr="00570607">
              <w:t xml:space="preserve">dabasgāzes krātuvē </w:t>
            </w:r>
            <w:r w:rsidR="00F27D7E">
              <w:t xml:space="preserve">ir paredzēta tās turpmākai </w:t>
            </w:r>
            <w:r w:rsidR="00F27D7E" w:rsidRPr="00570607">
              <w:t>tirdzniecībai</w:t>
            </w:r>
            <w:r w:rsidR="00F27D7E">
              <w:t xml:space="preserve">. Šie kritēriji noteikti, vērtējot Latvijas pilsētu sezonālo </w:t>
            </w:r>
            <w:r w:rsidR="00F27D7E">
              <w:lastRenderedPageBreak/>
              <w:t>dabasgāzes patēriņu un ārvalstu pieredzi attiecībā uz sašķidrinātās dabasgāzes krātuvēm.</w:t>
            </w:r>
            <w:r w:rsidR="00B2751C">
              <w:t xml:space="preserve"> </w:t>
            </w:r>
            <w:r w:rsidR="00722834">
              <w:t>Š</w:t>
            </w:r>
            <w:r w:rsidR="00AF6248">
              <w:t>i</w:t>
            </w:r>
            <w:r w:rsidR="00CD53CF">
              <w:t>e</w:t>
            </w:r>
            <w:r w:rsidR="00AF6248">
              <w:t xml:space="preserve"> kritērij</w:t>
            </w:r>
            <w:r w:rsidR="00CD53CF">
              <w:t>i</w:t>
            </w:r>
            <w:r w:rsidR="00722834">
              <w:t xml:space="preserve"> noteikt</w:t>
            </w:r>
            <w:r w:rsidR="00CD53CF">
              <w:t>i</w:t>
            </w:r>
            <w:r w:rsidR="00BD5075">
              <w:t>,</w:t>
            </w:r>
            <w:r w:rsidR="00722834">
              <w:t xml:space="preserve"> vērtējot Latvijas pilsētu sezonālo dabasgāzes patē</w:t>
            </w:r>
            <w:r w:rsidR="00483359">
              <w:t>r</w:t>
            </w:r>
            <w:r w:rsidR="00722834">
              <w:t>iņu</w:t>
            </w:r>
            <w:r w:rsidR="00483359">
              <w:t xml:space="preserve"> </w:t>
            </w:r>
            <w:r w:rsidR="00722834">
              <w:t>un ārvalstu pieredzi attiecībā uz sašķidrinātās dabasgāzes krātuvēm.</w:t>
            </w:r>
          </w:p>
          <w:p w:rsidR="00F64ECA" w:rsidRDefault="006F2A92" w:rsidP="00483359">
            <w:pPr>
              <w:pStyle w:val="naiskr"/>
              <w:spacing w:before="0" w:after="0"/>
              <w:ind w:right="57"/>
              <w:jc w:val="both"/>
            </w:pPr>
            <w:r>
              <w:t>Ekonomikas ministrijas lēmuma pieņemšanas process</w:t>
            </w:r>
            <w:r w:rsidR="00FF1783">
              <w:t xml:space="preserve"> par piekļuves nodrošināšanu </w:t>
            </w:r>
            <w:r>
              <w:t>noteikumu projektā notiek pēc noklusējuma principa</w:t>
            </w:r>
            <w:r>
              <w:rPr>
                <w:rStyle w:val="FootnoteReference"/>
              </w:rPr>
              <w:footnoteReference w:id="6"/>
            </w:r>
            <w:r w:rsidR="00E16B41">
              <w:t xml:space="preserve"> ievērojot </w:t>
            </w:r>
            <w:r w:rsidR="00E16B41" w:rsidRPr="00E16B41">
              <w:t>Brīvas pakalpojumu sniegšanas likum</w:t>
            </w:r>
            <w:r w:rsidR="00E16B41">
              <w:t xml:space="preserve">a </w:t>
            </w:r>
            <w:proofErr w:type="gramStart"/>
            <w:r w:rsidR="00E16B41">
              <w:t>14.pant</w:t>
            </w:r>
            <w:r w:rsidR="005F7E70">
              <w:t>a</w:t>
            </w:r>
            <w:proofErr w:type="gramEnd"/>
            <w:r w:rsidR="00155C25">
              <w:t xml:space="preserve"> </w:t>
            </w:r>
            <w:r w:rsidR="00E16B41">
              <w:t>norādīto atļaujas izsniegšanas kārtību un nosacījumus.</w:t>
            </w:r>
            <w:r w:rsidR="00BA3173">
              <w:t xml:space="preserve"> </w:t>
            </w:r>
            <w:r w:rsidR="00F27D7E">
              <w:t xml:space="preserve">Iesniegumu vērtēšana notiek Administratīvā </w:t>
            </w:r>
            <w:r w:rsidR="00DE6A48">
              <w:t xml:space="preserve">procesa </w:t>
            </w:r>
            <w:r w:rsidR="00F27D7E">
              <w:t>likuma noteiktajā kārtībā.</w:t>
            </w:r>
          </w:p>
          <w:p w:rsidR="00F64ECA" w:rsidRDefault="00461CC1" w:rsidP="00483359">
            <w:pPr>
              <w:pStyle w:val="naiskr"/>
              <w:spacing w:before="0" w:after="0"/>
              <w:ind w:right="57"/>
              <w:jc w:val="both"/>
            </w:pPr>
            <w:r>
              <w:t>Pēc Ekonomikas ministrijas lēmuma saņemšanas turpmāko k</w:t>
            </w:r>
            <w:r w:rsidR="00D52AD9">
              <w:t xml:space="preserve">rātuves darbību attiecībā uz trešo </w:t>
            </w:r>
            <w:r w:rsidR="00B56A40">
              <w:t xml:space="preserve">pušu </w:t>
            </w:r>
            <w:r w:rsidR="00D52AD9">
              <w:t>piekļuves režīmu nosaka Sabiedrisko pakalpojumu regulēšanas komisijas</w:t>
            </w:r>
            <w:r w:rsidR="00F64ECA">
              <w:t xml:space="preserve"> </w:t>
            </w:r>
            <w:proofErr w:type="gramStart"/>
            <w:r w:rsidR="00D52AD9">
              <w:t>2016.gada</w:t>
            </w:r>
            <w:proofErr w:type="gramEnd"/>
            <w:r w:rsidR="00D52AD9">
              <w:t xml:space="preserve"> 4.augusta </w:t>
            </w:r>
            <w:r w:rsidR="001232B9">
              <w:t xml:space="preserve">metodika </w:t>
            </w:r>
            <w:r w:rsidR="00D52AD9">
              <w:t>“N</w:t>
            </w:r>
            <w:r w:rsidR="00F64ECA">
              <w:t>oteikumi</w:t>
            </w:r>
            <w:r w:rsidR="00D52AD9">
              <w:t xml:space="preserve"> par kritērijiem, saskaņā ar kuriem dabasgāzes uzglabāšanas sistēmas operators un sašķidrinātās dabasgāzes sistēmas operators nosaka piekļuves režīmu dabasgāzes krātuvei”.</w:t>
            </w:r>
            <w:r w:rsidR="00D52AD9">
              <w:rPr>
                <w:rStyle w:val="FootnoteReference"/>
              </w:rPr>
              <w:footnoteReference w:id="7"/>
            </w:r>
            <w:r w:rsidR="00D52AD9">
              <w:t xml:space="preserve"> </w:t>
            </w:r>
          </w:p>
          <w:p w:rsidR="00BB67D2" w:rsidRPr="00CF5D2E" w:rsidRDefault="00334C52" w:rsidP="00483359">
            <w:pPr>
              <w:pStyle w:val="naiskr"/>
              <w:spacing w:before="0" w:after="0"/>
              <w:ind w:right="57"/>
              <w:jc w:val="both"/>
            </w:pPr>
            <w:r>
              <w:t>Noteikumu projekta izstrādes laikā tika izvērtēta ES dalībvalstu pieredze dabasgāzes uzglabāšanas jautājumos</w:t>
            </w:r>
            <w:r>
              <w:rPr>
                <w:rStyle w:val="FootnoteReference"/>
              </w:rPr>
              <w:footnoteReference w:id="8"/>
            </w:r>
            <w:r>
              <w:t xml:space="preserve"> un </w:t>
            </w:r>
            <w:r w:rsidRPr="008A7E09">
              <w:t>pašreizējā</w:t>
            </w:r>
            <w:r>
              <w:t>s</w:t>
            </w:r>
            <w:r w:rsidRPr="008A7E09">
              <w:t xml:space="preserve"> Latvijas </w:t>
            </w:r>
            <w:r>
              <w:t>prasības attiecībā uz</w:t>
            </w:r>
            <w:r w:rsidRPr="003902B7">
              <w:t xml:space="preserve"> dabasgāzes uzglab</w:t>
            </w:r>
            <w:r>
              <w:t>āšanas krātuvēm</w:t>
            </w:r>
            <w:r>
              <w:rPr>
                <w:rStyle w:val="FootnoteReference"/>
              </w:rPr>
              <w:footnoteReference w:id="9"/>
            </w:r>
            <w:r w:rsidR="009D5C91">
              <w:t xml:space="preserve"> un </w:t>
            </w:r>
            <w:r w:rsidR="00483359">
              <w:t>ES</w:t>
            </w:r>
            <w:r w:rsidR="009D5C91">
              <w:t xml:space="preserve"> standarti dabasgāzes krātuvēm.</w:t>
            </w:r>
            <w:r>
              <w:t xml:space="preserve"> </w:t>
            </w:r>
          </w:p>
        </w:tc>
      </w:tr>
      <w:tr w:rsidR="00193E45" w:rsidRPr="00CF5D2E" w:rsidTr="003D39E6">
        <w:trPr>
          <w:trHeight w:val="345"/>
        </w:trPr>
        <w:tc>
          <w:tcPr>
            <w:tcW w:w="524" w:type="dxa"/>
          </w:tcPr>
          <w:p w:rsidR="00193E45" w:rsidRPr="00CF5D2E" w:rsidRDefault="00193E45" w:rsidP="00912A6D">
            <w:pPr>
              <w:ind w:left="57" w:right="57"/>
            </w:pPr>
            <w:r w:rsidRPr="00CF5D2E">
              <w:lastRenderedPageBreak/>
              <w:t> 3.</w:t>
            </w:r>
          </w:p>
        </w:tc>
        <w:tc>
          <w:tcPr>
            <w:tcW w:w="2858" w:type="dxa"/>
          </w:tcPr>
          <w:p w:rsidR="00193E45" w:rsidRPr="00CF5D2E" w:rsidRDefault="00193E45" w:rsidP="00912A6D">
            <w:pPr>
              <w:ind w:left="57" w:right="57"/>
              <w:jc w:val="both"/>
            </w:pPr>
            <w:r w:rsidRPr="00CF5D2E">
              <w:t>Projekta izstrādē iesaistītās institūcijas</w:t>
            </w:r>
          </w:p>
        </w:tc>
        <w:tc>
          <w:tcPr>
            <w:tcW w:w="5954" w:type="dxa"/>
          </w:tcPr>
          <w:p w:rsidR="00193E45" w:rsidRPr="00CF5D2E" w:rsidRDefault="003D65DB" w:rsidP="003D65DB">
            <w:pPr>
              <w:ind w:right="57"/>
              <w:jc w:val="both"/>
              <w:rPr>
                <w:color w:val="000000"/>
              </w:rPr>
            </w:pPr>
            <w:r>
              <w:t>Nav</w:t>
            </w:r>
          </w:p>
        </w:tc>
      </w:tr>
      <w:tr w:rsidR="00193E45" w:rsidRPr="00CF5D2E" w:rsidTr="003D39E6">
        <w:trPr>
          <w:trHeight w:val="255"/>
        </w:trPr>
        <w:tc>
          <w:tcPr>
            <w:tcW w:w="524" w:type="dxa"/>
          </w:tcPr>
          <w:p w:rsidR="00193E45" w:rsidRPr="00CF5D2E" w:rsidRDefault="00193E45" w:rsidP="00912A6D">
            <w:pPr>
              <w:ind w:left="57" w:right="57"/>
            </w:pPr>
            <w:r w:rsidRPr="00CF5D2E">
              <w:t> 4.</w:t>
            </w:r>
          </w:p>
        </w:tc>
        <w:tc>
          <w:tcPr>
            <w:tcW w:w="2858" w:type="dxa"/>
          </w:tcPr>
          <w:p w:rsidR="00193E45" w:rsidRPr="00CF5D2E" w:rsidRDefault="00193E45" w:rsidP="00912A6D">
            <w:pPr>
              <w:ind w:left="57" w:right="57"/>
              <w:jc w:val="both"/>
            </w:pPr>
            <w:r w:rsidRPr="00CF5D2E">
              <w:t>Cita informācija</w:t>
            </w:r>
          </w:p>
        </w:tc>
        <w:tc>
          <w:tcPr>
            <w:tcW w:w="5954" w:type="dxa"/>
          </w:tcPr>
          <w:p w:rsidR="00193E45" w:rsidRPr="00CF5D2E" w:rsidRDefault="00193E45" w:rsidP="00160001">
            <w:pPr>
              <w:pStyle w:val="naiskr"/>
              <w:spacing w:before="0" w:after="0"/>
              <w:ind w:right="57"/>
            </w:pPr>
            <w:r w:rsidRPr="00CF5D2E">
              <w:t>Nav</w:t>
            </w:r>
          </w:p>
        </w:tc>
      </w:tr>
    </w:tbl>
    <w:p w:rsidR="00193E45" w:rsidRPr="00912A6D" w:rsidRDefault="00193E45" w:rsidP="00912A6D">
      <w:pPr>
        <w:ind w:left="57" w:right="57"/>
        <w:rPr>
          <w:color w:val="FF0000"/>
          <w:sz w:val="28"/>
          <w:szCs w:val="28"/>
        </w:rPr>
      </w:pPr>
    </w:p>
    <w:tbl>
      <w:tblPr>
        <w:tblW w:w="933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001"/>
        <w:gridCol w:w="5812"/>
      </w:tblGrid>
      <w:tr w:rsidR="00193E45" w:rsidRPr="00912A6D" w:rsidTr="00BA3AFB">
        <w:tc>
          <w:tcPr>
            <w:tcW w:w="9336" w:type="dxa"/>
            <w:gridSpan w:val="3"/>
            <w:tcBorders>
              <w:top w:val="single" w:sz="4" w:space="0" w:color="auto"/>
              <w:left w:val="single" w:sz="4" w:space="0" w:color="auto"/>
              <w:bottom w:val="single" w:sz="4" w:space="0" w:color="auto"/>
              <w:right w:val="single" w:sz="4" w:space="0" w:color="auto"/>
            </w:tcBorders>
            <w:vAlign w:val="center"/>
            <w:hideMark/>
          </w:tcPr>
          <w:p w:rsidR="00193E45" w:rsidRPr="00912A6D" w:rsidRDefault="00193E45" w:rsidP="00912A6D">
            <w:pPr>
              <w:ind w:left="57" w:right="57"/>
              <w:jc w:val="center"/>
              <w:rPr>
                <w:b/>
                <w:sz w:val="28"/>
                <w:szCs w:val="28"/>
              </w:rPr>
            </w:pPr>
            <w:r w:rsidRPr="00912A6D">
              <w:rPr>
                <w:b/>
                <w:sz w:val="28"/>
                <w:szCs w:val="28"/>
              </w:rPr>
              <w:t>II. Tiesību akta projekta ietekme uz sabiedrību tautsaimniecības attīstību un administratīvo slogu</w:t>
            </w:r>
          </w:p>
        </w:tc>
      </w:tr>
      <w:tr w:rsidR="00193E45" w:rsidRPr="00431342" w:rsidTr="00DA5B81">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pPr>
            <w:r w:rsidRPr="00BA3AFB">
              <w:t> 1.</w:t>
            </w:r>
          </w:p>
        </w:tc>
        <w:tc>
          <w:tcPr>
            <w:tcW w:w="3001"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jc w:val="both"/>
            </w:pPr>
            <w:r w:rsidRPr="00BA3AFB">
              <w:t> Sabiedrības mērķgrupas, kuras tiesiskais regulējums</w:t>
            </w:r>
            <w:proofErr w:type="gramStart"/>
            <w:r w:rsidRPr="00BA3AFB">
              <w:t xml:space="preserve">  </w:t>
            </w:r>
            <w:proofErr w:type="gramEnd"/>
            <w:r w:rsidRPr="00BA3AFB">
              <w:t>ietekmē vai varētu ietekmēt</w:t>
            </w:r>
          </w:p>
        </w:tc>
        <w:tc>
          <w:tcPr>
            <w:tcW w:w="5812" w:type="dxa"/>
            <w:tcBorders>
              <w:top w:val="single" w:sz="4" w:space="0" w:color="auto"/>
              <w:left w:val="single" w:sz="4" w:space="0" w:color="auto"/>
              <w:bottom w:val="single" w:sz="4" w:space="0" w:color="auto"/>
              <w:right w:val="single" w:sz="4" w:space="0" w:color="auto"/>
            </w:tcBorders>
            <w:hideMark/>
          </w:tcPr>
          <w:p w:rsidR="00193E45" w:rsidRPr="00BA3AFB" w:rsidRDefault="00F52175" w:rsidP="00EB37F2">
            <w:pPr>
              <w:ind w:left="57" w:right="57"/>
              <w:jc w:val="both"/>
              <w:rPr>
                <w:iCs/>
              </w:rPr>
            </w:pPr>
            <w:r w:rsidRPr="00BA3AFB">
              <w:rPr>
                <w:iCs/>
              </w:rPr>
              <w:t>Noteikum</w:t>
            </w:r>
            <w:r w:rsidR="002D3EAC" w:rsidRPr="00BA3AFB">
              <w:rPr>
                <w:iCs/>
              </w:rPr>
              <w:t xml:space="preserve">u projekts attiecas uz </w:t>
            </w:r>
            <w:r w:rsidR="0040289D" w:rsidRPr="00BA3AFB">
              <w:rPr>
                <w:iCs/>
              </w:rPr>
              <w:t>dabasgāzes pārvades,</w:t>
            </w:r>
            <w:r w:rsidR="0040289D" w:rsidRPr="00BA3AFB">
              <w:t xml:space="preserve"> </w:t>
            </w:r>
            <w:r w:rsidR="0040289D" w:rsidRPr="00BA3AFB">
              <w:rPr>
                <w:iCs/>
              </w:rPr>
              <w:t>sadales, uzglabāšanas</w:t>
            </w:r>
            <w:r w:rsidR="00D80D6E" w:rsidRPr="00BA3AFB">
              <w:rPr>
                <w:iCs/>
              </w:rPr>
              <w:t xml:space="preserve"> operatoriem</w:t>
            </w:r>
            <w:r w:rsidR="0040289D" w:rsidRPr="00BA3AFB">
              <w:rPr>
                <w:iCs/>
              </w:rPr>
              <w:t xml:space="preserve"> un sašķidrinātās dabasgāzes sistēmas operatoriem</w:t>
            </w:r>
            <w:r w:rsidR="00D663FB" w:rsidRPr="00BA3AFB">
              <w:rPr>
                <w:iCs/>
              </w:rPr>
              <w:t>.</w:t>
            </w:r>
          </w:p>
        </w:tc>
      </w:tr>
      <w:tr w:rsidR="00193E45" w:rsidRPr="00431342" w:rsidTr="00DA5B81">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pPr>
            <w:r w:rsidRPr="00BA3AFB">
              <w:t> 2.</w:t>
            </w:r>
          </w:p>
        </w:tc>
        <w:tc>
          <w:tcPr>
            <w:tcW w:w="3001"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jc w:val="both"/>
            </w:pPr>
            <w:r w:rsidRPr="00BA3AFB">
              <w:t>Tiesiskā regulējuma ietekme uz tautsaimniecību un administratīvo slogu</w:t>
            </w:r>
          </w:p>
        </w:tc>
        <w:tc>
          <w:tcPr>
            <w:tcW w:w="5812" w:type="dxa"/>
            <w:tcBorders>
              <w:top w:val="single" w:sz="4" w:space="0" w:color="auto"/>
              <w:left w:val="single" w:sz="4" w:space="0" w:color="auto"/>
              <w:bottom w:val="single" w:sz="4" w:space="0" w:color="auto"/>
              <w:right w:val="single" w:sz="4" w:space="0" w:color="auto"/>
            </w:tcBorders>
            <w:hideMark/>
          </w:tcPr>
          <w:p w:rsidR="00193E45" w:rsidRPr="00BA3AFB" w:rsidRDefault="00D663FB" w:rsidP="00EB37F2">
            <w:pPr>
              <w:ind w:left="57" w:right="57"/>
              <w:jc w:val="both"/>
            </w:pPr>
            <w:r w:rsidRPr="00BD1D0C">
              <w:t>Noteikumu projekts</w:t>
            </w:r>
            <w:r w:rsidR="00696F5F" w:rsidRPr="00BD1D0C">
              <w:t xml:space="preserve"> </w:t>
            </w:r>
            <w:r w:rsidR="00B91BDC" w:rsidRPr="00BD1D0C">
              <w:t xml:space="preserve">pastarpināti veicinās </w:t>
            </w:r>
            <w:r w:rsidR="0072170E" w:rsidRPr="00BD1D0C">
              <w:t>jaunu tirgus dalībnieku ienākšanu tirgū</w:t>
            </w:r>
            <w:r w:rsidR="00B91BDC" w:rsidRPr="00BD1D0C">
              <w:t>, kas var uzlabot dabasgāzes apgādes drošumu reģionā</w:t>
            </w:r>
            <w:r w:rsidR="0040289D" w:rsidRPr="00BD1D0C">
              <w:t>.</w:t>
            </w:r>
            <w:r w:rsidR="00013E07">
              <w:t xml:space="preserve"> Pieaugot tirgus dalībnieku skaitam, papildus slogs</w:t>
            </w:r>
            <w:r w:rsidR="005F7E70">
              <w:t xml:space="preserve"> (jāizskata </w:t>
            </w:r>
            <w:proofErr w:type="gramStart"/>
            <w:r w:rsidR="005F7E70">
              <w:t>vairāk iesniegumi</w:t>
            </w:r>
            <w:proofErr w:type="gramEnd"/>
            <w:r w:rsidR="005F7E70">
              <w:t xml:space="preserve"> par piekļuvi krātuvei)</w:t>
            </w:r>
            <w:r w:rsidR="00013E07">
              <w:t xml:space="preserve"> var rasties krātuves </w:t>
            </w:r>
            <w:r w:rsidR="00EB37F2">
              <w:t>operatoram</w:t>
            </w:r>
            <w:r w:rsidR="0007386D">
              <w:t>. Netiek</w:t>
            </w:r>
            <w:r w:rsidR="00A60709">
              <w:t xml:space="preserve"> konstatēts administratīvais slogs iestādēm</w:t>
            </w:r>
            <w:r w:rsidR="00013E07">
              <w:t>.</w:t>
            </w:r>
          </w:p>
        </w:tc>
      </w:tr>
      <w:tr w:rsidR="00193E45" w:rsidRPr="00431342" w:rsidTr="00DA5B81">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pPr>
            <w:r w:rsidRPr="00BA3AFB">
              <w:lastRenderedPageBreak/>
              <w:t> 3.</w:t>
            </w:r>
          </w:p>
        </w:tc>
        <w:tc>
          <w:tcPr>
            <w:tcW w:w="3001"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jc w:val="both"/>
            </w:pPr>
            <w:r w:rsidRPr="00BA3AFB">
              <w:t>Administratīvo izmaksu monetārs novērtējums</w:t>
            </w:r>
          </w:p>
        </w:tc>
        <w:tc>
          <w:tcPr>
            <w:tcW w:w="5812" w:type="dxa"/>
            <w:tcBorders>
              <w:top w:val="single" w:sz="4" w:space="0" w:color="auto"/>
              <w:left w:val="single" w:sz="4" w:space="0" w:color="auto"/>
              <w:bottom w:val="single" w:sz="4" w:space="0" w:color="auto"/>
              <w:right w:val="single" w:sz="4" w:space="0" w:color="auto"/>
            </w:tcBorders>
            <w:hideMark/>
          </w:tcPr>
          <w:p w:rsidR="00193E45" w:rsidRPr="00BA3AFB" w:rsidRDefault="00727E79" w:rsidP="00160001">
            <w:pPr>
              <w:ind w:right="57"/>
              <w:jc w:val="both"/>
            </w:pPr>
            <w:r w:rsidRPr="00BA3AFB">
              <w:t>Projekts šo jomu neskar.</w:t>
            </w:r>
          </w:p>
        </w:tc>
      </w:tr>
      <w:tr w:rsidR="00193E45" w:rsidRPr="00431342" w:rsidTr="00DA5B81">
        <w:tc>
          <w:tcPr>
            <w:tcW w:w="523"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pPr>
            <w:r w:rsidRPr="00BA3AFB">
              <w:t> 4.</w:t>
            </w:r>
          </w:p>
        </w:tc>
        <w:tc>
          <w:tcPr>
            <w:tcW w:w="3001" w:type="dxa"/>
            <w:tcBorders>
              <w:top w:val="single" w:sz="4" w:space="0" w:color="auto"/>
              <w:left w:val="single" w:sz="4" w:space="0" w:color="auto"/>
              <w:bottom w:val="single" w:sz="4" w:space="0" w:color="auto"/>
              <w:right w:val="single" w:sz="4" w:space="0" w:color="auto"/>
            </w:tcBorders>
            <w:hideMark/>
          </w:tcPr>
          <w:p w:rsidR="00193E45" w:rsidRPr="00BA3AFB" w:rsidRDefault="00193E45" w:rsidP="00912A6D">
            <w:pPr>
              <w:ind w:left="57" w:right="57"/>
              <w:jc w:val="both"/>
            </w:pPr>
            <w:r w:rsidRPr="00BA3AFB">
              <w:t> Cita informācija</w:t>
            </w:r>
          </w:p>
        </w:tc>
        <w:tc>
          <w:tcPr>
            <w:tcW w:w="5812" w:type="dxa"/>
            <w:tcBorders>
              <w:top w:val="single" w:sz="4" w:space="0" w:color="auto"/>
              <w:left w:val="single" w:sz="4" w:space="0" w:color="auto"/>
              <w:bottom w:val="single" w:sz="4" w:space="0" w:color="auto"/>
              <w:right w:val="single" w:sz="4" w:space="0" w:color="auto"/>
            </w:tcBorders>
            <w:hideMark/>
          </w:tcPr>
          <w:p w:rsidR="00193E45" w:rsidRPr="00BA3AFB" w:rsidRDefault="00193E45" w:rsidP="00160001">
            <w:pPr>
              <w:ind w:right="57"/>
            </w:pPr>
            <w:r w:rsidRPr="00BA3AFB">
              <w:t>Nav</w:t>
            </w:r>
          </w:p>
        </w:tc>
      </w:tr>
    </w:tbl>
    <w:p w:rsidR="002D744A" w:rsidRPr="00BA3AFB" w:rsidRDefault="002D744A" w:rsidP="00912A6D">
      <w:pPr>
        <w:ind w:left="57" w:right="57"/>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193E45" w:rsidRPr="00431342" w:rsidTr="00FD76CC">
        <w:trPr>
          <w:jc w:val="center"/>
        </w:trPr>
        <w:tc>
          <w:tcPr>
            <w:tcW w:w="9215" w:type="dxa"/>
            <w:gridSpan w:val="3"/>
          </w:tcPr>
          <w:p w:rsidR="00193E45" w:rsidRPr="00BA3AFB" w:rsidRDefault="00193E45" w:rsidP="00912A6D">
            <w:pPr>
              <w:pStyle w:val="naisnod"/>
              <w:spacing w:before="0" w:after="0"/>
              <w:ind w:left="57" w:right="57"/>
            </w:pPr>
            <w:r w:rsidRPr="00BA3AFB">
              <w:t>VI. Sabiedrības līdzdalība un komunikācijas aktivitātes</w:t>
            </w:r>
          </w:p>
        </w:tc>
      </w:tr>
      <w:tr w:rsidR="00193E45" w:rsidRPr="00431342" w:rsidTr="00BA3AFB">
        <w:trPr>
          <w:trHeight w:val="818"/>
          <w:jc w:val="center"/>
        </w:trPr>
        <w:tc>
          <w:tcPr>
            <w:tcW w:w="567" w:type="dxa"/>
          </w:tcPr>
          <w:p w:rsidR="00193E45" w:rsidRPr="00BA3AFB" w:rsidRDefault="00193E45" w:rsidP="00912A6D">
            <w:pPr>
              <w:pStyle w:val="naiskr"/>
              <w:spacing w:before="0" w:after="0"/>
              <w:ind w:left="57" w:right="57"/>
              <w:rPr>
                <w:bCs/>
              </w:rPr>
            </w:pPr>
            <w:r w:rsidRPr="00BA3AFB">
              <w:rPr>
                <w:bCs/>
              </w:rPr>
              <w:t>1.</w:t>
            </w:r>
          </w:p>
        </w:tc>
        <w:tc>
          <w:tcPr>
            <w:tcW w:w="2934" w:type="dxa"/>
          </w:tcPr>
          <w:p w:rsidR="00F1506E" w:rsidRPr="00BA3AFB" w:rsidRDefault="00193E45" w:rsidP="00F1506E">
            <w:pPr>
              <w:pStyle w:val="naiskr"/>
              <w:tabs>
                <w:tab w:val="left" w:pos="170"/>
              </w:tabs>
              <w:spacing w:before="0" w:after="0"/>
              <w:ind w:right="57"/>
              <w:jc w:val="both"/>
            </w:pPr>
            <w:r w:rsidRPr="00BA3AFB">
              <w:t>P</w:t>
            </w:r>
            <w:r w:rsidR="00912A6D" w:rsidRPr="00BA3AFB">
              <w:t xml:space="preserve">lānotās sabiedrības līdzdalības </w:t>
            </w:r>
            <w:r w:rsidRPr="00BA3AFB">
              <w:t>un komunikācijas aktivitātes saistībā ar projektu</w:t>
            </w:r>
          </w:p>
        </w:tc>
        <w:tc>
          <w:tcPr>
            <w:tcW w:w="5714" w:type="dxa"/>
          </w:tcPr>
          <w:p w:rsidR="00F1506E" w:rsidRPr="00431342" w:rsidRDefault="003D5E4F" w:rsidP="00EB37F2">
            <w:pPr>
              <w:jc w:val="both"/>
            </w:pPr>
            <w:r w:rsidRPr="00BA3AFB">
              <w:t>Ar izstrādāto noteikumu projektu ir iespējams iepazīties Ekonomikas ministrijas tīmekļvietnē</w:t>
            </w:r>
            <w:r w:rsidR="001B7F85">
              <w:t>.</w:t>
            </w:r>
            <w:r w:rsidRPr="00431342">
              <w:t xml:space="preserve"> </w:t>
            </w:r>
          </w:p>
        </w:tc>
      </w:tr>
      <w:tr w:rsidR="00193E45" w:rsidRPr="00431342" w:rsidTr="00FD76CC">
        <w:trPr>
          <w:trHeight w:val="339"/>
          <w:jc w:val="center"/>
        </w:trPr>
        <w:tc>
          <w:tcPr>
            <w:tcW w:w="567" w:type="dxa"/>
          </w:tcPr>
          <w:p w:rsidR="00193E45" w:rsidRPr="00BA3AFB" w:rsidRDefault="00193E45" w:rsidP="00912A6D">
            <w:pPr>
              <w:pStyle w:val="naiskr"/>
              <w:spacing w:before="0" w:after="0"/>
              <w:ind w:left="57" w:right="57"/>
              <w:rPr>
                <w:bCs/>
              </w:rPr>
            </w:pPr>
            <w:r w:rsidRPr="00BA3AFB">
              <w:rPr>
                <w:bCs/>
              </w:rPr>
              <w:t>2.</w:t>
            </w:r>
          </w:p>
        </w:tc>
        <w:tc>
          <w:tcPr>
            <w:tcW w:w="2934" w:type="dxa"/>
          </w:tcPr>
          <w:p w:rsidR="00193E45" w:rsidRPr="00BA3AFB" w:rsidRDefault="00193E45" w:rsidP="00912A6D">
            <w:pPr>
              <w:pStyle w:val="naiskr"/>
              <w:spacing w:before="0" w:after="0"/>
              <w:ind w:left="57" w:right="57"/>
              <w:jc w:val="both"/>
            </w:pPr>
            <w:r w:rsidRPr="00BA3AFB">
              <w:t xml:space="preserve">Sabiedrības līdzdalība projekta izstrādē </w:t>
            </w:r>
          </w:p>
        </w:tc>
        <w:tc>
          <w:tcPr>
            <w:tcW w:w="5714" w:type="dxa"/>
          </w:tcPr>
          <w:p w:rsidR="008C5C24" w:rsidRPr="00BA3AFB" w:rsidRDefault="003D5E4F" w:rsidP="00EB37F2">
            <w:pPr>
              <w:pStyle w:val="naiskr"/>
              <w:spacing w:before="0" w:after="0"/>
              <w:ind w:right="57"/>
              <w:jc w:val="both"/>
            </w:pPr>
            <w:r w:rsidRPr="00BA3AFB">
              <w:t>Noteikumu projekts publicēts Ekonomikas ministrijas tīmekļvietnē, nodrošinot sabiedrības inform</w:t>
            </w:r>
            <w:r w:rsidR="00B24E01" w:rsidRPr="00BA3AFB">
              <w:t>ēšanu un iespēju paust viedokli par noteikumu projektu.</w:t>
            </w:r>
            <w:r w:rsidRPr="00BA3AFB">
              <w:t xml:space="preserve"> </w:t>
            </w:r>
          </w:p>
        </w:tc>
      </w:tr>
      <w:tr w:rsidR="00193E45" w:rsidRPr="00431342" w:rsidTr="00FD76CC">
        <w:trPr>
          <w:trHeight w:val="375"/>
          <w:jc w:val="center"/>
        </w:trPr>
        <w:tc>
          <w:tcPr>
            <w:tcW w:w="567" w:type="dxa"/>
          </w:tcPr>
          <w:p w:rsidR="00193E45" w:rsidRPr="00BA3AFB" w:rsidRDefault="00193E45" w:rsidP="00912A6D">
            <w:pPr>
              <w:pStyle w:val="naiskr"/>
              <w:spacing w:before="0" w:after="0"/>
              <w:ind w:left="57" w:right="57"/>
              <w:rPr>
                <w:bCs/>
              </w:rPr>
            </w:pPr>
            <w:r w:rsidRPr="00BA3AFB">
              <w:rPr>
                <w:bCs/>
              </w:rPr>
              <w:t>3.</w:t>
            </w:r>
          </w:p>
        </w:tc>
        <w:tc>
          <w:tcPr>
            <w:tcW w:w="2934" w:type="dxa"/>
          </w:tcPr>
          <w:p w:rsidR="00193E45" w:rsidRPr="00BA3AFB" w:rsidRDefault="00193E45" w:rsidP="00912A6D">
            <w:pPr>
              <w:pStyle w:val="naiskr"/>
              <w:spacing w:before="0" w:after="0"/>
              <w:ind w:left="57" w:right="57"/>
              <w:jc w:val="both"/>
            </w:pPr>
            <w:r w:rsidRPr="00BA3AFB">
              <w:t xml:space="preserve">Sabiedrības līdzdalības rezultāti </w:t>
            </w:r>
          </w:p>
        </w:tc>
        <w:tc>
          <w:tcPr>
            <w:tcW w:w="5714" w:type="dxa"/>
          </w:tcPr>
          <w:p w:rsidR="00193E45" w:rsidRPr="00BA3AFB" w:rsidRDefault="00B24E01" w:rsidP="00160001">
            <w:pPr>
              <w:pStyle w:val="naiskr"/>
              <w:spacing w:before="0" w:after="0"/>
              <w:ind w:right="57"/>
              <w:jc w:val="both"/>
            </w:pPr>
            <w:r w:rsidRPr="00BA3AFB">
              <w:t>Nav</w:t>
            </w:r>
          </w:p>
        </w:tc>
      </w:tr>
      <w:tr w:rsidR="00193E45" w:rsidRPr="00431342" w:rsidTr="007516F7">
        <w:trPr>
          <w:trHeight w:val="337"/>
          <w:jc w:val="center"/>
        </w:trPr>
        <w:tc>
          <w:tcPr>
            <w:tcW w:w="567" w:type="dxa"/>
          </w:tcPr>
          <w:p w:rsidR="00193E45" w:rsidRPr="00BA3AFB" w:rsidRDefault="00193E45" w:rsidP="00912A6D">
            <w:pPr>
              <w:pStyle w:val="naiskr"/>
              <w:spacing w:before="0" w:after="0"/>
              <w:ind w:left="57" w:right="57"/>
              <w:rPr>
                <w:bCs/>
              </w:rPr>
            </w:pPr>
            <w:r w:rsidRPr="00BA3AFB">
              <w:rPr>
                <w:bCs/>
              </w:rPr>
              <w:t>4.</w:t>
            </w:r>
          </w:p>
        </w:tc>
        <w:tc>
          <w:tcPr>
            <w:tcW w:w="2934" w:type="dxa"/>
          </w:tcPr>
          <w:p w:rsidR="00193E45" w:rsidRPr="00BA3AFB" w:rsidRDefault="00193E45" w:rsidP="00912A6D">
            <w:pPr>
              <w:pStyle w:val="naiskr"/>
              <w:spacing w:before="0" w:after="0"/>
              <w:ind w:left="57" w:right="57"/>
              <w:jc w:val="both"/>
            </w:pPr>
            <w:r w:rsidRPr="00BA3AFB">
              <w:t>Cita informācija</w:t>
            </w:r>
          </w:p>
        </w:tc>
        <w:tc>
          <w:tcPr>
            <w:tcW w:w="5714" w:type="dxa"/>
          </w:tcPr>
          <w:p w:rsidR="00193E45" w:rsidRPr="00BA3AFB" w:rsidRDefault="00193E45" w:rsidP="00160001">
            <w:pPr>
              <w:pStyle w:val="naiskr"/>
              <w:spacing w:before="0" w:after="0"/>
              <w:ind w:right="57"/>
            </w:pPr>
            <w:r w:rsidRPr="00BA3AFB">
              <w:t>Nav</w:t>
            </w:r>
          </w:p>
        </w:tc>
      </w:tr>
    </w:tbl>
    <w:p w:rsidR="009E45A8" w:rsidRPr="00BA3AFB" w:rsidRDefault="009E45A8" w:rsidP="00295622">
      <w:pPr>
        <w:ind w:right="57"/>
        <w:rPr>
          <w:color w:val="FF0000"/>
        </w:rPr>
      </w:pPr>
    </w:p>
    <w:tbl>
      <w:tblPr>
        <w:tblW w:w="919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014"/>
        <w:gridCol w:w="5670"/>
      </w:tblGrid>
      <w:tr w:rsidR="00193E45" w:rsidRPr="00431342" w:rsidTr="00217167">
        <w:trPr>
          <w:trHeight w:val="65"/>
        </w:trPr>
        <w:tc>
          <w:tcPr>
            <w:tcW w:w="9191" w:type="dxa"/>
            <w:gridSpan w:val="3"/>
          </w:tcPr>
          <w:p w:rsidR="00193E45" w:rsidRPr="00BA3AFB" w:rsidRDefault="00193E45" w:rsidP="00912A6D">
            <w:pPr>
              <w:ind w:left="57" w:right="57"/>
              <w:jc w:val="center"/>
            </w:pPr>
            <w:r w:rsidRPr="00BA3AFB">
              <w:rPr>
                <w:b/>
              </w:rPr>
              <w:t>VII. Tiesību akta projekta izpildes nodrošināšana un tās ietekme uz institūcijām</w:t>
            </w:r>
          </w:p>
        </w:tc>
      </w:tr>
      <w:tr w:rsidR="00193E45" w:rsidRPr="00431342" w:rsidTr="00217167">
        <w:trPr>
          <w:trHeight w:val="427"/>
        </w:trPr>
        <w:tc>
          <w:tcPr>
            <w:tcW w:w="507" w:type="dxa"/>
          </w:tcPr>
          <w:p w:rsidR="00193E45" w:rsidRPr="00BA3AFB" w:rsidRDefault="00193E45" w:rsidP="00912A6D">
            <w:pPr>
              <w:ind w:left="57" w:right="57"/>
            </w:pPr>
            <w:r w:rsidRPr="00BA3AFB">
              <w:t> 1.</w:t>
            </w:r>
          </w:p>
        </w:tc>
        <w:tc>
          <w:tcPr>
            <w:tcW w:w="3014" w:type="dxa"/>
          </w:tcPr>
          <w:p w:rsidR="00193E45" w:rsidRPr="00BA3AFB" w:rsidRDefault="00193E45" w:rsidP="00912A6D">
            <w:pPr>
              <w:ind w:left="57" w:right="57"/>
              <w:jc w:val="both"/>
            </w:pPr>
            <w:r w:rsidRPr="00BA3AFB">
              <w:t> Projekta izpildē iesaistītās institūcijas</w:t>
            </w:r>
          </w:p>
        </w:tc>
        <w:tc>
          <w:tcPr>
            <w:tcW w:w="5670" w:type="dxa"/>
          </w:tcPr>
          <w:p w:rsidR="00193E45" w:rsidRPr="00BA3AFB" w:rsidRDefault="003D65DB" w:rsidP="001A6BD3">
            <w:pPr>
              <w:pStyle w:val="naisnod"/>
              <w:spacing w:before="0" w:after="0"/>
              <w:ind w:right="141"/>
              <w:jc w:val="both"/>
              <w:rPr>
                <w:b w:val="0"/>
              </w:rPr>
            </w:pPr>
            <w:r>
              <w:rPr>
                <w:b w:val="0"/>
              </w:rPr>
              <w:t>Ekonomikas ministrija</w:t>
            </w:r>
            <w:r w:rsidR="00EB37F2">
              <w:rPr>
                <w:b w:val="0"/>
              </w:rPr>
              <w:t>.</w:t>
            </w:r>
          </w:p>
        </w:tc>
      </w:tr>
      <w:tr w:rsidR="00193E45" w:rsidRPr="00431342" w:rsidTr="00217167">
        <w:trPr>
          <w:trHeight w:val="463"/>
        </w:trPr>
        <w:tc>
          <w:tcPr>
            <w:tcW w:w="507" w:type="dxa"/>
          </w:tcPr>
          <w:p w:rsidR="00193E45" w:rsidRPr="00BA3AFB" w:rsidRDefault="00193E45" w:rsidP="00912A6D">
            <w:pPr>
              <w:ind w:left="57" w:right="57"/>
            </w:pPr>
            <w:r w:rsidRPr="00BA3AFB">
              <w:t> 2.</w:t>
            </w:r>
          </w:p>
        </w:tc>
        <w:tc>
          <w:tcPr>
            <w:tcW w:w="3014" w:type="dxa"/>
          </w:tcPr>
          <w:p w:rsidR="00193E45" w:rsidRPr="00BA3AFB" w:rsidRDefault="00193E45" w:rsidP="00912A6D">
            <w:pPr>
              <w:ind w:left="57" w:right="57"/>
              <w:jc w:val="both"/>
            </w:pPr>
            <w:r w:rsidRPr="00BA3AFB">
              <w:t> Projekta izpildes ietekme uz pārvaldes funkcijām un institucionālo struktūru. Jaunu institūciju izveide, esošu institūciju likvidācija vai reorganizācija, to ietekme uz institūcijas cilvēkresursiem</w:t>
            </w:r>
          </w:p>
        </w:tc>
        <w:tc>
          <w:tcPr>
            <w:tcW w:w="5670" w:type="dxa"/>
          </w:tcPr>
          <w:p w:rsidR="00193E45" w:rsidRPr="00BA3AFB" w:rsidRDefault="00193E45" w:rsidP="00160001">
            <w:pPr>
              <w:pStyle w:val="naisnod"/>
              <w:spacing w:before="0" w:after="0"/>
              <w:ind w:left="57" w:right="57"/>
              <w:jc w:val="both"/>
              <w:rPr>
                <w:b w:val="0"/>
              </w:rPr>
            </w:pPr>
            <w:r w:rsidRPr="00BA3AFB">
              <w:rPr>
                <w:b w:val="0"/>
              </w:rPr>
              <w:t xml:space="preserve">Jaunas institūcijas netiks veidotas un nav nepieciešams likvidēt vai reorganizēt esošās institūcijas. Līdz ar to </w:t>
            </w:r>
            <w:r w:rsidR="006264EF" w:rsidRPr="00BA3AFB">
              <w:rPr>
                <w:b w:val="0"/>
              </w:rPr>
              <w:t>n</w:t>
            </w:r>
            <w:r w:rsidR="00696F5F" w:rsidRPr="00BA3AFB">
              <w:rPr>
                <w:b w:val="0"/>
              </w:rPr>
              <w:t xml:space="preserve">oteikumu </w:t>
            </w:r>
            <w:r w:rsidRPr="00BA3AFB">
              <w:rPr>
                <w:b w:val="0"/>
              </w:rPr>
              <w:t>izpilde neietekmēs institūciju cilvēkresursus.</w:t>
            </w:r>
          </w:p>
        </w:tc>
      </w:tr>
      <w:tr w:rsidR="00193E45" w:rsidRPr="00431342" w:rsidTr="00217167">
        <w:trPr>
          <w:trHeight w:val="284"/>
        </w:trPr>
        <w:tc>
          <w:tcPr>
            <w:tcW w:w="507" w:type="dxa"/>
          </w:tcPr>
          <w:p w:rsidR="00193E45" w:rsidRPr="00BA3AFB" w:rsidRDefault="00193E45" w:rsidP="00912A6D">
            <w:pPr>
              <w:ind w:left="57" w:right="57"/>
            </w:pPr>
            <w:r w:rsidRPr="00BA3AFB">
              <w:t> 3.</w:t>
            </w:r>
          </w:p>
        </w:tc>
        <w:tc>
          <w:tcPr>
            <w:tcW w:w="3014" w:type="dxa"/>
          </w:tcPr>
          <w:p w:rsidR="00193E45" w:rsidRPr="00BA3AFB" w:rsidRDefault="00193E45" w:rsidP="00912A6D">
            <w:pPr>
              <w:ind w:left="57" w:right="57"/>
              <w:jc w:val="both"/>
            </w:pPr>
            <w:r w:rsidRPr="00BA3AFB">
              <w:t> Cita informācija</w:t>
            </w:r>
          </w:p>
        </w:tc>
        <w:tc>
          <w:tcPr>
            <w:tcW w:w="5670" w:type="dxa"/>
          </w:tcPr>
          <w:p w:rsidR="00193E45" w:rsidRPr="00BA3AFB" w:rsidRDefault="00193E45" w:rsidP="00160001">
            <w:pPr>
              <w:ind w:right="57"/>
              <w:jc w:val="both"/>
            </w:pPr>
            <w:r w:rsidRPr="00BA3AFB">
              <w:t>Nav</w:t>
            </w:r>
          </w:p>
        </w:tc>
      </w:tr>
    </w:tbl>
    <w:p w:rsidR="00193E45" w:rsidRPr="00912A6D" w:rsidRDefault="00193E45" w:rsidP="0006393E">
      <w:pPr>
        <w:pStyle w:val="naisf"/>
        <w:tabs>
          <w:tab w:val="left" w:pos="6710"/>
        </w:tabs>
        <w:spacing w:before="0" w:after="240"/>
        <w:jc w:val="center"/>
        <w:rPr>
          <w:i/>
          <w:sz w:val="28"/>
          <w:szCs w:val="28"/>
        </w:rPr>
      </w:pPr>
      <w:r w:rsidRPr="00912A6D">
        <w:rPr>
          <w:i/>
          <w:sz w:val="28"/>
          <w:szCs w:val="28"/>
        </w:rPr>
        <w:t>Anotācijas III, IV</w:t>
      </w:r>
      <w:r w:rsidR="004D20DD">
        <w:rPr>
          <w:i/>
          <w:sz w:val="28"/>
          <w:szCs w:val="28"/>
        </w:rPr>
        <w:t>, un V</w:t>
      </w:r>
      <w:r w:rsidRPr="00912A6D">
        <w:rPr>
          <w:i/>
          <w:sz w:val="28"/>
          <w:szCs w:val="28"/>
        </w:rPr>
        <w:t xml:space="preserve"> - projekts šīs jomas neskar.</w:t>
      </w:r>
    </w:p>
    <w:p w:rsidR="00811B43" w:rsidRDefault="00811B43" w:rsidP="00811B43">
      <w:pPr>
        <w:jc w:val="both"/>
        <w:rPr>
          <w:sz w:val="28"/>
          <w:szCs w:val="28"/>
        </w:rPr>
      </w:pPr>
      <w:r>
        <w:rPr>
          <w:sz w:val="28"/>
          <w:szCs w:val="28"/>
        </w:rPr>
        <w:t>Ministru prezidenta biedrs,</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11B43" w:rsidRDefault="00967EF4" w:rsidP="00811B43">
      <w:pPr>
        <w:tabs>
          <w:tab w:val="left" w:pos="-142"/>
        </w:tabs>
        <w:spacing w:line="276" w:lineRule="auto"/>
        <w:rPr>
          <w:sz w:val="28"/>
          <w:szCs w:val="28"/>
        </w:rPr>
      </w:pPr>
      <w:r>
        <w:rPr>
          <w:sz w:val="28"/>
          <w:szCs w:val="28"/>
        </w:rPr>
        <w:t xml:space="preserve">ekonomikas </w:t>
      </w:r>
      <w:r w:rsidR="00811B43">
        <w:rPr>
          <w:sz w:val="28"/>
          <w:szCs w:val="28"/>
        </w:rPr>
        <w:t>ministrs</w:t>
      </w:r>
      <w:r w:rsidR="002E10E9" w:rsidRPr="002E10E9">
        <w:rPr>
          <w:sz w:val="28"/>
          <w:szCs w:val="28"/>
        </w:rPr>
        <w:t xml:space="preserve"> </w:t>
      </w:r>
      <w:r w:rsidR="002E10E9">
        <w:rPr>
          <w:sz w:val="28"/>
          <w:szCs w:val="28"/>
        </w:rPr>
        <w:tab/>
      </w:r>
      <w:r w:rsidR="002E10E9">
        <w:rPr>
          <w:sz w:val="28"/>
          <w:szCs w:val="28"/>
        </w:rPr>
        <w:tab/>
      </w:r>
      <w:r w:rsidR="002E10E9">
        <w:rPr>
          <w:sz w:val="28"/>
          <w:szCs w:val="28"/>
        </w:rPr>
        <w:tab/>
      </w:r>
      <w:r w:rsidR="002E10E9">
        <w:rPr>
          <w:sz w:val="28"/>
          <w:szCs w:val="28"/>
        </w:rPr>
        <w:tab/>
      </w:r>
      <w:r w:rsidR="002E10E9">
        <w:rPr>
          <w:sz w:val="28"/>
          <w:szCs w:val="28"/>
        </w:rPr>
        <w:tab/>
      </w:r>
      <w:r w:rsidR="002E10E9">
        <w:rPr>
          <w:sz w:val="28"/>
          <w:szCs w:val="28"/>
        </w:rPr>
        <w:tab/>
      </w:r>
      <w:r w:rsidR="002E10E9">
        <w:rPr>
          <w:sz w:val="28"/>
          <w:szCs w:val="28"/>
        </w:rPr>
        <w:tab/>
      </w:r>
      <w:proofErr w:type="spellStart"/>
      <w:r w:rsidR="002E10E9">
        <w:rPr>
          <w:sz w:val="28"/>
          <w:szCs w:val="28"/>
        </w:rPr>
        <w:t>A.Ašeradens</w:t>
      </w:r>
      <w:proofErr w:type="spellEnd"/>
    </w:p>
    <w:p w:rsidR="0006393E" w:rsidRDefault="0006393E" w:rsidP="00811B43">
      <w:pPr>
        <w:tabs>
          <w:tab w:val="left" w:pos="-142"/>
        </w:tabs>
        <w:spacing w:line="276" w:lineRule="auto"/>
        <w:rPr>
          <w:sz w:val="28"/>
          <w:szCs w:val="28"/>
        </w:rPr>
      </w:pPr>
    </w:p>
    <w:p w:rsidR="00747AAB" w:rsidRPr="00912A6D" w:rsidRDefault="00747AAB" w:rsidP="00747AAB">
      <w:pPr>
        <w:rPr>
          <w:sz w:val="28"/>
          <w:szCs w:val="28"/>
        </w:rPr>
      </w:pPr>
      <w:r w:rsidRPr="00912A6D">
        <w:rPr>
          <w:sz w:val="28"/>
          <w:szCs w:val="28"/>
        </w:rPr>
        <w:t>Vīza:</w:t>
      </w:r>
    </w:p>
    <w:p w:rsidR="00CB5FD4" w:rsidRDefault="00C111BB" w:rsidP="00967EF4">
      <w:pPr>
        <w:tabs>
          <w:tab w:val="left" w:pos="5670"/>
          <w:tab w:val="right" w:pos="9072"/>
        </w:tabs>
        <w:rPr>
          <w:sz w:val="28"/>
          <w:szCs w:val="28"/>
        </w:rPr>
      </w:pPr>
      <w:r>
        <w:rPr>
          <w:sz w:val="28"/>
          <w:szCs w:val="28"/>
        </w:rPr>
        <w:t>Valsts sekretār</w:t>
      </w:r>
      <w:r w:rsidR="00967EF4">
        <w:rPr>
          <w:sz w:val="28"/>
          <w:szCs w:val="28"/>
        </w:rPr>
        <w:t xml:space="preserve">s </w:t>
      </w:r>
      <w:r w:rsidR="002E10E9">
        <w:rPr>
          <w:sz w:val="28"/>
          <w:szCs w:val="28"/>
        </w:rPr>
        <w:tab/>
      </w:r>
      <w:proofErr w:type="gramStart"/>
      <w:r w:rsidR="002E10E9">
        <w:rPr>
          <w:sz w:val="28"/>
          <w:szCs w:val="28"/>
        </w:rPr>
        <w:t xml:space="preserve">                      </w:t>
      </w:r>
      <w:proofErr w:type="spellStart"/>
      <w:proofErr w:type="gramEnd"/>
      <w:r w:rsidR="00967EF4">
        <w:rPr>
          <w:sz w:val="28"/>
          <w:szCs w:val="28"/>
        </w:rPr>
        <w:t>J.Stinka</w:t>
      </w:r>
      <w:proofErr w:type="spellEnd"/>
    </w:p>
    <w:p w:rsidR="00193E45" w:rsidRDefault="00193E45" w:rsidP="00193E45">
      <w:pPr>
        <w:rPr>
          <w:sz w:val="20"/>
        </w:rPr>
      </w:pPr>
    </w:p>
    <w:p w:rsidR="003D39E6" w:rsidRDefault="003D39E6" w:rsidP="00193E45">
      <w:pPr>
        <w:rPr>
          <w:sz w:val="20"/>
        </w:rPr>
      </w:pPr>
    </w:p>
    <w:p w:rsidR="003D39E6" w:rsidRDefault="003D39E6" w:rsidP="00193E45">
      <w:pPr>
        <w:rPr>
          <w:sz w:val="20"/>
        </w:rPr>
      </w:pPr>
    </w:p>
    <w:p w:rsidR="003D39E6" w:rsidRDefault="003D39E6" w:rsidP="00193E45">
      <w:pPr>
        <w:rPr>
          <w:sz w:val="20"/>
        </w:rPr>
      </w:pPr>
    </w:p>
    <w:p w:rsidR="00193E45" w:rsidRPr="00BA3AFB" w:rsidRDefault="00BA37F1" w:rsidP="00F5297F">
      <w:pPr>
        <w:keepLines/>
        <w:widowControl w:val="0"/>
        <w:jc w:val="both"/>
        <w:rPr>
          <w:sz w:val="16"/>
          <w:szCs w:val="16"/>
        </w:rPr>
      </w:pPr>
      <w:r>
        <w:rPr>
          <w:sz w:val="16"/>
          <w:szCs w:val="16"/>
        </w:rPr>
        <w:t>2</w:t>
      </w:r>
      <w:r w:rsidR="00FB655F">
        <w:rPr>
          <w:sz w:val="16"/>
          <w:szCs w:val="16"/>
        </w:rPr>
        <w:t>5</w:t>
      </w:r>
      <w:r w:rsidR="004D20DD" w:rsidRPr="00BA3AFB">
        <w:rPr>
          <w:sz w:val="16"/>
          <w:szCs w:val="16"/>
        </w:rPr>
        <w:t>.</w:t>
      </w:r>
      <w:r w:rsidR="00BA3173">
        <w:rPr>
          <w:sz w:val="16"/>
          <w:szCs w:val="16"/>
        </w:rPr>
        <w:t>01</w:t>
      </w:r>
      <w:r w:rsidR="000B22CF" w:rsidRPr="00BA3AFB">
        <w:rPr>
          <w:sz w:val="16"/>
          <w:szCs w:val="16"/>
        </w:rPr>
        <w:t>.201</w:t>
      </w:r>
      <w:r w:rsidR="00BA3173">
        <w:rPr>
          <w:sz w:val="16"/>
          <w:szCs w:val="16"/>
        </w:rPr>
        <w:t>7.</w:t>
      </w:r>
      <w:r w:rsidR="000B22CF" w:rsidRPr="00BA3AFB">
        <w:rPr>
          <w:sz w:val="16"/>
          <w:szCs w:val="16"/>
        </w:rPr>
        <w:t xml:space="preserve"> </w:t>
      </w:r>
      <w:r w:rsidR="00FB655F">
        <w:rPr>
          <w:sz w:val="16"/>
          <w:szCs w:val="16"/>
        </w:rPr>
        <w:t>0</w:t>
      </w:r>
      <w:r>
        <w:rPr>
          <w:sz w:val="16"/>
          <w:szCs w:val="16"/>
        </w:rPr>
        <w:t>8</w:t>
      </w:r>
      <w:r w:rsidR="000F5697" w:rsidRPr="00BA3AFB">
        <w:rPr>
          <w:sz w:val="16"/>
          <w:szCs w:val="16"/>
        </w:rPr>
        <w:t>:</w:t>
      </w:r>
      <w:r w:rsidR="00FB655F">
        <w:rPr>
          <w:sz w:val="16"/>
          <w:szCs w:val="16"/>
        </w:rPr>
        <w:t>07</w:t>
      </w:r>
    </w:p>
    <w:p w:rsidR="009E3FA4" w:rsidRPr="00BA3AFB" w:rsidRDefault="00002781" w:rsidP="009E3FA4">
      <w:pPr>
        <w:tabs>
          <w:tab w:val="left" w:pos="1080"/>
        </w:tabs>
        <w:ind w:right="71"/>
        <w:jc w:val="both"/>
        <w:rPr>
          <w:sz w:val="16"/>
          <w:szCs w:val="16"/>
        </w:rPr>
      </w:pPr>
      <w:r>
        <w:rPr>
          <w:sz w:val="16"/>
          <w:szCs w:val="16"/>
        </w:rPr>
        <w:t>9</w:t>
      </w:r>
      <w:r w:rsidR="00FB655F">
        <w:rPr>
          <w:sz w:val="16"/>
          <w:szCs w:val="16"/>
        </w:rPr>
        <w:t>55</w:t>
      </w:r>
    </w:p>
    <w:p w:rsidR="00193E45" w:rsidRPr="00BA3AFB" w:rsidRDefault="004D20DD" w:rsidP="00193E45">
      <w:pPr>
        <w:tabs>
          <w:tab w:val="left" w:pos="1080"/>
        </w:tabs>
        <w:ind w:right="71"/>
        <w:jc w:val="both"/>
        <w:rPr>
          <w:sz w:val="16"/>
          <w:szCs w:val="16"/>
        </w:rPr>
      </w:pPr>
      <w:proofErr w:type="spellStart"/>
      <w:r w:rsidRPr="00BA3AFB">
        <w:rPr>
          <w:sz w:val="16"/>
          <w:szCs w:val="16"/>
        </w:rPr>
        <w:t>M.Feofilovs</w:t>
      </w:r>
      <w:proofErr w:type="spellEnd"/>
      <w:r w:rsidR="00193E45" w:rsidRPr="00BA3AFB">
        <w:rPr>
          <w:sz w:val="16"/>
          <w:szCs w:val="16"/>
        </w:rPr>
        <w:t>,</w:t>
      </w:r>
    </w:p>
    <w:p w:rsidR="004D20DD" w:rsidRPr="00BA3AFB" w:rsidRDefault="004D20DD" w:rsidP="00BA3AFB">
      <w:pPr>
        <w:tabs>
          <w:tab w:val="left" w:pos="1080"/>
        </w:tabs>
        <w:ind w:right="71"/>
        <w:jc w:val="both"/>
        <w:rPr>
          <w:sz w:val="16"/>
          <w:szCs w:val="16"/>
          <w:lang w:val="de-DE"/>
        </w:rPr>
      </w:pPr>
      <w:r w:rsidRPr="00BA3AFB">
        <w:rPr>
          <w:sz w:val="16"/>
          <w:szCs w:val="16"/>
        </w:rPr>
        <w:t>67013</w:t>
      </w:r>
      <w:r w:rsidR="00002781">
        <w:rPr>
          <w:sz w:val="16"/>
          <w:szCs w:val="16"/>
        </w:rPr>
        <w:t>001</w:t>
      </w:r>
      <w:r w:rsidRPr="00BA3AFB">
        <w:rPr>
          <w:sz w:val="16"/>
          <w:szCs w:val="16"/>
          <w:lang w:val="de-DE"/>
        </w:rPr>
        <w:t xml:space="preserve">, </w:t>
      </w:r>
    </w:p>
    <w:p w:rsidR="004D20DD" w:rsidRPr="00BA3AFB" w:rsidRDefault="004D20DD" w:rsidP="00BA3AFB">
      <w:pPr>
        <w:tabs>
          <w:tab w:val="left" w:pos="1080"/>
        </w:tabs>
        <w:ind w:right="71"/>
        <w:jc w:val="both"/>
        <w:rPr>
          <w:sz w:val="16"/>
          <w:szCs w:val="16"/>
          <w:lang w:val="de-DE"/>
        </w:rPr>
      </w:pPr>
      <w:r w:rsidRPr="00BA3AFB">
        <w:rPr>
          <w:sz w:val="16"/>
          <w:szCs w:val="16"/>
        </w:rPr>
        <w:t>Maksims.Feofilovs@em.gov.lv</w:t>
      </w:r>
      <w:r w:rsidRPr="00BA3AFB">
        <w:rPr>
          <w:sz w:val="16"/>
          <w:szCs w:val="16"/>
          <w:lang w:val="de-DE"/>
        </w:rPr>
        <w:t xml:space="preserve"> </w:t>
      </w:r>
    </w:p>
    <w:p w:rsidR="00193E45" w:rsidRPr="00124ADC" w:rsidRDefault="00193E45" w:rsidP="004D20DD">
      <w:pPr>
        <w:tabs>
          <w:tab w:val="left" w:pos="1080"/>
        </w:tabs>
        <w:ind w:right="71"/>
        <w:jc w:val="both"/>
        <w:rPr>
          <w:sz w:val="20"/>
          <w:szCs w:val="20"/>
          <w:lang w:val="de-DE"/>
        </w:rPr>
      </w:pPr>
    </w:p>
    <w:sectPr w:rsidR="00193E45" w:rsidRPr="00124ADC" w:rsidSect="0006393E">
      <w:headerReference w:type="even" r:id="rId9"/>
      <w:headerReference w:type="default" r:id="rId10"/>
      <w:footerReference w:type="default" r:id="rId11"/>
      <w:headerReference w:type="first" r:id="rId12"/>
      <w:footerReference w:type="first" r:id="rId13"/>
      <w:pgSz w:w="11906" w:h="16838" w:code="9"/>
      <w:pgMar w:top="1418" w:right="851" w:bottom="1276"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AD" w:rsidRDefault="00121BAD">
      <w:r>
        <w:separator/>
      </w:r>
    </w:p>
  </w:endnote>
  <w:endnote w:type="continuationSeparator" w:id="0">
    <w:p w:rsidR="00121BAD" w:rsidRDefault="0012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D" w:rsidRPr="00C953E9" w:rsidRDefault="004D20DD" w:rsidP="004D20DD">
    <w:pPr>
      <w:jc w:val="both"/>
      <w:rPr>
        <w:sz w:val="20"/>
        <w:szCs w:val="20"/>
      </w:rPr>
    </w:pPr>
  </w:p>
  <w:p w:rsidR="00426C37" w:rsidRDefault="001A6BD3" w:rsidP="009D2213">
    <w:pPr>
      <w:jc w:val="both"/>
    </w:pPr>
    <w:r w:rsidRPr="009D2213">
      <w:rPr>
        <w:sz w:val="20"/>
        <w:szCs w:val="20"/>
      </w:rPr>
      <w:t>EMAnot_kratuves_</w:t>
    </w:r>
    <w:r w:rsidR="00BA37F1">
      <w:rPr>
        <w:sz w:val="20"/>
        <w:szCs w:val="20"/>
      </w:rPr>
      <w:t>2</w:t>
    </w:r>
    <w:r w:rsidR="00FB655F">
      <w:rPr>
        <w:sz w:val="20"/>
        <w:szCs w:val="20"/>
      </w:rPr>
      <w:t>5</w:t>
    </w:r>
    <w:r w:rsidR="005830EA">
      <w:rPr>
        <w:sz w:val="20"/>
        <w:szCs w:val="20"/>
      </w:rPr>
      <w:t>0117</w:t>
    </w:r>
    <w:r w:rsidR="004D20DD" w:rsidRPr="00C953E9">
      <w:rPr>
        <w:sz w:val="20"/>
        <w:szCs w:val="20"/>
      </w:rPr>
      <w:t xml:space="preserve">; </w:t>
    </w:r>
    <w:r w:rsidR="009D2213" w:rsidRPr="002E10E9">
      <w:rPr>
        <w:sz w:val="20"/>
        <w:szCs w:val="20"/>
      </w:rPr>
      <w:t xml:space="preserve">Ministru kabineta noteikumu projekta </w:t>
    </w:r>
    <w:r w:rsidR="009D2213" w:rsidRPr="00BA3AFB">
      <w:rPr>
        <w:sz w:val="20"/>
        <w:szCs w:val="20"/>
      </w:rPr>
      <w:t>„</w:t>
    </w:r>
    <w:r w:rsidR="009D2213" w:rsidRPr="00CB6FEA">
      <w:rPr>
        <w:sz w:val="20"/>
        <w:szCs w:val="20"/>
      </w:rPr>
      <w:t>Kārtība, kādā novērtē un pieņem lēmumu par to, vai piekļuve dabasgāzes krātuvēm ir tehniski un ekonomiski pamatota</w:t>
    </w:r>
    <w:r w:rsidR="009D2213" w:rsidRPr="00BA3AFB">
      <w:rPr>
        <w:sz w:val="20"/>
        <w:szCs w:val="20"/>
      </w:rPr>
      <w:t>” sākotnējās ietekmes novērtējuma ziņojums (</w:t>
    </w:r>
    <w:r w:rsidR="009D2213" w:rsidRPr="00BA3AFB">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D" w:rsidRPr="00BA3AFB" w:rsidRDefault="009D2213" w:rsidP="00BA3AFB">
    <w:pPr>
      <w:jc w:val="both"/>
      <w:rPr>
        <w:sz w:val="20"/>
        <w:szCs w:val="20"/>
      </w:rPr>
    </w:pPr>
    <w:r w:rsidRPr="009D2213">
      <w:rPr>
        <w:sz w:val="20"/>
        <w:szCs w:val="20"/>
      </w:rPr>
      <w:t>EMAnot_kratuves_</w:t>
    </w:r>
    <w:r w:rsidR="00BA37F1">
      <w:rPr>
        <w:sz w:val="20"/>
        <w:szCs w:val="20"/>
      </w:rPr>
      <w:t>2</w:t>
    </w:r>
    <w:r w:rsidR="00FB655F">
      <w:rPr>
        <w:sz w:val="20"/>
        <w:szCs w:val="20"/>
      </w:rPr>
      <w:t>5</w:t>
    </w:r>
    <w:r w:rsidR="005830EA">
      <w:rPr>
        <w:sz w:val="20"/>
        <w:szCs w:val="20"/>
      </w:rPr>
      <w:t>0117</w:t>
    </w:r>
    <w:r w:rsidR="00426C37" w:rsidRPr="002E10E9">
      <w:rPr>
        <w:sz w:val="20"/>
        <w:szCs w:val="20"/>
      </w:rPr>
      <w:t>; Ministru kabineta noteikumu projekt</w:t>
    </w:r>
    <w:r w:rsidR="008E0E15" w:rsidRPr="002E10E9">
      <w:rPr>
        <w:sz w:val="20"/>
        <w:szCs w:val="20"/>
      </w:rPr>
      <w:t>a</w:t>
    </w:r>
    <w:r w:rsidR="00426C37" w:rsidRPr="002E10E9">
      <w:rPr>
        <w:sz w:val="20"/>
        <w:szCs w:val="20"/>
      </w:rPr>
      <w:t xml:space="preserve"> </w:t>
    </w:r>
    <w:r w:rsidR="004D20DD" w:rsidRPr="00BA3AFB">
      <w:rPr>
        <w:sz w:val="20"/>
        <w:szCs w:val="20"/>
      </w:rPr>
      <w:t>„</w:t>
    </w:r>
    <w:r w:rsidR="00CB6FEA" w:rsidRPr="00CB6FEA">
      <w:rPr>
        <w:sz w:val="20"/>
        <w:szCs w:val="20"/>
      </w:rPr>
      <w:t>Kārtība, kādā novērtē un pieņem lēmumu par to, vai piekļuve dabasgāzes krātuvēm ir tehniski un ekonomiski pamatota</w:t>
    </w:r>
    <w:r w:rsidR="004D20DD" w:rsidRPr="00BA3AFB">
      <w:rPr>
        <w:sz w:val="20"/>
        <w:szCs w:val="20"/>
      </w:rPr>
      <w:t>” sākotnējās ietekmes novērtējuma ziņojums (</w:t>
    </w:r>
    <w:r w:rsidR="004D20DD" w:rsidRPr="00BA3AFB">
      <w:rPr>
        <w:bCs/>
        <w:sz w:val="20"/>
        <w:szCs w:val="20"/>
      </w:rPr>
      <w:t>anotācija)</w:t>
    </w:r>
  </w:p>
  <w:p w:rsidR="00426C37" w:rsidRPr="0079607B" w:rsidRDefault="00426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AD" w:rsidRDefault="00121BAD">
      <w:r>
        <w:separator/>
      </w:r>
    </w:p>
  </w:footnote>
  <w:footnote w:type="continuationSeparator" w:id="0">
    <w:p w:rsidR="00121BAD" w:rsidRDefault="00121BAD">
      <w:r>
        <w:continuationSeparator/>
      </w:r>
    </w:p>
  </w:footnote>
  <w:footnote w:id="1">
    <w:p w:rsidR="006F2A92" w:rsidRDefault="00CC5693" w:rsidP="00FB655F">
      <w:pPr>
        <w:pStyle w:val="FootnoteText"/>
        <w:jc w:val="both"/>
      </w:pPr>
      <w:r>
        <w:rPr>
          <w:rStyle w:val="FootnoteReference"/>
        </w:rPr>
        <w:footnoteRef/>
      </w:r>
      <w:r>
        <w:t xml:space="preserve"> </w:t>
      </w:r>
      <w:r w:rsidRPr="00CF5D2E">
        <w:t>Eiropas Parlamenta un Padomes Direktīv</w:t>
      </w:r>
      <w:r>
        <w:t>ā</w:t>
      </w:r>
      <w:r w:rsidRPr="00CF5D2E">
        <w:t xml:space="preserve"> 2009/73/EK</w:t>
      </w:r>
      <w:r>
        <w:rPr>
          <w:rStyle w:val="FootnoteReference"/>
        </w:rPr>
        <w:footnoteRef/>
      </w:r>
      <w:r w:rsidRPr="00CF5D2E">
        <w:t xml:space="preserve"> </w:t>
      </w:r>
      <w:r>
        <w:t xml:space="preserve">par kopīgiem noteikumiem attiecībā uz dabasgāzes iekšējo tirgu, pieejama oficiālajā </w:t>
      </w:r>
      <w:r w:rsidR="00391D6C">
        <w:t>ES</w:t>
      </w:r>
      <w:r>
        <w:t xml:space="preserve"> tīmekļvietnē:</w:t>
      </w:r>
      <w:r w:rsidRPr="00994D7D">
        <w:t xml:space="preserve"> </w:t>
      </w:r>
      <w:hyperlink r:id="rId1" w:history="1">
        <w:r w:rsidR="006F2A92" w:rsidRPr="00BB4330">
          <w:rPr>
            <w:rStyle w:val="Hyperlink"/>
          </w:rPr>
          <w:t>http://eur-lex.europa.eu/LexUriServ/LexUriServ.do?uri=OJ:L:2009:211:0094:0136:lv:PDF</w:t>
        </w:r>
      </w:hyperlink>
    </w:p>
  </w:footnote>
  <w:footnote w:id="2">
    <w:p w:rsidR="006F2A92" w:rsidRDefault="00CC5693" w:rsidP="00FB655F">
      <w:pPr>
        <w:pStyle w:val="FootnoteText"/>
        <w:jc w:val="both"/>
      </w:pPr>
      <w:r>
        <w:rPr>
          <w:rStyle w:val="FootnoteReference"/>
        </w:rPr>
        <w:footnoteRef/>
      </w:r>
      <w:r>
        <w:t xml:space="preserve"> </w:t>
      </w:r>
      <w:r w:rsidRPr="00CF5D2E">
        <w:t>Eiropas Parlamenta un Padomes</w:t>
      </w:r>
      <w:r>
        <w:t xml:space="preserve"> Regulā Nr.715/2009 </w:t>
      </w:r>
      <w:r w:rsidRPr="007C509B">
        <w:t>par nosacījumiem attiecībā uz piekļuvi dabasgāzes pārvades tīkliem</w:t>
      </w:r>
      <w:r>
        <w:t xml:space="preserve">, pieejama oficiālajā </w:t>
      </w:r>
      <w:r w:rsidR="00391D6C">
        <w:t>ES</w:t>
      </w:r>
      <w:r>
        <w:t xml:space="preserve"> tīmekļvietnē:</w:t>
      </w:r>
      <w:r w:rsidRPr="00B9039A">
        <w:t xml:space="preserve"> </w:t>
      </w:r>
      <w:hyperlink r:id="rId2" w:history="1">
        <w:r w:rsidR="006F2A92" w:rsidRPr="00BB4330">
          <w:rPr>
            <w:rStyle w:val="Hyperlink"/>
          </w:rPr>
          <w:t>http://eur-lex.europa.eu/legal-content/LV/TXT/PDF/?uri=CELEX:32009R0715&amp;from=LV</w:t>
        </w:r>
      </w:hyperlink>
    </w:p>
  </w:footnote>
  <w:footnote w:id="3">
    <w:p w:rsidR="006F2A92" w:rsidRDefault="00334C52" w:rsidP="00FB655F">
      <w:pPr>
        <w:pStyle w:val="FootnoteText"/>
        <w:jc w:val="both"/>
      </w:pPr>
      <w:r>
        <w:rPr>
          <w:rStyle w:val="FootnoteReference"/>
        </w:rPr>
        <w:footnoteRef/>
      </w:r>
      <w:r>
        <w:t xml:space="preserve"> Grozījumi Enerģētikas likumā, 2014, pieejami Latvijas Republikas tiesību aktu tīmekļvietnē:</w:t>
      </w:r>
      <w:r w:rsidRPr="00B9039A">
        <w:t xml:space="preserve"> </w:t>
      </w:r>
      <w:hyperlink r:id="rId3" w:history="1">
        <w:r w:rsidR="006F2A92" w:rsidRPr="00BB4330">
          <w:rPr>
            <w:rStyle w:val="Hyperlink"/>
          </w:rPr>
          <w:t>http://likumi.lv/ta/id/265208-grozijumi-energetikas-likuma</w:t>
        </w:r>
      </w:hyperlink>
    </w:p>
  </w:footnote>
  <w:footnote w:id="4">
    <w:p w:rsidR="006F2A92" w:rsidRDefault="00722834" w:rsidP="00722834">
      <w:pPr>
        <w:pStyle w:val="FootnoteText"/>
      </w:pPr>
      <w:r>
        <w:rPr>
          <w:rStyle w:val="FootnoteReference"/>
        </w:rPr>
        <w:footnoteRef/>
      </w:r>
      <w:r>
        <w:t xml:space="preserve"> AS “Latvijas gāze”, </w:t>
      </w:r>
      <w:r w:rsidRPr="00262CB9">
        <w:t>Krātuves raksturojums</w:t>
      </w:r>
      <w:r>
        <w:t xml:space="preserve">, pieejams tīmekļvietnē: </w:t>
      </w:r>
      <w:hyperlink r:id="rId4" w:history="1">
        <w:r w:rsidR="006F2A92" w:rsidRPr="00BB4330">
          <w:rPr>
            <w:rStyle w:val="Hyperlink"/>
          </w:rPr>
          <w:t>http://lg.lv/?id=194&amp;lang=lat</w:t>
        </w:r>
      </w:hyperlink>
    </w:p>
  </w:footnote>
  <w:footnote w:id="5">
    <w:p w:rsidR="002D744A" w:rsidRDefault="00722834" w:rsidP="00722834">
      <w:pPr>
        <w:pStyle w:val="FootnoteText"/>
      </w:pPr>
      <w:r>
        <w:rPr>
          <w:rStyle w:val="FootnoteReference"/>
        </w:rPr>
        <w:footnoteRef/>
      </w:r>
      <w:r>
        <w:t xml:space="preserve"> Latvijas Vides, Ģeoloģijas un </w:t>
      </w:r>
      <w:proofErr w:type="spellStart"/>
      <w:r>
        <w:t>Meteoroliģijas</w:t>
      </w:r>
      <w:proofErr w:type="spellEnd"/>
      <w:r>
        <w:t xml:space="preserve"> centra ziņojums, </w:t>
      </w:r>
      <w:r w:rsidRPr="00262CB9">
        <w:t>Struktūras dabasgāzes uzglabāšanai</w:t>
      </w:r>
      <w:r>
        <w:t xml:space="preserve">, pieejams tīmekļvietnē: </w:t>
      </w:r>
      <w:hyperlink r:id="rId5" w:history="1">
        <w:r w:rsidR="006F2A92" w:rsidRPr="00BB4330">
          <w:rPr>
            <w:rStyle w:val="Hyperlink"/>
          </w:rPr>
          <w:t>https://www.meteo.lv/lapas/geologija/zemes-dzilu-resursi/perspektivie-resursi/strukturas-dabasgazes-uzglabasanai/strukturas-dabasgazes-uzglabasanai?id=1484&amp;nid=667</w:t>
        </w:r>
      </w:hyperlink>
    </w:p>
  </w:footnote>
  <w:footnote w:id="6">
    <w:p w:rsidR="006F2A92" w:rsidRDefault="006F2A92">
      <w:pPr>
        <w:pStyle w:val="FootnoteText"/>
      </w:pPr>
      <w:r>
        <w:rPr>
          <w:rStyle w:val="FootnoteReference"/>
        </w:rPr>
        <w:footnoteRef/>
      </w:r>
      <w:r>
        <w:t xml:space="preserve"> </w:t>
      </w:r>
      <w:r w:rsidRPr="006F2A92">
        <w:t>Par Pasākumu plānu "klusēšanas – piekrišanas" principa ieviešanai un piemērošanai atbildīgo institūciju administratīvajā praksē</w:t>
      </w:r>
      <w:r>
        <w:t xml:space="preserve">: </w:t>
      </w:r>
      <w:hyperlink r:id="rId6" w:history="1">
        <w:r w:rsidR="00BA3173" w:rsidRPr="009D5AB1">
          <w:rPr>
            <w:rStyle w:val="Hyperlink"/>
          </w:rPr>
          <w:t>http://www.likumi.lv/doc.php?id=249188</w:t>
        </w:r>
      </w:hyperlink>
    </w:p>
  </w:footnote>
  <w:footnote w:id="7">
    <w:p w:rsidR="006F2A92" w:rsidRDefault="00D52AD9">
      <w:pPr>
        <w:pStyle w:val="FootnoteText"/>
      </w:pPr>
      <w:r>
        <w:rPr>
          <w:rStyle w:val="FootnoteReference"/>
        </w:rPr>
        <w:footnoteRef/>
      </w:r>
      <w:r>
        <w:t xml:space="preserve"> Sabiedrisko pakalpojumu regulēšanas komisija:</w:t>
      </w:r>
      <w:r w:rsidRPr="00D52AD9">
        <w:t xml:space="preserve"> </w:t>
      </w:r>
      <w:r>
        <w:t>“Noteikumi par kritērijiem, saskaņā ar kuriem dabasgāzes uzglabāšanas sistēmas operators un sašķidrinātās dabasgāzes sistēmas operators nosaka piekļuves režīmu dabasgāzes krātuvei”</w:t>
      </w:r>
      <w:r w:rsidR="003D6F86">
        <w:t xml:space="preserve">, pieejami Sabiedrisko pakalpojumu regulēšanas komisijas tīmekļvietnē: </w:t>
      </w:r>
      <w:hyperlink r:id="rId7" w:history="1">
        <w:r w:rsidR="006F2A92" w:rsidRPr="00BB4330">
          <w:rPr>
            <w:rStyle w:val="Hyperlink"/>
          </w:rPr>
          <w:t>https://www.sprk.gov.lv/uploads/doc/gazepublkons.pdf</w:t>
        </w:r>
      </w:hyperlink>
    </w:p>
  </w:footnote>
  <w:footnote w:id="8">
    <w:p w:rsidR="006F2A92" w:rsidRDefault="00334C52" w:rsidP="00334C52">
      <w:pPr>
        <w:pStyle w:val="FootnoteText"/>
      </w:pPr>
      <w:r>
        <w:rPr>
          <w:rStyle w:val="FootnoteReference"/>
        </w:rPr>
        <w:footnoteRef/>
      </w:r>
      <w:r>
        <w:t xml:space="preserve"> </w:t>
      </w:r>
      <w:proofErr w:type="spellStart"/>
      <w:r>
        <w:t>European</w:t>
      </w:r>
      <w:proofErr w:type="spellEnd"/>
      <w:r>
        <w:t xml:space="preserve"> </w:t>
      </w:r>
      <w:proofErr w:type="spellStart"/>
      <w:r>
        <w:t>Commision</w:t>
      </w:r>
      <w:proofErr w:type="spellEnd"/>
      <w:r>
        <w:t xml:space="preserve">, 2015, </w:t>
      </w:r>
      <w:proofErr w:type="spellStart"/>
      <w:r>
        <w:t>Directorate-General</w:t>
      </w:r>
      <w:proofErr w:type="spellEnd"/>
      <w:r>
        <w:t xml:space="preserve"> </w:t>
      </w:r>
      <w:proofErr w:type="spellStart"/>
      <w:r>
        <w:t>for</w:t>
      </w:r>
      <w:proofErr w:type="spellEnd"/>
      <w:r>
        <w:t xml:space="preserve"> </w:t>
      </w:r>
      <w:proofErr w:type="spellStart"/>
      <w:r>
        <w:t>Energy</w:t>
      </w:r>
      <w:proofErr w:type="spellEnd"/>
      <w:r>
        <w:t xml:space="preserve"> </w:t>
      </w:r>
      <w:proofErr w:type="spellStart"/>
      <w:r>
        <w:t>Internal</w:t>
      </w:r>
      <w:proofErr w:type="spellEnd"/>
      <w:r>
        <w:t xml:space="preserve"> </w:t>
      </w:r>
      <w:proofErr w:type="spellStart"/>
      <w:r>
        <w:t>Energy</w:t>
      </w:r>
      <w:proofErr w:type="spellEnd"/>
      <w:r>
        <w:t xml:space="preserve"> </w:t>
      </w:r>
      <w:proofErr w:type="spellStart"/>
      <w:r>
        <w:t>Market</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gas</w:t>
      </w:r>
      <w:proofErr w:type="spellEnd"/>
      <w:r>
        <w:t xml:space="preserve"> </w:t>
      </w:r>
      <w:proofErr w:type="spellStart"/>
      <w:r>
        <w:t>storage</w:t>
      </w:r>
      <w:proofErr w:type="spellEnd"/>
      <w:r>
        <w:t xml:space="preserve"> </w:t>
      </w:r>
      <w:proofErr w:type="spellStart"/>
      <w:r>
        <w:t>in</w:t>
      </w:r>
      <w:proofErr w:type="spellEnd"/>
      <w:r>
        <w:t xml:space="preserve"> </w:t>
      </w:r>
      <w:proofErr w:type="spellStart"/>
      <w:r>
        <w:t>internal</w:t>
      </w:r>
      <w:proofErr w:type="spellEnd"/>
      <w:r>
        <w:t xml:space="preserve"> </w:t>
      </w:r>
      <w:proofErr w:type="spellStart"/>
      <w:r>
        <w:t>market</w:t>
      </w:r>
      <w:proofErr w:type="spellEnd"/>
      <w:r>
        <w:t xml:space="preserve"> </w:t>
      </w:r>
      <w:proofErr w:type="spellStart"/>
      <w:r>
        <w:t>and</w:t>
      </w:r>
      <w:proofErr w:type="spellEnd"/>
      <w:r>
        <w:t xml:space="preserve"> </w:t>
      </w:r>
      <w:proofErr w:type="spellStart"/>
      <w:r>
        <w:t>in</w:t>
      </w:r>
      <w:proofErr w:type="spellEnd"/>
      <w:r>
        <w:t xml:space="preserve"> </w:t>
      </w:r>
      <w:proofErr w:type="spellStart"/>
      <w:r>
        <w:t>ensuring</w:t>
      </w:r>
      <w:proofErr w:type="spellEnd"/>
      <w:r>
        <w:t xml:space="preserve"> </w:t>
      </w:r>
      <w:proofErr w:type="spellStart"/>
      <w:r>
        <w:t>security</w:t>
      </w:r>
      <w:proofErr w:type="spellEnd"/>
      <w:r>
        <w:t xml:space="preserve"> </w:t>
      </w:r>
      <w:proofErr w:type="spellStart"/>
      <w:r>
        <w:t>of</w:t>
      </w:r>
      <w:proofErr w:type="spellEnd"/>
      <w:r>
        <w:t xml:space="preserve"> </w:t>
      </w:r>
      <w:proofErr w:type="spellStart"/>
      <w:r>
        <w:t>supply</w:t>
      </w:r>
      <w:proofErr w:type="spellEnd"/>
      <w:r>
        <w:t xml:space="preserve">, pieejams oficiālajā </w:t>
      </w:r>
      <w:r w:rsidR="00391D6C">
        <w:t>ES</w:t>
      </w:r>
      <w:r>
        <w:t xml:space="preserve"> tīmekļvietnē: </w:t>
      </w:r>
      <w:hyperlink r:id="rId8" w:history="1">
        <w:r w:rsidR="006F2A92" w:rsidRPr="00BB4330">
          <w:rPr>
            <w:rStyle w:val="Hyperlink"/>
          </w:rPr>
          <w:t>https://ec.europa.eu/energy/sites/ener/files/documents/REPORT-Gas%20Storage-20150728.pdf</w:t>
        </w:r>
      </w:hyperlink>
    </w:p>
  </w:footnote>
  <w:footnote w:id="9">
    <w:p w:rsidR="006F2A92" w:rsidRDefault="00334C52" w:rsidP="00334C52">
      <w:pPr>
        <w:pStyle w:val="FootnoteText"/>
      </w:pPr>
      <w:r>
        <w:rPr>
          <w:rStyle w:val="FootnoteReference"/>
        </w:rPr>
        <w:footnoteRef/>
      </w:r>
      <w:r>
        <w:t xml:space="preserve"> Sabiedrisko pakalpojumu regulēšanas komisija: Akciju sabiedrības „Latvijas Gāze” Inčukalna pazemes gāzes krātuves lietošanas noteikumi, 2015, pieejami Sabiedrisko pakalpojumu regulēšanas komisijas tīmekļvietnē:</w:t>
      </w:r>
      <w:r w:rsidRPr="008E54B5">
        <w:t xml:space="preserve"> </w:t>
      </w:r>
      <w:hyperlink r:id="rId9" w:history="1">
        <w:r w:rsidR="006F2A92" w:rsidRPr="00BB4330">
          <w:rPr>
            <w:rStyle w:val="Hyperlink"/>
          </w:rPr>
          <w:t>https://www.sprk.gov.lv/uploads/doc/KRATUVESnoteikumi.pdf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5A2" w:rsidRDefault="00A7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A70">
      <w:rPr>
        <w:rStyle w:val="PageNumber"/>
        <w:noProof/>
      </w:rPr>
      <w:t>4</w:t>
    </w:r>
    <w:r>
      <w:rPr>
        <w:rStyle w:val="PageNumber"/>
      </w:rPr>
      <w:fldChar w:fldCharType="end"/>
    </w:r>
  </w:p>
  <w:p w:rsidR="00A735A2" w:rsidRDefault="00A73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D" w:rsidRPr="00BA3AFB" w:rsidRDefault="004D20DD" w:rsidP="00BA3AF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E5EC9"/>
    <w:multiLevelType w:val="hybridMultilevel"/>
    <w:tmpl w:val="01CE9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7C078B"/>
    <w:multiLevelType w:val="hybridMultilevel"/>
    <w:tmpl w:val="1558114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nsid w:val="18BF7DD8"/>
    <w:multiLevelType w:val="multilevel"/>
    <w:tmpl w:val="A1A25C30"/>
    <w:lvl w:ilvl="0">
      <w:start w:val="11"/>
      <w:numFmt w:val="decimal"/>
      <w:lvlText w:val="%1."/>
      <w:lvlJc w:val="left"/>
      <w:pPr>
        <w:ind w:left="801" w:hanging="375"/>
      </w:pPr>
      <w:rPr>
        <w:rFonts w:hint="default"/>
      </w:rPr>
    </w:lvl>
    <w:lvl w:ilvl="1">
      <w:start w:val="1"/>
      <w:numFmt w:val="decimal"/>
      <w:isLgl/>
      <w:lvlText w:val="%1.%2."/>
      <w:lvlJc w:val="left"/>
      <w:pPr>
        <w:ind w:left="2196" w:hanging="750"/>
      </w:pPr>
      <w:rPr>
        <w:rFonts w:hint="default"/>
      </w:rPr>
    </w:lvl>
    <w:lvl w:ilvl="2">
      <w:start w:val="1"/>
      <w:numFmt w:val="decimal"/>
      <w:isLgl/>
      <w:lvlText w:val="%1.%2.%3."/>
      <w:lvlJc w:val="left"/>
      <w:pPr>
        <w:ind w:left="3216" w:hanging="750"/>
      </w:pPr>
      <w:rPr>
        <w:rFonts w:hint="default"/>
      </w:rPr>
    </w:lvl>
    <w:lvl w:ilvl="3">
      <w:start w:val="1"/>
      <w:numFmt w:val="decimal"/>
      <w:isLgl/>
      <w:lvlText w:val="%1.%2.%3.%4."/>
      <w:lvlJc w:val="left"/>
      <w:pPr>
        <w:ind w:left="4566" w:hanging="1080"/>
      </w:pPr>
      <w:rPr>
        <w:rFonts w:hint="default"/>
      </w:rPr>
    </w:lvl>
    <w:lvl w:ilvl="4">
      <w:start w:val="1"/>
      <w:numFmt w:val="decimal"/>
      <w:isLgl/>
      <w:lvlText w:val="%1.%2.%3.%4.%5."/>
      <w:lvlJc w:val="left"/>
      <w:pPr>
        <w:ind w:left="5586" w:hanging="1080"/>
      </w:pPr>
      <w:rPr>
        <w:rFonts w:hint="default"/>
      </w:rPr>
    </w:lvl>
    <w:lvl w:ilvl="5">
      <w:start w:val="1"/>
      <w:numFmt w:val="decimal"/>
      <w:isLgl/>
      <w:lvlText w:val="%1.%2.%3.%4.%5.%6."/>
      <w:lvlJc w:val="left"/>
      <w:pPr>
        <w:ind w:left="6966" w:hanging="1440"/>
      </w:pPr>
      <w:rPr>
        <w:rFonts w:hint="default"/>
      </w:rPr>
    </w:lvl>
    <w:lvl w:ilvl="6">
      <w:start w:val="1"/>
      <w:numFmt w:val="decimal"/>
      <w:isLgl/>
      <w:lvlText w:val="%1.%2.%3.%4.%5.%6.%7."/>
      <w:lvlJc w:val="left"/>
      <w:pPr>
        <w:ind w:left="8346" w:hanging="1800"/>
      </w:pPr>
      <w:rPr>
        <w:rFonts w:hint="default"/>
      </w:rPr>
    </w:lvl>
    <w:lvl w:ilvl="7">
      <w:start w:val="1"/>
      <w:numFmt w:val="decimal"/>
      <w:isLgl/>
      <w:lvlText w:val="%1.%2.%3.%4.%5.%6.%7.%8."/>
      <w:lvlJc w:val="left"/>
      <w:pPr>
        <w:ind w:left="9366" w:hanging="1800"/>
      </w:pPr>
      <w:rPr>
        <w:rFonts w:hint="default"/>
      </w:rPr>
    </w:lvl>
    <w:lvl w:ilvl="8">
      <w:start w:val="1"/>
      <w:numFmt w:val="decimal"/>
      <w:isLgl/>
      <w:lvlText w:val="%1.%2.%3.%4.%5.%6.%7.%8.%9."/>
      <w:lvlJc w:val="left"/>
      <w:pPr>
        <w:ind w:left="10746" w:hanging="2160"/>
      </w:pPr>
      <w:rPr>
        <w:rFont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1C679D"/>
    <w:multiLevelType w:val="hybridMultilevel"/>
    <w:tmpl w:val="7EE498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743265"/>
    <w:multiLevelType w:val="hybridMultilevel"/>
    <w:tmpl w:val="181669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2">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2B2693E"/>
    <w:multiLevelType w:val="hybridMultilevel"/>
    <w:tmpl w:val="6FC455AC"/>
    <w:lvl w:ilvl="0" w:tplc="42562AB2">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4">
    <w:nsid w:val="45947D18"/>
    <w:multiLevelType w:val="hybridMultilevel"/>
    <w:tmpl w:val="2438C2FA"/>
    <w:lvl w:ilvl="0" w:tplc="0630B5BA">
      <w:numFmt w:val="bullet"/>
      <w:lvlText w:val="-"/>
      <w:lvlJc w:val="left"/>
      <w:pPr>
        <w:ind w:left="467" w:hanging="360"/>
      </w:pPr>
      <w:rPr>
        <w:rFonts w:ascii="Times New Roman" w:eastAsia="Times New Roman"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D3642A"/>
    <w:multiLevelType w:val="hybridMultilevel"/>
    <w:tmpl w:val="B4AA75D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10"/>
  </w:num>
  <w:num w:numId="2">
    <w:abstractNumId w:val="21"/>
  </w:num>
  <w:num w:numId="3">
    <w:abstractNumId w:val="8"/>
  </w:num>
  <w:num w:numId="4">
    <w:abstractNumId w:val="4"/>
  </w:num>
  <w:num w:numId="5">
    <w:abstractNumId w:val="0"/>
  </w:num>
  <w:num w:numId="6">
    <w:abstractNumId w:val="18"/>
  </w:num>
  <w:num w:numId="7">
    <w:abstractNumId w:val="22"/>
  </w:num>
  <w:num w:numId="8">
    <w:abstractNumId w:val="15"/>
  </w:num>
  <w:num w:numId="9">
    <w:abstractNumId w:val="5"/>
  </w:num>
  <w:num w:numId="10">
    <w:abstractNumId w:val="16"/>
  </w:num>
  <w:num w:numId="11">
    <w:abstractNumId w:val="17"/>
  </w:num>
  <w:num w:numId="12">
    <w:abstractNumId w:val="19"/>
  </w:num>
  <w:num w:numId="13">
    <w:abstractNumId w:val="20"/>
  </w:num>
  <w:num w:numId="14">
    <w:abstractNumId w:val="9"/>
  </w:num>
  <w:num w:numId="15">
    <w:abstractNumId w:val="12"/>
  </w:num>
  <w:num w:numId="16">
    <w:abstractNumId w:val="11"/>
  </w:num>
  <w:num w:numId="17">
    <w:abstractNumId w:val="13"/>
  </w:num>
  <w:num w:numId="18">
    <w:abstractNumId w:val="14"/>
  </w:num>
  <w:num w:numId="19">
    <w:abstractNumId w:val="2"/>
  </w:num>
  <w:num w:numId="20">
    <w:abstractNumId w:val="3"/>
  </w:num>
  <w:num w:numId="21">
    <w:abstractNumId w:val="7"/>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781"/>
    <w:rsid w:val="00004959"/>
    <w:rsid w:val="00007A3D"/>
    <w:rsid w:val="00007C62"/>
    <w:rsid w:val="00011D24"/>
    <w:rsid w:val="000129CE"/>
    <w:rsid w:val="00013E07"/>
    <w:rsid w:val="00013FF4"/>
    <w:rsid w:val="00015973"/>
    <w:rsid w:val="00020423"/>
    <w:rsid w:val="00020FE1"/>
    <w:rsid w:val="00022E13"/>
    <w:rsid w:val="00023E7C"/>
    <w:rsid w:val="000276AC"/>
    <w:rsid w:val="000312DB"/>
    <w:rsid w:val="00032388"/>
    <w:rsid w:val="0003379D"/>
    <w:rsid w:val="00033C20"/>
    <w:rsid w:val="00035CE2"/>
    <w:rsid w:val="00042899"/>
    <w:rsid w:val="00042D0E"/>
    <w:rsid w:val="00045178"/>
    <w:rsid w:val="00054A3F"/>
    <w:rsid w:val="0005553B"/>
    <w:rsid w:val="00056ED2"/>
    <w:rsid w:val="0005711F"/>
    <w:rsid w:val="000604D2"/>
    <w:rsid w:val="00061C83"/>
    <w:rsid w:val="000634C0"/>
    <w:rsid w:val="0006393E"/>
    <w:rsid w:val="00067B8A"/>
    <w:rsid w:val="000704C8"/>
    <w:rsid w:val="0007386D"/>
    <w:rsid w:val="00084F2F"/>
    <w:rsid w:val="0008764A"/>
    <w:rsid w:val="0009005E"/>
    <w:rsid w:val="00091985"/>
    <w:rsid w:val="000941C5"/>
    <w:rsid w:val="000949EA"/>
    <w:rsid w:val="00094F54"/>
    <w:rsid w:val="00096A3E"/>
    <w:rsid w:val="000A0C56"/>
    <w:rsid w:val="000A2CD9"/>
    <w:rsid w:val="000A5505"/>
    <w:rsid w:val="000A5A22"/>
    <w:rsid w:val="000A624C"/>
    <w:rsid w:val="000A6451"/>
    <w:rsid w:val="000B038C"/>
    <w:rsid w:val="000B064E"/>
    <w:rsid w:val="000B0DBC"/>
    <w:rsid w:val="000B1D4D"/>
    <w:rsid w:val="000B22CF"/>
    <w:rsid w:val="000B4C1E"/>
    <w:rsid w:val="000B617F"/>
    <w:rsid w:val="000B65B3"/>
    <w:rsid w:val="000B69CF"/>
    <w:rsid w:val="000C4249"/>
    <w:rsid w:val="000C4941"/>
    <w:rsid w:val="000C7730"/>
    <w:rsid w:val="000C790C"/>
    <w:rsid w:val="000D1C54"/>
    <w:rsid w:val="000D3AC5"/>
    <w:rsid w:val="000D46AA"/>
    <w:rsid w:val="000D5059"/>
    <w:rsid w:val="000D5B55"/>
    <w:rsid w:val="000E21B9"/>
    <w:rsid w:val="000F061D"/>
    <w:rsid w:val="000F0E60"/>
    <w:rsid w:val="000F4794"/>
    <w:rsid w:val="000F4870"/>
    <w:rsid w:val="000F5697"/>
    <w:rsid w:val="000F6162"/>
    <w:rsid w:val="00100CB1"/>
    <w:rsid w:val="001028E5"/>
    <w:rsid w:val="00102A15"/>
    <w:rsid w:val="00106417"/>
    <w:rsid w:val="0011244A"/>
    <w:rsid w:val="00113F3B"/>
    <w:rsid w:val="0011461E"/>
    <w:rsid w:val="001152DB"/>
    <w:rsid w:val="00120766"/>
    <w:rsid w:val="00121BAD"/>
    <w:rsid w:val="001232B9"/>
    <w:rsid w:val="00124ADC"/>
    <w:rsid w:val="00124F12"/>
    <w:rsid w:val="001261F5"/>
    <w:rsid w:val="00126A07"/>
    <w:rsid w:val="001278E9"/>
    <w:rsid w:val="0013160C"/>
    <w:rsid w:val="001334C0"/>
    <w:rsid w:val="001373CC"/>
    <w:rsid w:val="00137D89"/>
    <w:rsid w:val="00141136"/>
    <w:rsid w:val="00142CB5"/>
    <w:rsid w:val="001445DC"/>
    <w:rsid w:val="00144E3A"/>
    <w:rsid w:val="00146E24"/>
    <w:rsid w:val="0014765B"/>
    <w:rsid w:val="0015060C"/>
    <w:rsid w:val="00155AE8"/>
    <w:rsid w:val="00155C25"/>
    <w:rsid w:val="00160001"/>
    <w:rsid w:val="0016018A"/>
    <w:rsid w:val="00161B0C"/>
    <w:rsid w:val="00161F0E"/>
    <w:rsid w:val="001627FF"/>
    <w:rsid w:val="0016537D"/>
    <w:rsid w:val="0016588C"/>
    <w:rsid w:val="00170E2A"/>
    <w:rsid w:val="0017683A"/>
    <w:rsid w:val="00177394"/>
    <w:rsid w:val="00177CF1"/>
    <w:rsid w:val="001813F5"/>
    <w:rsid w:val="00181F05"/>
    <w:rsid w:val="00182C18"/>
    <w:rsid w:val="0018387B"/>
    <w:rsid w:val="00183CC2"/>
    <w:rsid w:val="0018489C"/>
    <w:rsid w:val="001860E1"/>
    <w:rsid w:val="001873EF"/>
    <w:rsid w:val="00187E9D"/>
    <w:rsid w:val="001900E4"/>
    <w:rsid w:val="00190BE3"/>
    <w:rsid w:val="00190F88"/>
    <w:rsid w:val="00193E45"/>
    <w:rsid w:val="00195D64"/>
    <w:rsid w:val="001A3F49"/>
    <w:rsid w:val="001A4066"/>
    <w:rsid w:val="001A4B82"/>
    <w:rsid w:val="001A6AE4"/>
    <w:rsid w:val="001A6BD3"/>
    <w:rsid w:val="001A6FAE"/>
    <w:rsid w:val="001A7C42"/>
    <w:rsid w:val="001B01FD"/>
    <w:rsid w:val="001B101F"/>
    <w:rsid w:val="001B205E"/>
    <w:rsid w:val="001B20D9"/>
    <w:rsid w:val="001B2E01"/>
    <w:rsid w:val="001B31BD"/>
    <w:rsid w:val="001B4A71"/>
    <w:rsid w:val="001B6910"/>
    <w:rsid w:val="001B6DEF"/>
    <w:rsid w:val="001B74C5"/>
    <w:rsid w:val="001B75E2"/>
    <w:rsid w:val="001B7F85"/>
    <w:rsid w:val="001C25F1"/>
    <w:rsid w:val="001C2BB8"/>
    <w:rsid w:val="001C4C84"/>
    <w:rsid w:val="001C74CD"/>
    <w:rsid w:val="001D05D6"/>
    <w:rsid w:val="001D0A1B"/>
    <w:rsid w:val="001D5846"/>
    <w:rsid w:val="001D5B54"/>
    <w:rsid w:val="001D7368"/>
    <w:rsid w:val="001E08CD"/>
    <w:rsid w:val="001E1DBF"/>
    <w:rsid w:val="001E3136"/>
    <w:rsid w:val="001E4639"/>
    <w:rsid w:val="001E4A7D"/>
    <w:rsid w:val="001E4D48"/>
    <w:rsid w:val="001E5B05"/>
    <w:rsid w:val="001F0085"/>
    <w:rsid w:val="001F1A70"/>
    <w:rsid w:val="001F2FA4"/>
    <w:rsid w:val="001F3263"/>
    <w:rsid w:val="001F43A8"/>
    <w:rsid w:val="001F5B7B"/>
    <w:rsid w:val="001F5CD6"/>
    <w:rsid w:val="001F7C6E"/>
    <w:rsid w:val="002059BF"/>
    <w:rsid w:val="00206A35"/>
    <w:rsid w:val="0021263D"/>
    <w:rsid w:val="00213F0C"/>
    <w:rsid w:val="00214094"/>
    <w:rsid w:val="00215121"/>
    <w:rsid w:val="0021557C"/>
    <w:rsid w:val="0021592D"/>
    <w:rsid w:val="00217167"/>
    <w:rsid w:val="00222D76"/>
    <w:rsid w:val="00223EB1"/>
    <w:rsid w:val="00225DA2"/>
    <w:rsid w:val="002267D8"/>
    <w:rsid w:val="0022770D"/>
    <w:rsid w:val="0023008B"/>
    <w:rsid w:val="00230647"/>
    <w:rsid w:val="00231344"/>
    <w:rsid w:val="00231365"/>
    <w:rsid w:val="00231B20"/>
    <w:rsid w:val="00231CAE"/>
    <w:rsid w:val="0023436E"/>
    <w:rsid w:val="0023442F"/>
    <w:rsid w:val="002347C0"/>
    <w:rsid w:val="00235A8B"/>
    <w:rsid w:val="0024130C"/>
    <w:rsid w:val="00241A6C"/>
    <w:rsid w:val="00242135"/>
    <w:rsid w:val="00242A6C"/>
    <w:rsid w:val="00242D2B"/>
    <w:rsid w:val="00244474"/>
    <w:rsid w:val="00250A0F"/>
    <w:rsid w:val="002512DC"/>
    <w:rsid w:val="00254938"/>
    <w:rsid w:val="00257FDB"/>
    <w:rsid w:val="00261E2B"/>
    <w:rsid w:val="002621B9"/>
    <w:rsid w:val="00262CB9"/>
    <w:rsid w:val="00262E2B"/>
    <w:rsid w:val="00265F0D"/>
    <w:rsid w:val="00270429"/>
    <w:rsid w:val="002709C6"/>
    <w:rsid w:val="00271194"/>
    <w:rsid w:val="0027214E"/>
    <w:rsid w:val="002721B6"/>
    <w:rsid w:val="002723E9"/>
    <w:rsid w:val="00277929"/>
    <w:rsid w:val="00280D1A"/>
    <w:rsid w:val="00281FC1"/>
    <w:rsid w:val="00283B82"/>
    <w:rsid w:val="002846E9"/>
    <w:rsid w:val="00284C34"/>
    <w:rsid w:val="00287E5B"/>
    <w:rsid w:val="00290056"/>
    <w:rsid w:val="0029066C"/>
    <w:rsid w:val="00291645"/>
    <w:rsid w:val="00295622"/>
    <w:rsid w:val="00297520"/>
    <w:rsid w:val="00297D6E"/>
    <w:rsid w:val="00297FCC"/>
    <w:rsid w:val="002A1535"/>
    <w:rsid w:val="002A40B6"/>
    <w:rsid w:val="002A61C9"/>
    <w:rsid w:val="002A777D"/>
    <w:rsid w:val="002B50DB"/>
    <w:rsid w:val="002C12AB"/>
    <w:rsid w:val="002C1A7A"/>
    <w:rsid w:val="002C42CD"/>
    <w:rsid w:val="002C7CAC"/>
    <w:rsid w:val="002D3306"/>
    <w:rsid w:val="002D3EAC"/>
    <w:rsid w:val="002D473F"/>
    <w:rsid w:val="002D48AA"/>
    <w:rsid w:val="002D744A"/>
    <w:rsid w:val="002D7BAA"/>
    <w:rsid w:val="002D7F54"/>
    <w:rsid w:val="002E0E16"/>
    <w:rsid w:val="002E10E9"/>
    <w:rsid w:val="002E2D9B"/>
    <w:rsid w:val="002E3FF4"/>
    <w:rsid w:val="002E4FFE"/>
    <w:rsid w:val="002E7BCC"/>
    <w:rsid w:val="002F3BB7"/>
    <w:rsid w:val="002F57C3"/>
    <w:rsid w:val="002F6B1E"/>
    <w:rsid w:val="002F78C8"/>
    <w:rsid w:val="003014AB"/>
    <w:rsid w:val="00301CF3"/>
    <w:rsid w:val="00301D2B"/>
    <w:rsid w:val="00301DB6"/>
    <w:rsid w:val="003020F3"/>
    <w:rsid w:val="00307670"/>
    <w:rsid w:val="003101A7"/>
    <w:rsid w:val="00312F59"/>
    <w:rsid w:val="00313560"/>
    <w:rsid w:val="00313AD1"/>
    <w:rsid w:val="00314C96"/>
    <w:rsid w:val="00320986"/>
    <w:rsid w:val="0032226E"/>
    <w:rsid w:val="0032333B"/>
    <w:rsid w:val="003260A8"/>
    <w:rsid w:val="0032711D"/>
    <w:rsid w:val="0032715C"/>
    <w:rsid w:val="003271B4"/>
    <w:rsid w:val="00330057"/>
    <w:rsid w:val="003307B1"/>
    <w:rsid w:val="00331E2B"/>
    <w:rsid w:val="0033252F"/>
    <w:rsid w:val="00334C52"/>
    <w:rsid w:val="00335CF7"/>
    <w:rsid w:val="00337CA5"/>
    <w:rsid w:val="00337CF8"/>
    <w:rsid w:val="003416C7"/>
    <w:rsid w:val="00343716"/>
    <w:rsid w:val="003439D8"/>
    <w:rsid w:val="00343DB8"/>
    <w:rsid w:val="003444D1"/>
    <w:rsid w:val="0034475A"/>
    <w:rsid w:val="0034495D"/>
    <w:rsid w:val="00362478"/>
    <w:rsid w:val="003642C0"/>
    <w:rsid w:val="00365984"/>
    <w:rsid w:val="003700EC"/>
    <w:rsid w:val="003721E7"/>
    <w:rsid w:val="00373439"/>
    <w:rsid w:val="0037481A"/>
    <w:rsid w:val="00375B25"/>
    <w:rsid w:val="00382971"/>
    <w:rsid w:val="00384BFF"/>
    <w:rsid w:val="0039028B"/>
    <w:rsid w:val="003902B7"/>
    <w:rsid w:val="003904F9"/>
    <w:rsid w:val="00391D6C"/>
    <w:rsid w:val="00396542"/>
    <w:rsid w:val="003965DC"/>
    <w:rsid w:val="0039685B"/>
    <w:rsid w:val="003A0A64"/>
    <w:rsid w:val="003A12AD"/>
    <w:rsid w:val="003A2073"/>
    <w:rsid w:val="003A31A6"/>
    <w:rsid w:val="003A60BD"/>
    <w:rsid w:val="003A7F0C"/>
    <w:rsid w:val="003A7F79"/>
    <w:rsid w:val="003B0CF3"/>
    <w:rsid w:val="003B0D73"/>
    <w:rsid w:val="003B2B58"/>
    <w:rsid w:val="003B3653"/>
    <w:rsid w:val="003B37A7"/>
    <w:rsid w:val="003B6404"/>
    <w:rsid w:val="003B6ED2"/>
    <w:rsid w:val="003C0BD6"/>
    <w:rsid w:val="003C3908"/>
    <w:rsid w:val="003C3BAB"/>
    <w:rsid w:val="003C449B"/>
    <w:rsid w:val="003C52F2"/>
    <w:rsid w:val="003C76B3"/>
    <w:rsid w:val="003D0F24"/>
    <w:rsid w:val="003D16D6"/>
    <w:rsid w:val="003D21FF"/>
    <w:rsid w:val="003D39E6"/>
    <w:rsid w:val="003D5E4F"/>
    <w:rsid w:val="003D65DB"/>
    <w:rsid w:val="003D6F86"/>
    <w:rsid w:val="003E30FB"/>
    <w:rsid w:val="003E3C4B"/>
    <w:rsid w:val="003E44B5"/>
    <w:rsid w:val="003E63A7"/>
    <w:rsid w:val="003F0112"/>
    <w:rsid w:val="003F071A"/>
    <w:rsid w:val="003F160B"/>
    <w:rsid w:val="003F230C"/>
    <w:rsid w:val="003F2D9D"/>
    <w:rsid w:val="003F4950"/>
    <w:rsid w:val="003F5747"/>
    <w:rsid w:val="003F659B"/>
    <w:rsid w:val="00400032"/>
    <w:rsid w:val="004009B5"/>
    <w:rsid w:val="00400B5B"/>
    <w:rsid w:val="00400F32"/>
    <w:rsid w:val="0040289D"/>
    <w:rsid w:val="00404B62"/>
    <w:rsid w:val="00404F48"/>
    <w:rsid w:val="004053FE"/>
    <w:rsid w:val="00405A00"/>
    <w:rsid w:val="0040629F"/>
    <w:rsid w:val="00406FC1"/>
    <w:rsid w:val="00407529"/>
    <w:rsid w:val="00410B8B"/>
    <w:rsid w:val="004127A9"/>
    <w:rsid w:val="00414DB2"/>
    <w:rsid w:val="00420870"/>
    <w:rsid w:val="00420876"/>
    <w:rsid w:val="00423AA5"/>
    <w:rsid w:val="00424ABE"/>
    <w:rsid w:val="004255DC"/>
    <w:rsid w:val="00426880"/>
    <w:rsid w:val="00426C37"/>
    <w:rsid w:val="00431342"/>
    <w:rsid w:val="0043240D"/>
    <w:rsid w:val="004367EE"/>
    <w:rsid w:val="00437385"/>
    <w:rsid w:val="0043791B"/>
    <w:rsid w:val="00440EBA"/>
    <w:rsid w:val="00441483"/>
    <w:rsid w:val="00441BCB"/>
    <w:rsid w:val="00441C28"/>
    <w:rsid w:val="004427D6"/>
    <w:rsid w:val="00443978"/>
    <w:rsid w:val="00445273"/>
    <w:rsid w:val="0045176A"/>
    <w:rsid w:val="00451F65"/>
    <w:rsid w:val="00452DE3"/>
    <w:rsid w:val="00456332"/>
    <w:rsid w:val="00461826"/>
    <w:rsid w:val="00461CC1"/>
    <w:rsid w:val="004624A3"/>
    <w:rsid w:val="004636C4"/>
    <w:rsid w:val="00466838"/>
    <w:rsid w:val="00470164"/>
    <w:rsid w:val="004746C8"/>
    <w:rsid w:val="00475203"/>
    <w:rsid w:val="0047664C"/>
    <w:rsid w:val="00476B6F"/>
    <w:rsid w:val="004772F7"/>
    <w:rsid w:val="004800F9"/>
    <w:rsid w:val="004802BA"/>
    <w:rsid w:val="00483359"/>
    <w:rsid w:val="00485BB5"/>
    <w:rsid w:val="00487B0A"/>
    <w:rsid w:val="00487FED"/>
    <w:rsid w:val="004910D1"/>
    <w:rsid w:val="0049134A"/>
    <w:rsid w:val="00491A89"/>
    <w:rsid w:val="004940BA"/>
    <w:rsid w:val="004942F6"/>
    <w:rsid w:val="00494390"/>
    <w:rsid w:val="004A0EB1"/>
    <w:rsid w:val="004A1B92"/>
    <w:rsid w:val="004A58CB"/>
    <w:rsid w:val="004A6A75"/>
    <w:rsid w:val="004A7A92"/>
    <w:rsid w:val="004B1795"/>
    <w:rsid w:val="004B2BC8"/>
    <w:rsid w:val="004B3D2B"/>
    <w:rsid w:val="004B56DD"/>
    <w:rsid w:val="004B6C7E"/>
    <w:rsid w:val="004C020F"/>
    <w:rsid w:val="004C1089"/>
    <w:rsid w:val="004C1AFD"/>
    <w:rsid w:val="004C558B"/>
    <w:rsid w:val="004D016C"/>
    <w:rsid w:val="004D20DD"/>
    <w:rsid w:val="004D33E5"/>
    <w:rsid w:val="004D618C"/>
    <w:rsid w:val="004D7A1E"/>
    <w:rsid w:val="004E1917"/>
    <w:rsid w:val="004E2628"/>
    <w:rsid w:val="004E31E0"/>
    <w:rsid w:val="004E3748"/>
    <w:rsid w:val="004F1F88"/>
    <w:rsid w:val="004F3414"/>
    <w:rsid w:val="004F5F1B"/>
    <w:rsid w:val="00500C9B"/>
    <w:rsid w:val="00502374"/>
    <w:rsid w:val="00505510"/>
    <w:rsid w:val="005060A1"/>
    <w:rsid w:val="00514C7E"/>
    <w:rsid w:val="00514FA0"/>
    <w:rsid w:val="005152C1"/>
    <w:rsid w:val="00516072"/>
    <w:rsid w:val="00516697"/>
    <w:rsid w:val="00521535"/>
    <w:rsid w:val="00527C93"/>
    <w:rsid w:val="0053284D"/>
    <w:rsid w:val="005331BA"/>
    <w:rsid w:val="005332EC"/>
    <w:rsid w:val="00534418"/>
    <w:rsid w:val="00534F05"/>
    <w:rsid w:val="005353AB"/>
    <w:rsid w:val="00537C87"/>
    <w:rsid w:val="00540E48"/>
    <w:rsid w:val="0054236A"/>
    <w:rsid w:val="00544CC2"/>
    <w:rsid w:val="00545943"/>
    <w:rsid w:val="005477F7"/>
    <w:rsid w:val="00550853"/>
    <w:rsid w:val="00551541"/>
    <w:rsid w:val="00552DDA"/>
    <w:rsid w:val="00553017"/>
    <w:rsid w:val="0055600F"/>
    <w:rsid w:val="005560BC"/>
    <w:rsid w:val="005573BE"/>
    <w:rsid w:val="00560E2F"/>
    <w:rsid w:val="005610E2"/>
    <w:rsid w:val="00561A37"/>
    <w:rsid w:val="005641E4"/>
    <w:rsid w:val="00567A16"/>
    <w:rsid w:val="00567F02"/>
    <w:rsid w:val="00570607"/>
    <w:rsid w:val="00570AA6"/>
    <w:rsid w:val="00572700"/>
    <w:rsid w:val="00572A7A"/>
    <w:rsid w:val="00573E98"/>
    <w:rsid w:val="00580468"/>
    <w:rsid w:val="00580FB7"/>
    <w:rsid w:val="005811AD"/>
    <w:rsid w:val="005830EA"/>
    <w:rsid w:val="0058603B"/>
    <w:rsid w:val="00587B9C"/>
    <w:rsid w:val="0059390D"/>
    <w:rsid w:val="0059431B"/>
    <w:rsid w:val="005947E4"/>
    <w:rsid w:val="00596363"/>
    <w:rsid w:val="00597199"/>
    <w:rsid w:val="005A0262"/>
    <w:rsid w:val="005A086D"/>
    <w:rsid w:val="005A39CC"/>
    <w:rsid w:val="005A6D78"/>
    <w:rsid w:val="005A7FB1"/>
    <w:rsid w:val="005B017F"/>
    <w:rsid w:val="005B1104"/>
    <w:rsid w:val="005B3373"/>
    <w:rsid w:val="005B4730"/>
    <w:rsid w:val="005B5577"/>
    <w:rsid w:val="005C23A4"/>
    <w:rsid w:val="005C3664"/>
    <w:rsid w:val="005C5F0C"/>
    <w:rsid w:val="005D07D3"/>
    <w:rsid w:val="005D0E10"/>
    <w:rsid w:val="005D3511"/>
    <w:rsid w:val="005D7CD4"/>
    <w:rsid w:val="005E0222"/>
    <w:rsid w:val="005E05D7"/>
    <w:rsid w:val="005E0E6E"/>
    <w:rsid w:val="005E1EE5"/>
    <w:rsid w:val="005E23EB"/>
    <w:rsid w:val="005E41E7"/>
    <w:rsid w:val="005E450F"/>
    <w:rsid w:val="005E7D3F"/>
    <w:rsid w:val="005F306E"/>
    <w:rsid w:val="005F5D61"/>
    <w:rsid w:val="005F7E70"/>
    <w:rsid w:val="00601B5E"/>
    <w:rsid w:val="00605E8E"/>
    <w:rsid w:val="00612F7F"/>
    <w:rsid w:val="00616859"/>
    <w:rsid w:val="00622790"/>
    <w:rsid w:val="0062298A"/>
    <w:rsid w:val="00623F65"/>
    <w:rsid w:val="00624ED5"/>
    <w:rsid w:val="0062512B"/>
    <w:rsid w:val="006264EF"/>
    <w:rsid w:val="00626514"/>
    <w:rsid w:val="00626589"/>
    <w:rsid w:val="00626792"/>
    <w:rsid w:val="0062761F"/>
    <w:rsid w:val="006339A0"/>
    <w:rsid w:val="00637DD6"/>
    <w:rsid w:val="006413A8"/>
    <w:rsid w:val="0064293B"/>
    <w:rsid w:val="00642E56"/>
    <w:rsid w:val="00644331"/>
    <w:rsid w:val="006444E4"/>
    <w:rsid w:val="006446A4"/>
    <w:rsid w:val="00645A70"/>
    <w:rsid w:val="00647098"/>
    <w:rsid w:val="00651E00"/>
    <w:rsid w:val="00652825"/>
    <w:rsid w:val="006568FB"/>
    <w:rsid w:val="006570D6"/>
    <w:rsid w:val="00657525"/>
    <w:rsid w:val="006578AF"/>
    <w:rsid w:val="006624F1"/>
    <w:rsid w:val="00663E60"/>
    <w:rsid w:val="00664750"/>
    <w:rsid w:val="006648BB"/>
    <w:rsid w:val="00665556"/>
    <w:rsid w:val="00666AC0"/>
    <w:rsid w:val="00666B88"/>
    <w:rsid w:val="00667FE4"/>
    <w:rsid w:val="00674572"/>
    <w:rsid w:val="00674F6D"/>
    <w:rsid w:val="00686814"/>
    <w:rsid w:val="00686A22"/>
    <w:rsid w:val="00687763"/>
    <w:rsid w:val="00690E61"/>
    <w:rsid w:val="006915DA"/>
    <w:rsid w:val="00691C30"/>
    <w:rsid w:val="00692B0D"/>
    <w:rsid w:val="00692DBC"/>
    <w:rsid w:val="00693E0E"/>
    <w:rsid w:val="00696F5F"/>
    <w:rsid w:val="0069740C"/>
    <w:rsid w:val="006A0A17"/>
    <w:rsid w:val="006A1AE3"/>
    <w:rsid w:val="006A27A9"/>
    <w:rsid w:val="006B0BA5"/>
    <w:rsid w:val="006B2F2A"/>
    <w:rsid w:val="006B4099"/>
    <w:rsid w:val="006B7689"/>
    <w:rsid w:val="006B7C94"/>
    <w:rsid w:val="006C2A82"/>
    <w:rsid w:val="006C2C96"/>
    <w:rsid w:val="006C30E1"/>
    <w:rsid w:val="006C391E"/>
    <w:rsid w:val="006C4607"/>
    <w:rsid w:val="006C4D33"/>
    <w:rsid w:val="006C7451"/>
    <w:rsid w:val="006C7561"/>
    <w:rsid w:val="006D0FF9"/>
    <w:rsid w:val="006D1F55"/>
    <w:rsid w:val="006D3833"/>
    <w:rsid w:val="006D48F1"/>
    <w:rsid w:val="006D5702"/>
    <w:rsid w:val="006E1380"/>
    <w:rsid w:val="006E25D2"/>
    <w:rsid w:val="006E2CA1"/>
    <w:rsid w:val="006E2DF2"/>
    <w:rsid w:val="006E3CB8"/>
    <w:rsid w:val="006E3FB0"/>
    <w:rsid w:val="006E7EB7"/>
    <w:rsid w:val="006F05D4"/>
    <w:rsid w:val="006F0F87"/>
    <w:rsid w:val="006F2A92"/>
    <w:rsid w:val="006F3D17"/>
    <w:rsid w:val="006F45BE"/>
    <w:rsid w:val="006F5782"/>
    <w:rsid w:val="006F5E8D"/>
    <w:rsid w:val="007004FC"/>
    <w:rsid w:val="007005F0"/>
    <w:rsid w:val="007020AA"/>
    <w:rsid w:val="00703E4E"/>
    <w:rsid w:val="00704877"/>
    <w:rsid w:val="00706670"/>
    <w:rsid w:val="007069BD"/>
    <w:rsid w:val="00706F54"/>
    <w:rsid w:val="00706FE3"/>
    <w:rsid w:val="00710F15"/>
    <w:rsid w:val="00711003"/>
    <w:rsid w:val="00711DC2"/>
    <w:rsid w:val="00717E74"/>
    <w:rsid w:val="00720EF9"/>
    <w:rsid w:val="0072170E"/>
    <w:rsid w:val="007225F5"/>
    <w:rsid w:val="00722834"/>
    <w:rsid w:val="00723E79"/>
    <w:rsid w:val="00723F65"/>
    <w:rsid w:val="0072417C"/>
    <w:rsid w:val="00726B33"/>
    <w:rsid w:val="00727E79"/>
    <w:rsid w:val="00730575"/>
    <w:rsid w:val="00734450"/>
    <w:rsid w:val="0073452D"/>
    <w:rsid w:val="007351FE"/>
    <w:rsid w:val="007363E4"/>
    <w:rsid w:val="00736E73"/>
    <w:rsid w:val="00737857"/>
    <w:rsid w:val="007408C9"/>
    <w:rsid w:val="00741322"/>
    <w:rsid w:val="00743855"/>
    <w:rsid w:val="00743F6E"/>
    <w:rsid w:val="00745F67"/>
    <w:rsid w:val="00747AAB"/>
    <w:rsid w:val="0075039E"/>
    <w:rsid w:val="00751422"/>
    <w:rsid w:val="007516F7"/>
    <w:rsid w:val="00752D9D"/>
    <w:rsid w:val="00754562"/>
    <w:rsid w:val="00754784"/>
    <w:rsid w:val="00756837"/>
    <w:rsid w:val="00757C6E"/>
    <w:rsid w:val="00760EC3"/>
    <w:rsid w:val="00762BDA"/>
    <w:rsid w:val="00763645"/>
    <w:rsid w:val="00764AE2"/>
    <w:rsid w:val="00766200"/>
    <w:rsid w:val="007666FB"/>
    <w:rsid w:val="00767F08"/>
    <w:rsid w:val="00770F89"/>
    <w:rsid w:val="00773094"/>
    <w:rsid w:val="00773408"/>
    <w:rsid w:val="00773C2F"/>
    <w:rsid w:val="00773F7F"/>
    <w:rsid w:val="00777D88"/>
    <w:rsid w:val="00777FA2"/>
    <w:rsid w:val="007805FD"/>
    <w:rsid w:val="00780A39"/>
    <w:rsid w:val="00781565"/>
    <w:rsid w:val="00782FB6"/>
    <w:rsid w:val="007840F1"/>
    <w:rsid w:val="00784422"/>
    <w:rsid w:val="00791D71"/>
    <w:rsid w:val="007921BB"/>
    <w:rsid w:val="00792B7C"/>
    <w:rsid w:val="00792EDE"/>
    <w:rsid w:val="00795072"/>
    <w:rsid w:val="0079607B"/>
    <w:rsid w:val="00796293"/>
    <w:rsid w:val="007A012B"/>
    <w:rsid w:val="007A30FA"/>
    <w:rsid w:val="007A3124"/>
    <w:rsid w:val="007A4ED3"/>
    <w:rsid w:val="007B0BE0"/>
    <w:rsid w:val="007B3B54"/>
    <w:rsid w:val="007B3FA0"/>
    <w:rsid w:val="007B519D"/>
    <w:rsid w:val="007B6E26"/>
    <w:rsid w:val="007B7A7D"/>
    <w:rsid w:val="007C0F2C"/>
    <w:rsid w:val="007C2BCC"/>
    <w:rsid w:val="007C4EF0"/>
    <w:rsid w:val="007C509B"/>
    <w:rsid w:val="007C6B53"/>
    <w:rsid w:val="007D0701"/>
    <w:rsid w:val="007D099D"/>
    <w:rsid w:val="007D0CB8"/>
    <w:rsid w:val="007D4345"/>
    <w:rsid w:val="007D6961"/>
    <w:rsid w:val="007E0E1B"/>
    <w:rsid w:val="007E2664"/>
    <w:rsid w:val="007E3ABF"/>
    <w:rsid w:val="007E4BC7"/>
    <w:rsid w:val="007E5BFA"/>
    <w:rsid w:val="007E6689"/>
    <w:rsid w:val="007E6F90"/>
    <w:rsid w:val="007E71B1"/>
    <w:rsid w:val="007E731C"/>
    <w:rsid w:val="007E7409"/>
    <w:rsid w:val="007E7A7A"/>
    <w:rsid w:val="007F0A03"/>
    <w:rsid w:val="007F2BAB"/>
    <w:rsid w:val="007F5E40"/>
    <w:rsid w:val="007F7299"/>
    <w:rsid w:val="007F75DA"/>
    <w:rsid w:val="008004A5"/>
    <w:rsid w:val="00801734"/>
    <w:rsid w:val="00804310"/>
    <w:rsid w:val="008059CB"/>
    <w:rsid w:val="00810040"/>
    <w:rsid w:val="008104BF"/>
    <w:rsid w:val="008104E0"/>
    <w:rsid w:val="00811B43"/>
    <w:rsid w:val="0081299B"/>
    <w:rsid w:val="00813373"/>
    <w:rsid w:val="008134A7"/>
    <w:rsid w:val="00816A82"/>
    <w:rsid w:val="008176C5"/>
    <w:rsid w:val="0082023A"/>
    <w:rsid w:val="00821A7A"/>
    <w:rsid w:val="00822E04"/>
    <w:rsid w:val="008253F8"/>
    <w:rsid w:val="00827E9F"/>
    <w:rsid w:val="008310B4"/>
    <w:rsid w:val="00831902"/>
    <w:rsid w:val="008325E4"/>
    <w:rsid w:val="00832A2B"/>
    <w:rsid w:val="00832FA8"/>
    <w:rsid w:val="00834F23"/>
    <w:rsid w:val="00836927"/>
    <w:rsid w:val="0083727C"/>
    <w:rsid w:val="00842733"/>
    <w:rsid w:val="00844898"/>
    <w:rsid w:val="00844B60"/>
    <w:rsid w:val="008453CD"/>
    <w:rsid w:val="00845811"/>
    <w:rsid w:val="00846994"/>
    <w:rsid w:val="00850451"/>
    <w:rsid w:val="0085101A"/>
    <w:rsid w:val="00851458"/>
    <w:rsid w:val="00852042"/>
    <w:rsid w:val="008525D6"/>
    <w:rsid w:val="008534C9"/>
    <w:rsid w:val="008542BA"/>
    <w:rsid w:val="008550FB"/>
    <w:rsid w:val="0085599D"/>
    <w:rsid w:val="0085721E"/>
    <w:rsid w:val="00862FDA"/>
    <w:rsid w:val="008632DB"/>
    <w:rsid w:val="00865C66"/>
    <w:rsid w:val="008678A9"/>
    <w:rsid w:val="00871F5C"/>
    <w:rsid w:val="00873300"/>
    <w:rsid w:val="0087510C"/>
    <w:rsid w:val="00875637"/>
    <w:rsid w:val="00875A6F"/>
    <w:rsid w:val="0087752C"/>
    <w:rsid w:val="008779C6"/>
    <w:rsid w:val="008824CB"/>
    <w:rsid w:val="00884487"/>
    <w:rsid w:val="00885CC6"/>
    <w:rsid w:val="00885DF9"/>
    <w:rsid w:val="008863B5"/>
    <w:rsid w:val="00891910"/>
    <w:rsid w:val="00891DCF"/>
    <w:rsid w:val="008937A7"/>
    <w:rsid w:val="00893B7E"/>
    <w:rsid w:val="00893D7F"/>
    <w:rsid w:val="00895AE0"/>
    <w:rsid w:val="008963AB"/>
    <w:rsid w:val="008967DB"/>
    <w:rsid w:val="0089738E"/>
    <w:rsid w:val="008A02EE"/>
    <w:rsid w:val="008A5CD0"/>
    <w:rsid w:val="008B23C8"/>
    <w:rsid w:val="008B45E2"/>
    <w:rsid w:val="008B5A90"/>
    <w:rsid w:val="008B5CD1"/>
    <w:rsid w:val="008B5FDB"/>
    <w:rsid w:val="008B610E"/>
    <w:rsid w:val="008C338F"/>
    <w:rsid w:val="008C440F"/>
    <w:rsid w:val="008C50F4"/>
    <w:rsid w:val="008C5649"/>
    <w:rsid w:val="008C5C24"/>
    <w:rsid w:val="008D1E68"/>
    <w:rsid w:val="008D5E9E"/>
    <w:rsid w:val="008D5F3B"/>
    <w:rsid w:val="008D6977"/>
    <w:rsid w:val="008D6D66"/>
    <w:rsid w:val="008E0E15"/>
    <w:rsid w:val="008E3127"/>
    <w:rsid w:val="008E44A2"/>
    <w:rsid w:val="008E4960"/>
    <w:rsid w:val="008E54B5"/>
    <w:rsid w:val="008E697D"/>
    <w:rsid w:val="008E6A10"/>
    <w:rsid w:val="008F1EFC"/>
    <w:rsid w:val="008F2E7A"/>
    <w:rsid w:val="00901D64"/>
    <w:rsid w:val="00902797"/>
    <w:rsid w:val="00903263"/>
    <w:rsid w:val="00906A21"/>
    <w:rsid w:val="009079C3"/>
    <w:rsid w:val="00910462"/>
    <w:rsid w:val="00910B14"/>
    <w:rsid w:val="00910FD8"/>
    <w:rsid w:val="00912A6D"/>
    <w:rsid w:val="00912B48"/>
    <w:rsid w:val="00913F76"/>
    <w:rsid w:val="0091476F"/>
    <w:rsid w:val="00914FAF"/>
    <w:rsid w:val="00915AB1"/>
    <w:rsid w:val="00917532"/>
    <w:rsid w:val="00920073"/>
    <w:rsid w:val="00920555"/>
    <w:rsid w:val="00920BFB"/>
    <w:rsid w:val="00920E33"/>
    <w:rsid w:val="009235BA"/>
    <w:rsid w:val="00924023"/>
    <w:rsid w:val="009242B6"/>
    <w:rsid w:val="00924B5C"/>
    <w:rsid w:val="00924CE2"/>
    <w:rsid w:val="009256E6"/>
    <w:rsid w:val="00925B9F"/>
    <w:rsid w:val="009302E0"/>
    <w:rsid w:val="00931AED"/>
    <w:rsid w:val="0093395B"/>
    <w:rsid w:val="00933DE5"/>
    <w:rsid w:val="009356C2"/>
    <w:rsid w:val="0093754C"/>
    <w:rsid w:val="009408E4"/>
    <w:rsid w:val="009476A3"/>
    <w:rsid w:val="0095334F"/>
    <w:rsid w:val="0095467D"/>
    <w:rsid w:val="00955DE4"/>
    <w:rsid w:val="00964390"/>
    <w:rsid w:val="009643BC"/>
    <w:rsid w:val="00965897"/>
    <w:rsid w:val="00966AE6"/>
    <w:rsid w:val="0096765C"/>
    <w:rsid w:val="00967DBC"/>
    <w:rsid w:val="00967EF4"/>
    <w:rsid w:val="009727E4"/>
    <w:rsid w:val="00980B2E"/>
    <w:rsid w:val="00982B1A"/>
    <w:rsid w:val="009835BD"/>
    <w:rsid w:val="00987819"/>
    <w:rsid w:val="009934C5"/>
    <w:rsid w:val="00994356"/>
    <w:rsid w:val="00994C0F"/>
    <w:rsid w:val="00994D7D"/>
    <w:rsid w:val="009964C8"/>
    <w:rsid w:val="009979A7"/>
    <w:rsid w:val="009A3F76"/>
    <w:rsid w:val="009A5C53"/>
    <w:rsid w:val="009B22D7"/>
    <w:rsid w:val="009B369F"/>
    <w:rsid w:val="009B3854"/>
    <w:rsid w:val="009B5134"/>
    <w:rsid w:val="009B554C"/>
    <w:rsid w:val="009B72ED"/>
    <w:rsid w:val="009C08B3"/>
    <w:rsid w:val="009C198E"/>
    <w:rsid w:val="009C2F4A"/>
    <w:rsid w:val="009C32F1"/>
    <w:rsid w:val="009C4885"/>
    <w:rsid w:val="009C5675"/>
    <w:rsid w:val="009C694B"/>
    <w:rsid w:val="009C6DEB"/>
    <w:rsid w:val="009D2213"/>
    <w:rsid w:val="009D3DB0"/>
    <w:rsid w:val="009D44F9"/>
    <w:rsid w:val="009D5C91"/>
    <w:rsid w:val="009D6504"/>
    <w:rsid w:val="009D7946"/>
    <w:rsid w:val="009E12D7"/>
    <w:rsid w:val="009E34DE"/>
    <w:rsid w:val="009E3892"/>
    <w:rsid w:val="009E3FA4"/>
    <w:rsid w:val="009E4496"/>
    <w:rsid w:val="009E45A8"/>
    <w:rsid w:val="009E5925"/>
    <w:rsid w:val="009E661A"/>
    <w:rsid w:val="009F083D"/>
    <w:rsid w:val="009F098F"/>
    <w:rsid w:val="009F1CD4"/>
    <w:rsid w:val="009F3195"/>
    <w:rsid w:val="009F5102"/>
    <w:rsid w:val="009F7D2B"/>
    <w:rsid w:val="00A0162F"/>
    <w:rsid w:val="00A04E65"/>
    <w:rsid w:val="00A053BD"/>
    <w:rsid w:val="00A06781"/>
    <w:rsid w:val="00A074C3"/>
    <w:rsid w:val="00A145FE"/>
    <w:rsid w:val="00A1509C"/>
    <w:rsid w:val="00A15E6F"/>
    <w:rsid w:val="00A16443"/>
    <w:rsid w:val="00A2250D"/>
    <w:rsid w:val="00A23DDB"/>
    <w:rsid w:val="00A23ECB"/>
    <w:rsid w:val="00A2489F"/>
    <w:rsid w:val="00A279E2"/>
    <w:rsid w:val="00A34260"/>
    <w:rsid w:val="00A34517"/>
    <w:rsid w:val="00A36AC7"/>
    <w:rsid w:val="00A4360F"/>
    <w:rsid w:val="00A442FD"/>
    <w:rsid w:val="00A524DE"/>
    <w:rsid w:val="00A52FFD"/>
    <w:rsid w:val="00A53157"/>
    <w:rsid w:val="00A5554C"/>
    <w:rsid w:val="00A60709"/>
    <w:rsid w:val="00A62D80"/>
    <w:rsid w:val="00A639E5"/>
    <w:rsid w:val="00A64ACE"/>
    <w:rsid w:val="00A65481"/>
    <w:rsid w:val="00A70CFD"/>
    <w:rsid w:val="00A72A0B"/>
    <w:rsid w:val="00A735A2"/>
    <w:rsid w:val="00A7399A"/>
    <w:rsid w:val="00A77BC5"/>
    <w:rsid w:val="00A77E71"/>
    <w:rsid w:val="00A81E42"/>
    <w:rsid w:val="00A85402"/>
    <w:rsid w:val="00A8598A"/>
    <w:rsid w:val="00A864FE"/>
    <w:rsid w:val="00A86F41"/>
    <w:rsid w:val="00A879CD"/>
    <w:rsid w:val="00A87D04"/>
    <w:rsid w:val="00A950C5"/>
    <w:rsid w:val="00A955A5"/>
    <w:rsid w:val="00A95C41"/>
    <w:rsid w:val="00AA0A1F"/>
    <w:rsid w:val="00AA1D25"/>
    <w:rsid w:val="00AA2DC7"/>
    <w:rsid w:val="00AA45B1"/>
    <w:rsid w:val="00AA4AD1"/>
    <w:rsid w:val="00AA521B"/>
    <w:rsid w:val="00AA5415"/>
    <w:rsid w:val="00AA6524"/>
    <w:rsid w:val="00AB002C"/>
    <w:rsid w:val="00AB05DA"/>
    <w:rsid w:val="00AB2472"/>
    <w:rsid w:val="00AB2A1B"/>
    <w:rsid w:val="00AB2B1A"/>
    <w:rsid w:val="00AB397F"/>
    <w:rsid w:val="00AB3CED"/>
    <w:rsid w:val="00AB45CE"/>
    <w:rsid w:val="00AB521D"/>
    <w:rsid w:val="00AB5832"/>
    <w:rsid w:val="00AB6C60"/>
    <w:rsid w:val="00AB7012"/>
    <w:rsid w:val="00AC2050"/>
    <w:rsid w:val="00AC4F4A"/>
    <w:rsid w:val="00AC51F2"/>
    <w:rsid w:val="00AC698B"/>
    <w:rsid w:val="00AD36B7"/>
    <w:rsid w:val="00AD7C24"/>
    <w:rsid w:val="00AD7C3B"/>
    <w:rsid w:val="00AE5066"/>
    <w:rsid w:val="00AE5E24"/>
    <w:rsid w:val="00AE61B7"/>
    <w:rsid w:val="00AE6B1E"/>
    <w:rsid w:val="00AE6BDA"/>
    <w:rsid w:val="00AE6CBA"/>
    <w:rsid w:val="00AE6D64"/>
    <w:rsid w:val="00AE79AD"/>
    <w:rsid w:val="00AF2793"/>
    <w:rsid w:val="00AF35E4"/>
    <w:rsid w:val="00AF5CDE"/>
    <w:rsid w:val="00AF6248"/>
    <w:rsid w:val="00B051B0"/>
    <w:rsid w:val="00B05BA6"/>
    <w:rsid w:val="00B068F0"/>
    <w:rsid w:val="00B07093"/>
    <w:rsid w:val="00B11A57"/>
    <w:rsid w:val="00B12A9E"/>
    <w:rsid w:val="00B13568"/>
    <w:rsid w:val="00B143FC"/>
    <w:rsid w:val="00B164B7"/>
    <w:rsid w:val="00B176BD"/>
    <w:rsid w:val="00B17767"/>
    <w:rsid w:val="00B211C3"/>
    <w:rsid w:val="00B221D3"/>
    <w:rsid w:val="00B237AD"/>
    <w:rsid w:val="00B24E01"/>
    <w:rsid w:val="00B25597"/>
    <w:rsid w:val="00B25DE1"/>
    <w:rsid w:val="00B267B9"/>
    <w:rsid w:val="00B2751C"/>
    <w:rsid w:val="00B33E09"/>
    <w:rsid w:val="00B34B28"/>
    <w:rsid w:val="00B363F2"/>
    <w:rsid w:val="00B407CC"/>
    <w:rsid w:val="00B4284C"/>
    <w:rsid w:val="00B43FC0"/>
    <w:rsid w:val="00B50708"/>
    <w:rsid w:val="00B509F1"/>
    <w:rsid w:val="00B50C68"/>
    <w:rsid w:val="00B51293"/>
    <w:rsid w:val="00B524C2"/>
    <w:rsid w:val="00B52B1E"/>
    <w:rsid w:val="00B542A1"/>
    <w:rsid w:val="00B545A4"/>
    <w:rsid w:val="00B54D7B"/>
    <w:rsid w:val="00B551D8"/>
    <w:rsid w:val="00B55481"/>
    <w:rsid w:val="00B56122"/>
    <w:rsid w:val="00B567A4"/>
    <w:rsid w:val="00B56A40"/>
    <w:rsid w:val="00B56C32"/>
    <w:rsid w:val="00B56F98"/>
    <w:rsid w:val="00B572E0"/>
    <w:rsid w:val="00B57ACF"/>
    <w:rsid w:val="00B60CA0"/>
    <w:rsid w:val="00B631A9"/>
    <w:rsid w:val="00B63E0F"/>
    <w:rsid w:val="00B64BB1"/>
    <w:rsid w:val="00B73166"/>
    <w:rsid w:val="00B81BB2"/>
    <w:rsid w:val="00B833C5"/>
    <w:rsid w:val="00B8426C"/>
    <w:rsid w:val="00B842FD"/>
    <w:rsid w:val="00B855D9"/>
    <w:rsid w:val="00B868DE"/>
    <w:rsid w:val="00B87A70"/>
    <w:rsid w:val="00B90271"/>
    <w:rsid w:val="00B9039A"/>
    <w:rsid w:val="00B91B8D"/>
    <w:rsid w:val="00B91BDC"/>
    <w:rsid w:val="00B924F5"/>
    <w:rsid w:val="00B93B99"/>
    <w:rsid w:val="00B94E90"/>
    <w:rsid w:val="00B956F9"/>
    <w:rsid w:val="00B976D1"/>
    <w:rsid w:val="00BA0092"/>
    <w:rsid w:val="00BA0D9E"/>
    <w:rsid w:val="00BA23D3"/>
    <w:rsid w:val="00BA3173"/>
    <w:rsid w:val="00BA37F1"/>
    <w:rsid w:val="00BA3AFB"/>
    <w:rsid w:val="00BA4BF4"/>
    <w:rsid w:val="00BB0A82"/>
    <w:rsid w:val="00BB126B"/>
    <w:rsid w:val="00BB42CA"/>
    <w:rsid w:val="00BB5171"/>
    <w:rsid w:val="00BB67D2"/>
    <w:rsid w:val="00BB712B"/>
    <w:rsid w:val="00BB7989"/>
    <w:rsid w:val="00BB7C94"/>
    <w:rsid w:val="00BC0A9D"/>
    <w:rsid w:val="00BC14F1"/>
    <w:rsid w:val="00BC2F4F"/>
    <w:rsid w:val="00BC484C"/>
    <w:rsid w:val="00BC6709"/>
    <w:rsid w:val="00BC7336"/>
    <w:rsid w:val="00BD1D0C"/>
    <w:rsid w:val="00BD4448"/>
    <w:rsid w:val="00BD5075"/>
    <w:rsid w:val="00BD5D51"/>
    <w:rsid w:val="00BD7CCD"/>
    <w:rsid w:val="00BE2540"/>
    <w:rsid w:val="00BE2C74"/>
    <w:rsid w:val="00BF05EB"/>
    <w:rsid w:val="00BF40ED"/>
    <w:rsid w:val="00BF5BC2"/>
    <w:rsid w:val="00BF7517"/>
    <w:rsid w:val="00BF7637"/>
    <w:rsid w:val="00C04D69"/>
    <w:rsid w:val="00C111BB"/>
    <w:rsid w:val="00C1133D"/>
    <w:rsid w:val="00C11761"/>
    <w:rsid w:val="00C13122"/>
    <w:rsid w:val="00C13494"/>
    <w:rsid w:val="00C144B7"/>
    <w:rsid w:val="00C175ED"/>
    <w:rsid w:val="00C176FA"/>
    <w:rsid w:val="00C249C5"/>
    <w:rsid w:val="00C24C9E"/>
    <w:rsid w:val="00C27A08"/>
    <w:rsid w:val="00C31312"/>
    <w:rsid w:val="00C326C6"/>
    <w:rsid w:val="00C35295"/>
    <w:rsid w:val="00C36ADD"/>
    <w:rsid w:val="00C36E74"/>
    <w:rsid w:val="00C40595"/>
    <w:rsid w:val="00C41621"/>
    <w:rsid w:val="00C449FA"/>
    <w:rsid w:val="00C44F45"/>
    <w:rsid w:val="00C5384F"/>
    <w:rsid w:val="00C55B82"/>
    <w:rsid w:val="00C56964"/>
    <w:rsid w:val="00C65021"/>
    <w:rsid w:val="00C656D5"/>
    <w:rsid w:val="00C66D7D"/>
    <w:rsid w:val="00C67103"/>
    <w:rsid w:val="00C71BB9"/>
    <w:rsid w:val="00C72E81"/>
    <w:rsid w:val="00C73507"/>
    <w:rsid w:val="00C74061"/>
    <w:rsid w:val="00C760BC"/>
    <w:rsid w:val="00C762A5"/>
    <w:rsid w:val="00C76315"/>
    <w:rsid w:val="00C844DC"/>
    <w:rsid w:val="00C94C28"/>
    <w:rsid w:val="00CA1220"/>
    <w:rsid w:val="00CA2D4F"/>
    <w:rsid w:val="00CA4EB9"/>
    <w:rsid w:val="00CA5D2D"/>
    <w:rsid w:val="00CA7339"/>
    <w:rsid w:val="00CA7B65"/>
    <w:rsid w:val="00CB0247"/>
    <w:rsid w:val="00CB0831"/>
    <w:rsid w:val="00CB3409"/>
    <w:rsid w:val="00CB3440"/>
    <w:rsid w:val="00CB5FD4"/>
    <w:rsid w:val="00CB6531"/>
    <w:rsid w:val="00CB6FEA"/>
    <w:rsid w:val="00CC045A"/>
    <w:rsid w:val="00CC14FD"/>
    <w:rsid w:val="00CC1692"/>
    <w:rsid w:val="00CC2D72"/>
    <w:rsid w:val="00CC5164"/>
    <w:rsid w:val="00CC51A8"/>
    <w:rsid w:val="00CC5693"/>
    <w:rsid w:val="00CC7DF4"/>
    <w:rsid w:val="00CD045E"/>
    <w:rsid w:val="00CD0767"/>
    <w:rsid w:val="00CD11DC"/>
    <w:rsid w:val="00CD138B"/>
    <w:rsid w:val="00CD3E31"/>
    <w:rsid w:val="00CD53CF"/>
    <w:rsid w:val="00CD74A3"/>
    <w:rsid w:val="00CE0527"/>
    <w:rsid w:val="00CE0E80"/>
    <w:rsid w:val="00CE1061"/>
    <w:rsid w:val="00CE12B8"/>
    <w:rsid w:val="00CE1D10"/>
    <w:rsid w:val="00CE501B"/>
    <w:rsid w:val="00CE5B23"/>
    <w:rsid w:val="00CE5C01"/>
    <w:rsid w:val="00CE7F1A"/>
    <w:rsid w:val="00CF028D"/>
    <w:rsid w:val="00CF5D2E"/>
    <w:rsid w:val="00CF70AD"/>
    <w:rsid w:val="00CF7729"/>
    <w:rsid w:val="00D00059"/>
    <w:rsid w:val="00D0113A"/>
    <w:rsid w:val="00D0181A"/>
    <w:rsid w:val="00D107FA"/>
    <w:rsid w:val="00D11F3B"/>
    <w:rsid w:val="00D12275"/>
    <w:rsid w:val="00D12766"/>
    <w:rsid w:val="00D13199"/>
    <w:rsid w:val="00D13688"/>
    <w:rsid w:val="00D13936"/>
    <w:rsid w:val="00D15F3B"/>
    <w:rsid w:val="00D16159"/>
    <w:rsid w:val="00D20FF4"/>
    <w:rsid w:val="00D22352"/>
    <w:rsid w:val="00D24D2C"/>
    <w:rsid w:val="00D3323D"/>
    <w:rsid w:val="00D33884"/>
    <w:rsid w:val="00D33AF2"/>
    <w:rsid w:val="00D35881"/>
    <w:rsid w:val="00D40C36"/>
    <w:rsid w:val="00D4313E"/>
    <w:rsid w:val="00D44F56"/>
    <w:rsid w:val="00D45045"/>
    <w:rsid w:val="00D458FC"/>
    <w:rsid w:val="00D45F07"/>
    <w:rsid w:val="00D46D1E"/>
    <w:rsid w:val="00D47E0A"/>
    <w:rsid w:val="00D50F9F"/>
    <w:rsid w:val="00D52AD9"/>
    <w:rsid w:val="00D572E6"/>
    <w:rsid w:val="00D63123"/>
    <w:rsid w:val="00D6315A"/>
    <w:rsid w:val="00D6514E"/>
    <w:rsid w:val="00D663FB"/>
    <w:rsid w:val="00D70CD1"/>
    <w:rsid w:val="00D7399A"/>
    <w:rsid w:val="00D76406"/>
    <w:rsid w:val="00D77134"/>
    <w:rsid w:val="00D80D6E"/>
    <w:rsid w:val="00D8553B"/>
    <w:rsid w:val="00D85642"/>
    <w:rsid w:val="00D856A1"/>
    <w:rsid w:val="00D9307E"/>
    <w:rsid w:val="00D9350C"/>
    <w:rsid w:val="00D93C45"/>
    <w:rsid w:val="00D945D9"/>
    <w:rsid w:val="00D94A16"/>
    <w:rsid w:val="00D97223"/>
    <w:rsid w:val="00DA19C2"/>
    <w:rsid w:val="00DA5B81"/>
    <w:rsid w:val="00DA5F93"/>
    <w:rsid w:val="00DA7DA5"/>
    <w:rsid w:val="00DB073B"/>
    <w:rsid w:val="00DB09FC"/>
    <w:rsid w:val="00DB1732"/>
    <w:rsid w:val="00DB5802"/>
    <w:rsid w:val="00DB78F0"/>
    <w:rsid w:val="00DC28EF"/>
    <w:rsid w:val="00DC29AA"/>
    <w:rsid w:val="00DC2E43"/>
    <w:rsid w:val="00DC4EEC"/>
    <w:rsid w:val="00DC65C2"/>
    <w:rsid w:val="00DD0931"/>
    <w:rsid w:val="00DD095C"/>
    <w:rsid w:val="00DD1020"/>
    <w:rsid w:val="00DD1330"/>
    <w:rsid w:val="00DD3397"/>
    <w:rsid w:val="00DD58A1"/>
    <w:rsid w:val="00DD6140"/>
    <w:rsid w:val="00DD6827"/>
    <w:rsid w:val="00DE0B83"/>
    <w:rsid w:val="00DE1664"/>
    <w:rsid w:val="00DE1A81"/>
    <w:rsid w:val="00DE1C13"/>
    <w:rsid w:val="00DE254F"/>
    <w:rsid w:val="00DE277D"/>
    <w:rsid w:val="00DE356F"/>
    <w:rsid w:val="00DE4543"/>
    <w:rsid w:val="00DE4E04"/>
    <w:rsid w:val="00DE4E10"/>
    <w:rsid w:val="00DE6A48"/>
    <w:rsid w:val="00DF0168"/>
    <w:rsid w:val="00DF2694"/>
    <w:rsid w:val="00DF5DB6"/>
    <w:rsid w:val="00DF644D"/>
    <w:rsid w:val="00DF6A69"/>
    <w:rsid w:val="00E00C5D"/>
    <w:rsid w:val="00E00D78"/>
    <w:rsid w:val="00E02ABF"/>
    <w:rsid w:val="00E116CF"/>
    <w:rsid w:val="00E143B0"/>
    <w:rsid w:val="00E14576"/>
    <w:rsid w:val="00E14995"/>
    <w:rsid w:val="00E14D4D"/>
    <w:rsid w:val="00E15FA9"/>
    <w:rsid w:val="00E16B41"/>
    <w:rsid w:val="00E179CD"/>
    <w:rsid w:val="00E179E4"/>
    <w:rsid w:val="00E21ADD"/>
    <w:rsid w:val="00E224CC"/>
    <w:rsid w:val="00E23E8D"/>
    <w:rsid w:val="00E250F7"/>
    <w:rsid w:val="00E25E02"/>
    <w:rsid w:val="00E30957"/>
    <w:rsid w:val="00E3159B"/>
    <w:rsid w:val="00E35726"/>
    <w:rsid w:val="00E37F98"/>
    <w:rsid w:val="00E41E74"/>
    <w:rsid w:val="00E45110"/>
    <w:rsid w:val="00E46559"/>
    <w:rsid w:val="00E504E5"/>
    <w:rsid w:val="00E52371"/>
    <w:rsid w:val="00E55C52"/>
    <w:rsid w:val="00E56083"/>
    <w:rsid w:val="00E61E48"/>
    <w:rsid w:val="00E662D6"/>
    <w:rsid w:val="00E6670C"/>
    <w:rsid w:val="00E70DDC"/>
    <w:rsid w:val="00E7374E"/>
    <w:rsid w:val="00E7656A"/>
    <w:rsid w:val="00E776E8"/>
    <w:rsid w:val="00E80FC2"/>
    <w:rsid w:val="00E81339"/>
    <w:rsid w:val="00E82EF6"/>
    <w:rsid w:val="00E84871"/>
    <w:rsid w:val="00E84E03"/>
    <w:rsid w:val="00E8539B"/>
    <w:rsid w:val="00E92C1F"/>
    <w:rsid w:val="00E95D4B"/>
    <w:rsid w:val="00E95EBA"/>
    <w:rsid w:val="00E97AAF"/>
    <w:rsid w:val="00EA05A6"/>
    <w:rsid w:val="00EA0679"/>
    <w:rsid w:val="00EA0B61"/>
    <w:rsid w:val="00EA7BD0"/>
    <w:rsid w:val="00EA7EEC"/>
    <w:rsid w:val="00EB0FD8"/>
    <w:rsid w:val="00EB199F"/>
    <w:rsid w:val="00EB3569"/>
    <w:rsid w:val="00EB37F2"/>
    <w:rsid w:val="00EB5F1A"/>
    <w:rsid w:val="00EC0779"/>
    <w:rsid w:val="00EC08AE"/>
    <w:rsid w:val="00EC23F7"/>
    <w:rsid w:val="00EC3AD9"/>
    <w:rsid w:val="00EC4BD8"/>
    <w:rsid w:val="00EC63EB"/>
    <w:rsid w:val="00EC7D47"/>
    <w:rsid w:val="00ED1073"/>
    <w:rsid w:val="00ED412F"/>
    <w:rsid w:val="00ED57AE"/>
    <w:rsid w:val="00ED6ED2"/>
    <w:rsid w:val="00ED7059"/>
    <w:rsid w:val="00ED777F"/>
    <w:rsid w:val="00EE3175"/>
    <w:rsid w:val="00EE325C"/>
    <w:rsid w:val="00EE3A6F"/>
    <w:rsid w:val="00EE4C1C"/>
    <w:rsid w:val="00EF1627"/>
    <w:rsid w:val="00EF1A7B"/>
    <w:rsid w:val="00EF1DF6"/>
    <w:rsid w:val="00EF1F0C"/>
    <w:rsid w:val="00EF36B2"/>
    <w:rsid w:val="00EF386F"/>
    <w:rsid w:val="00EF4D83"/>
    <w:rsid w:val="00EF6EAB"/>
    <w:rsid w:val="00F008DF"/>
    <w:rsid w:val="00F02863"/>
    <w:rsid w:val="00F036C6"/>
    <w:rsid w:val="00F03F96"/>
    <w:rsid w:val="00F10883"/>
    <w:rsid w:val="00F10985"/>
    <w:rsid w:val="00F13F47"/>
    <w:rsid w:val="00F14FB1"/>
    <w:rsid w:val="00F1506E"/>
    <w:rsid w:val="00F16944"/>
    <w:rsid w:val="00F1723D"/>
    <w:rsid w:val="00F201D8"/>
    <w:rsid w:val="00F201EC"/>
    <w:rsid w:val="00F208A9"/>
    <w:rsid w:val="00F20CDF"/>
    <w:rsid w:val="00F27D7E"/>
    <w:rsid w:val="00F31E83"/>
    <w:rsid w:val="00F32297"/>
    <w:rsid w:val="00F32F30"/>
    <w:rsid w:val="00F33C58"/>
    <w:rsid w:val="00F35F7F"/>
    <w:rsid w:val="00F41D6D"/>
    <w:rsid w:val="00F41D75"/>
    <w:rsid w:val="00F466EE"/>
    <w:rsid w:val="00F467EF"/>
    <w:rsid w:val="00F47BE1"/>
    <w:rsid w:val="00F50B4D"/>
    <w:rsid w:val="00F51250"/>
    <w:rsid w:val="00F5139D"/>
    <w:rsid w:val="00F51BEB"/>
    <w:rsid w:val="00F52175"/>
    <w:rsid w:val="00F5297F"/>
    <w:rsid w:val="00F5435E"/>
    <w:rsid w:val="00F567F3"/>
    <w:rsid w:val="00F5682F"/>
    <w:rsid w:val="00F56F2D"/>
    <w:rsid w:val="00F60FDD"/>
    <w:rsid w:val="00F625E5"/>
    <w:rsid w:val="00F63074"/>
    <w:rsid w:val="00F63DAC"/>
    <w:rsid w:val="00F643C5"/>
    <w:rsid w:val="00F64E50"/>
    <w:rsid w:val="00F64ECA"/>
    <w:rsid w:val="00F64EF2"/>
    <w:rsid w:val="00F65B25"/>
    <w:rsid w:val="00F72B39"/>
    <w:rsid w:val="00F72EE7"/>
    <w:rsid w:val="00F7454F"/>
    <w:rsid w:val="00F75C1E"/>
    <w:rsid w:val="00F77988"/>
    <w:rsid w:val="00F77F48"/>
    <w:rsid w:val="00F801EC"/>
    <w:rsid w:val="00F83E78"/>
    <w:rsid w:val="00F909A0"/>
    <w:rsid w:val="00F964F8"/>
    <w:rsid w:val="00F9700E"/>
    <w:rsid w:val="00F9793D"/>
    <w:rsid w:val="00FA0CA1"/>
    <w:rsid w:val="00FA60A5"/>
    <w:rsid w:val="00FA63D3"/>
    <w:rsid w:val="00FA6C3B"/>
    <w:rsid w:val="00FB0083"/>
    <w:rsid w:val="00FB1995"/>
    <w:rsid w:val="00FB2207"/>
    <w:rsid w:val="00FB30F1"/>
    <w:rsid w:val="00FB53E7"/>
    <w:rsid w:val="00FB5A1E"/>
    <w:rsid w:val="00FB655F"/>
    <w:rsid w:val="00FC1BD1"/>
    <w:rsid w:val="00FC35E5"/>
    <w:rsid w:val="00FC36DD"/>
    <w:rsid w:val="00FC466D"/>
    <w:rsid w:val="00FC554D"/>
    <w:rsid w:val="00FD11BB"/>
    <w:rsid w:val="00FD1A00"/>
    <w:rsid w:val="00FD2F0E"/>
    <w:rsid w:val="00FD4D0A"/>
    <w:rsid w:val="00FD5F30"/>
    <w:rsid w:val="00FD7109"/>
    <w:rsid w:val="00FD76CC"/>
    <w:rsid w:val="00FD7C7B"/>
    <w:rsid w:val="00FE0BEB"/>
    <w:rsid w:val="00FE19EF"/>
    <w:rsid w:val="00FE3865"/>
    <w:rsid w:val="00FE4483"/>
    <w:rsid w:val="00FE7CD9"/>
    <w:rsid w:val="00FF017B"/>
    <w:rsid w:val="00FF1783"/>
    <w:rsid w:val="00FF227D"/>
    <w:rsid w:val="00FF2D6E"/>
    <w:rsid w:val="00FF54CC"/>
    <w:rsid w:val="00FF5A7F"/>
    <w:rsid w:val="00FF7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semiHidden/>
    <w:rsid w:val="008C5649"/>
    <w:rPr>
      <w:sz w:val="20"/>
      <w:szCs w:val="20"/>
    </w:rPr>
  </w:style>
  <w:style w:type="character" w:styleId="FootnoteReference">
    <w:name w:val="footnote reference"/>
    <w:aliases w:val="Footnote Reference Number,SUPERS"/>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semiHidden/>
    <w:locked/>
    <w:rsid w:val="003D5E4F"/>
  </w:style>
  <w:style w:type="character" w:customStyle="1" w:styleId="apple-converted-space">
    <w:name w:val="apple-converted-space"/>
    <w:basedOn w:val="DefaultParagraphFont"/>
    <w:rsid w:val="007D0701"/>
  </w:style>
  <w:style w:type="paragraph" w:styleId="Revision">
    <w:name w:val="Revision"/>
    <w:hidden/>
    <w:uiPriority w:val="99"/>
    <w:semiHidden/>
    <w:rsid w:val="00567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semiHidden/>
    <w:rsid w:val="008C5649"/>
    <w:rPr>
      <w:sz w:val="20"/>
      <w:szCs w:val="20"/>
    </w:rPr>
  </w:style>
  <w:style w:type="character" w:styleId="FootnoteReference">
    <w:name w:val="footnote reference"/>
    <w:aliases w:val="Footnote Reference Number,SUPERS"/>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semiHidden/>
    <w:locked/>
    <w:rsid w:val="003D5E4F"/>
  </w:style>
  <w:style w:type="character" w:customStyle="1" w:styleId="apple-converted-space">
    <w:name w:val="apple-converted-space"/>
    <w:basedOn w:val="DefaultParagraphFont"/>
    <w:rsid w:val="007D0701"/>
  </w:style>
  <w:style w:type="paragraph" w:styleId="Revision">
    <w:name w:val="Revision"/>
    <w:hidden/>
    <w:uiPriority w:val="99"/>
    <w:semiHidden/>
    <w:rsid w:val="0056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417871766">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964891112">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42543035">
      <w:bodyDiv w:val="1"/>
      <w:marLeft w:val="0"/>
      <w:marRight w:val="0"/>
      <w:marTop w:val="0"/>
      <w:marBottom w:val="0"/>
      <w:divBdr>
        <w:top w:val="none" w:sz="0" w:space="0" w:color="auto"/>
        <w:left w:val="none" w:sz="0" w:space="0" w:color="auto"/>
        <w:bottom w:val="none" w:sz="0" w:space="0" w:color="auto"/>
        <w:right w:val="none" w:sz="0" w:space="0" w:color="auto"/>
      </w:divBdr>
    </w:div>
    <w:div w:id="1721397846">
      <w:bodyDiv w:val="1"/>
      <w:marLeft w:val="0"/>
      <w:marRight w:val="0"/>
      <w:marTop w:val="0"/>
      <w:marBottom w:val="0"/>
      <w:divBdr>
        <w:top w:val="none" w:sz="0" w:space="0" w:color="auto"/>
        <w:left w:val="none" w:sz="0" w:space="0" w:color="auto"/>
        <w:bottom w:val="none" w:sz="0" w:space="0" w:color="auto"/>
        <w:right w:val="none" w:sz="0" w:space="0" w:color="auto"/>
      </w:divBdr>
      <w:divsChild>
        <w:div w:id="1315337440">
          <w:marLeft w:val="0"/>
          <w:marRight w:val="0"/>
          <w:marTop w:val="0"/>
          <w:marBottom w:val="0"/>
          <w:divBdr>
            <w:top w:val="none" w:sz="0" w:space="0" w:color="auto"/>
            <w:left w:val="none" w:sz="0" w:space="0" w:color="auto"/>
            <w:bottom w:val="none" w:sz="0" w:space="0" w:color="auto"/>
            <w:right w:val="none" w:sz="0" w:space="0" w:color="auto"/>
          </w:divBdr>
          <w:divsChild>
            <w:div w:id="1985086713">
              <w:marLeft w:val="0"/>
              <w:marRight w:val="0"/>
              <w:marTop w:val="0"/>
              <w:marBottom w:val="0"/>
              <w:divBdr>
                <w:top w:val="none" w:sz="0" w:space="0" w:color="auto"/>
                <w:left w:val="none" w:sz="0" w:space="0" w:color="auto"/>
                <w:bottom w:val="none" w:sz="0" w:space="0" w:color="auto"/>
                <w:right w:val="none" w:sz="0" w:space="0" w:color="auto"/>
              </w:divBdr>
              <w:divsChild>
                <w:div w:id="1997830713">
                  <w:marLeft w:val="0"/>
                  <w:marRight w:val="0"/>
                  <w:marTop w:val="0"/>
                  <w:marBottom w:val="0"/>
                  <w:divBdr>
                    <w:top w:val="none" w:sz="0" w:space="0" w:color="auto"/>
                    <w:left w:val="none" w:sz="0" w:space="0" w:color="auto"/>
                    <w:bottom w:val="none" w:sz="0" w:space="0" w:color="auto"/>
                    <w:right w:val="none" w:sz="0" w:space="0" w:color="auto"/>
                  </w:divBdr>
                  <w:divsChild>
                    <w:div w:id="1032849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4091019">
      <w:bodyDiv w:val="1"/>
      <w:marLeft w:val="0"/>
      <w:marRight w:val="0"/>
      <w:marTop w:val="0"/>
      <w:marBottom w:val="0"/>
      <w:divBdr>
        <w:top w:val="none" w:sz="0" w:space="0" w:color="auto"/>
        <w:left w:val="none" w:sz="0" w:space="0" w:color="auto"/>
        <w:bottom w:val="none" w:sz="0" w:space="0" w:color="auto"/>
        <w:right w:val="none" w:sz="0" w:space="0" w:color="auto"/>
      </w:divBdr>
    </w:div>
    <w:div w:id="1865749311">
      <w:bodyDiv w:val="1"/>
      <w:marLeft w:val="0"/>
      <w:marRight w:val="0"/>
      <w:marTop w:val="0"/>
      <w:marBottom w:val="0"/>
      <w:divBdr>
        <w:top w:val="none" w:sz="0" w:space="0" w:color="auto"/>
        <w:left w:val="none" w:sz="0" w:space="0" w:color="auto"/>
        <w:bottom w:val="none" w:sz="0" w:space="0" w:color="auto"/>
        <w:right w:val="none" w:sz="0" w:space="0" w:color="auto"/>
      </w:divBdr>
    </w:div>
    <w:div w:id="2003972343">
      <w:bodyDiv w:val="1"/>
      <w:marLeft w:val="0"/>
      <w:marRight w:val="0"/>
      <w:marTop w:val="0"/>
      <w:marBottom w:val="0"/>
      <w:divBdr>
        <w:top w:val="none" w:sz="0" w:space="0" w:color="auto"/>
        <w:left w:val="none" w:sz="0" w:space="0" w:color="auto"/>
        <w:bottom w:val="none" w:sz="0" w:space="0" w:color="auto"/>
        <w:right w:val="none" w:sz="0" w:space="0" w:color="auto"/>
      </w:divBdr>
      <w:divsChild>
        <w:div w:id="77873457">
          <w:marLeft w:val="0"/>
          <w:marRight w:val="0"/>
          <w:marTop w:val="0"/>
          <w:marBottom w:val="0"/>
          <w:divBdr>
            <w:top w:val="none" w:sz="0" w:space="0" w:color="auto"/>
            <w:left w:val="none" w:sz="0" w:space="0" w:color="auto"/>
            <w:bottom w:val="none" w:sz="0" w:space="0" w:color="auto"/>
            <w:right w:val="none" w:sz="0" w:space="0" w:color="auto"/>
          </w:divBdr>
        </w:div>
        <w:div w:id="82724685">
          <w:marLeft w:val="0"/>
          <w:marRight w:val="0"/>
          <w:marTop w:val="0"/>
          <w:marBottom w:val="0"/>
          <w:divBdr>
            <w:top w:val="none" w:sz="0" w:space="0" w:color="auto"/>
            <w:left w:val="none" w:sz="0" w:space="0" w:color="auto"/>
            <w:bottom w:val="none" w:sz="0" w:space="0" w:color="auto"/>
            <w:right w:val="none" w:sz="0" w:space="0" w:color="auto"/>
          </w:divBdr>
        </w:div>
        <w:div w:id="5456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sites/ener/files/documents/REPORT-Gas%20Storage-20150728.pdf" TargetMode="External"/><Relationship Id="rId3" Type="http://schemas.openxmlformats.org/officeDocument/2006/relationships/hyperlink" Target="http://likumi.lv/ta/id/265208-grozijumi-energetikas-likuma" TargetMode="External"/><Relationship Id="rId7" Type="http://schemas.openxmlformats.org/officeDocument/2006/relationships/hyperlink" Target="https://www.sprk.gov.lv/uploads/doc/gazepublkons.pdf" TargetMode="External"/><Relationship Id="rId2" Type="http://schemas.openxmlformats.org/officeDocument/2006/relationships/hyperlink" Target="http://eur-lex.europa.eu/legal-content/LV/TXT/PDF/?uri=CELEX:32009R0715&amp;from=LV" TargetMode="External"/><Relationship Id="rId1" Type="http://schemas.openxmlformats.org/officeDocument/2006/relationships/hyperlink" Target="http://eur-lex.europa.eu/LexUriServ/LexUriServ.do?uri=OJ:L:2009:211:0094:0136:lv:PDF" TargetMode="External"/><Relationship Id="rId6" Type="http://schemas.openxmlformats.org/officeDocument/2006/relationships/hyperlink" Target="http://www.likumi.lv/doc.php?id=249188" TargetMode="External"/><Relationship Id="rId5" Type="http://schemas.openxmlformats.org/officeDocument/2006/relationships/hyperlink" Target="https://www.meteo.lv/lapas/geologija/zemes-dzilu-resursi/perspektivie-resursi/strukturas-dabasgazes-uzglabasanai/strukturas-dabasgazes-uzglabasanai?id=1484&amp;nid=667" TargetMode="External"/><Relationship Id="rId4" Type="http://schemas.openxmlformats.org/officeDocument/2006/relationships/hyperlink" Target="http://lg.lv/?id=194&amp;lang=lat" TargetMode="External"/><Relationship Id="rId9" Type="http://schemas.openxmlformats.org/officeDocument/2006/relationships/hyperlink" Target="https://www.sprk.gov.lv/uploads/doc/KRATUVESnoteiku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Min98</b:Tag>
    <b:SourceType>DocumentFromInternetSite</b:SourceType>
    <b:Guid>{B6FCB66B-0A8C-41D1-8C6E-594940830DF6}</b:Guid>
    <b:Title>Enerģētikas likums</b:Title>
    <b:Year>1998</b:Year>
    <b:Author>
      <b:Author>
        <b:Corporate>Ministru kabinets</b:Corporate>
      </b:Author>
    </b:Author>
    <b:InternetSiteTitle>Likumi.lv</b:InternetSiteTitle>
    <b:Month>septembris</b:Month>
    <b:Day>22</b:Day>
    <b:URL>http://likumi.lv/doc.php?id=49833</b:URL>
    <b:RefOrder>1</b:RefOrder>
  </b:Source>
</b:Sources>
</file>

<file path=customXml/itemProps1.xml><?xml version="1.0" encoding="utf-8"?>
<ds:datastoreItem xmlns:ds="http://schemas.openxmlformats.org/officeDocument/2006/customXml" ds:itemID="{DB355C81-EF3C-4AF8-A216-8E6CE8FA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5178</Words>
  <Characters>2952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projekts</vt:lpstr>
    </vt:vector>
  </TitlesOfParts>
  <Company>Valsts kanceleja, Politikas koordinācijas departaments</Company>
  <LinksUpToDate>false</LinksUpToDate>
  <CharactersWithSpaces>8114</CharactersWithSpaces>
  <SharedDoc>false</SharedDoc>
  <HLinks>
    <vt:vector size="12" baseType="variant">
      <vt:variant>
        <vt:i4>3932179</vt:i4>
      </vt:variant>
      <vt:variant>
        <vt:i4>3</vt:i4>
      </vt:variant>
      <vt:variant>
        <vt:i4>0</vt:i4>
      </vt:variant>
      <vt:variant>
        <vt:i4>5</vt:i4>
      </vt:variant>
      <vt:variant>
        <vt:lpwstr>mailto:Elga.Bucinska@em.gov.lv</vt:lpwstr>
      </vt:variant>
      <vt:variant>
        <vt:lpwstr/>
      </vt:variant>
      <vt:variant>
        <vt:i4>7798910</vt:i4>
      </vt:variant>
      <vt:variant>
        <vt:i4>0</vt:i4>
      </vt:variant>
      <vt:variant>
        <vt:i4>0</vt:i4>
      </vt:variant>
      <vt:variant>
        <vt:i4>5</vt:i4>
      </vt:variant>
      <vt:variant>
        <vt:lpwstr>http://www.lvs.lv/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Maksims.Feofilovs@em.gov.lv</dc:creator>
  <cp:lastModifiedBy>Laimdota Adlere</cp:lastModifiedBy>
  <cp:revision>4</cp:revision>
  <cp:lastPrinted>2017-01-20T06:33:00Z</cp:lastPrinted>
  <dcterms:created xsi:type="dcterms:W3CDTF">2017-01-30T10:39:00Z</dcterms:created>
  <dcterms:modified xsi:type="dcterms:W3CDTF">2017-01-30T10:39:00Z</dcterms:modified>
</cp:coreProperties>
</file>