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rawings/drawing1.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D4DF3" w14:textId="77777777" w:rsidR="000A0BBA" w:rsidRPr="00D024B4" w:rsidRDefault="000A0BBA" w:rsidP="000A0BBA">
      <w:pPr>
        <w:jc w:val="center"/>
        <w:rPr>
          <w:b/>
          <w:sz w:val="24"/>
          <w:szCs w:val="24"/>
        </w:rPr>
      </w:pPr>
    </w:p>
    <w:p w14:paraId="2CF42A50" w14:textId="77777777" w:rsidR="000A0BBA" w:rsidRPr="00D024B4" w:rsidRDefault="000A0BBA" w:rsidP="000A0BBA">
      <w:pPr>
        <w:jc w:val="center"/>
        <w:rPr>
          <w:b/>
          <w:sz w:val="24"/>
          <w:szCs w:val="24"/>
        </w:rPr>
      </w:pPr>
    </w:p>
    <w:p w14:paraId="2E07FA08" w14:textId="77777777" w:rsidR="000A0BBA" w:rsidRPr="00D024B4" w:rsidRDefault="000A0BBA" w:rsidP="000A0BBA">
      <w:pPr>
        <w:jc w:val="center"/>
        <w:rPr>
          <w:b/>
          <w:sz w:val="24"/>
          <w:szCs w:val="24"/>
        </w:rPr>
      </w:pPr>
    </w:p>
    <w:p w14:paraId="030FDCE0" w14:textId="77777777" w:rsidR="000A0BBA" w:rsidRPr="00D024B4" w:rsidRDefault="000A0BBA" w:rsidP="000A0BBA">
      <w:pPr>
        <w:jc w:val="center"/>
        <w:rPr>
          <w:b/>
          <w:sz w:val="24"/>
          <w:szCs w:val="24"/>
        </w:rPr>
      </w:pPr>
    </w:p>
    <w:p w14:paraId="12993A4B" w14:textId="77777777" w:rsidR="000A0BBA" w:rsidRPr="00D024B4" w:rsidRDefault="000A0BBA" w:rsidP="000A0BBA">
      <w:pPr>
        <w:jc w:val="center"/>
        <w:rPr>
          <w:b/>
          <w:sz w:val="24"/>
          <w:szCs w:val="24"/>
        </w:rPr>
      </w:pPr>
    </w:p>
    <w:p w14:paraId="1B5E1C94" w14:textId="77777777" w:rsidR="000A0BBA" w:rsidRPr="00D024B4" w:rsidRDefault="000A0BBA" w:rsidP="000A0BBA">
      <w:pPr>
        <w:jc w:val="center"/>
        <w:rPr>
          <w:b/>
          <w:sz w:val="24"/>
          <w:szCs w:val="24"/>
        </w:rPr>
      </w:pPr>
    </w:p>
    <w:p w14:paraId="047B0F45" w14:textId="77777777" w:rsidR="000A0BBA" w:rsidRPr="00D024B4" w:rsidRDefault="000A0BBA" w:rsidP="000A0BBA">
      <w:pPr>
        <w:jc w:val="center"/>
        <w:rPr>
          <w:b/>
          <w:sz w:val="24"/>
          <w:szCs w:val="24"/>
        </w:rPr>
      </w:pPr>
    </w:p>
    <w:p w14:paraId="000571B5" w14:textId="77777777" w:rsidR="000A0BBA" w:rsidRPr="00D024B4" w:rsidRDefault="000A0BBA" w:rsidP="000A0BBA">
      <w:pPr>
        <w:jc w:val="center"/>
        <w:rPr>
          <w:b/>
          <w:sz w:val="24"/>
          <w:szCs w:val="24"/>
        </w:rPr>
      </w:pPr>
    </w:p>
    <w:p w14:paraId="6BE7E399" w14:textId="77777777" w:rsidR="000A0BBA" w:rsidRPr="00D024B4" w:rsidRDefault="000A0BBA" w:rsidP="000A0BBA">
      <w:pPr>
        <w:jc w:val="center"/>
        <w:rPr>
          <w:b/>
          <w:sz w:val="24"/>
          <w:szCs w:val="24"/>
        </w:rPr>
      </w:pPr>
    </w:p>
    <w:p w14:paraId="3A13634A" w14:textId="77777777" w:rsidR="000A0BBA" w:rsidRPr="00D024B4" w:rsidRDefault="000A0BBA" w:rsidP="000A0BBA">
      <w:pPr>
        <w:jc w:val="center"/>
        <w:rPr>
          <w:b/>
          <w:sz w:val="24"/>
          <w:szCs w:val="24"/>
        </w:rPr>
      </w:pPr>
    </w:p>
    <w:p w14:paraId="14D4D525" w14:textId="77777777" w:rsidR="000A0BBA" w:rsidRPr="00D024B4" w:rsidRDefault="000A0BBA" w:rsidP="000A0BBA">
      <w:pPr>
        <w:jc w:val="center"/>
        <w:rPr>
          <w:b/>
          <w:sz w:val="24"/>
          <w:szCs w:val="24"/>
        </w:rPr>
      </w:pPr>
    </w:p>
    <w:p w14:paraId="440195F4" w14:textId="77777777" w:rsidR="000A0BBA" w:rsidRPr="00D024B4" w:rsidRDefault="000A0BBA" w:rsidP="000A0BBA">
      <w:pPr>
        <w:jc w:val="center"/>
        <w:rPr>
          <w:b/>
          <w:sz w:val="24"/>
          <w:szCs w:val="24"/>
        </w:rPr>
      </w:pPr>
    </w:p>
    <w:p w14:paraId="0BE27D3F" w14:textId="77777777" w:rsidR="000A0BBA" w:rsidRPr="00D024B4" w:rsidRDefault="000A0BBA" w:rsidP="000A0BBA">
      <w:pPr>
        <w:jc w:val="center"/>
        <w:rPr>
          <w:b/>
          <w:sz w:val="24"/>
          <w:szCs w:val="24"/>
        </w:rPr>
      </w:pPr>
    </w:p>
    <w:p w14:paraId="0AEB97EE" w14:textId="77777777" w:rsidR="000A0BBA" w:rsidRPr="00D024B4" w:rsidRDefault="000A0BBA" w:rsidP="000A0BBA">
      <w:pPr>
        <w:jc w:val="center"/>
        <w:rPr>
          <w:b/>
          <w:sz w:val="24"/>
          <w:szCs w:val="24"/>
        </w:rPr>
      </w:pPr>
    </w:p>
    <w:p w14:paraId="0B30483A" w14:textId="77777777" w:rsidR="000A0BBA" w:rsidRPr="00D024B4" w:rsidRDefault="000A0BBA" w:rsidP="000A0BBA">
      <w:pPr>
        <w:jc w:val="center"/>
        <w:rPr>
          <w:b/>
          <w:sz w:val="24"/>
          <w:szCs w:val="24"/>
        </w:rPr>
      </w:pPr>
    </w:p>
    <w:p w14:paraId="564F867A" w14:textId="77777777" w:rsidR="000A0BBA" w:rsidRPr="00D024B4" w:rsidRDefault="000A0BBA" w:rsidP="000A0BBA">
      <w:pPr>
        <w:jc w:val="center"/>
        <w:rPr>
          <w:b/>
          <w:sz w:val="24"/>
          <w:szCs w:val="24"/>
        </w:rPr>
      </w:pPr>
    </w:p>
    <w:p w14:paraId="43E6D302" w14:textId="77777777" w:rsidR="000A0BBA" w:rsidRPr="00D024B4" w:rsidRDefault="000A0BBA" w:rsidP="000A0BBA">
      <w:pPr>
        <w:jc w:val="center"/>
        <w:rPr>
          <w:b/>
          <w:sz w:val="24"/>
          <w:szCs w:val="24"/>
        </w:rPr>
      </w:pPr>
    </w:p>
    <w:p w14:paraId="0939C1A8" w14:textId="77777777" w:rsidR="000A0BBA" w:rsidRPr="00D024B4" w:rsidRDefault="000A0BBA" w:rsidP="000A0BBA">
      <w:pPr>
        <w:jc w:val="center"/>
        <w:rPr>
          <w:b/>
          <w:sz w:val="24"/>
          <w:szCs w:val="24"/>
        </w:rPr>
      </w:pPr>
    </w:p>
    <w:p w14:paraId="07C6F9EA" w14:textId="77777777" w:rsidR="000A0BBA" w:rsidRPr="00FA718D" w:rsidRDefault="000A0BBA" w:rsidP="000A0BBA">
      <w:pPr>
        <w:jc w:val="center"/>
        <w:rPr>
          <w:b/>
          <w:szCs w:val="24"/>
        </w:rPr>
      </w:pPr>
      <w:r w:rsidRPr="00FA718D">
        <w:rPr>
          <w:b/>
          <w:szCs w:val="24"/>
        </w:rPr>
        <w:t>Informatīvais ziņojums</w:t>
      </w:r>
    </w:p>
    <w:p w14:paraId="776E3C1A" w14:textId="77777777" w:rsidR="000A0BBA" w:rsidRPr="00FA718D" w:rsidRDefault="000A0BBA" w:rsidP="000A0BBA">
      <w:pPr>
        <w:jc w:val="center"/>
        <w:rPr>
          <w:b/>
          <w:szCs w:val="24"/>
        </w:rPr>
      </w:pPr>
    </w:p>
    <w:p w14:paraId="5B04B731" w14:textId="77777777" w:rsidR="000A0BBA" w:rsidRPr="00FA718D" w:rsidRDefault="00080A18" w:rsidP="000A0BBA">
      <w:pPr>
        <w:jc w:val="center"/>
        <w:rPr>
          <w:b/>
          <w:szCs w:val="24"/>
        </w:rPr>
      </w:pPr>
      <w:r w:rsidRPr="00FA718D">
        <w:rPr>
          <w:b/>
          <w:szCs w:val="24"/>
        </w:rPr>
        <w:t xml:space="preserve">Par </w:t>
      </w:r>
      <w:r w:rsidR="000A0BBA" w:rsidRPr="00FA718D">
        <w:rPr>
          <w:b/>
          <w:szCs w:val="24"/>
        </w:rPr>
        <w:t>Latvijas preču un pakalpojumu eksporta veicināšanas un ārvalstu investīciju piesaistes</w:t>
      </w:r>
      <w:r w:rsidRPr="00FA718D">
        <w:rPr>
          <w:b/>
          <w:szCs w:val="24"/>
        </w:rPr>
        <w:t xml:space="preserve"> pamatnostādņu 2013.-2019.gadam</w:t>
      </w:r>
      <w:r w:rsidR="000A0BBA" w:rsidRPr="00FA718D">
        <w:rPr>
          <w:b/>
          <w:szCs w:val="24"/>
        </w:rPr>
        <w:t xml:space="preserve"> īstenošanas 2013. – 2015.gadā </w:t>
      </w:r>
      <w:r w:rsidRPr="00FA718D">
        <w:rPr>
          <w:b/>
          <w:szCs w:val="24"/>
        </w:rPr>
        <w:t xml:space="preserve">starpposma </w:t>
      </w:r>
      <w:r w:rsidR="000A0BBA" w:rsidRPr="00FA718D">
        <w:rPr>
          <w:b/>
          <w:szCs w:val="24"/>
        </w:rPr>
        <w:t>novērtējumu</w:t>
      </w:r>
    </w:p>
    <w:p w14:paraId="5EF4B57B" w14:textId="77777777" w:rsidR="000A0BBA" w:rsidRPr="00D847C3" w:rsidRDefault="000A0BBA" w:rsidP="000A0BBA">
      <w:pPr>
        <w:jc w:val="center"/>
        <w:rPr>
          <w:b/>
          <w:sz w:val="24"/>
          <w:szCs w:val="24"/>
        </w:rPr>
      </w:pPr>
    </w:p>
    <w:p w14:paraId="6CE311FD" w14:textId="77777777" w:rsidR="00FA718D" w:rsidRDefault="00FA718D" w:rsidP="00FA718D">
      <w:pPr>
        <w:jc w:val="center"/>
        <w:rPr>
          <w:sz w:val="26"/>
          <w:szCs w:val="26"/>
        </w:rPr>
      </w:pPr>
    </w:p>
    <w:p w14:paraId="5E35FCBC" w14:textId="77777777" w:rsidR="00FA718D" w:rsidRDefault="00FA718D" w:rsidP="00FA718D">
      <w:pPr>
        <w:jc w:val="center"/>
        <w:rPr>
          <w:sz w:val="26"/>
          <w:szCs w:val="26"/>
        </w:rPr>
      </w:pPr>
    </w:p>
    <w:p w14:paraId="582DB2CE" w14:textId="77777777" w:rsidR="00FA718D" w:rsidRDefault="00FA718D" w:rsidP="00FA718D">
      <w:pPr>
        <w:jc w:val="center"/>
        <w:rPr>
          <w:sz w:val="26"/>
          <w:szCs w:val="26"/>
        </w:rPr>
      </w:pPr>
    </w:p>
    <w:p w14:paraId="6C316200" w14:textId="77777777" w:rsidR="00FA718D" w:rsidRDefault="00FA718D" w:rsidP="00FA718D">
      <w:pPr>
        <w:jc w:val="center"/>
        <w:rPr>
          <w:sz w:val="26"/>
          <w:szCs w:val="26"/>
        </w:rPr>
      </w:pPr>
    </w:p>
    <w:p w14:paraId="3D8979AF" w14:textId="77777777" w:rsidR="00FA718D" w:rsidRDefault="00FA718D" w:rsidP="00FA718D">
      <w:pPr>
        <w:jc w:val="center"/>
        <w:rPr>
          <w:sz w:val="26"/>
          <w:szCs w:val="26"/>
        </w:rPr>
      </w:pPr>
    </w:p>
    <w:p w14:paraId="5E0E06C3" w14:textId="77777777" w:rsidR="00FA718D" w:rsidRDefault="00FA718D" w:rsidP="00FA718D">
      <w:pPr>
        <w:jc w:val="center"/>
        <w:rPr>
          <w:sz w:val="26"/>
          <w:szCs w:val="26"/>
        </w:rPr>
      </w:pPr>
    </w:p>
    <w:p w14:paraId="5B265F06" w14:textId="77777777" w:rsidR="00FA718D" w:rsidRDefault="00FA718D" w:rsidP="00FA718D">
      <w:pPr>
        <w:jc w:val="center"/>
        <w:rPr>
          <w:sz w:val="26"/>
          <w:szCs w:val="26"/>
        </w:rPr>
      </w:pPr>
    </w:p>
    <w:p w14:paraId="6A185081" w14:textId="77777777" w:rsidR="00FA718D" w:rsidRDefault="00FA718D" w:rsidP="00FA718D">
      <w:pPr>
        <w:jc w:val="center"/>
        <w:rPr>
          <w:sz w:val="26"/>
          <w:szCs w:val="26"/>
        </w:rPr>
      </w:pPr>
    </w:p>
    <w:p w14:paraId="41D55136" w14:textId="77777777" w:rsidR="00FA718D" w:rsidRDefault="00FA718D" w:rsidP="00FA718D">
      <w:pPr>
        <w:jc w:val="center"/>
        <w:rPr>
          <w:sz w:val="26"/>
          <w:szCs w:val="26"/>
        </w:rPr>
      </w:pPr>
    </w:p>
    <w:p w14:paraId="2F99511F" w14:textId="77777777" w:rsidR="00FA718D" w:rsidRDefault="00FA718D" w:rsidP="00FA718D">
      <w:pPr>
        <w:jc w:val="center"/>
        <w:rPr>
          <w:sz w:val="26"/>
          <w:szCs w:val="26"/>
        </w:rPr>
      </w:pPr>
    </w:p>
    <w:p w14:paraId="27C9D733" w14:textId="77777777" w:rsidR="00FA718D" w:rsidRDefault="00FA718D" w:rsidP="00FA718D">
      <w:pPr>
        <w:jc w:val="center"/>
        <w:rPr>
          <w:sz w:val="26"/>
          <w:szCs w:val="26"/>
        </w:rPr>
      </w:pPr>
    </w:p>
    <w:p w14:paraId="05517734" w14:textId="77777777" w:rsidR="00FA718D" w:rsidRDefault="00FA718D" w:rsidP="00FA718D">
      <w:pPr>
        <w:jc w:val="center"/>
        <w:rPr>
          <w:sz w:val="26"/>
          <w:szCs w:val="26"/>
        </w:rPr>
      </w:pPr>
    </w:p>
    <w:p w14:paraId="2156B7CC" w14:textId="77777777" w:rsidR="00FA718D" w:rsidRDefault="00FA718D" w:rsidP="00FA718D">
      <w:pPr>
        <w:jc w:val="center"/>
        <w:rPr>
          <w:sz w:val="26"/>
          <w:szCs w:val="26"/>
        </w:rPr>
      </w:pPr>
    </w:p>
    <w:p w14:paraId="16D5BF8A" w14:textId="77777777" w:rsidR="00FA718D" w:rsidRDefault="00FA718D" w:rsidP="00FA718D">
      <w:pPr>
        <w:jc w:val="center"/>
        <w:rPr>
          <w:sz w:val="26"/>
          <w:szCs w:val="26"/>
        </w:rPr>
      </w:pPr>
    </w:p>
    <w:p w14:paraId="2121CDFA" w14:textId="77777777" w:rsidR="00FA718D" w:rsidRDefault="00FA718D" w:rsidP="00FA718D">
      <w:pPr>
        <w:jc w:val="center"/>
        <w:rPr>
          <w:sz w:val="26"/>
          <w:szCs w:val="26"/>
        </w:rPr>
      </w:pPr>
    </w:p>
    <w:p w14:paraId="28E7B62E" w14:textId="77777777" w:rsidR="00FA718D" w:rsidRDefault="00FA718D" w:rsidP="00FA718D">
      <w:pPr>
        <w:jc w:val="center"/>
        <w:rPr>
          <w:sz w:val="26"/>
          <w:szCs w:val="26"/>
        </w:rPr>
      </w:pPr>
    </w:p>
    <w:p w14:paraId="5C44CBB1" w14:textId="77777777" w:rsidR="00FA718D" w:rsidRDefault="00FA718D" w:rsidP="00FA718D">
      <w:pPr>
        <w:jc w:val="center"/>
        <w:rPr>
          <w:sz w:val="26"/>
          <w:szCs w:val="26"/>
        </w:rPr>
      </w:pPr>
    </w:p>
    <w:p w14:paraId="56471BFE" w14:textId="77777777" w:rsidR="00FA718D" w:rsidRDefault="00FA718D" w:rsidP="00FA718D">
      <w:pPr>
        <w:jc w:val="center"/>
        <w:rPr>
          <w:sz w:val="26"/>
          <w:szCs w:val="26"/>
        </w:rPr>
      </w:pPr>
    </w:p>
    <w:p w14:paraId="0109BF30" w14:textId="77777777" w:rsidR="00FA718D" w:rsidRDefault="00FA718D" w:rsidP="00FA718D">
      <w:pPr>
        <w:jc w:val="center"/>
        <w:rPr>
          <w:sz w:val="26"/>
          <w:szCs w:val="26"/>
        </w:rPr>
      </w:pPr>
    </w:p>
    <w:p w14:paraId="6DF834BB" w14:textId="77777777" w:rsidR="00FA718D" w:rsidRDefault="00FA718D" w:rsidP="00FA718D">
      <w:pPr>
        <w:jc w:val="center"/>
        <w:rPr>
          <w:sz w:val="26"/>
          <w:szCs w:val="26"/>
        </w:rPr>
      </w:pPr>
    </w:p>
    <w:p w14:paraId="660BCEC9" w14:textId="77777777" w:rsidR="00FA718D" w:rsidRDefault="00FA718D" w:rsidP="00FA718D">
      <w:pPr>
        <w:jc w:val="center"/>
        <w:rPr>
          <w:sz w:val="26"/>
          <w:szCs w:val="26"/>
        </w:rPr>
      </w:pPr>
    </w:p>
    <w:p w14:paraId="6E08ED21" w14:textId="77777777" w:rsidR="00FA718D" w:rsidRDefault="00FA718D" w:rsidP="00FA718D">
      <w:pPr>
        <w:jc w:val="center"/>
        <w:rPr>
          <w:sz w:val="26"/>
          <w:szCs w:val="26"/>
        </w:rPr>
      </w:pPr>
    </w:p>
    <w:p w14:paraId="677DEB58" w14:textId="77777777" w:rsidR="00FA718D" w:rsidRDefault="00FA718D" w:rsidP="00FA718D">
      <w:pPr>
        <w:jc w:val="center"/>
        <w:rPr>
          <w:sz w:val="26"/>
          <w:szCs w:val="26"/>
        </w:rPr>
      </w:pPr>
    </w:p>
    <w:p w14:paraId="64BA7F96" w14:textId="77777777" w:rsidR="00FA718D" w:rsidRPr="00FA718D" w:rsidRDefault="00FA718D" w:rsidP="00FA718D">
      <w:pPr>
        <w:jc w:val="center"/>
        <w:rPr>
          <w:sz w:val="26"/>
          <w:szCs w:val="26"/>
        </w:rPr>
      </w:pPr>
      <w:r w:rsidRPr="00FA718D">
        <w:rPr>
          <w:sz w:val="26"/>
          <w:szCs w:val="26"/>
        </w:rPr>
        <w:t>RĪGA</w:t>
      </w:r>
    </w:p>
    <w:p w14:paraId="61BD778E" w14:textId="77777777" w:rsidR="00FC287C" w:rsidRDefault="00FA718D" w:rsidP="00FA718D">
      <w:pPr>
        <w:jc w:val="center"/>
        <w:rPr>
          <w:sz w:val="26"/>
          <w:szCs w:val="26"/>
        </w:rPr>
      </w:pPr>
      <w:r w:rsidRPr="00FA718D">
        <w:rPr>
          <w:sz w:val="26"/>
          <w:szCs w:val="26"/>
        </w:rPr>
        <w:t xml:space="preserve">2016.gada </w:t>
      </w:r>
      <w:r>
        <w:rPr>
          <w:sz w:val="26"/>
          <w:szCs w:val="26"/>
        </w:rPr>
        <w:t>septembris</w:t>
      </w:r>
    </w:p>
    <w:p w14:paraId="3CA0692A" w14:textId="77777777" w:rsidR="00FC287C" w:rsidRDefault="00FC287C" w:rsidP="00FA718D">
      <w:pPr>
        <w:jc w:val="center"/>
        <w:rPr>
          <w:sz w:val="26"/>
          <w:szCs w:val="26"/>
        </w:rPr>
      </w:pPr>
    </w:p>
    <w:p w14:paraId="70EF3D48" w14:textId="77777777" w:rsidR="00FC287C" w:rsidRPr="00D46FBB" w:rsidRDefault="00FC287C" w:rsidP="00FC287C">
      <w:pPr>
        <w:shd w:val="clear" w:color="auto" w:fill="1DA0A7"/>
        <w:jc w:val="center"/>
        <w:rPr>
          <w:b/>
          <w:bCs/>
          <w:color w:val="FFFFFF" w:themeColor="background1"/>
          <w:szCs w:val="36"/>
        </w:rPr>
      </w:pPr>
      <w:r w:rsidRPr="00D46FBB">
        <w:rPr>
          <w:b/>
          <w:bCs/>
          <w:color w:val="FFFFFF" w:themeColor="background1"/>
          <w:szCs w:val="36"/>
        </w:rPr>
        <w:lastRenderedPageBreak/>
        <w:t>Saturs</w:t>
      </w:r>
    </w:p>
    <w:p w14:paraId="250EE8DF" w14:textId="77777777" w:rsidR="00FC287C" w:rsidRPr="009F6E8E" w:rsidRDefault="00FC287C" w:rsidP="00FC287C">
      <w:pPr>
        <w:jc w:val="center"/>
        <w:rPr>
          <w:sz w:val="8"/>
          <w:szCs w:val="32"/>
        </w:rPr>
      </w:pPr>
    </w:p>
    <w:p w14:paraId="48087446" w14:textId="77777777" w:rsidR="00FC287C" w:rsidRPr="009F6E8E" w:rsidRDefault="00FC287C" w:rsidP="00FC287C">
      <w:pPr>
        <w:jc w:val="center"/>
        <w:rPr>
          <w:szCs w:val="32"/>
        </w:rPr>
      </w:pPr>
    </w:p>
    <w:sdt>
      <w:sdtPr>
        <w:rPr>
          <w:rFonts w:ascii="Times New Roman" w:eastAsiaTheme="minorHAnsi" w:hAnsi="Times New Roman" w:cstheme="minorBidi"/>
          <w:color w:val="auto"/>
          <w:sz w:val="28"/>
          <w:szCs w:val="22"/>
          <w:lang w:val="lv-LV"/>
        </w:rPr>
        <w:id w:val="1130984410"/>
        <w:docPartObj>
          <w:docPartGallery w:val="Table of Contents"/>
          <w:docPartUnique/>
        </w:docPartObj>
      </w:sdtPr>
      <w:sdtEndPr>
        <w:rPr>
          <w:b/>
          <w:bCs/>
          <w:noProof/>
        </w:rPr>
      </w:sdtEndPr>
      <w:sdtContent>
        <w:p w14:paraId="0761834A" w14:textId="77777777" w:rsidR="00DE0F41" w:rsidRDefault="00DE0F41">
          <w:pPr>
            <w:pStyle w:val="TOCHeading"/>
          </w:pPr>
        </w:p>
        <w:p w14:paraId="42F669E7" w14:textId="77777777" w:rsidR="00DE0F41" w:rsidRPr="00DE0F41" w:rsidRDefault="00DE0F41">
          <w:pPr>
            <w:pStyle w:val="TOC1"/>
            <w:tabs>
              <w:tab w:val="right" w:leader="dot" w:pos="977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462739997" w:history="1">
            <w:r w:rsidRPr="00DE0F41">
              <w:rPr>
                <w:rStyle w:val="Hyperlink"/>
                <w:noProof/>
              </w:rPr>
              <w:t>Kopsavilkums</w:t>
            </w:r>
            <w:r w:rsidRPr="00DE0F41">
              <w:rPr>
                <w:noProof/>
                <w:webHidden/>
              </w:rPr>
              <w:tab/>
            </w:r>
            <w:r w:rsidRPr="00DE0F41">
              <w:rPr>
                <w:noProof/>
                <w:webHidden/>
              </w:rPr>
              <w:fldChar w:fldCharType="begin"/>
            </w:r>
            <w:r w:rsidRPr="00DE0F41">
              <w:rPr>
                <w:noProof/>
                <w:webHidden/>
              </w:rPr>
              <w:instrText xml:space="preserve"> PAGEREF _Toc462739997 \h </w:instrText>
            </w:r>
            <w:r w:rsidRPr="00DE0F41">
              <w:rPr>
                <w:noProof/>
                <w:webHidden/>
              </w:rPr>
            </w:r>
            <w:r w:rsidRPr="00DE0F41">
              <w:rPr>
                <w:noProof/>
                <w:webHidden/>
              </w:rPr>
              <w:fldChar w:fldCharType="separate"/>
            </w:r>
            <w:r w:rsidRPr="00DE0F41">
              <w:rPr>
                <w:noProof/>
                <w:webHidden/>
              </w:rPr>
              <w:t>3</w:t>
            </w:r>
            <w:r w:rsidRPr="00DE0F41">
              <w:rPr>
                <w:noProof/>
                <w:webHidden/>
              </w:rPr>
              <w:fldChar w:fldCharType="end"/>
            </w:r>
          </w:hyperlink>
        </w:p>
        <w:p w14:paraId="0249895B" w14:textId="77777777" w:rsidR="00DE0F41" w:rsidRPr="00DE0F41" w:rsidRDefault="0040569D">
          <w:pPr>
            <w:pStyle w:val="TOC1"/>
            <w:tabs>
              <w:tab w:val="right" w:leader="dot" w:pos="9771"/>
            </w:tabs>
            <w:rPr>
              <w:rFonts w:asciiTheme="minorHAnsi" w:eastAsiaTheme="minorEastAsia" w:hAnsiTheme="minorHAnsi"/>
              <w:noProof/>
              <w:sz w:val="22"/>
              <w:lang w:eastAsia="lv-LV"/>
            </w:rPr>
          </w:pPr>
          <w:hyperlink w:anchor="_Toc462739998" w:history="1">
            <w:r w:rsidR="00DE0F41" w:rsidRPr="00DE0F41">
              <w:rPr>
                <w:rStyle w:val="Hyperlink"/>
                <w:noProof/>
              </w:rPr>
              <w:t>Ievads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_Toc462739998 \h </w:instrText>
            </w:r>
            <w:r w:rsidR="00DE0F41" w:rsidRPr="00DE0F41">
              <w:rPr>
                <w:noProof/>
                <w:webHidden/>
              </w:rPr>
            </w:r>
            <w:r w:rsidR="00DE0F41" w:rsidRPr="00DE0F41">
              <w:rPr>
                <w:noProof/>
                <w:webHidden/>
              </w:rPr>
              <w:fldChar w:fldCharType="separate"/>
            </w:r>
            <w:r w:rsidR="00DE0F41" w:rsidRPr="00DE0F41">
              <w:rPr>
                <w:noProof/>
                <w:webHidden/>
              </w:rPr>
              <w:t>5</w:t>
            </w:r>
            <w:r w:rsidR="00DE0F41" w:rsidRPr="00DE0F41">
              <w:rPr>
                <w:noProof/>
                <w:webHidden/>
              </w:rPr>
              <w:fldChar w:fldCharType="end"/>
            </w:r>
          </w:hyperlink>
        </w:p>
        <w:p w14:paraId="5A2711A4" w14:textId="77777777" w:rsidR="00DE0F41" w:rsidRPr="00DE0F41" w:rsidRDefault="0040569D">
          <w:pPr>
            <w:pStyle w:val="TOC1"/>
            <w:tabs>
              <w:tab w:val="right" w:leader="dot" w:pos="9771"/>
            </w:tabs>
            <w:rPr>
              <w:rFonts w:asciiTheme="minorHAnsi" w:eastAsiaTheme="minorEastAsia" w:hAnsiTheme="minorHAnsi"/>
              <w:noProof/>
              <w:sz w:val="22"/>
              <w:lang w:eastAsia="lv-LV"/>
            </w:rPr>
          </w:pPr>
          <w:hyperlink w:anchor="_Toc462739999" w:history="1">
            <w:r w:rsidR="00DE0F41" w:rsidRPr="00DE0F41">
              <w:rPr>
                <w:rStyle w:val="Hyperlink"/>
                <w:noProof/>
              </w:rPr>
              <w:t>1. Makroekonomiskais apskats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_Toc462739999 \h </w:instrText>
            </w:r>
            <w:r w:rsidR="00DE0F41" w:rsidRPr="00DE0F41">
              <w:rPr>
                <w:noProof/>
                <w:webHidden/>
              </w:rPr>
            </w:r>
            <w:r w:rsidR="00DE0F41" w:rsidRPr="00DE0F41">
              <w:rPr>
                <w:noProof/>
                <w:webHidden/>
              </w:rPr>
              <w:fldChar w:fldCharType="separate"/>
            </w:r>
            <w:r w:rsidR="00DE0F41" w:rsidRPr="00DE0F41">
              <w:rPr>
                <w:noProof/>
                <w:webHidden/>
              </w:rPr>
              <w:t>6</w:t>
            </w:r>
            <w:r w:rsidR="00DE0F41" w:rsidRPr="00DE0F41">
              <w:rPr>
                <w:noProof/>
                <w:webHidden/>
              </w:rPr>
              <w:fldChar w:fldCharType="end"/>
            </w:r>
          </w:hyperlink>
        </w:p>
        <w:p w14:paraId="27DCB984"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0" w:history="1">
            <w:r w:rsidR="00DE0F41" w:rsidRPr="00DE0F41">
              <w:rPr>
                <w:rStyle w:val="Hyperlink"/>
                <w:noProof/>
              </w:rPr>
              <w:t>1.1.Eksporta tendences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_Toc462740000 \h </w:instrText>
            </w:r>
            <w:r w:rsidR="00DE0F41" w:rsidRPr="00DE0F41">
              <w:rPr>
                <w:noProof/>
                <w:webHidden/>
              </w:rPr>
            </w:r>
            <w:r w:rsidR="00DE0F41" w:rsidRPr="00DE0F41">
              <w:rPr>
                <w:noProof/>
                <w:webHidden/>
              </w:rPr>
              <w:fldChar w:fldCharType="separate"/>
            </w:r>
            <w:r w:rsidR="00DE0F41" w:rsidRPr="00DE0F41">
              <w:rPr>
                <w:noProof/>
                <w:webHidden/>
              </w:rPr>
              <w:t>6</w:t>
            </w:r>
            <w:r w:rsidR="00DE0F41" w:rsidRPr="00DE0F41">
              <w:rPr>
                <w:noProof/>
                <w:webHidden/>
              </w:rPr>
              <w:fldChar w:fldCharType="end"/>
            </w:r>
          </w:hyperlink>
        </w:p>
        <w:p w14:paraId="59C5CDE0"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1" w:history="1">
            <w:r w:rsidR="00DE0F41" w:rsidRPr="00DE0F41">
              <w:rPr>
                <w:rStyle w:val="Hyperlink"/>
                <w:noProof/>
              </w:rPr>
              <w:t>1.2. Konkurētspējas raksturojums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_Toc462740001 \h </w:instrText>
            </w:r>
            <w:r w:rsidR="00DE0F41" w:rsidRPr="00DE0F41">
              <w:rPr>
                <w:noProof/>
                <w:webHidden/>
              </w:rPr>
            </w:r>
            <w:r w:rsidR="00DE0F41" w:rsidRPr="00DE0F41">
              <w:rPr>
                <w:noProof/>
                <w:webHidden/>
              </w:rPr>
              <w:fldChar w:fldCharType="separate"/>
            </w:r>
            <w:r w:rsidR="00DE0F41" w:rsidRPr="00DE0F41">
              <w:rPr>
                <w:noProof/>
                <w:webHidden/>
              </w:rPr>
              <w:t>11</w:t>
            </w:r>
            <w:r w:rsidR="00DE0F41" w:rsidRPr="00DE0F41">
              <w:rPr>
                <w:noProof/>
                <w:webHidden/>
              </w:rPr>
              <w:fldChar w:fldCharType="end"/>
            </w:r>
          </w:hyperlink>
        </w:p>
        <w:p w14:paraId="1477EAD0"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2" w:history="1">
            <w:r w:rsidR="00DE0F41" w:rsidRPr="00DE0F41">
              <w:rPr>
                <w:rStyle w:val="Hyperlink"/>
                <w:noProof/>
              </w:rPr>
              <w:t>1.3. Ārvalstu tiešās investīcijas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_Toc462740002 \h </w:instrText>
            </w:r>
            <w:r w:rsidR="00DE0F41" w:rsidRPr="00DE0F41">
              <w:rPr>
                <w:noProof/>
                <w:webHidden/>
              </w:rPr>
            </w:r>
            <w:r w:rsidR="00DE0F41" w:rsidRPr="00DE0F41">
              <w:rPr>
                <w:noProof/>
                <w:webHidden/>
              </w:rPr>
              <w:fldChar w:fldCharType="separate"/>
            </w:r>
            <w:r w:rsidR="00DE0F41" w:rsidRPr="00DE0F41">
              <w:rPr>
                <w:noProof/>
                <w:webHidden/>
              </w:rPr>
              <w:t>13</w:t>
            </w:r>
            <w:r w:rsidR="00DE0F41" w:rsidRPr="00DE0F41">
              <w:rPr>
                <w:noProof/>
                <w:webHidden/>
              </w:rPr>
              <w:fldChar w:fldCharType="end"/>
            </w:r>
          </w:hyperlink>
        </w:p>
        <w:p w14:paraId="5777D845"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3" w:history="1">
            <w:r w:rsidR="00DE0F41" w:rsidRPr="00DE0F41">
              <w:rPr>
                <w:rStyle w:val="Hyperlink"/>
                <w:noProof/>
              </w:rPr>
              <w:t>1.4. Šķēršļi, kas kavē ārvalstu investīciju ienākšanu Latvijā</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_Toc462740003 \h </w:instrText>
            </w:r>
            <w:r w:rsidR="00DE0F41" w:rsidRPr="00DE0F41">
              <w:rPr>
                <w:noProof/>
                <w:webHidden/>
              </w:rPr>
            </w:r>
            <w:r w:rsidR="00DE0F41" w:rsidRPr="00DE0F41">
              <w:rPr>
                <w:noProof/>
                <w:webHidden/>
              </w:rPr>
              <w:fldChar w:fldCharType="separate"/>
            </w:r>
            <w:r w:rsidR="00DE0F41" w:rsidRPr="00DE0F41">
              <w:rPr>
                <w:noProof/>
                <w:webHidden/>
              </w:rPr>
              <w:t>16</w:t>
            </w:r>
            <w:r w:rsidR="00DE0F41" w:rsidRPr="00DE0F41">
              <w:rPr>
                <w:noProof/>
                <w:webHidden/>
              </w:rPr>
              <w:fldChar w:fldCharType="end"/>
            </w:r>
          </w:hyperlink>
        </w:p>
        <w:p w14:paraId="2BB0BD70" w14:textId="77777777" w:rsidR="00DE0F41" w:rsidRPr="00DE0F41" w:rsidRDefault="0040569D">
          <w:pPr>
            <w:pStyle w:val="TOC1"/>
            <w:tabs>
              <w:tab w:val="right" w:leader="dot" w:pos="9771"/>
            </w:tabs>
            <w:rPr>
              <w:rFonts w:asciiTheme="minorHAnsi" w:eastAsiaTheme="minorEastAsia" w:hAnsiTheme="minorHAnsi"/>
              <w:noProof/>
              <w:sz w:val="22"/>
              <w:lang w:eastAsia="lv-LV"/>
            </w:rPr>
          </w:pPr>
          <w:hyperlink w:anchor="_Toc462740004" w:history="1">
            <w:r w:rsidR="00DE0F41" w:rsidRPr="00DE0F41">
              <w:rPr>
                <w:rStyle w:val="Hyperlink"/>
                <w:noProof/>
              </w:rPr>
              <w:t>2. Pamatnostādnēs noteikto rezultatīvo rādītāju izpildes novērtējums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_Toc462740004 \h </w:instrText>
            </w:r>
            <w:r w:rsidR="00DE0F41" w:rsidRPr="00DE0F41">
              <w:rPr>
                <w:noProof/>
                <w:webHidden/>
              </w:rPr>
            </w:r>
            <w:r w:rsidR="00DE0F41" w:rsidRPr="00DE0F41">
              <w:rPr>
                <w:noProof/>
                <w:webHidden/>
              </w:rPr>
              <w:fldChar w:fldCharType="separate"/>
            </w:r>
            <w:r w:rsidR="00DE0F41" w:rsidRPr="00DE0F41">
              <w:rPr>
                <w:noProof/>
                <w:webHidden/>
              </w:rPr>
              <w:t>18</w:t>
            </w:r>
            <w:r w:rsidR="00DE0F41" w:rsidRPr="00DE0F41">
              <w:rPr>
                <w:noProof/>
                <w:webHidden/>
              </w:rPr>
              <w:fldChar w:fldCharType="end"/>
            </w:r>
          </w:hyperlink>
        </w:p>
        <w:p w14:paraId="36603A85"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5" w:history="1">
            <w:r w:rsidR="00DE0F41" w:rsidRPr="00DE0F41">
              <w:rPr>
                <w:rStyle w:val="Hyperlink"/>
                <w:noProof/>
              </w:rPr>
              <w:t>2.1. Eksporta dinamikas un struktūras rādītāji</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_Toc462740005 \h </w:instrText>
            </w:r>
            <w:r w:rsidR="00DE0F41" w:rsidRPr="00DE0F41">
              <w:rPr>
                <w:noProof/>
                <w:webHidden/>
              </w:rPr>
            </w:r>
            <w:r w:rsidR="00DE0F41" w:rsidRPr="00DE0F41">
              <w:rPr>
                <w:noProof/>
                <w:webHidden/>
              </w:rPr>
              <w:fldChar w:fldCharType="separate"/>
            </w:r>
            <w:r w:rsidR="00DE0F41" w:rsidRPr="00DE0F41">
              <w:rPr>
                <w:noProof/>
                <w:webHidden/>
              </w:rPr>
              <w:t>19</w:t>
            </w:r>
            <w:r w:rsidR="00DE0F41" w:rsidRPr="00DE0F41">
              <w:rPr>
                <w:noProof/>
                <w:webHidden/>
              </w:rPr>
              <w:fldChar w:fldCharType="end"/>
            </w:r>
          </w:hyperlink>
        </w:p>
        <w:p w14:paraId="24B1C913"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6" w:history="1">
            <w:r w:rsidR="00DE0F41" w:rsidRPr="00DE0F41">
              <w:rPr>
                <w:rStyle w:val="Hyperlink"/>
                <w:noProof/>
              </w:rPr>
              <w:t>2.2. ĀTI piesaiste uz ārējo pieprasījumu orientētajās nozarēs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_Toc462740006 \h </w:instrText>
            </w:r>
            <w:r w:rsidR="00DE0F41" w:rsidRPr="00DE0F41">
              <w:rPr>
                <w:noProof/>
                <w:webHidden/>
              </w:rPr>
            </w:r>
            <w:r w:rsidR="00DE0F41" w:rsidRPr="00DE0F41">
              <w:rPr>
                <w:noProof/>
                <w:webHidden/>
              </w:rPr>
              <w:fldChar w:fldCharType="separate"/>
            </w:r>
            <w:r w:rsidR="00DE0F41" w:rsidRPr="00DE0F41">
              <w:rPr>
                <w:noProof/>
                <w:webHidden/>
              </w:rPr>
              <w:t>20</w:t>
            </w:r>
            <w:r w:rsidR="00DE0F41" w:rsidRPr="00DE0F41">
              <w:rPr>
                <w:noProof/>
                <w:webHidden/>
              </w:rPr>
              <w:fldChar w:fldCharType="end"/>
            </w:r>
          </w:hyperlink>
        </w:p>
        <w:p w14:paraId="537B9FB0"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7" w:history="1">
            <w:r w:rsidR="00DE0F41" w:rsidRPr="00DE0F41">
              <w:rPr>
                <w:rStyle w:val="Hyperlink"/>
                <w:noProof/>
              </w:rPr>
              <w:t>2.3. Koriģētie sasniedzamie rezultatīvie rādītāji un to skaitliskās vērtības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_Toc462740007 \h </w:instrText>
            </w:r>
            <w:r w:rsidR="00DE0F41" w:rsidRPr="00DE0F41">
              <w:rPr>
                <w:noProof/>
                <w:webHidden/>
              </w:rPr>
            </w:r>
            <w:r w:rsidR="00DE0F41" w:rsidRPr="00DE0F41">
              <w:rPr>
                <w:noProof/>
                <w:webHidden/>
              </w:rPr>
              <w:fldChar w:fldCharType="separate"/>
            </w:r>
            <w:r w:rsidR="00DE0F41" w:rsidRPr="00DE0F41">
              <w:rPr>
                <w:noProof/>
                <w:webHidden/>
              </w:rPr>
              <w:t>21</w:t>
            </w:r>
            <w:r w:rsidR="00DE0F41" w:rsidRPr="00DE0F41">
              <w:rPr>
                <w:noProof/>
                <w:webHidden/>
              </w:rPr>
              <w:fldChar w:fldCharType="end"/>
            </w:r>
          </w:hyperlink>
        </w:p>
        <w:p w14:paraId="48AA0F35" w14:textId="77777777" w:rsidR="00DE0F41" w:rsidRPr="00DE0F41" w:rsidRDefault="0040569D">
          <w:pPr>
            <w:pStyle w:val="TOC1"/>
            <w:tabs>
              <w:tab w:val="right" w:leader="dot" w:pos="9771"/>
            </w:tabs>
            <w:rPr>
              <w:rFonts w:asciiTheme="minorHAnsi" w:eastAsiaTheme="minorEastAsia" w:hAnsiTheme="minorHAnsi"/>
              <w:noProof/>
              <w:sz w:val="22"/>
              <w:lang w:eastAsia="lv-LV"/>
            </w:rPr>
          </w:pPr>
          <w:hyperlink w:anchor="_Toc462740008" w:history="1">
            <w:r w:rsidR="00DE0F41" w:rsidRPr="00DE0F41">
              <w:rPr>
                <w:rStyle w:val="Hyperlink"/>
                <w:noProof/>
              </w:rPr>
              <w:t>3. Investīciju veicināšanas un eksporta piesaistes politika</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_Toc462740008 \h </w:instrText>
            </w:r>
            <w:r w:rsidR="00DE0F41" w:rsidRPr="00DE0F41">
              <w:rPr>
                <w:noProof/>
                <w:webHidden/>
              </w:rPr>
            </w:r>
            <w:r w:rsidR="00DE0F41" w:rsidRPr="00DE0F41">
              <w:rPr>
                <w:noProof/>
                <w:webHidden/>
              </w:rPr>
              <w:fldChar w:fldCharType="separate"/>
            </w:r>
            <w:r w:rsidR="00DE0F41" w:rsidRPr="00DE0F41">
              <w:rPr>
                <w:noProof/>
                <w:webHidden/>
              </w:rPr>
              <w:t>22</w:t>
            </w:r>
            <w:r w:rsidR="00DE0F41" w:rsidRPr="00DE0F41">
              <w:rPr>
                <w:noProof/>
                <w:webHidden/>
              </w:rPr>
              <w:fldChar w:fldCharType="end"/>
            </w:r>
          </w:hyperlink>
        </w:p>
        <w:p w14:paraId="3F165027"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09" w:history="1">
            <w:r w:rsidR="00DE0F41" w:rsidRPr="00DE0F41">
              <w:rPr>
                <w:rStyle w:val="Hyperlink"/>
                <w:noProof/>
              </w:rPr>
              <w:t>3.1. Eksporta mērķa nozares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_Toc462740009 \h </w:instrText>
            </w:r>
            <w:r w:rsidR="00DE0F41" w:rsidRPr="00DE0F41">
              <w:rPr>
                <w:noProof/>
                <w:webHidden/>
              </w:rPr>
            </w:r>
            <w:r w:rsidR="00DE0F41" w:rsidRPr="00DE0F41">
              <w:rPr>
                <w:noProof/>
                <w:webHidden/>
              </w:rPr>
              <w:fldChar w:fldCharType="separate"/>
            </w:r>
            <w:r w:rsidR="00DE0F41" w:rsidRPr="00DE0F41">
              <w:rPr>
                <w:noProof/>
                <w:webHidden/>
              </w:rPr>
              <w:t>22</w:t>
            </w:r>
            <w:r w:rsidR="00DE0F41" w:rsidRPr="00DE0F41">
              <w:rPr>
                <w:noProof/>
                <w:webHidden/>
              </w:rPr>
              <w:fldChar w:fldCharType="end"/>
            </w:r>
          </w:hyperlink>
        </w:p>
        <w:p w14:paraId="560DB139"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10" w:history="1">
            <w:r w:rsidR="00DE0F41" w:rsidRPr="00DE0F41">
              <w:rPr>
                <w:rStyle w:val="Hyperlink"/>
                <w:rFonts w:eastAsia="Calibri"/>
                <w:noProof/>
              </w:rPr>
              <w:t>3.2.Eksporta mērķa valstis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_Toc462740010 \h </w:instrText>
            </w:r>
            <w:r w:rsidR="00DE0F41" w:rsidRPr="00DE0F41">
              <w:rPr>
                <w:noProof/>
                <w:webHidden/>
              </w:rPr>
            </w:r>
            <w:r w:rsidR="00DE0F41" w:rsidRPr="00DE0F41">
              <w:rPr>
                <w:noProof/>
                <w:webHidden/>
              </w:rPr>
              <w:fldChar w:fldCharType="separate"/>
            </w:r>
            <w:r w:rsidR="00DE0F41" w:rsidRPr="00DE0F41">
              <w:rPr>
                <w:noProof/>
                <w:webHidden/>
              </w:rPr>
              <w:t>23</w:t>
            </w:r>
            <w:r w:rsidR="00DE0F41" w:rsidRPr="00DE0F41">
              <w:rPr>
                <w:noProof/>
                <w:webHidden/>
              </w:rPr>
              <w:fldChar w:fldCharType="end"/>
            </w:r>
          </w:hyperlink>
        </w:p>
        <w:p w14:paraId="6654B55E"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11" w:history="1">
            <w:r w:rsidR="00DE0F41" w:rsidRPr="00DE0F41">
              <w:rPr>
                <w:rStyle w:val="Hyperlink"/>
                <w:noProof/>
              </w:rPr>
              <w:t>3.3. Eksporta atbalsta instrumenti</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_Toc462740011 \h </w:instrText>
            </w:r>
            <w:r w:rsidR="00DE0F41" w:rsidRPr="00DE0F41">
              <w:rPr>
                <w:noProof/>
                <w:webHidden/>
              </w:rPr>
            </w:r>
            <w:r w:rsidR="00DE0F41" w:rsidRPr="00DE0F41">
              <w:rPr>
                <w:noProof/>
                <w:webHidden/>
              </w:rPr>
              <w:fldChar w:fldCharType="separate"/>
            </w:r>
            <w:r w:rsidR="00DE0F41" w:rsidRPr="00DE0F41">
              <w:rPr>
                <w:noProof/>
                <w:webHidden/>
              </w:rPr>
              <w:t>23</w:t>
            </w:r>
            <w:r w:rsidR="00DE0F41" w:rsidRPr="00DE0F41">
              <w:rPr>
                <w:noProof/>
                <w:webHidden/>
              </w:rPr>
              <w:fldChar w:fldCharType="end"/>
            </w:r>
          </w:hyperlink>
        </w:p>
        <w:p w14:paraId="5ABEB2EF"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12" w:history="1">
            <w:r w:rsidR="00DE0F41" w:rsidRPr="00DE0F41">
              <w:rPr>
                <w:rStyle w:val="Hyperlink"/>
                <w:noProof/>
              </w:rPr>
              <w:t>3.4. Ārvalstu investīciju piesaistes mērķa nozares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_Toc462740012 \h </w:instrText>
            </w:r>
            <w:r w:rsidR="00DE0F41" w:rsidRPr="00DE0F41">
              <w:rPr>
                <w:noProof/>
                <w:webHidden/>
              </w:rPr>
            </w:r>
            <w:r w:rsidR="00DE0F41" w:rsidRPr="00DE0F41">
              <w:rPr>
                <w:noProof/>
                <w:webHidden/>
              </w:rPr>
              <w:fldChar w:fldCharType="separate"/>
            </w:r>
            <w:r w:rsidR="00DE0F41" w:rsidRPr="00DE0F41">
              <w:rPr>
                <w:noProof/>
                <w:webHidden/>
              </w:rPr>
              <w:t>24</w:t>
            </w:r>
            <w:r w:rsidR="00DE0F41" w:rsidRPr="00DE0F41">
              <w:rPr>
                <w:noProof/>
                <w:webHidden/>
              </w:rPr>
              <w:fldChar w:fldCharType="end"/>
            </w:r>
          </w:hyperlink>
        </w:p>
        <w:p w14:paraId="60E36838"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13" w:history="1">
            <w:r w:rsidR="00DE0F41" w:rsidRPr="00DE0F41">
              <w:rPr>
                <w:rStyle w:val="Hyperlink"/>
                <w:rFonts w:cs="Times New Roman"/>
                <w:noProof/>
              </w:rPr>
              <w:t>3.5. Turpmākie rīcības virzieni ārvalstu tiešo investīciju piesaistē</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_Toc462740013 \h </w:instrText>
            </w:r>
            <w:r w:rsidR="00DE0F41" w:rsidRPr="00DE0F41">
              <w:rPr>
                <w:noProof/>
                <w:webHidden/>
              </w:rPr>
            </w:r>
            <w:r w:rsidR="00DE0F41" w:rsidRPr="00DE0F41">
              <w:rPr>
                <w:noProof/>
                <w:webHidden/>
              </w:rPr>
              <w:fldChar w:fldCharType="separate"/>
            </w:r>
            <w:r w:rsidR="00DE0F41" w:rsidRPr="00DE0F41">
              <w:rPr>
                <w:noProof/>
                <w:webHidden/>
              </w:rPr>
              <w:t>24</w:t>
            </w:r>
            <w:r w:rsidR="00DE0F41" w:rsidRPr="00DE0F41">
              <w:rPr>
                <w:noProof/>
                <w:webHidden/>
              </w:rPr>
              <w:fldChar w:fldCharType="end"/>
            </w:r>
          </w:hyperlink>
        </w:p>
        <w:p w14:paraId="0F220DAE" w14:textId="77777777" w:rsidR="00DE0F41" w:rsidRPr="00DE0F41" w:rsidRDefault="0040569D">
          <w:pPr>
            <w:pStyle w:val="TOC2"/>
            <w:tabs>
              <w:tab w:val="right" w:leader="dot" w:pos="9771"/>
            </w:tabs>
            <w:rPr>
              <w:rFonts w:asciiTheme="minorHAnsi" w:eastAsiaTheme="minorEastAsia" w:hAnsiTheme="minorHAnsi"/>
              <w:noProof/>
              <w:sz w:val="22"/>
              <w:lang w:eastAsia="lv-LV"/>
            </w:rPr>
          </w:pPr>
          <w:hyperlink w:anchor="_Toc462740014" w:history="1">
            <w:r w:rsidR="00DE0F41" w:rsidRPr="00DE0F41">
              <w:rPr>
                <w:rStyle w:val="Hyperlink"/>
                <w:noProof/>
              </w:rPr>
              <w:t>3.6. Investīciju stimuli un investīciju piesaistes instrumenti</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_Toc462740014 \h </w:instrText>
            </w:r>
            <w:r w:rsidR="00DE0F41" w:rsidRPr="00DE0F41">
              <w:rPr>
                <w:noProof/>
                <w:webHidden/>
              </w:rPr>
            </w:r>
            <w:r w:rsidR="00DE0F41" w:rsidRPr="00DE0F41">
              <w:rPr>
                <w:noProof/>
                <w:webHidden/>
              </w:rPr>
              <w:fldChar w:fldCharType="separate"/>
            </w:r>
            <w:r w:rsidR="00DE0F41" w:rsidRPr="00DE0F41">
              <w:rPr>
                <w:noProof/>
                <w:webHidden/>
              </w:rPr>
              <w:t>26</w:t>
            </w:r>
            <w:r w:rsidR="00DE0F41" w:rsidRPr="00DE0F41">
              <w:rPr>
                <w:noProof/>
                <w:webHidden/>
              </w:rPr>
              <w:fldChar w:fldCharType="end"/>
            </w:r>
          </w:hyperlink>
        </w:p>
        <w:p w14:paraId="28737DD1" w14:textId="77777777" w:rsidR="00DE0F41" w:rsidRDefault="0040569D">
          <w:pPr>
            <w:pStyle w:val="TOC1"/>
            <w:tabs>
              <w:tab w:val="right" w:leader="dot" w:pos="9771"/>
            </w:tabs>
            <w:rPr>
              <w:rFonts w:asciiTheme="minorHAnsi" w:eastAsiaTheme="minorEastAsia" w:hAnsiTheme="minorHAnsi"/>
              <w:noProof/>
              <w:sz w:val="22"/>
              <w:lang w:eastAsia="lv-LV"/>
            </w:rPr>
          </w:pPr>
          <w:hyperlink w:anchor="_Toc462740015" w:history="1">
            <w:r w:rsidR="00DE0F41" w:rsidRPr="00DE0F41">
              <w:rPr>
                <w:rStyle w:val="Hyperlink"/>
                <w:noProof/>
              </w:rPr>
              <w:t>4. Pamatnostādņu īstenošanā ieguldīto resursu un to izlietojuma efektivitātes novērtējums</w:t>
            </w:r>
            <w:r w:rsidR="00DE0F41" w:rsidRPr="00DE0F41">
              <w:rPr>
                <w:noProof/>
                <w:webHidden/>
              </w:rPr>
              <w:tab/>
            </w:r>
            <w:r w:rsidR="00DE0F41" w:rsidRPr="00DE0F41">
              <w:rPr>
                <w:noProof/>
                <w:webHidden/>
              </w:rPr>
              <w:fldChar w:fldCharType="begin"/>
            </w:r>
            <w:r w:rsidR="00DE0F41" w:rsidRPr="00DE0F41">
              <w:rPr>
                <w:noProof/>
                <w:webHidden/>
              </w:rPr>
              <w:instrText xml:space="preserve"> PAGEREF _Toc462740015 \h </w:instrText>
            </w:r>
            <w:r w:rsidR="00DE0F41" w:rsidRPr="00DE0F41">
              <w:rPr>
                <w:noProof/>
                <w:webHidden/>
              </w:rPr>
            </w:r>
            <w:r w:rsidR="00DE0F41" w:rsidRPr="00DE0F41">
              <w:rPr>
                <w:noProof/>
                <w:webHidden/>
              </w:rPr>
              <w:fldChar w:fldCharType="separate"/>
            </w:r>
            <w:r w:rsidR="00DE0F41" w:rsidRPr="00DE0F41">
              <w:rPr>
                <w:noProof/>
                <w:webHidden/>
              </w:rPr>
              <w:t>27</w:t>
            </w:r>
            <w:r w:rsidR="00DE0F41" w:rsidRPr="00DE0F41">
              <w:rPr>
                <w:noProof/>
                <w:webHidden/>
              </w:rPr>
              <w:fldChar w:fldCharType="end"/>
            </w:r>
          </w:hyperlink>
        </w:p>
        <w:p w14:paraId="71AE77D7" w14:textId="77777777" w:rsidR="00DE0F41" w:rsidRDefault="00DE0F41">
          <w:r>
            <w:rPr>
              <w:b/>
              <w:bCs/>
              <w:noProof/>
            </w:rPr>
            <w:fldChar w:fldCharType="end"/>
          </w:r>
        </w:p>
      </w:sdtContent>
    </w:sdt>
    <w:p w14:paraId="4D3866CB" w14:textId="77777777" w:rsidR="00FC287C" w:rsidRPr="009F6E8E" w:rsidRDefault="00FC287C" w:rsidP="00FC287C">
      <w:pPr>
        <w:jc w:val="center"/>
        <w:rPr>
          <w:szCs w:val="32"/>
        </w:rPr>
      </w:pPr>
    </w:p>
    <w:p w14:paraId="07CC64F9" w14:textId="77777777" w:rsidR="00FC287C" w:rsidRPr="00916055" w:rsidRDefault="00FC287C" w:rsidP="00FC287C">
      <w:pPr>
        <w:pStyle w:val="Heading1"/>
        <w:tabs>
          <w:tab w:val="right" w:leader="dot" w:pos="8789"/>
          <w:tab w:val="right" w:leader="dot" w:pos="9072"/>
          <w:tab w:val="right" w:leader="dot" w:pos="9356"/>
        </w:tabs>
        <w:spacing w:before="120" w:after="120"/>
        <w:ind w:left="1134"/>
        <w:rPr>
          <w:b w:val="0"/>
          <w:sz w:val="36"/>
        </w:rPr>
      </w:pPr>
      <w:bookmarkStart w:id="0" w:name="_GoBack"/>
      <w:bookmarkEnd w:id="0"/>
      <w:r w:rsidRPr="00916055">
        <w:rPr>
          <w:b w:val="0"/>
          <w:sz w:val="36"/>
        </w:rPr>
        <w:br w:type="page"/>
      </w:r>
    </w:p>
    <w:p w14:paraId="474A5529" w14:textId="77777777" w:rsidR="00FC287C" w:rsidRPr="00360F54" w:rsidRDefault="00FC287C" w:rsidP="00FC287C">
      <w:pPr>
        <w:pStyle w:val="Heading1"/>
        <w:shd w:val="clear" w:color="auto" w:fill="1DA0A7"/>
        <w:rPr>
          <w:color w:val="FFFFFF" w:themeColor="background1"/>
          <w:sz w:val="28"/>
        </w:rPr>
      </w:pPr>
      <w:bookmarkStart w:id="1" w:name="_Toc462739793"/>
      <w:bookmarkStart w:id="2" w:name="_Toc462739997"/>
      <w:r w:rsidRPr="00360F54">
        <w:rPr>
          <w:color w:val="FFFFFF" w:themeColor="background1"/>
          <w:sz w:val="28"/>
        </w:rPr>
        <w:lastRenderedPageBreak/>
        <w:t>Kopsavilkums</w:t>
      </w:r>
      <w:bookmarkEnd w:id="1"/>
      <w:bookmarkEnd w:id="2"/>
    </w:p>
    <w:p w14:paraId="09B1E249" w14:textId="77777777" w:rsidR="00FC287C" w:rsidRDefault="00FC287C" w:rsidP="00FC287C">
      <w:pPr>
        <w:ind w:firstLine="720"/>
        <w:jc w:val="both"/>
        <w:rPr>
          <w:rFonts w:cs="Times New Roman"/>
          <w:sz w:val="24"/>
          <w:szCs w:val="24"/>
        </w:rPr>
      </w:pPr>
    </w:p>
    <w:p w14:paraId="0842BC93" w14:textId="77777777" w:rsidR="00FC287C" w:rsidRPr="00D87ABD" w:rsidRDefault="00FC287C" w:rsidP="00FC287C">
      <w:pPr>
        <w:ind w:firstLine="720"/>
        <w:jc w:val="both"/>
        <w:rPr>
          <w:rFonts w:cs="Times New Roman"/>
          <w:sz w:val="24"/>
          <w:szCs w:val="24"/>
        </w:rPr>
      </w:pPr>
      <w:r w:rsidRPr="00D87ABD">
        <w:rPr>
          <w:rFonts w:cs="Times New Roman"/>
          <w:sz w:val="24"/>
          <w:szCs w:val="24"/>
        </w:rPr>
        <w:t>Lai arī pašlaik Latvijas ekonomika ir makroekonomiski sabalansēta, tomēr tai trūk</w:t>
      </w:r>
      <w:r>
        <w:rPr>
          <w:rFonts w:cs="Times New Roman"/>
          <w:sz w:val="24"/>
          <w:szCs w:val="24"/>
        </w:rPr>
        <w:t>st straujākas izaugsmes stimulu.</w:t>
      </w:r>
      <w:r w:rsidRPr="00D87ABD">
        <w:rPr>
          <w:rFonts w:cs="Times New Roman"/>
          <w:sz w:val="24"/>
          <w:szCs w:val="24"/>
        </w:rPr>
        <w:t xml:space="preserve"> </w:t>
      </w:r>
      <w:r>
        <w:rPr>
          <w:rFonts w:cs="Times New Roman"/>
          <w:sz w:val="24"/>
          <w:szCs w:val="24"/>
        </w:rPr>
        <w:t>Pē</w:t>
      </w:r>
      <w:r w:rsidRPr="00D87ABD">
        <w:rPr>
          <w:rFonts w:cs="Times New Roman"/>
          <w:sz w:val="24"/>
          <w:szCs w:val="24"/>
        </w:rPr>
        <w:t>dējo trīs gadu laikā ekonomiskā izaugsme un eksporta dinamika palielinās mēreni, arī investīciju apjoms nav sasnie</w:t>
      </w:r>
      <w:r>
        <w:rPr>
          <w:rFonts w:cs="Times New Roman"/>
          <w:sz w:val="24"/>
          <w:szCs w:val="24"/>
        </w:rPr>
        <w:t>dzis</w:t>
      </w:r>
      <w:r w:rsidRPr="00D87ABD">
        <w:rPr>
          <w:rFonts w:cs="Times New Roman"/>
          <w:sz w:val="24"/>
          <w:szCs w:val="24"/>
        </w:rPr>
        <w:t xml:space="preserve"> pirmskrīzes līmeni. </w:t>
      </w:r>
    </w:p>
    <w:p w14:paraId="034913C5" w14:textId="77777777" w:rsidR="00FC287C" w:rsidRPr="00D87ABD" w:rsidRDefault="00FC287C" w:rsidP="00FC287C">
      <w:pPr>
        <w:ind w:firstLine="720"/>
        <w:jc w:val="both"/>
        <w:rPr>
          <w:rFonts w:cs="Times New Roman"/>
          <w:sz w:val="24"/>
          <w:szCs w:val="24"/>
        </w:rPr>
      </w:pPr>
      <w:r w:rsidRPr="00D87ABD">
        <w:rPr>
          <w:rFonts w:cs="Times New Roman"/>
          <w:sz w:val="24"/>
          <w:szCs w:val="24"/>
        </w:rPr>
        <w:t xml:space="preserve">Eksporta turpmākai attīstībai </w:t>
      </w:r>
      <w:r>
        <w:rPr>
          <w:rFonts w:cs="Times New Roman"/>
          <w:sz w:val="24"/>
          <w:szCs w:val="24"/>
        </w:rPr>
        <w:t>ārējās vides nenoteiktības un mērena ārējā pieprasījuma apstākļos eksporta apjoma piegumu noteiks</w:t>
      </w:r>
      <w:r w:rsidRPr="00D87ABD">
        <w:rPr>
          <w:rFonts w:cs="Times New Roman"/>
          <w:sz w:val="24"/>
          <w:szCs w:val="24"/>
        </w:rPr>
        <w:t xml:space="preserve"> ārējā tirgus pieprasījuma palielināšanās, taču vienlaikus būtiski sekmēt konkurētspējas uzlabošanos un veicināt produktivitāti un inovācijas</w:t>
      </w:r>
      <w:r>
        <w:rPr>
          <w:rFonts w:cs="Times New Roman"/>
          <w:sz w:val="24"/>
          <w:szCs w:val="24"/>
        </w:rPr>
        <w:t>.</w:t>
      </w:r>
      <w:r w:rsidRPr="00D87ABD">
        <w:rPr>
          <w:rFonts w:cs="Times New Roman"/>
          <w:sz w:val="24"/>
          <w:szCs w:val="24"/>
        </w:rPr>
        <w:t xml:space="preserve"> Investīciju piesaistē būtiski ir turpināt darbu </w:t>
      </w:r>
      <w:r w:rsidRPr="00FC287C">
        <w:rPr>
          <w:rFonts w:cs="Times New Roman"/>
          <w:b/>
          <w:sz w:val="24"/>
          <w:szCs w:val="24"/>
        </w:rPr>
        <w:t>pie uzņēmējdarbības vides uzlabošanas pasākumiem</w:t>
      </w:r>
      <w:r w:rsidRPr="00D87ABD">
        <w:rPr>
          <w:rFonts w:cs="Times New Roman"/>
          <w:sz w:val="24"/>
          <w:szCs w:val="24"/>
        </w:rPr>
        <w:t>, vienlaikus</w:t>
      </w:r>
      <w:r>
        <w:rPr>
          <w:rFonts w:cs="Times New Roman"/>
          <w:sz w:val="24"/>
          <w:szCs w:val="24"/>
        </w:rPr>
        <w:t xml:space="preserve"> </w:t>
      </w:r>
      <w:r w:rsidRPr="0005410D">
        <w:rPr>
          <w:rFonts w:cs="Times New Roman"/>
          <w:b/>
          <w:sz w:val="24"/>
          <w:szCs w:val="24"/>
        </w:rPr>
        <w:t>turpinot risināt</w:t>
      </w:r>
      <w:r w:rsidRPr="00D87ABD">
        <w:rPr>
          <w:rFonts w:cs="Times New Roman"/>
          <w:sz w:val="24"/>
          <w:szCs w:val="24"/>
        </w:rPr>
        <w:t xml:space="preserve"> </w:t>
      </w:r>
      <w:r w:rsidRPr="0005410D">
        <w:rPr>
          <w:rFonts w:cs="Times New Roman"/>
          <w:b/>
          <w:sz w:val="24"/>
          <w:szCs w:val="24"/>
        </w:rPr>
        <w:t>atbilstoša darbaspēka pieejamības problemātiku</w:t>
      </w:r>
      <w:r w:rsidRPr="00D87ABD">
        <w:rPr>
          <w:rFonts w:cs="Times New Roman"/>
          <w:sz w:val="24"/>
          <w:szCs w:val="24"/>
        </w:rPr>
        <w:t xml:space="preserve"> sasaistē ar izglītības sistēmas stiprināšanu. </w:t>
      </w:r>
    </w:p>
    <w:p w14:paraId="2588212B" w14:textId="77777777" w:rsidR="00FC287C" w:rsidRPr="00D87ABD" w:rsidRDefault="00FC287C" w:rsidP="00FC287C">
      <w:pPr>
        <w:ind w:firstLine="720"/>
        <w:jc w:val="both"/>
        <w:rPr>
          <w:rFonts w:cs="Times New Roman"/>
          <w:sz w:val="24"/>
          <w:szCs w:val="24"/>
        </w:rPr>
      </w:pPr>
      <w:r w:rsidRPr="00D87ABD">
        <w:rPr>
          <w:rFonts w:cs="Times New Roman"/>
          <w:sz w:val="24"/>
          <w:szCs w:val="24"/>
        </w:rPr>
        <w:t>Latvijas ekonomikas izaugsmes problēma ir jārisina kompleksi ar konkurētspējas palielināšanas problēmām, kas savukārt nav iespējams bez esošā ekonomikas modeļa</w:t>
      </w:r>
      <w:r>
        <w:rPr>
          <w:rFonts w:cs="Times New Roman"/>
          <w:sz w:val="24"/>
          <w:szCs w:val="24"/>
        </w:rPr>
        <w:t xml:space="preserve"> </w:t>
      </w:r>
      <w:r w:rsidRPr="0005410D">
        <w:rPr>
          <w:rFonts w:cs="Times New Roman"/>
          <w:b/>
          <w:sz w:val="24"/>
          <w:szCs w:val="24"/>
        </w:rPr>
        <w:t>pakāpeniskas</w:t>
      </w:r>
      <w:r w:rsidRPr="00D87ABD">
        <w:rPr>
          <w:rFonts w:cs="Times New Roman"/>
          <w:sz w:val="24"/>
          <w:szCs w:val="24"/>
        </w:rPr>
        <w:t xml:space="preserve"> maiņas. Jauna uz zināšanām un inovācijām balstītā ekonomikas modeļa veidošanā, īpaša uzmanība ir jāpievērš tādām izteiktām problēmām, kā: infrastruktūras un institucionālās vides kvalitāte; uzņēmējdarbības izsmalcinātības palielināšana, klasteru attīstība, inovācijas potenciāla stiprināšana. </w:t>
      </w:r>
    </w:p>
    <w:p w14:paraId="726D35BA" w14:textId="77777777" w:rsidR="00FC287C" w:rsidRPr="006D409F" w:rsidRDefault="00FC287C" w:rsidP="00FC287C">
      <w:pPr>
        <w:spacing w:before="240"/>
        <w:ind w:firstLine="720"/>
        <w:jc w:val="both"/>
        <w:rPr>
          <w:sz w:val="24"/>
          <w:szCs w:val="24"/>
        </w:rPr>
      </w:pPr>
      <w:r w:rsidRPr="00BF58DA">
        <w:rPr>
          <w:b/>
          <w:sz w:val="24"/>
          <w:szCs w:val="24"/>
        </w:rPr>
        <w:t>Prioritāri eksporta atbalsta pakalpojumi</w:t>
      </w:r>
      <w:r w:rsidRPr="006D409F">
        <w:rPr>
          <w:sz w:val="24"/>
          <w:szCs w:val="24"/>
        </w:rPr>
        <w:t xml:space="preserve"> ir orientēti uz nozarēm, kuras Latvijas tautsaimniecībā veido lielāko ieguldījumu IKP un kurām ir lielākais īpatsvars Latvijas preču un pakalpojumu kopējā eksportā. Neskatoties uz ražošanas apjomu samazināšanos, ko lielā mērā ietekmē kopējā tautsaimniecības attīstības tempa samazināšanās un ārēj</w:t>
      </w:r>
      <w:r>
        <w:rPr>
          <w:sz w:val="24"/>
          <w:szCs w:val="24"/>
        </w:rPr>
        <w:t xml:space="preserve">ā pieprasījuma krišanās, </w:t>
      </w:r>
      <w:r w:rsidRPr="006D409F">
        <w:rPr>
          <w:b/>
          <w:sz w:val="24"/>
          <w:szCs w:val="24"/>
        </w:rPr>
        <w:t>prioritārās eksporta nozares</w:t>
      </w:r>
      <w:r>
        <w:rPr>
          <w:b/>
          <w:sz w:val="24"/>
          <w:szCs w:val="24"/>
        </w:rPr>
        <w:t xml:space="preserve"> joprojām uzskatāmas par aktuālām</w:t>
      </w:r>
      <w:r w:rsidRPr="006D409F">
        <w:rPr>
          <w:sz w:val="24"/>
          <w:szCs w:val="24"/>
        </w:rPr>
        <w:t xml:space="preserve">, ņemot vērā, ka tās joprojām sastāda ievērojamu daļu kopējā preču eksporta struktūrā, taču jāatbalsta nozaru nišu </w:t>
      </w:r>
      <w:r>
        <w:rPr>
          <w:sz w:val="24"/>
          <w:szCs w:val="24"/>
        </w:rPr>
        <w:t>produkti</w:t>
      </w:r>
      <w:r w:rsidRPr="006D409F">
        <w:rPr>
          <w:sz w:val="24"/>
          <w:szCs w:val="24"/>
        </w:rPr>
        <w:t xml:space="preserve"> ar augstu eksporta po</w:t>
      </w:r>
      <w:r>
        <w:rPr>
          <w:sz w:val="24"/>
          <w:szCs w:val="24"/>
        </w:rPr>
        <w:t>tenciālu un pievienoto vērtību Pamatnostādņu mērķa attiecībā uz eksporta pieaugumu sasniegšanai.</w:t>
      </w:r>
      <w:r w:rsidRPr="00337BA6">
        <w:t xml:space="preserve"> </w:t>
      </w:r>
      <w:r w:rsidRPr="00337BA6">
        <w:rPr>
          <w:sz w:val="24"/>
        </w:rPr>
        <w:t>Vienlaikus</w:t>
      </w:r>
      <w:r>
        <w:t xml:space="preserve">, </w:t>
      </w:r>
      <w:r>
        <w:rPr>
          <w:sz w:val="24"/>
          <w:szCs w:val="24"/>
        </w:rPr>
        <w:t>ņ</w:t>
      </w:r>
      <w:r w:rsidRPr="00337BA6">
        <w:rPr>
          <w:sz w:val="24"/>
          <w:szCs w:val="24"/>
        </w:rPr>
        <w:t xml:space="preserve">emot vērā </w:t>
      </w:r>
      <w:r>
        <w:rPr>
          <w:sz w:val="24"/>
          <w:szCs w:val="24"/>
        </w:rPr>
        <w:t xml:space="preserve">radošo industriju </w:t>
      </w:r>
      <w:r w:rsidRPr="00337BA6">
        <w:rPr>
          <w:sz w:val="24"/>
          <w:szCs w:val="24"/>
        </w:rPr>
        <w:t xml:space="preserve">attīstības potenciālu un </w:t>
      </w:r>
      <w:r>
        <w:rPr>
          <w:sz w:val="24"/>
          <w:szCs w:val="24"/>
        </w:rPr>
        <w:t>straujo izaugsmi</w:t>
      </w:r>
      <w:r w:rsidRPr="00337BA6">
        <w:rPr>
          <w:sz w:val="24"/>
          <w:szCs w:val="24"/>
        </w:rPr>
        <w:t xml:space="preserve">, </w:t>
      </w:r>
      <w:r w:rsidRPr="00337BA6">
        <w:rPr>
          <w:b/>
          <w:sz w:val="24"/>
          <w:szCs w:val="24"/>
        </w:rPr>
        <w:t>radošās industrijas turpmākā Pamatnostādņu īstenošanas periodā tiek noteiktas par prioritāro eksporta nozari</w:t>
      </w:r>
      <w:r w:rsidRPr="00337BA6">
        <w:rPr>
          <w:sz w:val="24"/>
          <w:szCs w:val="24"/>
        </w:rPr>
        <w:t>.</w:t>
      </w:r>
    </w:p>
    <w:p w14:paraId="62B31FDF" w14:textId="77777777" w:rsidR="00FC287C" w:rsidRPr="006D409F" w:rsidRDefault="00FC287C" w:rsidP="00FC287C">
      <w:pPr>
        <w:ind w:firstLine="720"/>
        <w:jc w:val="both"/>
        <w:rPr>
          <w:sz w:val="24"/>
          <w:szCs w:val="24"/>
        </w:rPr>
      </w:pPr>
      <w:r w:rsidRPr="006D409F">
        <w:rPr>
          <w:sz w:val="24"/>
          <w:szCs w:val="24"/>
        </w:rPr>
        <w:t xml:space="preserve">Eksporta </w:t>
      </w:r>
      <w:r w:rsidRPr="006D409F">
        <w:rPr>
          <w:b/>
          <w:sz w:val="24"/>
          <w:szCs w:val="24"/>
        </w:rPr>
        <w:t xml:space="preserve">mērķa valstis, uz kurām fokusēt eksporta atbalsta aktivitātes </w:t>
      </w:r>
      <w:r>
        <w:rPr>
          <w:b/>
          <w:sz w:val="24"/>
          <w:szCs w:val="24"/>
        </w:rPr>
        <w:t>joprojām ir uzskatāmas par aktuālām</w:t>
      </w:r>
      <w:r w:rsidRPr="006D409F">
        <w:rPr>
          <w:sz w:val="24"/>
          <w:szCs w:val="24"/>
        </w:rPr>
        <w:t>,</w:t>
      </w:r>
      <w:r>
        <w:rPr>
          <w:sz w:val="24"/>
          <w:szCs w:val="24"/>
        </w:rPr>
        <w:t xml:space="preserve"> tomēr ņemot vērā pieaugošo radošo industriju izaugsmes pieaugumu un potenciālu, </w:t>
      </w:r>
      <w:r w:rsidRPr="009B6AB6">
        <w:rPr>
          <w:b/>
          <w:sz w:val="24"/>
          <w:szCs w:val="24"/>
        </w:rPr>
        <w:t>radošās nozares tiek noteiktas par prioritāro nozari eksportā</w:t>
      </w:r>
      <w:r>
        <w:rPr>
          <w:sz w:val="24"/>
          <w:szCs w:val="24"/>
        </w:rPr>
        <w:t>. Eksporta aktivitātes jā</w:t>
      </w:r>
      <w:r w:rsidRPr="006D409F">
        <w:rPr>
          <w:sz w:val="24"/>
          <w:szCs w:val="24"/>
        </w:rPr>
        <w:t>fokusē</w:t>
      </w:r>
      <w:r>
        <w:rPr>
          <w:sz w:val="24"/>
          <w:szCs w:val="24"/>
        </w:rPr>
        <w:t xml:space="preserve"> </w:t>
      </w:r>
      <w:r w:rsidRPr="006D409F">
        <w:rPr>
          <w:b/>
          <w:sz w:val="24"/>
          <w:szCs w:val="24"/>
        </w:rPr>
        <w:t>uz ES valstu tirgiem</w:t>
      </w:r>
      <w:r>
        <w:rPr>
          <w:b/>
          <w:sz w:val="24"/>
          <w:szCs w:val="24"/>
        </w:rPr>
        <w:t xml:space="preserve">, </w:t>
      </w:r>
      <w:r w:rsidRPr="0037709B">
        <w:rPr>
          <w:sz w:val="24"/>
          <w:szCs w:val="24"/>
        </w:rPr>
        <w:t>ņemot vērā</w:t>
      </w:r>
      <w:r>
        <w:rPr>
          <w:sz w:val="24"/>
          <w:szCs w:val="24"/>
        </w:rPr>
        <w:t xml:space="preserve"> to</w:t>
      </w:r>
      <w:r w:rsidRPr="0037709B">
        <w:rPr>
          <w:sz w:val="24"/>
          <w:szCs w:val="24"/>
        </w:rPr>
        <w:t xml:space="preserve"> nozīmīgumu Latvijas ārējā tirdzniecībā.</w:t>
      </w:r>
      <w:r w:rsidRPr="006D409F">
        <w:rPr>
          <w:sz w:val="24"/>
          <w:szCs w:val="24"/>
        </w:rPr>
        <w:t xml:space="preserve"> </w:t>
      </w:r>
    </w:p>
    <w:p w14:paraId="0CDA9F3B" w14:textId="77777777" w:rsidR="00FC287C" w:rsidRDefault="00FC287C" w:rsidP="00FC287C">
      <w:pPr>
        <w:spacing w:before="240"/>
        <w:ind w:firstLine="720"/>
        <w:jc w:val="both"/>
        <w:rPr>
          <w:sz w:val="24"/>
          <w:szCs w:val="24"/>
        </w:rPr>
      </w:pPr>
      <w:r w:rsidRPr="006D409F">
        <w:rPr>
          <w:sz w:val="24"/>
          <w:szCs w:val="24"/>
        </w:rPr>
        <w:t xml:space="preserve"> Pamatnostādņu starpposma novērtējumā nav konstatēts, ka nepieciešamas būtiskas izmaiņas investīciju piesaistes procesa īstenošanā, tomēr </w:t>
      </w:r>
      <w:r>
        <w:rPr>
          <w:sz w:val="24"/>
          <w:szCs w:val="24"/>
        </w:rPr>
        <w:t xml:space="preserve">saskaņā </w:t>
      </w:r>
      <w:r w:rsidRPr="00FC287C">
        <w:rPr>
          <w:sz w:val="24"/>
          <w:szCs w:val="24"/>
        </w:rPr>
        <w:t>2016. gada 3. maija Ministru kabineta rīkojuma Nr. 275 "Par Valdības rīcības plānu Deklarācijas par Māra Kučinska vadītā Ministru kabineta iecerēto darbību īstenošanai"</w:t>
      </w:r>
      <w:r>
        <w:rPr>
          <w:sz w:val="24"/>
          <w:szCs w:val="24"/>
        </w:rPr>
        <w:t xml:space="preserve">, </w:t>
      </w:r>
      <w:r w:rsidRPr="006D409F">
        <w:rPr>
          <w:sz w:val="24"/>
          <w:szCs w:val="24"/>
        </w:rPr>
        <w:t xml:space="preserve">aktualizējama nepieciešamība </w:t>
      </w:r>
      <w:r>
        <w:rPr>
          <w:sz w:val="24"/>
          <w:szCs w:val="24"/>
        </w:rPr>
        <w:t>piln</w:t>
      </w:r>
      <w:r w:rsidRPr="006D409F">
        <w:rPr>
          <w:sz w:val="24"/>
          <w:szCs w:val="24"/>
        </w:rPr>
        <w:t xml:space="preserve">veidot </w:t>
      </w:r>
      <w:r>
        <w:rPr>
          <w:sz w:val="24"/>
          <w:szCs w:val="24"/>
        </w:rPr>
        <w:t xml:space="preserve">POLARIS investīciju piesaistes procesu. </w:t>
      </w:r>
    </w:p>
    <w:p w14:paraId="3A1B5F85" w14:textId="77777777" w:rsidR="00FC287C" w:rsidRDefault="00FC287C" w:rsidP="00FC287C">
      <w:pPr>
        <w:ind w:firstLine="720"/>
        <w:jc w:val="both"/>
        <w:rPr>
          <w:color w:val="000000" w:themeColor="text1"/>
          <w:sz w:val="24"/>
          <w:szCs w:val="24"/>
        </w:rPr>
      </w:pPr>
      <w:r>
        <w:rPr>
          <w:rFonts w:cs="Times New Roman"/>
          <w:color w:val="000000" w:themeColor="text1"/>
          <w:sz w:val="24"/>
          <w:szCs w:val="24"/>
        </w:rPr>
        <w:t xml:space="preserve">Ņemot vērā investīciju piesaistes specifiku un globālās tendences, investīciju piesaistes prioritātes tiks noteiktas, </w:t>
      </w:r>
      <w:r w:rsidRPr="008D0DF2">
        <w:rPr>
          <w:rFonts w:cs="Times New Roman"/>
          <w:b/>
          <w:color w:val="000000" w:themeColor="text1"/>
          <w:sz w:val="24"/>
          <w:szCs w:val="24"/>
        </w:rPr>
        <w:t xml:space="preserve">balstoties uz procesu - orientētu pieeju, </w:t>
      </w:r>
      <w:r>
        <w:rPr>
          <w:rFonts w:cs="Times New Roman"/>
          <w:color w:val="000000" w:themeColor="text1"/>
          <w:sz w:val="24"/>
          <w:szCs w:val="24"/>
        </w:rPr>
        <w:t xml:space="preserve">prioritāri investīciju piesaistes aktivitātes </w:t>
      </w:r>
      <w:r w:rsidRPr="006157F8">
        <w:rPr>
          <w:rFonts w:cs="Times New Roman"/>
          <w:color w:val="000000" w:themeColor="text1"/>
          <w:sz w:val="24"/>
          <w:szCs w:val="24"/>
        </w:rPr>
        <w:t>īsteno</w:t>
      </w:r>
      <w:r>
        <w:rPr>
          <w:rFonts w:cs="Times New Roman"/>
          <w:color w:val="000000" w:themeColor="text1"/>
          <w:sz w:val="24"/>
          <w:szCs w:val="24"/>
        </w:rPr>
        <w:t xml:space="preserve">jot trīs virzienos: (1) </w:t>
      </w:r>
      <w:r w:rsidRPr="00F87828">
        <w:rPr>
          <w:b/>
          <w:color w:val="000000" w:themeColor="text1"/>
          <w:sz w:val="24"/>
          <w:szCs w:val="24"/>
        </w:rPr>
        <w:t>Investīciju projektu pēcapkalpošanas aktivitātes</w:t>
      </w:r>
      <w:r w:rsidRPr="006157F8">
        <w:rPr>
          <w:color w:val="000000" w:themeColor="text1"/>
          <w:sz w:val="24"/>
          <w:szCs w:val="24"/>
        </w:rPr>
        <w:t>, kas saistītas ar jau esošo uzņēmumu paplašināšanās iespējām</w:t>
      </w:r>
      <w:r>
        <w:rPr>
          <w:color w:val="000000" w:themeColor="text1"/>
          <w:sz w:val="24"/>
          <w:szCs w:val="24"/>
        </w:rPr>
        <w:t xml:space="preserve">, (2) </w:t>
      </w:r>
      <w:r w:rsidRPr="00F87828">
        <w:rPr>
          <w:b/>
          <w:color w:val="000000" w:themeColor="text1"/>
          <w:sz w:val="24"/>
          <w:szCs w:val="24"/>
        </w:rPr>
        <w:t>Reaktīva investīciju projektu apkalpošana</w:t>
      </w:r>
      <w:r w:rsidRPr="006157F8">
        <w:rPr>
          <w:color w:val="000000" w:themeColor="text1"/>
          <w:sz w:val="24"/>
          <w:szCs w:val="24"/>
        </w:rPr>
        <w:t xml:space="preserve">, </w:t>
      </w:r>
      <w:r>
        <w:rPr>
          <w:color w:val="000000" w:themeColor="text1"/>
          <w:sz w:val="24"/>
          <w:szCs w:val="24"/>
        </w:rPr>
        <w:t>ņemot vērā</w:t>
      </w:r>
      <w:r w:rsidRPr="006157F8">
        <w:rPr>
          <w:color w:val="000000" w:themeColor="text1"/>
          <w:sz w:val="24"/>
          <w:szCs w:val="24"/>
        </w:rPr>
        <w:t xml:space="preserve"> konkrēto investīciju projektu kvalitātes rādītājus, ietekmi uz tautsaimniecību, potenciālo investoru lomu globālajos tirgos, kā arī investīciju apjomu un jaunradīto darba vietu skaitu</w:t>
      </w:r>
      <w:r>
        <w:rPr>
          <w:color w:val="000000" w:themeColor="text1"/>
          <w:sz w:val="24"/>
          <w:szCs w:val="24"/>
        </w:rPr>
        <w:t xml:space="preserve">, kā arī (3) </w:t>
      </w:r>
      <w:r w:rsidRPr="00F87828">
        <w:rPr>
          <w:b/>
          <w:color w:val="000000" w:themeColor="text1"/>
          <w:sz w:val="24"/>
          <w:szCs w:val="24"/>
        </w:rPr>
        <w:t>Proaktīvas darbības investīciju piesaistē</w:t>
      </w:r>
      <w:r>
        <w:rPr>
          <w:color w:val="000000" w:themeColor="text1"/>
          <w:sz w:val="24"/>
          <w:szCs w:val="24"/>
        </w:rPr>
        <w:t xml:space="preserve"> prioritārajās mērķa valstīs (Dānijā, Zviedrijā, Somijā, Norvēģijā</w:t>
      </w:r>
      <w:r w:rsidRPr="003A1287">
        <w:rPr>
          <w:color w:val="000000" w:themeColor="text1"/>
          <w:sz w:val="24"/>
          <w:szCs w:val="24"/>
        </w:rPr>
        <w:t>, V</w:t>
      </w:r>
      <w:r>
        <w:rPr>
          <w:color w:val="000000" w:themeColor="text1"/>
          <w:sz w:val="24"/>
          <w:szCs w:val="24"/>
        </w:rPr>
        <w:t>ācijā, Apvienotā Karalistē, ASV), kā arī pastarpināti sekundārajās valstīs.</w:t>
      </w:r>
    </w:p>
    <w:p w14:paraId="472C36ED" w14:textId="77777777" w:rsidR="00FC287C" w:rsidRPr="00D06054" w:rsidRDefault="00FC287C" w:rsidP="00FC287C">
      <w:pPr>
        <w:spacing w:before="240"/>
        <w:ind w:firstLine="720"/>
        <w:jc w:val="both"/>
        <w:rPr>
          <w:rFonts w:cs="Times New Roman"/>
          <w:b/>
          <w:sz w:val="24"/>
          <w:szCs w:val="24"/>
        </w:rPr>
      </w:pPr>
      <w:r>
        <w:rPr>
          <w:rFonts w:cs="Times New Roman"/>
          <w:sz w:val="24"/>
          <w:szCs w:val="24"/>
        </w:rPr>
        <w:t xml:space="preserve">Ņemot vērā, ka Pamatnostādņu izstrādes procesa gaitā rezultatīvo rādītāju noteikšanai par pamatu tika ņemts ekonomiskās attīstības mērķa scenārijs, </w:t>
      </w:r>
      <w:r w:rsidRPr="00EC5767">
        <w:rPr>
          <w:rFonts w:cs="Times New Roman"/>
          <w:sz w:val="24"/>
          <w:szCs w:val="24"/>
        </w:rPr>
        <w:t>eksporta izaugsmes temps pamatnostādņu izstrādes procesā laika posmā no 2013. līdz 2015.gadam vidēji tika plānots 4,5% gadā</w:t>
      </w:r>
      <w:r>
        <w:rPr>
          <w:rFonts w:cs="Times New Roman"/>
          <w:sz w:val="24"/>
          <w:szCs w:val="24"/>
        </w:rPr>
        <w:t>.</w:t>
      </w:r>
      <w:r w:rsidRPr="00EC5767">
        <w:rPr>
          <w:rFonts w:cs="Times New Roman"/>
          <w:sz w:val="24"/>
          <w:szCs w:val="24"/>
        </w:rPr>
        <w:t xml:space="preserve"> </w:t>
      </w:r>
      <w:r>
        <w:rPr>
          <w:rFonts w:cs="Times New Roman"/>
          <w:sz w:val="24"/>
          <w:szCs w:val="24"/>
        </w:rPr>
        <w:t>Starpposma novērtējuma pārskata periodā, pamatojoties uz ārējā pieprasījuma kritumu, ģeopolitisko nestabilitāti un kopumā mērenu ekonomiskās izaugsmes tempu svarīgākajos Latvijas eksporta tirgos, kā arī pamatojoties uz konkurētspējas veicinošo faktoru maiņu,</w:t>
      </w:r>
      <w:r w:rsidRPr="00EC5767">
        <w:rPr>
          <w:rFonts w:cs="Times New Roman"/>
          <w:sz w:val="24"/>
          <w:szCs w:val="24"/>
        </w:rPr>
        <w:t xml:space="preserve"> faktiskais eksporta pieaugums ir ievērojami zemāks, </w:t>
      </w:r>
      <w:r>
        <w:rPr>
          <w:rFonts w:cs="Times New Roman"/>
          <w:sz w:val="24"/>
          <w:szCs w:val="24"/>
        </w:rPr>
        <w:t xml:space="preserve">nekā plānots. Līdz ar to </w:t>
      </w:r>
      <w:r w:rsidRPr="00D06054">
        <w:rPr>
          <w:rFonts w:cs="Times New Roman"/>
          <w:b/>
          <w:sz w:val="24"/>
          <w:szCs w:val="24"/>
        </w:rPr>
        <w:t>nepieciešams veikt korekcijas minēt</w:t>
      </w:r>
      <w:r>
        <w:rPr>
          <w:rFonts w:cs="Times New Roman"/>
          <w:b/>
          <w:sz w:val="24"/>
          <w:szCs w:val="24"/>
        </w:rPr>
        <w:t>ā rezultatīvā</w:t>
      </w:r>
      <w:r w:rsidRPr="00D06054">
        <w:rPr>
          <w:rFonts w:cs="Times New Roman"/>
          <w:b/>
          <w:sz w:val="24"/>
          <w:szCs w:val="24"/>
        </w:rPr>
        <w:t xml:space="preserve"> </w:t>
      </w:r>
      <w:r>
        <w:rPr>
          <w:rFonts w:cs="Times New Roman"/>
          <w:b/>
          <w:sz w:val="24"/>
          <w:szCs w:val="24"/>
        </w:rPr>
        <w:t>rādītāja</w:t>
      </w:r>
      <w:r w:rsidRPr="00D06054">
        <w:rPr>
          <w:rFonts w:cs="Times New Roman"/>
          <w:b/>
          <w:sz w:val="24"/>
          <w:szCs w:val="24"/>
        </w:rPr>
        <w:t xml:space="preserve"> skaitliskajās vērtībās. </w:t>
      </w:r>
    </w:p>
    <w:p w14:paraId="0643F220" w14:textId="77777777" w:rsidR="00FC287C" w:rsidRDefault="00FC287C" w:rsidP="00FC287C">
      <w:pPr>
        <w:ind w:firstLine="720"/>
        <w:jc w:val="both"/>
        <w:rPr>
          <w:rFonts w:cs="Times New Roman"/>
          <w:sz w:val="24"/>
          <w:szCs w:val="24"/>
        </w:rPr>
      </w:pPr>
      <w:r>
        <w:rPr>
          <w:rFonts w:cs="Times New Roman"/>
          <w:sz w:val="24"/>
          <w:szCs w:val="24"/>
        </w:rPr>
        <w:lastRenderedPageBreak/>
        <w:t xml:space="preserve">Viens no eksporta un investīciju piesaistes veicināšanas mērķiem ir palielināt augsto un vidēji augsto tehnoloģiju eksporta produkcijas īpatsvara pieaugumu kopējā preču un pakalpojumu eksportā. </w:t>
      </w:r>
      <w:r w:rsidRPr="00D06054">
        <w:rPr>
          <w:rFonts w:cs="Times New Roman"/>
          <w:b/>
          <w:sz w:val="24"/>
          <w:szCs w:val="24"/>
        </w:rPr>
        <w:t>Esošā metodoloģija, kas eksporta tehnoloģiskās specifikācijas pakāpi vērtē pēc uzņēmuma pamatdarbības veida, ne vienmēr sniedz objektīvu priekšstatu</w:t>
      </w:r>
      <w:r>
        <w:rPr>
          <w:rFonts w:cs="Times New Roman"/>
          <w:sz w:val="24"/>
          <w:szCs w:val="24"/>
        </w:rPr>
        <w:t xml:space="preserve"> par eksporta produkcijas piederību vidēji zemo, vidēji augsto vai augsto tehnoloģiju grupām, līdz ar to </w:t>
      </w:r>
      <w:r w:rsidRPr="00D06054">
        <w:rPr>
          <w:rFonts w:cs="Times New Roman"/>
          <w:b/>
          <w:sz w:val="24"/>
          <w:szCs w:val="24"/>
        </w:rPr>
        <w:t xml:space="preserve">nepieciešams eksportu vērtēt pēc produktu grupām </w:t>
      </w:r>
      <w:r>
        <w:rPr>
          <w:rFonts w:cs="Times New Roman"/>
          <w:sz w:val="24"/>
          <w:szCs w:val="24"/>
        </w:rPr>
        <w:t xml:space="preserve">atbilstoši Eurostat lietotajai metodoloģijai. </w:t>
      </w:r>
    </w:p>
    <w:p w14:paraId="0B1C99B1" w14:textId="77777777" w:rsidR="007C3C6E" w:rsidRDefault="007C3C6E" w:rsidP="00CE0218">
      <w:pPr>
        <w:pStyle w:val="NormalWeb"/>
        <w:spacing w:before="0" w:beforeAutospacing="0" w:after="0" w:afterAutospacing="0"/>
        <w:ind w:firstLine="720"/>
        <w:jc w:val="both"/>
      </w:pPr>
    </w:p>
    <w:p w14:paraId="3BA4EFFF" w14:textId="5E23F333" w:rsidR="007C3C6E" w:rsidRDefault="00CE0218" w:rsidP="00F1454F">
      <w:pPr>
        <w:pStyle w:val="NormalWeb"/>
        <w:spacing w:before="0" w:beforeAutospacing="0" w:after="0" w:afterAutospacing="0"/>
        <w:ind w:firstLine="720"/>
        <w:jc w:val="both"/>
      </w:pPr>
      <w:r>
        <w:t>Pamatnostādnēs no</w:t>
      </w:r>
      <w:r w:rsidRPr="00F1454F">
        <w:rPr>
          <w:b/>
        </w:rPr>
        <w:t>teiktie ĀTI piesaistes mērķa rādītāji pēc būtības neatspoguļo īstenotas ĀTI piesaistes politika</w:t>
      </w:r>
      <w:r w:rsidR="00BF327D" w:rsidRPr="00F1454F">
        <w:rPr>
          <w:b/>
        </w:rPr>
        <w:t>s efektivitāti un ĀTI sniegumu</w:t>
      </w:r>
      <w:r w:rsidR="007B4CDB">
        <w:t>. Vienlaikus</w:t>
      </w:r>
      <w:r w:rsidR="00BF327D">
        <w:t xml:space="preserve"> </w:t>
      </w:r>
      <w:r w:rsidR="007C3C6E" w:rsidRPr="00F1454F">
        <w:rPr>
          <w:b/>
        </w:rPr>
        <w:t>pastāv būtiskas metodoloģiskas nepiln</w:t>
      </w:r>
      <w:r w:rsidR="00BF327D" w:rsidRPr="00F1454F">
        <w:rPr>
          <w:b/>
        </w:rPr>
        <w:t xml:space="preserve">ības </w:t>
      </w:r>
      <w:r w:rsidR="00BF327D">
        <w:t xml:space="preserve">minēto rādītāju izvēlē - </w:t>
      </w:r>
      <w:r w:rsidR="007C3C6E">
        <w:t>i</w:t>
      </w:r>
      <w:r w:rsidR="007C3C6E" w:rsidRPr="00806E3E">
        <w:t>kgadējām ĀTI plūsmām ir raksturīga nenoturīga dinamika un liels svārstību diapazons</w:t>
      </w:r>
      <w:r w:rsidR="00BF327D">
        <w:t>,</w:t>
      </w:r>
      <w:r w:rsidR="007C3C6E">
        <w:t xml:space="preserve"> </w:t>
      </w:r>
      <w:r w:rsidR="00BF327D">
        <w:t>kā arī vienreizēju darījumu būtiska ietekme uz kopējo ĀTI vērtību.</w:t>
      </w:r>
      <w:r w:rsidR="00F1454F">
        <w:t xml:space="preserve"> Vienlaikus</w:t>
      </w:r>
      <w:r w:rsidR="007C3C6E">
        <w:t xml:space="preserve"> </w:t>
      </w:r>
      <w:r w:rsidR="007C3C6E" w:rsidRPr="007C3C6E">
        <w:t xml:space="preserve">var tikt identificētas </w:t>
      </w:r>
      <w:r w:rsidR="007C3C6E" w:rsidRPr="00F1454F">
        <w:rPr>
          <w:b/>
        </w:rPr>
        <w:t>būtiskas problēmas datu konfidencialitātē</w:t>
      </w:r>
      <w:r w:rsidR="007C3C6E" w:rsidRPr="007C3C6E">
        <w:t>, kas neļauj turpmāk izmantot definētos mērķa rādītājus.</w:t>
      </w:r>
    </w:p>
    <w:p w14:paraId="3E7A1592" w14:textId="7389A844" w:rsidR="00CE0218" w:rsidRDefault="00CE0218" w:rsidP="00CE0218">
      <w:pPr>
        <w:ind w:firstLine="720"/>
        <w:jc w:val="both"/>
        <w:rPr>
          <w:sz w:val="24"/>
          <w:szCs w:val="24"/>
        </w:rPr>
      </w:pPr>
      <w:r>
        <w:rPr>
          <w:sz w:val="24"/>
          <w:szCs w:val="24"/>
        </w:rPr>
        <w:t xml:space="preserve">Ievērojot iepriekšminēto, </w:t>
      </w:r>
      <w:r w:rsidRPr="007111B1">
        <w:rPr>
          <w:b/>
          <w:sz w:val="24"/>
          <w:szCs w:val="24"/>
        </w:rPr>
        <w:t xml:space="preserve">turpmākā Pamatnostādņu īstenošanas periodā ĀTI politikas rezultātu mērīšanai tiks izmantots ĀTI snieguma indekss, </w:t>
      </w:r>
      <w:r w:rsidR="00F644A0">
        <w:rPr>
          <w:sz w:val="24"/>
          <w:szCs w:val="24"/>
        </w:rPr>
        <w:t>kas sniegumu ĀTI piesaistē vērtē,</w:t>
      </w:r>
      <w:r w:rsidR="00F644A0" w:rsidRPr="00987A04">
        <w:rPr>
          <w:sz w:val="24"/>
          <w:szCs w:val="24"/>
        </w:rPr>
        <w:t xml:space="preserve"> pamatojoties uz ĀTI piesaistes potenciālu atbilstoši ekonomikas lielumam </w:t>
      </w:r>
      <w:r w:rsidR="00F644A0">
        <w:rPr>
          <w:sz w:val="24"/>
          <w:szCs w:val="24"/>
        </w:rPr>
        <w:t xml:space="preserve">attiecīgajā reģionā, </w:t>
      </w:r>
      <w:r w:rsidRPr="007111B1">
        <w:rPr>
          <w:b/>
          <w:sz w:val="24"/>
          <w:szCs w:val="24"/>
        </w:rPr>
        <w:t xml:space="preserve">nosakot sasniedzamo rezultatīvo radītāju ne mazāk kā 1,2 </w:t>
      </w:r>
      <w:r w:rsidR="00EE6DB1">
        <w:rPr>
          <w:b/>
          <w:sz w:val="24"/>
          <w:szCs w:val="24"/>
        </w:rPr>
        <w:t>2018.-2020.gadā</w:t>
      </w:r>
      <w:r w:rsidRPr="00C64593">
        <w:rPr>
          <w:sz w:val="24"/>
          <w:szCs w:val="24"/>
        </w:rPr>
        <w:t>.</w:t>
      </w:r>
    </w:p>
    <w:p w14:paraId="2C3D5CA3" w14:textId="77777777" w:rsidR="00FC287C" w:rsidRDefault="00FC287C" w:rsidP="00FC287C">
      <w:pPr>
        <w:ind w:firstLine="720"/>
        <w:jc w:val="both"/>
        <w:rPr>
          <w:rFonts w:cs="Times New Roman"/>
          <w:b/>
          <w:sz w:val="24"/>
          <w:szCs w:val="24"/>
        </w:rPr>
      </w:pPr>
    </w:p>
    <w:p w14:paraId="49179CE0" w14:textId="77777777" w:rsidR="00FC287C" w:rsidRPr="00362FE5" w:rsidRDefault="00FC287C" w:rsidP="00FC287C">
      <w:pPr>
        <w:ind w:firstLine="720"/>
        <w:jc w:val="both"/>
        <w:rPr>
          <w:rFonts w:cs="Times New Roman"/>
          <w:b/>
          <w:sz w:val="24"/>
          <w:szCs w:val="24"/>
        </w:rPr>
      </w:pPr>
      <w:r w:rsidRPr="00362FE5">
        <w:rPr>
          <w:rFonts w:cs="Times New Roman"/>
          <w:b/>
          <w:sz w:val="24"/>
          <w:szCs w:val="24"/>
        </w:rPr>
        <w:t>Tādejādi tiek koriģēti un noteikti jauni sasniedzamie rezultatīvie rādītāji un to rezultatīvas vērtības Pamatnostādnēs definēto mērķu sasniegšanai.</w:t>
      </w:r>
    </w:p>
    <w:p w14:paraId="29EA180A" w14:textId="77777777" w:rsidR="00FC287C" w:rsidRPr="00BE3ED7" w:rsidRDefault="00FC287C" w:rsidP="00FC287C">
      <w:pPr>
        <w:pStyle w:val="ListParagraph"/>
        <w:numPr>
          <w:ilvl w:val="0"/>
          <w:numId w:val="3"/>
        </w:numPr>
        <w:jc w:val="both"/>
        <w:rPr>
          <w:rFonts w:ascii="Times New Roman" w:hAnsi="Times New Roman"/>
          <w:sz w:val="24"/>
          <w:szCs w:val="24"/>
        </w:rPr>
      </w:pPr>
      <w:r w:rsidRPr="00A20910">
        <w:rPr>
          <w:rFonts w:ascii="Times New Roman" w:hAnsi="Times New Roman"/>
          <w:b/>
          <w:sz w:val="24"/>
          <w:szCs w:val="24"/>
        </w:rPr>
        <w:t>Eksporta pieaugums</w:t>
      </w:r>
      <w:r w:rsidRPr="002E5477">
        <w:rPr>
          <w:rFonts w:ascii="Times New Roman" w:hAnsi="Times New Roman"/>
          <w:b/>
          <w:sz w:val="24"/>
          <w:szCs w:val="24"/>
        </w:rPr>
        <w:t xml:space="preserve">, </w:t>
      </w:r>
      <w:r w:rsidRPr="00F702EA">
        <w:rPr>
          <w:rFonts w:ascii="Times New Roman" w:hAnsi="Times New Roman"/>
          <w:sz w:val="24"/>
          <w:szCs w:val="24"/>
        </w:rPr>
        <w:t>salīdzināmajās cenās, %</w:t>
      </w:r>
      <w:r>
        <w:rPr>
          <w:rFonts w:ascii="Times New Roman" w:hAnsi="Times New Roman"/>
          <w:sz w:val="24"/>
          <w:szCs w:val="24"/>
        </w:rPr>
        <w:t xml:space="preserve"> (2016.gadā: -1%, 2017.gadā: 2,4%, no 2018.-2020.gadam vidēji 5% gadā)</w:t>
      </w:r>
      <w:r w:rsidRPr="00F702EA">
        <w:rPr>
          <w:rFonts w:ascii="Times New Roman" w:hAnsi="Times New Roman"/>
          <w:sz w:val="24"/>
          <w:szCs w:val="24"/>
        </w:rPr>
        <w:t>;</w:t>
      </w:r>
    </w:p>
    <w:p w14:paraId="14A9093C" w14:textId="77777777" w:rsidR="00FC287C" w:rsidRDefault="00FC287C" w:rsidP="00FC287C">
      <w:pPr>
        <w:pStyle w:val="ListParagraph"/>
        <w:numPr>
          <w:ilvl w:val="0"/>
          <w:numId w:val="3"/>
        </w:numPr>
        <w:jc w:val="both"/>
        <w:rPr>
          <w:rFonts w:ascii="Times New Roman" w:hAnsi="Times New Roman"/>
          <w:sz w:val="24"/>
          <w:szCs w:val="24"/>
        </w:rPr>
      </w:pPr>
      <w:r w:rsidRPr="002E5477">
        <w:rPr>
          <w:rFonts w:ascii="Times New Roman" w:hAnsi="Times New Roman"/>
          <w:b/>
          <w:sz w:val="24"/>
          <w:szCs w:val="24"/>
        </w:rPr>
        <w:t>Augsto tehnoloģiju produktu eksporta īpatsvars kopējā eksportā</w:t>
      </w:r>
      <w:r>
        <w:rPr>
          <w:rFonts w:ascii="Times New Roman" w:hAnsi="Times New Roman"/>
          <w:b/>
          <w:sz w:val="24"/>
          <w:szCs w:val="24"/>
        </w:rPr>
        <w:t xml:space="preserve"> </w:t>
      </w:r>
      <w:r>
        <w:rPr>
          <w:rFonts w:ascii="Times New Roman" w:hAnsi="Times New Roman"/>
          <w:sz w:val="24"/>
          <w:szCs w:val="24"/>
        </w:rPr>
        <w:t>(2016.gadā 9,9%, 2017.gadā 10%, no 2018.-2020.gada vidēji 11%).</w:t>
      </w:r>
    </w:p>
    <w:p w14:paraId="30D62A30" w14:textId="5C2061F4" w:rsidR="00F1454F" w:rsidRPr="00F1454F" w:rsidRDefault="00F1454F" w:rsidP="00F1454F">
      <w:pPr>
        <w:pStyle w:val="ListParagraph"/>
        <w:numPr>
          <w:ilvl w:val="0"/>
          <w:numId w:val="3"/>
        </w:numPr>
        <w:rPr>
          <w:rFonts w:ascii="Times New Roman" w:hAnsi="Times New Roman"/>
          <w:sz w:val="24"/>
          <w:szCs w:val="24"/>
        </w:rPr>
      </w:pPr>
      <w:r w:rsidRPr="00F1454F">
        <w:rPr>
          <w:rFonts w:ascii="Times New Roman" w:hAnsi="Times New Roman"/>
          <w:b/>
          <w:sz w:val="24"/>
          <w:szCs w:val="24"/>
        </w:rPr>
        <w:t>ĀTI snieguma indekss</w:t>
      </w:r>
      <w:r w:rsidRPr="00F1454F">
        <w:rPr>
          <w:rFonts w:ascii="Times New Roman" w:hAnsi="Times New Roman"/>
          <w:sz w:val="24"/>
          <w:szCs w:val="24"/>
        </w:rPr>
        <w:t xml:space="preserve"> </w:t>
      </w:r>
      <w:r>
        <w:rPr>
          <w:rFonts w:ascii="Times New Roman" w:hAnsi="Times New Roman"/>
          <w:sz w:val="24"/>
          <w:szCs w:val="24"/>
        </w:rPr>
        <w:t>(</w:t>
      </w:r>
      <w:r w:rsidR="00A83DD2">
        <w:rPr>
          <w:rFonts w:ascii="Times New Roman" w:hAnsi="Times New Roman"/>
          <w:sz w:val="24"/>
          <w:szCs w:val="24"/>
        </w:rPr>
        <w:t>n</w:t>
      </w:r>
      <w:r w:rsidRPr="00F1454F">
        <w:rPr>
          <w:rFonts w:ascii="Times New Roman" w:hAnsi="Times New Roman"/>
          <w:sz w:val="24"/>
          <w:szCs w:val="24"/>
        </w:rPr>
        <w:t xml:space="preserve">e mazāk kā 1,2 laika </w:t>
      </w:r>
      <w:r>
        <w:rPr>
          <w:rFonts w:ascii="Times New Roman" w:hAnsi="Times New Roman"/>
          <w:sz w:val="24"/>
          <w:szCs w:val="24"/>
        </w:rPr>
        <w:t>posmā no  2018. līdz 2020.gadam).</w:t>
      </w:r>
    </w:p>
    <w:p w14:paraId="2CA906FC" w14:textId="77777777" w:rsidR="00F1454F" w:rsidRPr="00F1454F" w:rsidRDefault="00F1454F" w:rsidP="00F1454F">
      <w:pPr>
        <w:ind w:left="360"/>
        <w:jc w:val="both"/>
        <w:rPr>
          <w:sz w:val="24"/>
          <w:szCs w:val="24"/>
        </w:rPr>
      </w:pPr>
    </w:p>
    <w:p w14:paraId="04ED4879" w14:textId="77777777" w:rsidR="00F644A0" w:rsidRDefault="00F644A0">
      <w:pPr>
        <w:rPr>
          <w:b/>
          <w:sz w:val="24"/>
          <w:szCs w:val="24"/>
        </w:rPr>
      </w:pPr>
    </w:p>
    <w:p w14:paraId="357EF881" w14:textId="341A5817" w:rsidR="00F1454F" w:rsidRDefault="00835279" w:rsidP="00835279">
      <w:pPr>
        <w:ind w:firstLine="360"/>
        <w:jc w:val="both"/>
        <w:rPr>
          <w:b/>
          <w:sz w:val="24"/>
          <w:szCs w:val="24"/>
        </w:rPr>
      </w:pPr>
      <w:r>
        <w:rPr>
          <w:rFonts w:cs="Times New Roman"/>
          <w:sz w:val="24"/>
          <w:szCs w:val="24"/>
        </w:rPr>
        <w:t xml:space="preserve">Ņemot vērā šo pamatnostādņu sinerģiju ar  MK </w:t>
      </w:r>
      <w:r w:rsidRPr="008E598F">
        <w:rPr>
          <w:rFonts w:cs="Times New Roman"/>
          <w:sz w:val="24"/>
          <w:szCs w:val="24"/>
        </w:rPr>
        <w:t>2013.gada 28.jūnija rīkojum</w:t>
      </w:r>
      <w:r>
        <w:rPr>
          <w:rFonts w:cs="Times New Roman"/>
          <w:sz w:val="24"/>
          <w:szCs w:val="24"/>
        </w:rPr>
        <w:t>u</w:t>
      </w:r>
      <w:r w:rsidRPr="008E598F">
        <w:rPr>
          <w:rFonts w:cs="Times New Roman"/>
          <w:sz w:val="24"/>
          <w:szCs w:val="24"/>
        </w:rPr>
        <w:t xml:space="preserve"> Nr.282</w:t>
      </w:r>
      <w:r>
        <w:rPr>
          <w:rFonts w:cs="Times New Roman"/>
          <w:sz w:val="24"/>
          <w:szCs w:val="24"/>
        </w:rPr>
        <w:t xml:space="preserve"> “</w:t>
      </w:r>
      <w:r w:rsidRPr="008E598F">
        <w:rPr>
          <w:rFonts w:cs="Times New Roman"/>
          <w:sz w:val="24"/>
          <w:szCs w:val="24"/>
        </w:rPr>
        <w:t>Nacionālās industriālās politikas pamatnostādnes 2014.-2020.gadam</w:t>
      </w:r>
      <w:r>
        <w:rPr>
          <w:rFonts w:cs="Times New Roman"/>
          <w:sz w:val="24"/>
          <w:szCs w:val="24"/>
        </w:rPr>
        <w:t xml:space="preserve">” noteiktajiem mērķiem, rīcības virzieniem, kā arī mērķa grupām, plānots, ka pēc 2019.gada </w:t>
      </w:r>
      <w:r w:rsidRPr="008E598F">
        <w:rPr>
          <w:rFonts w:cs="Times New Roman"/>
          <w:b/>
          <w:sz w:val="24"/>
          <w:szCs w:val="24"/>
        </w:rPr>
        <w:t xml:space="preserve">eksporta un investīciju pamatnostādnes plānots konsolidēt </w:t>
      </w:r>
      <w:r>
        <w:rPr>
          <w:rFonts w:cs="Times New Roman"/>
          <w:b/>
          <w:sz w:val="24"/>
          <w:szCs w:val="24"/>
        </w:rPr>
        <w:t xml:space="preserve">ar </w:t>
      </w:r>
      <w:r w:rsidRPr="008E598F">
        <w:rPr>
          <w:rFonts w:cs="Times New Roman"/>
          <w:b/>
          <w:sz w:val="24"/>
          <w:szCs w:val="24"/>
        </w:rPr>
        <w:t>Nacionālās industriālās politikas pamatnostādnē</w:t>
      </w:r>
      <w:r>
        <w:rPr>
          <w:rFonts w:cs="Times New Roman"/>
          <w:b/>
          <w:sz w:val="24"/>
          <w:szCs w:val="24"/>
        </w:rPr>
        <w:t>m</w:t>
      </w:r>
      <w:r>
        <w:rPr>
          <w:rFonts w:cs="Times New Roman"/>
          <w:sz w:val="24"/>
          <w:szCs w:val="24"/>
        </w:rPr>
        <w:t>.</w:t>
      </w:r>
    </w:p>
    <w:p w14:paraId="63102D4D" w14:textId="77777777" w:rsidR="00F1454F" w:rsidRDefault="00F1454F">
      <w:pPr>
        <w:rPr>
          <w:b/>
          <w:sz w:val="24"/>
          <w:szCs w:val="24"/>
        </w:rPr>
      </w:pPr>
    </w:p>
    <w:p w14:paraId="7EA6C4E7" w14:textId="77777777" w:rsidR="00F1454F" w:rsidRDefault="00F1454F">
      <w:pPr>
        <w:rPr>
          <w:b/>
          <w:sz w:val="24"/>
          <w:szCs w:val="24"/>
        </w:rPr>
      </w:pPr>
    </w:p>
    <w:p w14:paraId="5EDCBB44" w14:textId="77777777" w:rsidR="00F1454F" w:rsidRDefault="00F1454F">
      <w:pPr>
        <w:rPr>
          <w:b/>
          <w:sz w:val="24"/>
          <w:szCs w:val="24"/>
        </w:rPr>
      </w:pPr>
    </w:p>
    <w:p w14:paraId="55090887" w14:textId="77777777" w:rsidR="00F1454F" w:rsidRDefault="00F1454F">
      <w:pPr>
        <w:rPr>
          <w:b/>
          <w:sz w:val="24"/>
          <w:szCs w:val="24"/>
        </w:rPr>
      </w:pPr>
    </w:p>
    <w:p w14:paraId="5699014D" w14:textId="77777777" w:rsidR="00F1454F" w:rsidRDefault="00F1454F">
      <w:pPr>
        <w:rPr>
          <w:b/>
          <w:sz w:val="24"/>
          <w:szCs w:val="24"/>
        </w:rPr>
      </w:pPr>
    </w:p>
    <w:p w14:paraId="46D3D425" w14:textId="77777777" w:rsidR="00F1454F" w:rsidRDefault="00F1454F">
      <w:pPr>
        <w:rPr>
          <w:b/>
          <w:sz w:val="24"/>
          <w:szCs w:val="24"/>
        </w:rPr>
      </w:pPr>
    </w:p>
    <w:p w14:paraId="3F808B1D" w14:textId="77777777" w:rsidR="00DE303E" w:rsidRDefault="00DE303E">
      <w:pPr>
        <w:rPr>
          <w:b/>
          <w:sz w:val="24"/>
          <w:szCs w:val="24"/>
        </w:rPr>
      </w:pPr>
    </w:p>
    <w:p w14:paraId="477E5BDE" w14:textId="77777777" w:rsidR="00F1454F" w:rsidRDefault="00F1454F">
      <w:pPr>
        <w:rPr>
          <w:b/>
          <w:sz w:val="24"/>
          <w:szCs w:val="24"/>
        </w:rPr>
      </w:pPr>
    </w:p>
    <w:p w14:paraId="559737FA" w14:textId="77777777" w:rsidR="00F1454F" w:rsidRDefault="00F1454F">
      <w:pPr>
        <w:rPr>
          <w:b/>
          <w:sz w:val="24"/>
          <w:szCs w:val="24"/>
        </w:rPr>
      </w:pPr>
    </w:p>
    <w:p w14:paraId="254B53FA" w14:textId="77777777" w:rsidR="00F1454F" w:rsidRDefault="00F1454F">
      <w:pPr>
        <w:rPr>
          <w:b/>
          <w:sz w:val="24"/>
          <w:szCs w:val="24"/>
        </w:rPr>
      </w:pPr>
    </w:p>
    <w:p w14:paraId="55E175B6" w14:textId="77777777" w:rsidR="00F1454F" w:rsidRDefault="00F1454F">
      <w:pPr>
        <w:rPr>
          <w:b/>
          <w:sz w:val="24"/>
          <w:szCs w:val="24"/>
        </w:rPr>
      </w:pPr>
    </w:p>
    <w:p w14:paraId="456DA36E" w14:textId="77777777" w:rsidR="00F1454F" w:rsidRDefault="00F1454F">
      <w:pPr>
        <w:rPr>
          <w:b/>
          <w:sz w:val="24"/>
          <w:szCs w:val="24"/>
        </w:rPr>
      </w:pPr>
    </w:p>
    <w:p w14:paraId="1A238469" w14:textId="77777777" w:rsidR="00F1454F" w:rsidRDefault="00F1454F">
      <w:pPr>
        <w:rPr>
          <w:b/>
          <w:sz w:val="24"/>
          <w:szCs w:val="24"/>
        </w:rPr>
      </w:pPr>
    </w:p>
    <w:p w14:paraId="5F9B74A1" w14:textId="77777777" w:rsidR="00F1454F" w:rsidRDefault="00F1454F">
      <w:pPr>
        <w:rPr>
          <w:b/>
          <w:sz w:val="24"/>
          <w:szCs w:val="24"/>
        </w:rPr>
      </w:pPr>
    </w:p>
    <w:p w14:paraId="69D61F13" w14:textId="77777777" w:rsidR="00F1454F" w:rsidRDefault="00F1454F">
      <w:pPr>
        <w:rPr>
          <w:b/>
          <w:sz w:val="24"/>
          <w:szCs w:val="24"/>
        </w:rPr>
      </w:pPr>
    </w:p>
    <w:p w14:paraId="56730CE5" w14:textId="77777777" w:rsidR="00F1454F" w:rsidRDefault="00F1454F">
      <w:pPr>
        <w:rPr>
          <w:b/>
          <w:sz w:val="24"/>
          <w:szCs w:val="24"/>
        </w:rPr>
      </w:pPr>
    </w:p>
    <w:p w14:paraId="16C283BD" w14:textId="77777777" w:rsidR="00F1454F" w:rsidRDefault="00F1454F">
      <w:pPr>
        <w:rPr>
          <w:b/>
          <w:sz w:val="24"/>
          <w:szCs w:val="24"/>
        </w:rPr>
      </w:pPr>
    </w:p>
    <w:p w14:paraId="3F449545" w14:textId="77777777" w:rsidR="00F1454F" w:rsidRDefault="00F1454F">
      <w:pPr>
        <w:rPr>
          <w:b/>
          <w:sz w:val="24"/>
          <w:szCs w:val="24"/>
        </w:rPr>
      </w:pPr>
    </w:p>
    <w:p w14:paraId="2B7D5C05" w14:textId="77777777" w:rsidR="00FC287C" w:rsidRDefault="00FC287C">
      <w:pPr>
        <w:rPr>
          <w:b/>
          <w:sz w:val="24"/>
          <w:szCs w:val="24"/>
        </w:rPr>
      </w:pPr>
    </w:p>
    <w:p w14:paraId="2CEC277C" w14:textId="77777777" w:rsidR="00D06054" w:rsidRPr="00DE0F41" w:rsidRDefault="00FA718D" w:rsidP="00DE0F41">
      <w:pPr>
        <w:pStyle w:val="Heading1"/>
        <w:shd w:val="clear" w:color="auto" w:fill="009999"/>
        <w:rPr>
          <w:color w:val="FFFFFF" w:themeColor="background1"/>
          <w:sz w:val="28"/>
        </w:rPr>
      </w:pPr>
      <w:bookmarkStart w:id="3" w:name="_Toc462739998"/>
      <w:r w:rsidRPr="00DE0F41">
        <w:rPr>
          <w:color w:val="FFFFFF" w:themeColor="background1"/>
          <w:sz w:val="28"/>
          <w:shd w:val="clear" w:color="auto" w:fill="009999"/>
        </w:rPr>
        <w:lastRenderedPageBreak/>
        <w:t>Ievads</w:t>
      </w:r>
      <w:bookmarkEnd w:id="3"/>
      <w:r w:rsidR="00694F03" w:rsidRPr="00DE0F41">
        <w:rPr>
          <w:color w:val="FFFFFF" w:themeColor="background1"/>
          <w:sz w:val="28"/>
        </w:rPr>
        <w:tab/>
      </w:r>
    </w:p>
    <w:p w14:paraId="7AB37B9D" w14:textId="77777777" w:rsidR="00FA718D" w:rsidRDefault="00FA718D" w:rsidP="00FA718D">
      <w:pPr>
        <w:ind w:firstLine="426"/>
        <w:jc w:val="both"/>
        <w:rPr>
          <w:sz w:val="23"/>
          <w:szCs w:val="23"/>
        </w:rPr>
      </w:pPr>
    </w:p>
    <w:p w14:paraId="529A1F62" w14:textId="77777777" w:rsidR="00CF3350" w:rsidRPr="00D06054" w:rsidRDefault="00CF3350" w:rsidP="00FA718D">
      <w:pPr>
        <w:ind w:firstLine="426"/>
        <w:jc w:val="both"/>
        <w:rPr>
          <w:sz w:val="23"/>
          <w:szCs w:val="23"/>
        </w:rPr>
      </w:pPr>
      <w:r w:rsidRPr="00D06054">
        <w:rPr>
          <w:sz w:val="23"/>
          <w:szCs w:val="23"/>
        </w:rPr>
        <w:t xml:space="preserve">Informatīvais ziņojums “Latvijas preču un pakalpojumu eksporta veicināšanas un ārvalstu investīciju piesaistes pamatnostādņu 2013.-2019.gadam” īstenošanas starpposma 2013. – 2015.gadā novērtējums” </w:t>
      </w:r>
      <w:r w:rsidR="003E3484" w:rsidRPr="00D06054">
        <w:rPr>
          <w:sz w:val="23"/>
          <w:szCs w:val="23"/>
        </w:rPr>
        <w:t xml:space="preserve">(turpmāk – </w:t>
      </w:r>
      <w:r w:rsidR="00AD23D6" w:rsidRPr="00D06054">
        <w:rPr>
          <w:sz w:val="23"/>
          <w:szCs w:val="23"/>
        </w:rPr>
        <w:t>I</w:t>
      </w:r>
      <w:r w:rsidR="003E3484" w:rsidRPr="00D06054">
        <w:rPr>
          <w:sz w:val="23"/>
          <w:szCs w:val="23"/>
        </w:rPr>
        <w:t xml:space="preserve">nformatīvais ziņojums) </w:t>
      </w:r>
      <w:r w:rsidRPr="00D06054">
        <w:rPr>
          <w:sz w:val="23"/>
          <w:szCs w:val="23"/>
        </w:rPr>
        <w:t xml:space="preserve">sagatavots saskaņā ar </w:t>
      </w:r>
      <w:r w:rsidR="006A7EF9" w:rsidRPr="00D06054">
        <w:rPr>
          <w:sz w:val="23"/>
          <w:szCs w:val="23"/>
        </w:rPr>
        <w:t xml:space="preserve">Ministru kabineta 2013.gada 17.jūnija rīkojuma Nr.249 “Par Latvijas preču un pakalpojumu eksporta veicināšanas un ārvalstu investīciju piesaistes pamatnostādnēm 2013.-2019.gadam” 6.punktā doto uzdevumu Ekonomikas ministrijai </w:t>
      </w:r>
      <w:r w:rsidR="003E3484" w:rsidRPr="00D06054">
        <w:rPr>
          <w:sz w:val="23"/>
          <w:szCs w:val="23"/>
        </w:rPr>
        <w:t xml:space="preserve">iesniegt </w:t>
      </w:r>
      <w:r w:rsidR="006A7EF9" w:rsidRPr="00D06054">
        <w:rPr>
          <w:sz w:val="23"/>
          <w:szCs w:val="23"/>
        </w:rPr>
        <w:t xml:space="preserve">Ministru kabinetā </w:t>
      </w:r>
      <w:r w:rsidR="003E3484" w:rsidRPr="00D06054">
        <w:rPr>
          <w:sz w:val="23"/>
          <w:szCs w:val="23"/>
        </w:rPr>
        <w:t xml:space="preserve">starpposma novērtējuma </w:t>
      </w:r>
      <w:r w:rsidR="006A7EF9" w:rsidRPr="00D06054">
        <w:rPr>
          <w:sz w:val="23"/>
          <w:szCs w:val="23"/>
        </w:rPr>
        <w:t xml:space="preserve">informatīvo ziņojumu par </w:t>
      </w:r>
      <w:r w:rsidR="003E3484" w:rsidRPr="00D06054">
        <w:rPr>
          <w:sz w:val="23"/>
          <w:szCs w:val="23"/>
        </w:rPr>
        <w:t>“</w:t>
      </w:r>
      <w:r w:rsidR="006A7EF9" w:rsidRPr="00D06054">
        <w:rPr>
          <w:sz w:val="23"/>
          <w:szCs w:val="23"/>
        </w:rPr>
        <w:t>Latvijas preču un pakalpojumu eksporta veicināšanas un ārvalstu investīciju piesaistes politikas pamatnostādņu 2013.-2019.gadam</w:t>
      </w:r>
      <w:r w:rsidR="003E3484" w:rsidRPr="00D06054">
        <w:rPr>
          <w:sz w:val="23"/>
          <w:szCs w:val="23"/>
        </w:rPr>
        <w:t>”</w:t>
      </w:r>
      <w:r w:rsidR="006A7EF9" w:rsidRPr="00D06054">
        <w:rPr>
          <w:sz w:val="23"/>
          <w:szCs w:val="23"/>
        </w:rPr>
        <w:t xml:space="preserve"> (turpmāk – </w:t>
      </w:r>
      <w:r w:rsidR="00AD23D6" w:rsidRPr="00D06054">
        <w:rPr>
          <w:sz w:val="23"/>
          <w:szCs w:val="23"/>
        </w:rPr>
        <w:t>P</w:t>
      </w:r>
      <w:r w:rsidR="006A7EF9" w:rsidRPr="00D06054">
        <w:rPr>
          <w:sz w:val="23"/>
          <w:szCs w:val="23"/>
        </w:rPr>
        <w:t xml:space="preserve">amatnostādnes) īstenošanas gaitu. </w:t>
      </w:r>
    </w:p>
    <w:p w14:paraId="7DB2DB6C" w14:textId="77777777" w:rsidR="00F446D6" w:rsidRPr="00D06054" w:rsidRDefault="003E3484" w:rsidP="00FA718D">
      <w:pPr>
        <w:ind w:firstLine="426"/>
        <w:jc w:val="both"/>
        <w:rPr>
          <w:sz w:val="23"/>
          <w:szCs w:val="23"/>
        </w:rPr>
      </w:pPr>
      <w:r w:rsidRPr="00D06054">
        <w:rPr>
          <w:sz w:val="23"/>
          <w:szCs w:val="23"/>
        </w:rPr>
        <w:t>Pamatnostād</w:t>
      </w:r>
      <w:r w:rsidR="00E565F5" w:rsidRPr="00D06054">
        <w:rPr>
          <w:sz w:val="23"/>
          <w:szCs w:val="23"/>
        </w:rPr>
        <w:t>nes</w:t>
      </w:r>
      <w:r w:rsidRPr="00D06054">
        <w:rPr>
          <w:sz w:val="23"/>
          <w:szCs w:val="23"/>
        </w:rPr>
        <w:t xml:space="preserve"> </w:t>
      </w:r>
      <w:r w:rsidR="00E565F5" w:rsidRPr="00D06054">
        <w:rPr>
          <w:sz w:val="23"/>
          <w:szCs w:val="23"/>
        </w:rPr>
        <w:t xml:space="preserve">nosaka eksporta un ārvalstu tiešo </w:t>
      </w:r>
      <w:r w:rsidR="00F446D6" w:rsidRPr="00D06054">
        <w:rPr>
          <w:sz w:val="23"/>
          <w:szCs w:val="23"/>
        </w:rPr>
        <w:t>investīciju</w:t>
      </w:r>
      <w:r w:rsidR="00E565F5" w:rsidRPr="00D06054">
        <w:rPr>
          <w:sz w:val="23"/>
          <w:szCs w:val="23"/>
        </w:rPr>
        <w:t xml:space="preserve"> piesaistes veicināšanas politikas galvenos mērķus, principus un rīcības virzienus, veidojot</w:t>
      </w:r>
      <w:r w:rsidRPr="00D06054">
        <w:rPr>
          <w:sz w:val="23"/>
          <w:szCs w:val="23"/>
        </w:rPr>
        <w:t xml:space="preserve"> vienotu, dinamisku, uz ciešu sadarbību balstītu eksporta veicināšanas un investīciju piesaistes procesu, kurā ar noteiktu atbildību un kompetenci darbojas visas iesaistītās puses – valsts institūcijas, privātais sektors, pašvaldības un zinātniskās institūcijas.</w:t>
      </w:r>
      <w:r w:rsidR="00AD23D6" w:rsidRPr="00D06054">
        <w:rPr>
          <w:sz w:val="23"/>
          <w:szCs w:val="23"/>
        </w:rPr>
        <w:t xml:space="preserve"> </w:t>
      </w:r>
    </w:p>
    <w:p w14:paraId="5198C2DB" w14:textId="77777777" w:rsidR="003E3484" w:rsidRPr="00D06054" w:rsidRDefault="00AD23D6" w:rsidP="00FA718D">
      <w:pPr>
        <w:ind w:firstLine="426"/>
        <w:jc w:val="both"/>
        <w:rPr>
          <w:sz w:val="23"/>
          <w:szCs w:val="23"/>
        </w:rPr>
      </w:pPr>
      <w:r w:rsidRPr="00D06054">
        <w:rPr>
          <w:sz w:val="23"/>
          <w:szCs w:val="23"/>
        </w:rPr>
        <w:t>No tā izriet P</w:t>
      </w:r>
      <w:r w:rsidR="00E565F5" w:rsidRPr="00D06054">
        <w:rPr>
          <w:sz w:val="23"/>
          <w:szCs w:val="23"/>
        </w:rPr>
        <w:t xml:space="preserve">amatnostādņu </w:t>
      </w:r>
      <w:r w:rsidR="00E565F5" w:rsidRPr="00D06054">
        <w:rPr>
          <w:b/>
          <w:sz w:val="23"/>
          <w:szCs w:val="23"/>
        </w:rPr>
        <w:t>mērķis</w:t>
      </w:r>
      <w:r w:rsidR="00E565F5" w:rsidRPr="00D06054">
        <w:rPr>
          <w:sz w:val="23"/>
          <w:szCs w:val="23"/>
        </w:rPr>
        <w:t>: uzlabot Latvijas tautsaimniecības konkurētspēju atvērtos produktu tirgos</w:t>
      </w:r>
      <w:r w:rsidR="00E45CD5" w:rsidRPr="00D06054">
        <w:rPr>
          <w:sz w:val="23"/>
          <w:szCs w:val="23"/>
        </w:rPr>
        <w:t xml:space="preserve">, pirmkārt, sekmējot augsto un vidēji augsto tehnoloģiju nozaru </w:t>
      </w:r>
      <w:r w:rsidR="001112A0" w:rsidRPr="00D06054">
        <w:rPr>
          <w:sz w:val="23"/>
          <w:szCs w:val="23"/>
        </w:rPr>
        <w:t xml:space="preserve">produkcijas </w:t>
      </w:r>
      <w:r w:rsidR="00E45CD5" w:rsidRPr="00D06054">
        <w:rPr>
          <w:sz w:val="23"/>
          <w:szCs w:val="23"/>
        </w:rPr>
        <w:t>pieaugumu Latvijas eksportā, un, o</w:t>
      </w:r>
      <w:r w:rsidR="00D06054">
        <w:rPr>
          <w:sz w:val="23"/>
          <w:szCs w:val="23"/>
        </w:rPr>
        <w:t xml:space="preserve">trkārt, ĀTI </w:t>
      </w:r>
      <w:r w:rsidR="00E45CD5" w:rsidRPr="00D06054">
        <w:rPr>
          <w:sz w:val="23"/>
          <w:szCs w:val="23"/>
        </w:rPr>
        <w:t xml:space="preserve">piesaistē fokusējoties uz ārējo pieprasījumu orientētajām nozarēm. </w:t>
      </w:r>
    </w:p>
    <w:p w14:paraId="6C7838E0" w14:textId="77777777" w:rsidR="003C5618" w:rsidRPr="00D06054" w:rsidRDefault="003C5618" w:rsidP="00FA718D">
      <w:pPr>
        <w:ind w:firstLine="426"/>
        <w:jc w:val="both"/>
        <w:rPr>
          <w:sz w:val="23"/>
          <w:szCs w:val="23"/>
        </w:rPr>
      </w:pPr>
      <w:r w:rsidRPr="00D06054">
        <w:rPr>
          <w:sz w:val="23"/>
          <w:szCs w:val="23"/>
        </w:rPr>
        <w:t xml:space="preserve">Lai novērtētu eksporta veicināšanas un ĀTI piesaistes politikas īstenošanu, </w:t>
      </w:r>
      <w:r w:rsidR="00AD23D6" w:rsidRPr="00D06054">
        <w:rPr>
          <w:sz w:val="23"/>
          <w:szCs w:val="23"/>
        </w:rPr>
        <w:t>P</w:t>
      </w:r>
      <w:r w:rsidRPr="00D06054">
        <w:rPr>
          <w:sz w:val="23"/>
          <w:szCs w:val="23"/>
        </w:rPr>
        <w:t xml:space="preserve">amatnostādnēs </w:t>
      </w:r>
      <w:r w:rsidR="009B7ED5">
        <w:rPr>
          <w:sz w:val="23"/>
          <w:szCs w:val="23"/>
        </w:rPr>
        <w:t xml:space="preserve">tika </w:t>
      </w:r>
      <w:r w:rsidRPr="00D06054">
        <w:rPr>
          <w:sz w:val="23"/>
          <w:szCs w:val="23"/>
        </w:rPr>
        <w:t xml:space="preserve">definēti šādi </w:t>
      </w:r>
      <w:r w:rsidRPr="00D06054">
        <w:rPr>
          <w:b/>
          <w:sz w:val="23"/>
          <w:szCs w:val="23"/>
        </w:rPr>
        <w:t>rezultatīvie rādītāji</w:t>
      </w:r>
      <w:r w:rsidR="001112A0" w:rsidRPr="00D06054">
        <w:rPr>
          <w:b/>
          <w:sz w:val="23"/>
          <w:szCs w:val="23"/>
        </w:rPr>
        <w:t xml:space="preserve"> un to sasniedzamās rezultatīvās vērtības</w:t>
      </w:r>
      <w:r w:rsidRPr="00D06054">
        <w:rPr>
          <w:sz w:val="23"/>
          <w:szCs w:val="23"/>
        </w:rPr>
        <w:t>:</w:t>
      </w:r>
    </w:p>
    <w:p w14:paraId="5B2AEA1A" w14:textId="77777777" w:rsidR="003C5618" w:rsidRPr="00D06054" w:rsidRDefault="003C5618" w:rsidP="008C684D">
      <w:pPr>
        <w:pStyle w:val="ListParagraph"/>
        <w:numPr>
          <w:ilvl w:val="0"/>
          <w:numId w:val="4"/>
        </w:numPr>
        <w:ind w:left="709"/>
        <w:jc w:val="both"/>
        <w:rPr>
          <w:rFonts w:ascii="Times New Roman" w:hAnsi="Times New Roman"/>
          <w:sz w:val="23"/>
          <w:szCs w:val="23"/>
        </w:rPr>
      </w:pPr>
      <w:r w:rsidRPr="00D06054">
        <w:rPr>
          <w:rFonts w:ascii="Times New Roman" w:hAnsi="Times New Roman"/>
          <w:b/>
          <w:sz w:val="23"/>
          <w:szCs w:val="23"/>
        </w:rPr>
        <w:t>augsto un vidēji augs</w:t>
      </w:r>
      <w:r w:rsidR="00763CD4" w:rsidRPr="00D06054">
        <w:rPr>
          <w:rFonts w:ascii="Times New Roman" w:hAnsi="Times New Roman"/>
          <w:b/>
          <w:sz w:val="23"/>
          <w:szCs w:val="23"/>
        </w:rPr>
        <w:t xml:space="preserve">to tehnoloģiju nozaru īpatsvars </w:t>
      </w:r>
      <w:r w:rsidRPr="00D06054">
        <w:rPr>
          <w:rFonts w:ascii="Times New Roman" w:hAnsi="Times New Roman"/>
          <w:b/>
          <w:sz w:val="23"/>
          <w:szCs w:val="23"/>
        </w:rPr>
        <w:t>Latvijas preču eksportā</w:t>
      </w:r>
      <w:r w:rsidRPr="00D06054">
        <w:rPr>
          <w:rFonts w:ascii="Times New Roman" w:hAnsi="Times New Roman"/>
          <w:sz w:val="23"/>
          <w:szCs w:val="23"/>
        </w:rPr>
        <w:t xml:space="preserve"> (2012.gadā – 23,8%, 2015.gadā – 27,5%, 2019.gadā – 31%); </w:t>
      </w:r>
    </w:p>
    <w:p w14:paraId="1863C3AF" w14:textId="77777777" w:rsidR="003C5618" w:rsidRPr="00D06054" w:rsidRDefault="003C5618" w:rsidP="008C684D">
      <w:pPr>
        <w:pStyle w:val="ListParagraph"/>
        <w:numPr>
          <w:ilvl w:val="0"/>
          <w:numId w:val="4"/>
        </w:numPr>
        <w:ind w:left="709"/>
        <w:jc w:val="both"/>
        <w:rPr>
          <w:rFonts w:ascii="Times New Roman" w:hAnsi="Times New Roman"/>
          <w:sz w:val="23"/>
          <w:szCs w:val="23"/>
        </w:rPr>
      </w:pPr>
      <w:r w:rsidRPr="00D06054">
        <w:rPr>
          <w:rFonts w:ascii="Times New Roman" w:hAnsi="Times New Roman"/>
          <w:b/>
          <w:sz w:val="23"/>
          <w:szCs w:val="23"/>
        </w:rPr>
        <w:t>vidējais eksporta pieauguma temps</w:t>
      </w:r>
      <w:r w:rsidRPr="00D06054">
        <w:rPr>
          <w:rFonts w:ascii="Times New Roman" w:hAnsi="Times New Roman"/>
          <w:sz w:val="23"/>
          <w:szCs w:val="23"/>
        </w:rPr>
        <w:t xml:space="preserve"> (salīdzināmajās cenās, %) (2011.gadā – 7,1%, 2013.-2019.gadā ik gadu pieaugums par 4,5%);</w:t>
      </w:r>
    </w:p>
    <w:p w14:paraId="4656DB0E" w14:textId="77777777" w:rsidR="003C5618" w:rsidRPr="00D06054" w:rsidRDefault="003C5618" w:rsidP="008C684D">
      <w:pPr>
        <w:pStyle w:val="ListParagraph"/>
        <w:numPr>
          <w:ilvl w:val="0"/>
          <w:numId w:val="4"/>
        </w:numPr>
        <w:ind w:left="709"/>
        <w:jc w:val="both"/>
        <w:rPr>
          <w:rFonts w:ascii="Times New Roman" w:hAnsi="Times New Roman"/>
          <w:sz w:val="23"/>
          <w:szCs w:val="23"/>
        </w:rPr>
      </w:pPr>
      <w:r w:rsidRPr="00D06054">
        <w:rPr>
          <w:rFonts w:ascii="Times New Roman" w:hAnsi="Times New Roman"/>
          <w:b/>
          <w:sz w:val="23"/>
          <w:szCs w:val="23"/>
        </w:rPr>
        <w:t>ĀTI uz ārējo pieprasījumu orientētajās nozarēs</w:t>
      </w:r>
      <w:r w:rsidRPr="00D06054">
        <w:rPr>
          <w:rFonts w:ascii="Times New Roman" w:hAnsi="Times New Roman"/>
          <w:sz w:val="23"/>
          <w:szCs w:val="23"/>
        </w:rPr>
        <w:t xml:space="preserve"> (% no </w:t>
      </w:r>
      <w:r w:rsidR="00CE67AB">
        <w:rPr>
          <w:rFonts w:ascii="Times New Roman" w:hAnsi="Times New Roman"/>
          <w:sz w:val="23"/>
          <w:szCs w:val="23"/>
        </w:rPr>
        <w:t>piesaistītām</w:t>
      </w:r>
      <w:r w:rsidRPr="00D06054">
        <w:rPr>
          <w:rFonts w:ascii="Times New Roman" w:hAnsi="Times New Roman"/>
          <w:sz w:val="23"/>
          <w:szCs w:val="23"/>
        </w:rPr>
        <w:t xml:space="preserve"> ĀTI</w:t>
      </w:r>
      <w:r w:rsidR="00CE67AB">
        <w:rPr>
          <w:rFonts w:ascii="Times New Roman" w:hAnsi="Times New Roman"/>
          <w:sz w:val="23"/>
          <w:szCs w:val="23"/>
        </w:rPr>
        <w:t xml:space="preserve"> plūsmām</w:t>
      </w:r>
      <w:r w:rsidRPr="00D06054">
        <w:rPr>
          <w:rFonts w:ascii="Times New Roman" w:hAnsi="Times New Roman"/>
          <w:sz w:val="23"/>
          <w:szCs w:val="23"/>
        </w:rPr>
        <w:t>) (2012.gadā – 17,5%, 2015.gadā – 20,0%; 2019.gadā – 22,0%);</w:t>
      </w:r>
    </w:p>
    <w:p w14:paraId="0D1E70B2" w14:textId="77777777" w:rsidR="003C5618" w:rsidRPr="00D06054" w:rsidRDefault="003C5618" w:rsidP="008C684D">
      <w:pPr>
        <w:pStyle w:val="ListParagraph"/>
        <w:numPr>
          <w:ilvl w:val="0"/>
          <w:numId w:val="4"/>
        </w:numPr>
        <w:ind w:left="709"/>
        <w:jc w:val="both"/>
        <w:rPr>
          <w:rFonts w:ascii="Times New Roman" w:hAnsi="Times New Roman"/>
          <w:sz w:val="23"/>
          <w:szCs w:val="23"/>
        </w:rPr>
      </w:pPr>
      <w:r w:rsidRPr="00D06054">
        <w:rPr>
          <w:rFonts w:ascii="Times New Roman" w:hAnsi="Times New Roman"/>
          <w:b/>
          <w:sz w:val="23"/>
          <w:szCs w:val="23"/>
        </w:rPr>
        <w:t>ĀTI plūsmas Latvijā uz ārējo pieprasījumu orientētajās nozarēs %  pret IKP</w:t>
      </w:r>
      <w:r w:rsidRPr="00D06054">
        <w:rPr>
          <w:rFonts w:ascii="Times New Roman" w:hAnsi="Times New Roman"/>
          <w:sz w:val="23"/>
          <w:szCs w:val="23"/>
        </w:rPr>
        <w:t xml:space="preserve"> (trīs gadu vidējais rādītājs) (2010.-2012.gadā – 0,9% un 2013.-2015.gadā – 1,5%, 2016.-2019.gadā – 1,5%).</w:t>
      </w:r>
    </w:p>
    <w:p w14:paraId="63D61083" w14:textId="77777777" w:rsidR="008C3657" w:rsidRPr="00D06054" w:rsidRDefault="008C3657" w:rsidP="00FA718D">
      <w:pPr>
        <w:ind w:firstLine="426"/>
        <w:jc w:val="both"/>
        <w:rPr>
          <w:sz w:val="23"/>
          <w:szCs w:val="23"/>
        </w:rPr>
      </w:pPr>
      <w:r w:rsidRPr="00D06054">
        <w:rPr>
          <w:sz w:val="23"/>
          <w:szCs w:val="23"/>
        </w:rPr>
        <w:t xml:space="preserve">Pamatnostādņu mērķis, kas paredz palielināt augsto un vidēji augsto tehnoloģiju īpatsvaru eksporta struktūrā, atbilst arī Zinātnes, tehnoloģiju attīstības un inovācijas pamatnostādnēs 2014.-2020.gadam ietvertajai Latvijas Viedās specializācijas stratēģijai (VSS). VSS ietvarā ir izvirzīti trīs galvenie virzieni tautsaimniecības transformācijai, kas sasaucas arī ar Eksporta un investīciju pamatnostādnēs izvirzītajiem rīcības virzieniem, uzdevumiem un pasākumiem. Šie trīs virzieni ir: (1.) Ražošanas un eksporta struktūras maiņa tradicionālajās tautsaimniecības nozarēs; (2.) Nākotnes nozares, kurās eksistē vai var rasties produkti un pakalpojumi ar augstu pievienoto vērtību; (3.) Nozares ar nozīmīgu horizontālo ietekmi un ieguldījumu tautsaimniecības transformācijā. Tādējādi </w:t>
      </w:r>
      <w:r w:rsidR="00D06054" w:rsidRPr="00D06054">
        <w:rPr>
          <w:sz w:val="23"/>
          <w:szCs w:val="23"/>
        </w:rPr>
        <w:t>P</w:t>
      </w:r>
      <w:r w:rsidRPr="00D06054">
        <w:rPr>
          <w:sz w:val="23"/>
          <w:szCs w:val="23"/>
        </w:rPr>
        <w:t>amatnostādnēs izvirzītajiem pasākumiem ir tieša ietekme uz VSS un kopumā uz Latvijas ekonomikas strukturālo izmaiņu veicināšanu par labu preču un pakalpojumu ar augstā</w:t>
      </w:r>
      <w:r w:rsidR="00D06054" w:rsidRPr="00D06054">
        <w:rPr>
          <w:sz w:val="23"/>
          <w:szCs w:val="23"/>
        </w:rPr>
        <w:t>ku pievienoto vērtību ražošanai.</w:t>
      </w:r>
    </w:p>
    <w:p w14:paraId="2644661B" w14:textId="77777777" w:rsidR="00F446D6" w:rsidRPr="00D06054" w:rsidRDefault="00A561BD" w:rsidP="00FA718D">
      <w:pPr>
        <w:ind w:firstLine="426"/>
        <w:jc w:val="both"/>
        <w:rPr>
          <w:sz w:val="23"/>
          <w:szCs w:val="23"/>
        </w:rPr>
      </w:pPr>
      <w:r w:rsidRPr="00D06054">
        <w:rPr>
          <w:sz w:val="23"/>
          <w:szCs w:val="23"/>
        </w:rPr>
        <w:t xml:space="preserve">Saskaņā ar </w:t>
      </w:r>
      <w:r w:rsidR="00D06054">
        <w:rPr>
          <w:sz w:val="23"/>
          <w:szCs w:val="23"/>
        </w:rPr>
        <w:t>MK</w:t>
      </w:r>
      <w:r w:rsidRPr="00D06054">
        <w:rPr>
          <w:sz w:val="23"/>
          <w:szCs w:val="23"/>
        </w:rPr>
        <w:t xml:space="preserve"> 2014.gada 2.decemb</w:t>
      </w:r>
      <w:r w:rsidR="001112A0" w:rsidRPr="00D06054">
        <w:rPr>
          <w:sz w:val="23"/>
          <w:szCs w:val="23"/>
        </w:rPr>
        <w:t xml:space="preserve">ra noteikumu Nr. 737 </w:t>
      </w:r>
      <w:r w:rsidRPr="00D06054">
        <w:rPr>
          <w:sz w:val="23"/>
          <w:szCs w:val="23"/>
        </w:rPr>
        <w:t>“Attīstības plānošanas dokumentu izstrādes un ietekmes izvērtēšanas noteikumi” 41.punktā noteikto kārtību, i</w:t>
      </w:r>
      <w:r w:rsidR="00E565F5" w:rsidRPr="00D06054">
        <w:rPr>
          <w:sz w:val="23"/>
          <w:szCs w:val="23"/>
        </w:rPr>
        <w:t xml:space="preserve">nformatīvajā ziņojumā </w:t>
      </w:r>
      <w:r w:rsidR="00AD23D6" w:rsidRPr="00D06054">
        <w:rPr>
          <w:sz w:val="23"/>
          <w:szCs w:val="23"/>
        </w:rPr>
        <w:t>analizēta P</w:t>
      </w:r>
      <w:r w:rsidR="0083233C" w:rsidRPr="00D06054">
        <w:rPr>
          <w:sz w:val="23"/>
          <w:szCs w:val="23"/>
        </w:rPr>
        <w:t>amatnostādnēs izvirzīto mērķu un plānoto rezultātu sasniegšan</w:t>
      </w:r>
      <w:r w:rsidR="00AD23D6" w:rsidRPr="00D06054">
        <w:rPr>
          <w:sz w:val="23"/>
          <w:szCs w:val="23"/>
        </w:rPr>
        <w:t>a</w:t>
      </w:r>
      <w:r w:rsidR="0083233C" w:rsidRPr="00D06054">
        <w:rPr>
          <w:sz w:val="23"/>
          <w:szCs w:val="23"/>
        </w:rPr>
        <w:t xml:space="preserve">, vērtējot </w:t>
      </w:r>
      <w:r w:rsidR="00E45CD5" w:rsidRPr="00D06054">
        <w:rPr>
          <w:sz w:val="23"/>
          <w:szCs w:val="23"/>
        </w:rPr>
        <w:t>noteikto rezultatīvo rādītāju izpild</w:t>
      </w:r>
      <w:r w:rsidR="0083233C" w:rsidRPr="00D06054">
        <w:rPr>
          <w:sz w:val="23"/>
          <w:szCs w:val="23"/>
        </w:rPr>
        <w:t>i</w:t>
      </w:r>
      <w:r w:rsidRPr="00D06054">
        <w:rPr>
          <w:sz w:val="23"/>
          <w:szCs w:val="23"/>
        </w:rPr>
        <w:t xml:space="preserve">, </w:t>
      </w:r>
      <w:r w:rsidR="003949FA" w:rsidRPr="00D06054">
        <w:rPr>
          <w:sz w:val="23"/>
          <w:szCs w:val="23"/>
        </w:rPr>
        <w:t xml:space="preserve">uzsvaru liekot uz </w:t>
      </w:r>
      <w:r w:rsidRPr="00D06054">
        <w:rPr>
          <w:sz w:val="23"/>
          <w:szCs w:val="23"/>
        </w:rPr>
        <w:t>ārējās vides izmaiņu ietekm</w:t>
      </w:r>
      <w:r w:rsidR="003949FA" w:rsidRPr="00D06054">
        <w:rPr>
          <w:sz w:val="23"/>
          <w:szCs w:val="23"/>
        </w:rPr>
        <w:t>i</w:t>
      </w:r>
      <w:r w:rsidRPr="00D06054">
        <w:rPr>
          <w:sz w:val="23"/>
          <w:szCs w:val="23"/>
        </w:rPr>
        <w:t xml:space="preserve"> uz rezultātu sasniegšanu.</w:t>
      </w:r>
      <w:r w:rsidR="003C5618" w:rsidRPr="00D06054">
        <w:rPr>
          <w:sz w:val="23"/>
          <w:szCs w:val="23"/>
        </w:rPr>
        <w:t xml:space="preserve"> </w:t>
      </w:r>
    </w:p>
    <w:p w14:paraId="290DDE98" w14:textId="77777777" w:rsidR="00FA718D" w:rsidRDefault="003C5618" w:rsidP="00FA718D">
      <w:pPr>
        <w:ind w:firstLine="426"/>
        <w:jc w:val="both"/>
        <w:rPr>
          <w:rFonts w:cs="Times New Roman"/>
          <w:sz w:val="23"/>
          <w:szCs w:val="23"/>
        </w:rPr>
      </w:pPr>
      <w:r w:rsidRPr="00D06054">
        <w:rPr>
          <w:sz w:val="23"/>
          <w:szCs w:val="23"/>
        </w:rPr>
        <w:t xml:space="preserve">Pamatnostādņu mērķu un politikas rezultātu sasniegšanai īstenojamie uzdevumi un to darbības rezultāti noteikti rīcības plānā </w:t>
      </w:r>
      <w:r w:rsidR="00AD23D6" w:rsidRPr="00D06054">
        <w:rPr>
          <w:sz w:val="23"/>
          <w:szCs w:val="23"/>
        </w:rPr>
        <w:t>P</w:t>
      </w:r>
      <w:r w:rsidRPr="00D06054">
        <w:rPr>
          <w:sz w:val="23"/>
          <w:szCs w:val="23"/>
        </w:rPr>
        <w:t>amatnostādņu īstenošanai</w:t>
      </w:r>
      <w:r w:rsidR="00AD23D6" w:rsidRPr="00D06054">
        <w:rPr>
          <w:sz w:val="23"/>
          <w:szCs w:val="23"/>
        </w:rPr>
        <w:t xml:space="preserve"> (P</w:t>
      </w:r>
      <w:r w:rsidR="0083233C" w:rsidRPr="00D06054">
        <w:rPr>
          <w:sz w:val="23"/>
          <w:szCs w:val="23"/>
        </w:rPr>
        <w:t>amatnostādņu 1.pielikums)</w:t>
      </w:r>
      <w:r w:rsidRPr="00D06054">
        <w:rPr>
          <w:sz w:val="23"/>
          <w:szCs w:val="23"/>
        </w:rPr>
        <w:t xml:space="preserve"> – informatīvajā ziņojumā tiks vērtēta plāna izpilde</w:t>
      </w:r>
      <w:r w:rsidR="00EE043E">
        <w:rPr>
          <w:sz w:val="23"/>
          <w:szCs w:val="23"/>
        </w:rPr>
        <w:t xml:space="preserve"> (informatīvā ziņojuma 1.pielikums)</w:t>
      </w:r>
      <w:r w:rsidRPr="00D06054">
        <w:rPr>
          <w:sz w:val="23"/>
          <w:szCs w:val="23"/>
        </w:rPr>
        <w:t xml:space="preserve">, vērtējot </w:t>
      </w:r>
      <w:r w:rsidR="00AD23D6" w:rsidRPr="00D06054">
        <w:rPr>
          <w:sz w:val="23"/>
          <w:szCs w:val="23"/>
        </w:rPr>
        <w:t>P</w:t>
      </w:r>
      <w:r w:rsidR="0083233C" w:rsidRPr="00D06054">
        <w:rPr>
          <w:sz w:val="23"/>
          <w:szCs w:val="23"/>
        </w:rPr>
        <w:t>amatnostādņu īstenošanā iesaistīto institūciju paveikt</w:t>
      </w:r>
      <w:r w:rsidR="001112A0" w:rsidRPr="00D06054">
        <w:rPr>
          <w:sz w:val="23"/>
          <w:szCs w:val="23"/>
        </w:rPr>
        <w:t xml:space="preserve">o. </w:t>
      </w:r>
      <w:r w:rsidR="00EE043E">
        <w:rPr>
          <w:sz w:val="23"/>
          <w:szCs w:val="23"/>
        </w:rPr>
        <w:t xml:space="preserve">Tāpat tiks sastādīts </w:t>
      </w:r>
      <w:r w:rsidR="00EE043E" w:rsidRPr="00EE043E">
        <w:rPr>
          <w:sz w:val="23"/>
          <w:szCs w:val="23"/>
        </w:rPr>
        <w:t>pamatnostādnēs</w:t>
      </w:r>
      <w:r w:rsidR="00EE043E">
        <w:rPr>
          <w:sz w:val="23"/>
          <w:szCs w:val="23"/>
        </w:rPr>
        <w:t xml:space="preserve"> </w:t>
      </w:r>
      <w:r w:rsidR="00EE043E" w:rsidRPr="00EE043E">
        <w:rPr>
          <w:sz w:val="23"/>
          <w:szCs w:val="23"/>
        </w:rPr>
        <w:t>paredzēto uzdevumu un pasākumu plāns 2016.-2019.gadam</w:t>
      </w:r>
      <w:r w:rsidR="00EE043E">
        <w:rPr>
          <w:sz w:val="23"/>
          <w:szCs w:val="23"/>
        </w:rPr>
        <w:t xml:space="preserve"> (informatīvā ziņojuma 2.pielikums). </w:t>
      </w:r>
      <w:r w:rsidR="00520614" w:rsidRPr="00D06054">
        <w:rPr>
          <w:rFonts w:cs="Times New Roman"/>
          <w:sz w:val="23"/>
          <w:szCs w:val="23"/>
        </w:rPr>
        <w:t xml:space="preserve">Novērtējumā aktualizēti iesaistīto pušu </w:t>
      </w:r>
      <w:r w:rsidR="001112A0" w:rsidRPr="00D06054">
        <w:rPr>
          <w:rFonts w:cs="Times New Roman"/>
          <w:sz w:val="23"/>
          <w:szCs w:val="23"/>
        </w:rPr>
        <w:t>veicamie</w:t>
      </w:r>
      <w:r w:rsidR="00520614" w:rsidRPr="00D06054">
        <w:rPr>
          <w:rFonts w:cs="Times New Roman"/>
          <w:sz w:val="23"/>
          <w:szCs w:val="23"/>
        </w:rPr>
        <w:t xml:space="preserve"> </w:t>
      </w:r>
      <w:r w:rsidR="001112A0" w:rsidRPr="00D06054">
        <w:rPr>
          <w:rFonts w:cs="Times New Roman"/>
          <w:sz w:val="23"/>
          <w:szCs w:val="23"/>
        </w:rPr>
        <w:t>uzdevumi izvirzīto mērķu sasniegšanai</w:t>
      </w:r>
      <w:r w:rsidR="00AD23D6" w:rsidRPr="00D06054">
        <w:rPr>
          <w:rFonts w:cs="Times New Roman"/>
          <w:sz w:val="23"/>
          <w:szCs w:val="23"/>
        </w:rPr>
        <w:t>, kā arī vērtēta</w:t>
      </w:r>
      <w:r w:rsidR="00520614" w:rsidRPr="00D06054">
        <w:rPr>
          <w:rFonts w:cs="Times New Roman"/>
          <w:sz w:val="23"/>
          <w:szCs w:val="23"/>
        </w:rPr>
        <w:t xml:space="preserve"> </w:t>
      </w:r>
      <w:r w:rsidR="00AD23D6" w:rsidRPr="00D06054">
        <w:rPr>
          <w:rFonts w:cs="Times New Roman"/>
          <w:sz w:val="23"/>
          <w:szCs w:val="23"/>
        </w:rPr>
        <w:t>nepieciešamība veikt</w:t>
      </w:r>
      <w:r w:rsidR="00520614" w:rsidRPr="00D06054">
        <w:rPr>
          <w:rFonts w:cs="Times New Roman"/>
          <w:sz w:val="23"/>
          <w:szCs w:val="23"/>
        </w:rPr>
        <w:t xml:space="preserve"> </w:t>
      </w:r>
      <w:r w:rsidR="00AD23D6" w:rsidRPr="00D06054">
        <w:rPr>
          <w:rFonts w:cs="Times New Roman"/>
          <w:sz w:val="23"/>
          <w:szCs w:val="23"/>
        </w:rPr>
        <w:t>korekcijas Pamatnostādnēs</w:t>
      </w:r>
      <w:r w:rsidR="00520614" w:rsidRPr="00D06054">
        <w:rPr>
          <w:rFonts w:cs="Times New Roman"/>
          <w:sz w:val="23"/>
          <w:szCs w:val="23"/>
        </w:rPr>
        <w:t xml:space="preserve"> noteiktajās prioritārajās nozarēs un valstīs</w:t>
      </w:r>
      <w:r w:rsidR="00AD23D6" w:rsidRPr="00D06054">
        <w:rPr>
          <w:rFonts w:cs="Times New Roman"/>
          <w:sz w:val="23"/>
          <w:szCs w:val="23"/>
        </w:rPr>
        <w:t>,</w:t>
      </w:r>
      <w:r w:rsidR="00520614" w:rsidRPr="00D06054">
        <w:rPr>
          <w:rFonts w:cs="Times New Roman"/>
          <w:sz w:val="23"/>
          <w:szCs w:val="23"/>
        </w:rPr>
        <w:t xml:space="preserve"> uz </w:t>
      </w:r>
      <w:r w:rsidR="00AD23D6" w:rsidRPr="00D06054">
        <w:rPr>
          <w:rFonts w:cs="Times New Roman"/>
          <w:sz w:val="23"/>
          <w:szCs w:val="23"/>
        </w:rPr>
        <w:t>kurām</w:t>
      </w:r>
      <w:r w:rsidR="00520614" w:rsidRPr="00D06054">
        <w:rPr>
          <w:rFonts w:cs="Times New Roman"/>
          <w:sz w:val="23"/>
          <w:szCs w:val="23"/>
        </w:rPr>
        <w:t xml:space="preserve"> tiek fokusēts Latvijas Investīciju un attīstības aģentūras </w:t>
      </w:r>
      <w:r w:rsidR="001112A0" w:rsidRPr="00D06054">
        <w:rPr>
          <w:rFonts w:cs="Times New Roman"/>
          <w:sz w:val="23"/>
          <w:szCs w:val="23"/>
        </w:rPr>
        <w:t xml:space="preserve">(turpmāk – LIAA) </w:t>
      </w:r>
      <w:r w:rsidR="00520614" w:rsidRPr="00D06054">
        <w:rPr>
          <w:rFonts w:cs="Times New Roman"/>
          <w:sz w:val="23"/>
          <w:szCs w:val="23"/>
        </w:rPr>
        <w:t xml:space="preserve">darbs ārvalstu investīciju piesaistes </w:t>
      </w:r>
      <w:r w:rsidR="0019716D" w:rsidRPr="00D06054">
        <w:rPr>
          <w:rFonts w:cs="Times New Roman"/>
          <w:sz w:val="23"/>
          <w:szCs w:val="23"/>
        </w:rPr>
        <w:t xml:space="preserve">un eksporta veicināšanas </w:t>
      </w:r>
      <w:r w:rsidR="00520614" w:rsidRPr="00D06054">
        <w:rPr>
          <w:rFonts w:cs="Times New Roman"/>
          <w:sz w:val="23"/>
          <w:szCs w:val="23"/>
        </w:rPr>
        <w:t>jomā</w:t>
      </w:r>
      <w:r w:rsidR="00AD23D6" w:rsidRPr="00D06054">
        <w:rPr>
          <w:rFonts w:cs="Times New Roman"/>
          <w:sz w:val="23"/>
          <w:szCs w:val="23"/>
        </w:rPr>
        <w:t>.</w:t>
      </w:r>
      <w:r w:rsidR="00DF0D9D" w:rsidRPr="00D06054">
        <w:rPr>
          <w:rFonts w:cs="Times New Roman"/>
          <w:sz w:val="23"/>
          <w:szCs w:val="23"/>
        </w:rPr>
        <w:t xml:space="preserve"> Tāpat informatīvajā ziņojumā vērtēta politikas plānošanas</w:t>
      </w:r>
      <w:r w:rsidR="001112A0" w:rsidRPr="00D06054">
        <w:rPr>
          <w:rFonts w:cs="Times New Roman"/>
          <w:sz w:val="23"/>
          <w:szCs w:val="23"/>
        </w:rPr>
        <w:t xml:space="preserve"> dokumenta īstenošanā ieguldīto resursu</w:t>
      </w:r>
      <w:r w:rsidR="00DF0D9D" w:rsidRPr="00D06054">
        <w:rPr>
          <w:rFonts w:cs="Times New Roman"/>
          <w:sz w:val="23"/>
          <w:szCs w:val="23"/>
        </w:rPr>
        <w:t xml:space="preserve"> un to izlietojuma efektivitāti</w:t>
      </w:r>
      <w:r w:rsidR="00E413C2" w:rsidRPr="00D06054">
        <w:rPr>
          <w:rFonts w:cs="Times New Roman"/>
          <w:sz w:val="23"/>
          <w:szCs w:val="23"/>
        </w:rPr>
        <w:t>.</w:t>
      </w:r>
    </w:p>
    <w:p w14:paraId="14213D52" w14:textId="77777777" w:rsidR="00FA718D" w:rsidRDefault="00FA718D">
      <w:pPr>
        <w:rPr>
          <w:rFonts w:cs="Times New Roman"/>
          <w:sz w:val="23"/>
          <w:szCs w:val="23"/>
        </w:rPr>
      </w:pPr>
      <w:r>
        <w:rPr>
          <w:rFonts w:cs="Times New Roman"/>
          <w:sz w:val="23"/>
          <w:szCs w:val="23"/>
        </w:rPr>
        <w:br w:type="page"/>
      </w:r>
    </w:p>
    <w:p w14:paraId="5A3A2CEF" w14:textId="77777777" w:rsidR="00E92A1C" w:rsidRPr="00D46FBB" w:rsidRDefault="00026D6E" w:rsidP="00D46FBB">
      <w:pPr>
        <w:pStyle w:val="Heading1"/>
        <w:shd w:val="clear" w:color="auto" w:fill="1DA0A7"/>
        <w:rPr>
          <w:rStyle w:val="longtext1"/>
          <w:color w:val="FFFFFF" w:themeColor="background1"/>
          <w:sz w:val="28"/>
          <w:szCs w:val="28"/>
        </w:rPr>
      </w:pPr>
      <w:bookmarkStart w:id="4" w:name="_Toc462739794"/>
      <w:bookmarkStart w:id="5" w:name="_Toc462739999"/>
      <w:r w:rsidRPr="00D46FBB">
        <w:rPr>
          <w:rStyle w:val="longtext1"/>
          <w:color w:val="FFFFFF" w:themeColor="background1"/>
          <w:sz w:val="28"/>
          <w:szCs w:val="28"/>
        </w:rPr>
        <w:lastRenderedPageBreak/>
        <w:t xml:space="preserve">1. </w:t>
      </w:r>
      <w:r w:rsidR="00ED5B12" w:rsidRPr="00D46FBB">
        <w:rPr>
          <w:rStyle w:val="longtext1"/>
          <w:color w:val="FFFFFF" w:themeColor="background1"/>
          <w:sz w:val="28"/>
          <w:szCs w:val="28"/>
        </w:rPr>
        <w:t>Makroe</w:t>
      </w:r>
      <w:r w:rsidR="00241D38" w:rsidRPr="00D46FBB">
        <w:rPr>
          <w:rStyle w:val="longtext1"/>
          <w:color w:val="FFFFFF" w:themeColor="background1"/>
          <w:sz w:val="28"/>
          <w:szCs w:val="28"/>
        </w:rPr>
        <w:t>konomisk</w:t>
      </w:r>
      <w:r w:rsidR="00E92A1C" w:rsidRPr="00D46FBB">
        <w:rPr>
          <w:rStyle w:val="longtext1"/>
          <w:color w:val="FFFFFF" w:themeColor="background1"/>
          <w:sz w:val="28"/>
          <w:szCs w:val="28"/>
        </w:rPr>
        <w:t>ais apskats</w:t>
      </w:r>
      <w:bookmarkEnd w:id="4"/>
      <w:bookmarkEnd w:id="5"/>
    </w:p>
    <w:p w14:paraId="04DAA4DE" w14:textId="77777777" w:rsidR="00E413C2" w:rsidRPr="00E413C2" w:rsidRDefault="00E413C2" w:rsidP="00E9146D">
      <w:pPr>
        <w:spacing w:before="240"/>
        <w:ind w:firstLine="426"/>
        <w:jc w:val="both"/>
        <w:rPr>
          <w:rFonts w:cs="Times New Roman"/>
          <w:sz w:val="24"/>
        </w:rPr>
      </w:pPr>
      <w:r w:rsidRPr="00E413C2">
        <w:rPr>
          <w:rFonts w:cs="Times New Roman"/>
          <w:sz w:val="24"/>
        </w:rPr>
        <w:t xml:space="preserve">Latvijā ir sasniegusi ievērojamu ekonomisko progresu globālās finanšu krīzes radīto seku pārvarēšanā. Ir būtiski mazinājušās makroekonomiskās disproporcijas, maksājumu bilances tekošā konta deficīts nepārsniedz 3% no IKP, valsts finanses ir stabilas un valdības parāds ir viens no zemākajiem ES. Kopš 2010. gada beigām ir atjaunojusies ekonomiskā izaugsme, pakāpeniski uzlabojās situācija darba tirgū. </w:t>
      </w:r>
    </w:p>
    <w:p w14:paraId="52F39C88" w14:textId="77777777" w:rsidR="00C475B3" w:rsidRDefault="00C475B3" w:rsidP="00245E5D">
      <w:pPr>
        <w:ind w:firstLine="426"/>
        <w:jc w:val="both"/>
        <w:rPr>
          <w:rFonts w:cs="Times New Roman"/>
          <w:sz w:val="24"/>
        </w:rPr>
      </w:pPr>
      <w:r w:rsidRPr="00C475B3">
        <w:rPr>
          <w:rFonts w:cs="Times New Roman"/>
          <w:sz w:val="24"/>
        </w:rPr>
        <w:t xml:space="preserve">Pēc krīzes atkopšanās izaugsme atsākās diezgan strauji – 2011.gadā pieaugums bija par 6,2% un 2012.g. – par 4%. Ekonomikas izaugsmes dzinējspēks bija eksports. Labvēlīgā ārējā vide, kā arī īstenotās iekšējās devalvācijas politikas rezultātā atgūtā izmaksu konkurētspēja sekmēja tirgojamo nozaru un it īpaši galvenās eksporta nozares – apstrādes rūpniecības – izaugsmi. Izaugsme bija vērojama arī citās eksporta orientētās nozarēs – lauksaimniecībā, mežsaimniecībā, transportā. </w:t>
      </w:r>
    </w:p>
    <w:p w14:paraId="66C8FCF9" w14:textId="77777777" w:rsidR="00E413C2" w:rsidRDefault="00E413C2" w:rsidP="00245E5D">
      <w:pPr>
        <w:ind w:firstLine="426"/>
        <w:jc w:val="both"/>
        <w:rPr>
          <w:rFonts w:cs="Times New Roman"/>
          <w:sz w:val="24"/>
        </w:rPr>
      </w:pPr>
      <w:r w:rsidRPr="00E413C2">
        <w:rPr>
          <w:rFonts w:cs="Times New Roman"/>
          <w:sz w:val="24"/>
        </w:rPr>
        <w:t>Turpmākos trīs gados izaugsmes tempi pakāpeniski palēninājās. 2013.gadā pieauga par 3%, 2014.gadā – par 2,4%  un 2015.gadā – par 2,7%. 2015.gadā IKP bija par gandrīz 5% mazāks nekā pirms krīzes 2007.gadā. Pieauguma tempu palēnināšanos pēdējos gados galvenokārt noteica nelabvēlīgas tendences ārējā vidē – lēnāka izaugsme ES nekā gaidīts, ekonomiskās situācijas pavājināšanās Krievijā un nenoteiktība par strauji augošo Āzijas v</w:t>
      </w:r>
      <w:r w:rsidR="00FA718D">
        <w:rPr>
          <w:rFonts w:cs="Times New Roman"/>
          <w:sz w:val="24"/>
        </w:rPr>
        <w:t>alstu izaugsmes piebremzēšanos.</w:t>
      </w:r>
    </w:p>
    <w:p w14:paraId="479DC80E" w14:textId="77777777" w:rsidR="00B93CF6" w:rsidRDefault="00B93CF6" w:rsidP="00245E5D">
      <w:pPr>
        <w:ind w:firstLine="426"/>
        <w:jc w:val="both"/>
        <w:rPr>
          <w:rFonts w:cs="Times New Roman"/>
          <w:sz w:val="24"/>
        </w:rPr>
      </w:pPr>
    </w:p>
    <w:p w14:paraId="0B1094A2" w14:textId="77777777" w:rsidR="00FA718D" w:rsidRPr="00FA718D" w:rsidRDefault="00FA718D" w:rsidP="00245E5D">
      <w:pPr>
        <w:ind w:firstLine="426"/>
        <w:jc w:val="both"/>
        <w:rPr>
          <w:rFonts w:cs="Times New Roman"/>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5139"/>
      </w:tblGrid>
      <w:tr w:rsidR="00FA718D" w14:paraId="3ED61932" w14:textId="77777777" w:rsidTr="00FA718D">
        <w:trPr>
          <w:jc w:val="center"/>
        </w:trPr>
        <w:tc>
          <w:tcPr>
            <w:tcW w:w="4431" w:type="dxa"/>
          </w:tcPr>
          <w:p w14:paraId="1622D2A3" w14:textId="77777777" w:rsidR="00FA718D" w:rsidRDefault="00FA718D" w:rsidP="00FA718D">
            <w:pPr>
              <w:jc w:val="center"/>
              <w:rPr>
                <w:rFonts w:cs="Times New Roman"/>
                <w:sz w:val="24"/>
              </w:rPr>
            </w:pPr>
            <w:r w:rsidRPr="00E413C2">
              <w:rPr>
                <w:rFonts w:cs="Times New Roman"/>
                <w:b/>
                <w:color w:val="000000" w:themeColor="text1"/>
                <w:sz w:val="20"/>
                <w:szCs w:val="24"/>
              </w:rPr>
              <w:t>IKP dinamika</w:t>
            </w:r>
            <w:r w:rsidRPr="00FA718D">
              <w:rPr>
                <w:rFonts w:cs="Times New Roman"/>
                <w:color w:val="000000" w:themeColor="text1"/>
                <w:sz w:val="20"/>
                <w:szCs w:val="24"/>
              </w:rPr>
              <w:t>, 2004.gads=100</w:t>
            </w:r>
          </w:p>
        </w:tc>
        <w:tc>
          <w:tcPr>
            <w:tcW w:w="5139" w:type="dxa"/>
          </w:tcPr>
          <w:p w14:paraId="50F76B24" w14:textId="77777777" w:rsidR="00FA718D" w:rsidRDefault="00FA718D" w:rsidP="00FA718D">
            <w:pPr>
              <w:jc w:val="center"/>
              <w:rPr>
                <w:rFonts w:cs="Times New Roman"/>
                <w:sz w:val="24"/>
              </w:rPr>
            </w:pPr>
            <w:r w:rsidRPr="00E413C2">
              <w:rPr>
                <w:rFonts w:cs="Times New Roman"/>
                <w:b/>
                <w:color w:val="000000" w:themeColor="text1"/>
                <w:sz w:val="20"/>
                <w:szCs w:val="24"/>
              </w:rPr>
              <w:t>IKP no izlietojuma puses</w:t>
            </w:r>
            <w:r w:rsidRPr="00FA718D">
              <w:rPr>
                <w:rFonts w:cs="Times New Roman"/>
                <w:color w:val="000000" w:themeColor="text1"/>
                <w:sz w:val="20"/>
                <w:szCs w:val="24"/>
              </w:rPr>
              <w:t>, devuma pieaugumā, %</w:t>
            </w:r>
          </w:p>
        </w:tc>
      </w:tr>
      <w:tr w:rsidR="00FA718D" w14:paraId="34A4AC6B" w14:textId="77777777" w:rsidTr="00FA718D">
        <w:trPr>
          <w:jc w:val="center"/>
        </w:trPr>
        <w:tc>
          <w:tcPr>
            <w:tcW w:w="4431" w:type="dxa"/>
          </w:tcPr>
          <w:p w14:paraId="36917A31" w14:textId="77777777" w:rsidR="00FA718D" w:rsidRDefault="00FA718D" w:rsidP="00245E5D">
            <w:pPr>
              <w:jc w:val="both"/>
              <w:rPr>
                <w:rFonts w:cs="Times New Roman"/>
                <w:sz w:val="24"/>
              </w:rPr>
            </w:pPr>
            <w:r w:rsidRPr="00847B71">
              <w:rPr>
                <w:rFonts w:ascii="Arial Narrow" w:hAnsi="Arial Narrow"/>
                <w:noProof/>
                <w:color w:val="2C92AA"/>
                <w:szCs w:val="24"/>
                <w:lang w:eastAsia="lv-LV"/>
              </w:rPr>
              <w:drawing>
                <wp:inline distT="0" distB="0" distL="0" distR="0" wp14:anchorId="7C9DDD9B" wp14:editId="4F4B8442">
                  <wp:extent cx="2676525" cy="1676400"/>
                  <wp:effectExtent l="0" t="0" r="0" b="0"/>
                  <wp:docPr id="3"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39" w:type="dxa"/>
          </w:tcPr>
          <w:p w14:paraId="06097A47" w14:textId="77777777" w:rsidR="00FA718D" w:rsidRDefault="00FA718D" w:rsidP="00245E5D">
            <w:pPr>
              <w:jc w:val="both"/>
              <w:rPr>
                <w:rFonts w:cs="Times New Roman"/>
                <w:sz w:val="24"/>
              </w:rPr>
            </w:pPr>
            <w:r w:rsidRPr="00847B71">
              <w:rPr>
                <w:rFonts w:ascii="Arial Narrow" w:hAnsi="Arial Narrow"/>
                <w:noProof/>
                <w:color w:val="2C92AA"/>
                <w:szCs w:val="24"/>
                <w:lang w:eastAsia="lv-LV"/>
              </w:rPr>
              <w:drawing>
                <wp:inline distT="0" distB="0" distL="0" distR="0" wp14:anchorId="1F1DC90C" wp14:editId="54B68881">
                  <wp:extent cx="3038475" cy="1676400"/>
                  <wp:effectExtent l="0" t="0" r="0" b="0"/>
                  <wp:docPr id="7"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C77484F" w14:textId="77777777" w:rsidR="00D75C78" w:rsidRPr="00D75C78" w:rsidRDefault="00D75C78" w:rsidP="00E413C2">
      <w:pPr>
        <w:tabs>
          <w:tab w:val="center" w:pos="2410"/>
          <w:tab w:val="center" w:pos="7371"/>
        </w:tabs>
        <w:spacing w:after="120"/>
        <w:rPr>
          <w:rFonts w:cs="Times New Roman"/>
          <w:i/>
          <w:color w:val="000000" w:themeColor="text1"/>
          <w:sz w:val="20"/>
          <w:szCs w:val="24"/>
        </w:rPr>
      </w:pPr>
      <w:r w:rsidRPr="00D75C78">
        <w:rPr>
          <w:rFonts w:cs="Times New Roman"/>
          <w:i/>
          <w:color w:val="000000" w:themeColor="text1"/>
          <w:sz w:val="20"/>
          <w:szCs w:val="24"/>
        </w:rPr>
        <w:t>Avots: CSP</w:t>
      </w:r>
    </w:p>
    <w:p w14:paraId="771DC474" w14:textId="77777777" w:rsidR="00B93CF6" w:rsidRDefault="00B93CF6" w:rsidP="007E0FA6">
      <w:pPr>
        <w:ind w:firstLine="426"/>
        <w:jc w:val="both"/>
        <w:rPr>
          <w:rFonts w:cs="Times New Roman"/>
          <w:color w:val="000000" w:themeColor="text1"/>
          <w:sz w:val="24"/>
          <w:szCs w:val="24"/>
        </w:rPr>
      </w:pPr>
    </w:p>
    <w:p w14:paraId="4C069A77" w14:textId="77777777" w:rsidR="00E413C2" w:rsidRPr="00E413C2" w:rsidRDefault="00E413C2" w:rsidP="00E9146D">
      <w:pPr>
        <w:spacing w:after="240"/>
        <w:ind w:firstLine="426"/>
        <w:jc w:val="both"/>
        <w:rPr>
          <w:rFonts w:cs="Times New Roman"/>
          <w:sz w:val="24"/>
          <w:szCs w:val="24"/>
        </w:rPr>
      </w:pPr>
      <w:r w:rsidRPr="00E413C2">
        <w:rPr>
          <w:rFonts w:cs="Times New Roman"/>
          <w:color w:val="000000" w:themeColor="text1"/>
          <w:sz w:val="24"/>
          <w:szCs w:val="24"/>
        </w:rPr>
        <w:t xml:space="preserve">Kopumā jāsecina, ka Latvijas realizētā krīzes pārvarēšanas politika balstīta uz iekšējo devalvāciju, pateicoties elastīgam darba tirgum, nodrošināja relatīvi strauju makroekonomisko līdzsvarošanos un pēckrīzes izaugsmi. Lai arī pašlaik Latvijas ekonomika ir makroekonomiski sabalansēta, tomēr tai trūkst straujākas izaugsmes stimuli. </w:t>
      </w:r>
      <w:r w:rsidRPr="00E413C2">
        <w:rPr>
          <w:rFonts w:eastAsia="Calibri" w:cs="Times New Roman"/>
          <w:sz w:val="24"/>
        </w:rPr>
        <w:t xml:space="preserve">Jāatzīmē, ka pēdējos trīs gados gan iekšējā, gan ārējā pieprasījuma dinamika ir visai svārstīga. Tas nozīmē, ka ekonomikas izaugsmes ikgadējos tempus lielā mērā nosaka īslaicīgi konjunktūras apstākļi. Šādas tendences liecina par neilgtspējīgu konkurētspējas modeli, kuram saglabājoties </w:t>
      </w:r>
      <w:r w:rsidRPr="00E413C2">
        <w:rPr>
          <w:rFonts w:cs="Times New Roman"/>
          <w:sz w:val="24"/>
          <w:szCs w:val="24"/>
        </w:rPr>
        <w:t>ekonomikai ir risks nonākt vidēju ienākumu slazdā.</w:t>
      </w:r>
    </w:p>
    <w:p w14:paraId="346098AE" w14:textId="77777777" w:rsidR="00245E5D" w:rsidRPr="00D46FBB" w:rsidRDefault="00ED5B12" w:rsidP="00D46FBB">
      <w:pPr>
        <w:pStyle w:val="Heading2"/>
        <w:shd w:val="clear" w:color="auto" w:fill="1DA0A7"/>
        <w:rPr>
          <w:b/>
          <w:color w:val="FFFFFF" w:themeColor="background1"/>
        </w:rPr>
      </w:pPr>
      <w:bookmarkStart w:id="6" w:name="_Toc462740000"/>
      <w:r w:rsidRPr="00D46FBB">
        <w:rPr>
          <w:b/>
          <w:color w:val="FFFFFF" w:themeColor="background1"/>
          <w:szCs w:val="24"/>
        </w:rPr>
        <w:t>1.1.</w:t>
      </w:r>
      <w:r w:rsidR="00E413C2" w:rsidRPr="00D46FBB">
        <w:rPr>
          <w:b/>
          <w:color w:val="FFFFFF" w:themeColor="background1"/>
        </w:rPr>
        <w:t>Eksporta tendences</w:t>
      </w:r>
      <w:bookmarkEnd w:id="6"/>
    </w:p>
    <w:p w14:paraId="78CE0FB1" w14:textId="77777777" w:rsidR="00E413C2" w:rsidRDefault="00E413C2" w:rsidP="007E0FA6">
      <w:pPr>
        <w:ind w:firstLine="426"/>
        <w:jc w:val="both"/>
        <w:rPr>
          <w:rFonts w:cs="Times New Roman"/>
          <w:sz w:val="24"/>
        </w:rPr>
      </w:pPr>
      <w:r w:rsidRPr="00E413C2">
        <w:rPr>
          <w:rFonts w:cs="Times New Roman"/>
          <w:sz w:val="24"/>
        </w:rPr>
        <w:t>Latvijas eksporta apjomi laika periodā no 2010. līdz 2015.gadam pieauga par 30% un 2015.gadā vairāk nekā par 25% pārsniedza pirms krīzes līmeni. Tomēr jāatzīmē, ka eksporta dinamika un devums IKP pieaugumā pa gadiem bija visai atšķirīgi. Īpaši strauji eksports pieauga pirmajos trīs gados (ik gadu vidēji par 11%), kamēr kopš 2013.gada eksporta dinamika bija daudz mērenāka (pieaugums vidēji gadā par 1,</w:t>
      </w:r>
      <w:r w:rsidR="007E0FA6">
        <w:rPr>
          <w:rFonts w:cs="Times New Roman"/>
          <w:sz w:val="24"/>
        </w:rPr>
        <w:t>9</w:t>
      </w:r>
      <w:r w:rsidRPr="00E413C2">
        <w:rPr>
          <w:rFonts w:cs="Times New Roman"/>
          <w:sz w:val="24"/>
        </w:rPr>
        <w:t xml:space="preserve">%). </w:t>
      </w:r>
    </w:p>
    <w:p w14:paraId="143CFA41" w14:textId="77777777" w:rsidR="00FA718D" w:rsidRDefault="00FA718D" w:rsidP="007E0FA6">
      <w:pPr>
        <w:ind w:firstLine="426"/>
        <w:jc w:val="both"/>
        <w:rPr>
          <w:rFonts w:cs="Times New Roman"/>
          <w:sz w:val="24"/>
          <w:szCs w:val="24"/>
        </w:rPr>
      </w:pPr>
      <w:r w:rsidRPr="00ED5B12">
        <w:rPr>
          <w:rFonts w:cs="Times New Roman"/>
          <w:sz w:val="24"/>
          <w:szCs w:val="24"/>
        </w:rPr>
        <w:t>Ekonomiskās izaugsmes atjaunošanā pirmajos gados preču eksporta apjomu ievērojamu kāpumu noteica vienlīdz stabils ārējais pieprasījums un Latvijas uzņēmumu konkurētspējas uzlabošanās, saistībā ar darbaspēka izmaksu samazināšanos ekonomikas straujās lejupslīdes gados.</w:t>
      </w:r>
    </w:p>
    <w:p w14:paraId="02595A52" w14:textId="77777777" w:rsidR="00FA718D" w:rsidRDefault="00FA718D" w:rsidP="007E0FA6">
      <w:pPr>
        <w:ind w:firstLine="426"/>
        <w:jc w:val="both"/>
        <w:rPr>
          <w:rFonts w:cs="Times New Roman"/>
          <w:sz w:val="24"/>
          <w:szCs w:val="24"/>
        </w:rPr>
      </w:pPr>
    </w:p>
    <w:p w14:paraId="38EAB2F0" w14:textId="77777777" w:rsidR="00FA718D" w:rsidRDefault="00FA718D" w:rsidP="007E0FA6">
      <w:pPr>
        <w:ind w:firstLine="426"/>
        <w:jc w:val="both"/>
        <w:rPr>
          <w:rFonts w:cs="Times New Roman"/>
          <w:sz w:val="24"/>
          <w:szCs w:val="24"/>
        </w:rPr>
      </w:pPr>
    </w:p>
    <w:p w14:paraId="1EDF6F0B" w14:textId="77777777" w:rsidR="00D46FBB" w:rsidRDefault="00D46FBB" w:rsidP="007E0FA6">
      <w:pPr>
        <w:ind w:firstLine="426"/>
        <w:jc w:val="both"/>
        <w:rPr>
          <w:rFonts w:cs="Times New Roman"/>
          <w:sz w:val="24"/>
          <w:szCs w:val="24"/>
        </w:rPr>
      </w:pPr>
    </w:p>
    <w:p w14:paraId="7CB3B8E8" w14:textId="77777777" w:rsidR="00D46FBB" w:rsidRDefault="00D46FBB" w:rsidP="007E0FA6">
      <w:pPr>
        <w:ind w:firstLine="426"/>
        <w:jc w:val="both"/>
        <w:rPr>
          <w:rFonts w:cs="Times New Roman"/>
          <w:sz w:val="24"/>
          <w:szCs w:val="24"/>
        </w:rPr>
      </w:pPr>
    </w:p>
    <w:p w14:paraId="15C99A2A" w14:textId="77777777" w:rsidR="00D46FBB" w:rsidRDefault="00D46FBB" w:rsidP="007E0FA6">
      <w:pPr>
        <w:ind w:firstLine="426"/>
        <w:jc w:val="both"/>
        <w:rPr>
          <w:rFonts w:cs="Times New Roman"/>
          <w:sz w:val="24"/>
          <w:szCs w:val="24"/>
        </w:rPr>
      </w:pPr>
    </w:p>
    <w:tbl>
      <w:tblPr>
        <w:tblW w:w="0" w:type="auto"/>
        <w:jc w:val="center"/>
        <w:tblLook w:val="04A0" w:firstRow="1" w:lastRow="0" w:firstColumn="1" w:lastColumn="0" w:noHBand="0" w:noVBand="1"/>
      </w:tblPr>
      <w:tblGrid>
        <w:gridCol w:w="3193"/>
        <w:gridCol w:w="3194"/>
        <w:gridCol w:w="3183"/>
      </w:tblGrid>
      <w:tr w:rsidR="00C475B3" w:rsidRPr="00FA718D" w14:paraId="27EE9F3D" w14:textId="77777777" w:rsidTr="00FA718D">
        <w:trPr>
          <w:jc w:val="center"/>
        </w:trPr>
        <w:tc>
          <w:tcPr>
            <w:tcW w:w="3193" w:type="dxa"/>
          </w:tcPr>
          <w:p w14:paraId="722BF6BA" w14:textId="77777777" w:rsidR="00C475B3" w:rsidRPr="00FA718D" w:rsidRDefault="00C475B3" w:rsidP="00C475B3">
            <w:pPr>
              <w:spacing w:after="120" w:line="276" w:lineRule="auto"/>
              <w:ind w:left="-142" w:right="-94"/>
              <w:jc w:val="center"/>
              <w:rPr>
                <w:rFonts w:eastAsia="Calibri" w:cs="Times New Roman"/>
                <w:b/>
                <w:color w:val="000000"/>
                <w:sz w:val="20"/>
                <w:szCs w:val="20"/>
              </w:rPr>
            </w:pPr>
            <w:r w:rsidRPr="00FA718D">
              <w:rPr>
                <w:rFonts w:eastAsia="Calibri" w:cs="Times New Roman"/>
                <w:b/>
                <w:color w:val="000000"/>
                <w:sz w:val="20"/>
                <w:szCs w:val="20"/>
              </w:rPr>
              <w:lastRenderedPageBreak/>
              <w:t>Preču un pakalpojamu eksporta dinamika, %</w:t>
            </w:r>
          </w:p>
        </w:tc>
        <w:tc>
          <w:tcPr>
            <w:tcW w:w="3194" w:type="dxa"/>
          </w:tcPr>
          <w:p w14:paraId="1BA523A0" w14:textId="77777777" w:rsidR="00C475B3" w:rsidRPr="00FA718D" w:rsidRDefault="00C475B3" w:rsidP="00C475B3">
            <w:pPr>
              <w:spacing w:after="120" w:line="276" w:lineRule="auto"/>
              <w:jc w:val="center"/>
              <w:rPr>
                <w:rFonts w:eastAsia="Calibri" w:cs="Times New Roman"/>
                <w:color w:val="000000"/>
                <w:sz w:val="20"/>
                <w:szCs w:val="20"/>
              </w:rPr>
            </w:pPr>
            <w:r w:rsidRPr="00FA718D">
              <w:rPr>
                <w:rFonts w:eastAsia="Calibri" w:cs="Times New Roman"/>
                <w:b/>
                <w:color w:val="000000"/>
                <w:sz w:val="20"/>
                <w:szCs w:val="20"/>
              </w:rPr>
              <w:t>Preču un pakalpojumu eksports</w:t>
            </w:r>
            <w:r w:rsidRPr="00FA718D">
              <w:rPr>
                <w:rFonts w:eastAsia="Calibri" w:cs="Times New Roman"/>
                <w:b/>
                <w:color w:val="000000"/>
                <w:sz w:val="20"/>
                <w:szCs w:val="20"/>
              </w:rPr>
              <w:br/>
            </w:r>
            <w:r w:rsidRPr="00FA718D">
              <w:rPr>
                <w:rFonts w:eastAsia="Calibri" w:cs="Times New Roman"/>
                <w:color w:val="000000"/>
                <w:sz w:val="20"/>
                <w:szCs w:val="20"/>
              </w:rPr>
              <w:t>2004.gads=100</w:t>
            </w:r>
          </w:p>
        </w:tc>
        <w:tc>
          <w:tcPr>
            <w:tcW w:w="3183" w:type="dxa"/>
          </w:tcPr>
          <w:p w14:paraId="295473E3" w14:textId="11BC8CC0" w:rsidR="00C475B3" w:rsidRPr="00FA718D" w:rsidRDefault="00C475B3" w:rsidP="00FC5BEB">
            <w:pPr>
              <w:spacing w:after="120" w:line="276" w:lineRule="auto"/>
              <w:jc w:val="center"/>
              <w:rPr>
                <w:rFonts w:eastAsia="Calibri" w:cs="Times New Roman"/>
                <w:color w:val="000000"/>
                <w:sz w:val="20"/>
                <w:szCs w:val="20"/>
              </w:rPr>
            </w:pPr>
            <w:r w:rsidRPr="00FA718D">
              <w:rPr>
                <w:rFonts w:eastAsia="Arial Unicode MS" w:cs="Times New Roman"/>
                <w:b/>
                <w:color w:val="000000"/>
                <w:sz w:val="20"/>
                <w:szCs w:val="20"/>
              </w:rPr>
              <w:t>Latvijas preču un pakalpojumu eksports</w:t>
            </w:r>
            <w:r w:rsidRPr="00FA718D">
              <w:rPr>
                <w:rFonts w:eastAsia="Arial Unicode MS" w:cs="Times New Roman"/>
                <w:color w:val="000000"/>
                <w:sz w:val="20"/>
                <w:szCs w:val="20"/>
              </w:rPr>
              <w:t xml:space="preserve"> (mljrd. </w:t>
            </w:r>
            <w:r w:rsidR="00FC5BEB">
              <w:rPr>
                <w:rFonts w:eastAsia="Arial Unicode MS" w:cs="Times New Roman"/>
                <w:color w:val="000000"/>
                <w:sz w:val="20"/>
                <w:szCs w:val="20"/>
              </w:rPr>
              <w:t>euro</w:t>
            </w:r>
            <w:r w:rsidRPr="00FA718D">
              <w:rPr>
                <w:rFonts w:eastAsia="Arial Unicode MS" w:cs="Times New Roman"/>
                <w:color w:val="000000"/>
                <w:sz w:val="20"/>
                <w:szCs w:val="20"/>
              </w:rPr>
              <w:t xml:space="preserve"> un procentos)</w:t>
            </w:r>
          </w:p>
        </w:tc>
      </w:tr>
    </w:tbl>
    <w:p w14:paraId="085F9D7D" w14:textId="77777777" w:rsidR="00C475B3" w:rsidRPr="00C475B3" w:rsidRDefault="00C475B3" w:rsidP="00C475B3">
      <w:pPr>
        <w:spacing w:after="200" w:line="276" w:lineRule="auto"/>
        <w:rPr>
          <w:rFonts w:ascii="Arial Narrow" w:eastAsia="Calibri" w:hAnsi="Arial Narrow" w:cs="Times New Roman"/>
          <w:b/>
          <w:sz w:val="20"/>
          <w:szCs w:val="20"/>
        </w:rPr>
      </w:pPr>
      <w:r w:rsidRPr="00FC5BEB">
        <w:rPr>
          <w:rFonts w:eastAsia="Calibri" w:cs="Times New Roman"/>
          <w:noProof/>
          <w:color w:val="000000"/>
          <w:sz w:val="20"/>
          <w:szCs w:val="20"/>
          <w:lang w:eastAsia="lv-LV"/>
        </w:rPr>
        <w:drawing>
          <wp:inline distT="0" distB="0" distL="0" distR="0" wp14:anchorId="799FB113" wp14:editId="34B92CCC">
            <wp:extent cx="2019300" cy="2057400"/>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475B3">
        <w:rPr>
          <w:rFonts w:ascii="Arial Narrow" w:eastAsia="Calibri" w:hAnsi="Arial Narrow" w:cs="Times New Roman"/>
          <w:b/>
          <w:sz w:val="20"/>
          <w:szCs w:val="20"/>
        </w:rPr>
        <w:t xml:space="preserve">  </w:t>
      </w:r>
      <w:r w:rsidRPr="00C475B3">
        <w:rPr>
          <w:rFonts w:ascii="Arial Narrow" w:eastAsia="Calibri" w:hAnsi="Arial Narrow" w:cs="Times New Roman"/>
          <w:b/>
          <w:noProof/>
          <w:sz w:val="20"/>
          <w:szCs w:val="20"/>
          <w:lang w:eastAsia="lv-LV"/>
        </w:rPr>
        <w:drawing>
          <wp:inline distT="0" distB="0" distL="0" distR="0" wp14:anchorId="3B825DDE" wp14:editId="2E15EDE5">
            <wp:extent cx="1876425" cy="1981200"/>
            <wp:effectExtent l="0" t="0" r="0" b="0"/>
            <wp:docPr id="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475B3">
        <w:rPr>
          <w:rFonts w:ascii="Arial Narrow" w:eastAsia="Calibri" w:hAnsi="Arial Narrow" w:cs="Times New Roman"/>
          <w:b/>
          <w:sz w:val="20"/>
          <w:szCs w:val="20"/>
        </w:rPr>
        <w:t xml:space="preserve">  </w:t>
      </w:r>
      <w:r w:rsidRPr="00FC5BEB">
        <w:rPr>
          <w:rFonts w:eastAsia="Calibri" w:cs="Times New Roman"/>
          <w:noProof/>
          <w:color w:val="000000"/>
          <w:sz w:val="20"/>
          <w:szCs w:val="20"/>
          <w:lang w:eastAsia="lv-LV"/>
        </w:rPr>
        <w:drawing>
          <wp:inline distT="0" distB="0" distL="0" distR="0" wp14:anchorId="2B789931" wp14:editId="384E4766">
            <wp:extent cx="1895475" cy="2019300"/>
            <wp:effectExtent l="0" t="0" r="0" b="0"/>
            <wp:docPr id="4"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296BF9" w14:textId="77777777" w:rsidR="00D75C78" w:rsidRPr="00D75C78" w:rsidRDefault="00D75C78" w:rsidP="00D75C78">
      <w:pPr>
        <w:tabs>
          <w:tab w:val="center" w:pos="2410"/>
          <w:tab w:val="center" w:pos="7371"/>
        </w:tabs>
        <w:spacing w:after="120"/>
        <w:rPr>
          <w:rFonts w:cs="Times New Roman"/>
          <w:i/>
          <w:color w:val="000000" w:themeColor="text1"/>
          <w:sz w:val="20"/>
          <w:szCs w:val="24"/>
        </w:rPr>
      </w:pPr>
      <w:r w:rsidRPr="00D75C78">
        <w:rPr>
          <w:rFonts w:cs="Times New Roman"/>
          <w:i/>
          <w:color w:val="000000" w:themeColor="text1"/>
          <w:sz w:val="20"/>
          <w:szCs w:val="24"/>
        </w:rPr>
        <w:t>Avots: CSP</w:t>
      </w:r>
    </w:p>
    <w:p w14:paraId="6B2005B2" w14:textId="77777777" w:rsidR="00E413C2" w:rsidRDefault="00E413C2" w:rsidP="00E413C2">
      <w:pPr>
        <w:spacing w:after="120"/>
        <w:ind w:firstLine="284"/>
        <w:jc w:val="both"/>
        <w:rPr>
          <w:rFonts w:cs="Times New Roman"/>
          <w:sz w:val="24"/>
          <w:szCs w:val="24"/>
        </w:rPr>
      </w:pPr>
      <w:r w:rsidRPr="00ED5B12">
        <w:rPr>
          <w:rFonts w:cs="Times New Roman"/>
          <w:sz w:val="24"/>
          <w:szCs w:val="24"/>
        </w:rPr>
        <w:t>Kopš 2012.gada, vājinoties ekonomikas izaugsmei Latvijas lielākajās ES eksportētājvalstīs, ārējais pieprasījuma devums ievērojami samazinājās un eksporta apjomu pieaugumu galvenokārt noteica konkurētspējas faktori. Savukārt pēdējos gados konkurētspējas faktoru devums ik gadu samazinās un preču eksporta pieaugumu gandrīz pilnībā nosaka ārējais pieprasījums.</w:t>
      </w:r>
    </w:p>
    <w:tbl>
      <w:tblPr>
        <w:tblW w:w="5000" w:type="pct"/>
        <w:tblLook w:val="04A0" w:firstRow="1" w:lastRow="0" w:firstColumn="1" w:lastColumn="0" w:noHBand="0" w:noVBand="1"/>
      </w:tblPr>
      <w:tblGrid>
        <w:gridCol w:w="5000"/>
        <w:gridCol w:w="4781"/>
      </w:tblGrid>
      <w:tr w:rsidR="00E413C2" w:rsidRPr="00ED5B12" w14:paraId="106B8019" w14:textId="77777777" w:rsidTr="00BE3ED7">
        <w:tc>
          <w:tcPr>
            <w:tcW w:w="2556" w:type="pct"/>
          </w:tcPr>
          <w:p w14:paraId="4687807D" w14:textId="77777777" w:rsidR="00E413C2" w:rsidRPr="00ED5B12" w:rsidRDefault="00E413C2" w:rsidP="00BE3ED7">
            <w:pPr>
              <w:spacing w:after="120"/>
              <w:ind w:left="-142" w:right="-142"/>
              <w:jc w:val="center"/>
              <w:rPr>
                <w:rFonts w:cs="Times New Roman"/>
                <w:b/>
                <w:sz w:val="24"/>
                <w:szCs w:val="24"/>
              </w:rPr>
            </w:pPr>
            <w:r w:rsidRPr="00ED5B12">
              <w:rPr>
                <w:rFonts w:cs="Times New Roman"/>
                <w:b/>
                <w:noProof/>
                <w:color w:val="000000"/>
                <w:sz w:val="24"/>
                <w:szCs w:val="24"/>
              </w:rPr>
              <w:t xml:space="preserve">Eksporta izmaiņu sadalījums, </w:t>
            </w:r>
            <w:r w:rsidRPr="00ED5B12">
              <w:rPr>
                <w:rFonts w:cs="Times New Roman"/>
                <w:b/>
                <w:noProof/>
                <w:color w:val="000000"/>
                <w:sz w:val="24"/>
                <w:szCs w:val="24"/>
              </w:rPr>
              <w:br/>
              <w:t>izmantojot patstāvīgās tirgus daļas analīzi</w:t>
            </w:r>
            <w:r w:rsidRPr="00ED5B12">
              <w:rPr>
                <w:rFonts w:cs="Times New Roman"/>
                <w:noProof/>
                <w:color w:val="000000"/>
                <w:sz w:val="24"/>
                <w:szCs w:val="24"/>
              </w:rPr>
              <w:br/>
            </w:r>
            <w:r w:rsidRPr="00ED5B12">
              <w:rPr>
                <w:rFonts w:cs="Times New Roman"/>
                <w:noProof/>
                <w:color w:val="000000"/>
                <w:sz w:val="20"/>
                <w:szCs w:val="24"/>
              </w:rPr>
              <w:t>(Latvijas eksporta uz ES valstīm izmaiņu struktūra, procentos)</w:t>
            </w:r>
          </w:p>
        </w:tc>
        <w:tc>
          <w:tcPr>
            <w:tcW w:w="2444" w:type="pct"/>
          </w:tcPr>
          <w:p w14:paraId="57591AF1" w14:textId="77777777" w:rsidR="00E413C2" w:rsidRPr="00ED5B12" w:rsidRDefault="00E5451E" w:rsidP="00BE3ED7">
            <w:pPr>
              <w:ind w:left="-74" w:right="-144"/>
              <w:jc w:val="center"/>
              <w:rPr>
                <w:rFonts w:cs="Times New Roman"/>
                <w:b/>
                <w:sz w:val="24"/>
                <w:szCs w:val="24"/>
              </w:rPr>
            </w:pPr>
            <w:r>
              <w:rPr>
                <w:rFonts w:cs="Times New Roman"/>
                <w:b/>
                <w:noProof/>
                <w:color w:val="000000"/>
                <w:sz w:val="24"/>
                <w:szCs w:val="24"/>
              </w:rPr>
              <w:t>La</w:t>
            </w:r>
            <w:r w:rsidR="00E413C2" w:rsidRPr="00ED5B12">
              <w:rPr>
                <w:rFonts w:cs="Times New Roman"/>
                <w:b/>
                <w:noProof/>
                <w:color w:val="000000"/>
                <w:sz w:val="24"/>
                <w:szCs w:val="24"/>
              </w:rPr>
              <w:t>tvijas preču eksporta diversifikācija</w:t>
            </w:r>
            <w:r w:rsidR="00E413C2" w:rsidRPr="00ED5B12">
              <w:rPr>
                <w:rFonts w:cs="Times New Roman"/>
                <w:b/>
                <w:noProof/>
                <w:color w:val="000000"/>
                <w:sz w:val="24"/>
                <w:szCs w:val="24"/>
              </w:rPr>
              <w:br/>
            </w:r>
            <w:r w:rsidR="00E413C2" w:rsidRPr="00ED5B12">
              <w:rPr>
                <w:rFonts w:cs="Times New Roman"/>
                <w:noProof/>
                <w:color w:val="000000"/>
                <w:sz w:val="18"/>
                <w:szCs w:val="24"/>
              </w:rPr>
              <w:t>(indekss, aprēķināts, izmantojot KN 2 zīmju klasifikāciju, zemāks rādītājs norāda uz augstāku diversifikācijas pakāpi)</w:t>
            </w:r>
          </w:p>
        </w:tc>
      </w:tr>
      <w:tr w:rsidR="00E413C2" w:rsidRPr="00ED5B12" w14:paraId="075B57FF" w14:textId="77777777" w:rsidTr="00BE3ED7">
        <w:tc>
          <w:tcPr>
            <w:tcW w:w="2556" w:type="pct"/>
          </w:tcPr>
          <w:p w14:paraId="071DEBD1" w14:textId="77777777" w:rsidR="00E413C2" w:rsidRPr="00ED5B12" w:rsidRDefault="00E413C2" w:rsidP="00BE3ED7">
            <w:pPr>
              <w:rPr>
                <w:rFonts w:cs="Times New Roman"/>
                <w:b/>
                <w:sz w:val="24"/>
                <w:szCs w:val="24"/>
              </w:rPr>
            </w:pPr>
            <w:r w:rsidRPr="00ED5B12">
              <w:rPr>
                <w:rFonts w:cs="Times New Roman"/>
                <w:noProof/>
                <w:color w:val="000000"/>
                <w:sz w:val="24"/>
                <w:szCs w:val="24"/>
                <w:lang w:eastAsia="lv-LV"/>
              </w:rPr>
              <w:drawing>
                <wp:inline distT="0" distB="0" distL="0" distR="0" wp14:anchorId="3F753522" wp14:editId="0E84384A">
                  <wp:extent cx="2638425" cy="1714500"/>
                  <wp:effectExtent l="0" t="0" r="0" b="0"/>
                  <wp:docPr id="1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444" w:type="pct"/>
          </w:tcPr>
          <w:p w14:paraId="21EC7543" w14:textId="77777777" w:rsidR="00E413C2" w:rsidRPr="00ED5B12" w:rsidRDefault="00E413C2" w:rsidP="00BE3ED7">
            <w:pPr>
              <w:rPr>
                <w:rFonts w:cs="Times New Roman"/>
                <w:b/>
                <w:sz w:val="24"/>
                <w:szCs w:val="24"/>
              </w:rPr>
            </w:pPr>
            <w:r w:rsidRPr="00ED5B12">
              <w:rPr>
                <w:rFonts w:cs="Times New Roman"/>
                <w:noProof/>
                <w:color w:val="000000"/>
                <w:sz w:val="24"/>
                <w:szCs w:val="24"/>
                <w:lang w:eastAsia="lv-LV"/>
              </w:rPr>
              <w:drawing>
                <wp:inline distT="0" distB="0" distL="0" distR="0" wp14:anchorId="017027AF" wp14:editId="46AF0BE9">
                  <wp:extent cx="2457450" cy="17145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64B7E25" w14:textId="77777777" w:rsidR="00D75C78" w:rsidRPr="00D75C78" w:rsidRDefault="00D75C78" w:rsidP="00AB0133">
      <w:pPr>
        <w:tabs>
          <w:tab w:val="center" w:pos="2410"/>
          <w:tab w:val="center" w:pos="7371"/>
        </w:tabs>
        <w:rPr>
          <w:rFonts w:cs="Times New Roman"/>
          <w:i/>
          <w:color w:val="000000" w:themeColor="text1"/>
          <w:sz w:val="20"/>
          <w:szCs w:val="24"/>
        </w:rPr>
      </w:pPr>
      <w:r w:rsidRPr="00D75C78">
        <w:rPr>
          <w:rFonts w:cs="Times New Roman"/>
          <w:i/>
          <w:color w:val="000000" w:themeColor="text1"/>
          <w:sz w:val="20"/>
          <w:szCs w:val="24"/>
        </w:rPr>
        <w:t>Avots: CSP</w:t>
      </w:r>
    </w:p>
    <w:p w14:paraId="2933273C" w14:textId="77777777" w:rsidR="00AE133C" w:rsidRPr="00D46FBB" w:rsidRDefault="00AE133C" w:rsidP="00C475B3">
      <w:pPr>
        <w:ind w:firstLine="284"/>
        <w:jc w:val="both"/>
        <w:rPr>
          <w:rFonts w:cs="Times New Roman"/>
          <w:sz w:val="14"/>
          <w:szCs w:val="24"/>
        </w:rPr>
      </w:pPr>
    </w:p>
    <w:p w14:paraId="2A7501D0" w14:textId="1A543BDE" w:rsidR="00D46FBB" w:rsidRPr="00C76FE9" w:rsidRDefault="00200A74" w:rsidP="00C76FE9">
      <w:pPr>
        <w:ind w:firstLine="284"/>
        <w:jc w:val="both"/>
        <w:rPr>
          <w:rFonts w:cs="Times New Roman"/>
          <w:sz w:val="24"/>
          <w:szCs w:val="24"/>
        </w:rPr>
      </w:pPr>
      <w:r w:rsidRPr="00FA718D">
        <w:rPr>
          <w:rFonts w:cs="Times New Roman"/>
          <w:sz w:val="24"/>
          <w:szCs w:val="24"/>
        </w:rPr>
        <w:t xml:space="preserve">Salīdzinot ar </w:t>
      </w:r>
      <w:r w:rsidR="00E53C0C" w:rsidRPr="00FA718D">
        <w:rPr>
          <w:rFonts w:cs="Times New Roman"/>
          <w:sz w:val="24"/>
          <w:szCs w:val="24"/>
        </w:rPr>
        <w:t>2006.</w:t>
      </w:r>
      <w:r w:rsidRPr="00FA718D">
        <w:rPr>
          <w:rFonts w:cs="Times New Roman"/>
          <w:sz w:val="24"/>
          <w:szCs w:val="24"/>
        </w:rPr>
        <w:t>gadu</w:t>
      </w:r>
      <w:r w:rsidR="00FC5BEB">
        <w:rPr>
          <w:rFonts w:cs="Times New Roman"/>
          <w:sz w:val="24"/>
          <w:szCs w:val="24"/>
        </w:rPr>
        <w:t>,</w:t>
      </w:r>
      <w:r w:rsidR="00E53C0C" w:rsidRPr="00FA718D">
        <w:rPr>
          <w:rFonts w:cs="Times New Roman"/>
          <w:sz w:val="24"/>
          <w:szCs w:val="24"/>
        </w:rPr>
        <w:t xml:space="preserve"> ir uzlabojusies</w:t>
      </w:r>
      <w:r w:rsidR="00E413C2" w:rsidRPr="00FA718D">
        <w:rPr>
          <w:rFonts w:cs="Times New Roman"/>
          <w:sz w:val="24"/>
          <w:szCs w:val="24"/>
        </w:rPr>
        <w:t xml:space="preserve"> Latvijas preču eksporta diversifikācijas pakāpe. Straujas izaugsmes gados eksporta izaugsmē dominēja dažas lielākās eksporta preču grupas, tādas kā koksne un tās izstrādājumi un metāli. Krīzes laikā eksporta apjomi samazinājās visās preču grupās, tomēr straujāk saruka tieši lielāko eksporta grupu apjomi, kas noteica diversifikācijas rādītāja uzlabošanos. Savukārt atsākoties izaugsmei, eksporta apjomu pieaugumi preču grupu griezumā ir līdzīgāki, kas norāda uz augstāku eksporta diversifikācijas pakāpi. Jāatzīmē, ka Latvijā pēdējos gados šis rādītājs atbilst ES-15 valstu vidējam līmenim.</w:t>
      </w:r>
    </w:p>
    <w:p w14:paraId="65D35A4F" w14:textId="77777777" w:rsidR="00C475B3" w:rsidRPr="00FA718D" w:rsidRDefault="00E413C2" w:rsidP="00D46FBB">
      <w:pPr>
        <w:ind w:firstLine="284"/>
        <w:jc w:val="both"/>
        <w:rPr>
          <w:rFonts w:cs="Times New Roman"/>
          <w:b/>
          <w:color w:val="000000" w:themeColor="text1"/>
          <w:sz w:val="24"/>
          <w:szCs w:val="24"/>
        </w:rPr>
      </w:pPr>
      <w:r w:rsidRPr="00FA718D">
        <w:rPr>
          <w:rFonts w:cs="Times New Roman"/>
          <w:sz w:val="24"/>
          <w:szCs w:val="24"/>
        </w:rPr>
        <w:t xml:space="preserve">Joprojām būtiskākās preču grupas eksportā sastāda lauksaimniecības un pārtikas produkcija, koksne un tās izstrādājumi, mehānismi, ierīces un elektroiekārtas, ķīmiskās rūpniecības un tās saskarnozaru produkcija. </w:t>
      </w:r>
    </w:p>
    <w:p w14:paraId="783C690E" w14:textId="2C8966AD" w:rsidR="00FA718D" w:rsidRPr="00FA718D" w:rsidRDefault="00FA718D" w:rsidP="00FA718D">
      <w:pPr>
        <w:ind w:firstLine="284"/>
        <w:jc w:val="both"/>
        <w:rPr>
          <w:rFonts w:cs="Times New Roman"/>
          <w:sz w:val="24"/>
          <w:szCs w:val="24"/>
        </w:rPr>
      </w:pPr>
      <w:r w:rsidRPr="00FA718D">
        <w:rPr>
          <w:rFonts w:cs="Times New Roman"/>
          <w:sz w:val="24"/>
          <w:szCs w:val="24"/>
        </w:rPr>
        <w:t>Pēdējos trīs gados preču eksporta attīstību veicināja mehānismu un elektroierīču eksporta grupas straujā izaugsme</w:t>
      </w:r>
      <w:r w:rsidR="00FC5BEB">
        <w:rPr>
          <w:rFonts w:cs="Times New Roman"/>
          <w:sz w:val="24"/>
          <w:szCs w:val="24"/>
        </w:rPr>
        <w:t>,</w:t>
      </w:r>
      <w:r w:rsidRPr="00FA718D">
        <w:rPr>
          <w:rFonts w:cs="Times New Roman"/>
          <w:sz w:val="24"/>
          <w:szCs w:val="24"/>
        </w:rPr>
        <w:t xml:space="preserve"> kuras īpatsvars kopējā eksport</w:t>
      </w:r>
      <w:r>
        <w:rPr>
          <w:rFonts w:cs="Times New Roman"/>
          <w:sz w:val="24"/>
          <w:szCs w:val="24"/>
        </w:rPr>
        <w:t>ā trīs gadu laikā pieauga par 5 </w:t>
      </w:r>
      <w:r w:rsidRPr="00FA718D">
        <w:rPr>
          <w:rFonts w:cs="Times New Roman"/>
          <w:sz w:val="24"/>
          <w:szCs w:val="24"/>
        </w:rPr>
        <w:t xml:space="preserve">procentpunktiem. Straujāk nekā kopējais eksports pieauga arī koksnes un tās izstrādājumu eksports. Savukārt lauksaimniecības un pārtikas preču, kā arī minerālo produktu eksportu nelabvēlīgi ietekmēja šo preču cenu samazinājumi pasaulē, kā arī NVS valstu ekonomiskā krīze un Krievijas noteiktie </w:t>
      </w:r>
      <w:r w:rsidRPr="00FA718D">
        <w:rPr>
          <w:rFonts w:cs="Times New Roman"/>
          <w:color w:val="000000"/>
          <w:sz w:val="24"/>
          <w:szCs w:val="24"/>
        </w:rPr>
        <w:t>pārtikas importa ierobežojumi.</w:t>
      </w:r>
      <w:r w:rsidRPr="00FA718D">
        <w:rPr>
          <w:rFonts w:cs="Times New Roman"/>
          <w:sz w:val="24"/>
          <w:szCs w:val="24"/>
        </w:rPr>
        <w:t xml:space="preserve"> Ievērojami samazinājās arī metālu un to izstrādājumu eksporta īpatsvars, ko ietekmēja AS „Liepājas Metalurgs” darbības pārtraukšana</w:t>
      </w:r>
      <w:r w:rsidR="00D46FBB">
        <w:rPr>
          <w:rFonts w:cs="Times New Roman"/>
          <w:sz w:val="24"/>
          <w:szCs w:val="24"/>
        </w:rPr>
        <w:t xml:space="preserve"> 2013.gadā.</w:t>
      </w:r>
      <w:r w:rsidRPr="00FA718D">
        <w:rPr>
          <w:rFonts w:cs="Times New Roman"/>
          <w:sz w:val="24"/>
          <w:szCs w:val="24"/>
        </w:rPr>
        <w:t xml:space="preserve"> </w:t>
      </w:r>
    </w:p>
    <w:tbl>
      <w:tblPr>
        <w:tblStyle w:val="TableGrid"/>
        <w:tblpPr w:leftFromText="180" w:rightFromText="180" w:vertAnchor="text" w:horzAnchor="margin" w:tblpXSpec="right"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tblGrid>
      <w:tr w:rsidR="00D46FBB" w14:paraId="4A75E25B" w14:textId="77777777" w:rsidTr="00D46FBB">
        <w:tc>
          <w:tcPr>
            <w:tcW w:w="6291" w:type="dxa"/>
          </w:tcPr>
          <w:p w14:paraId="40972E8E" w14:textId="3A12A9A8" w:rsidR="00D46FBB" w:rsidRDefault="00D46FBB" w:rsidP="00D46FBB">
            <w:pPr>
              <w:rPr>
                <w:rFonts w:cs="Times New Roman"/>
                <w:color w:val="000000" w:themeColor="text1"/>
                <w:sz w:val="22"/>
                <w:szCs w:val="24"/>
              </w:rPr>
            </w:pPr>
            <w:r w:rsidRPr="00D75C78">
              <w:rPr>
                <w:rFonts w:cs="Times New Roman"/>
                <w:b/>
                <w:color w:val="000000" w:themeColor="text1"/>
                <w:sz w:val="22"/>
                <w:szCs w:val="24"/>
              </w:rPr>
              <w:lastRenderedPageBreak/>
              <w:t>Preču eksports, 2015.gads</w:t>
            </w:r>
            <w:r w:rsidRPr="00FA718D">
              <w:rPr>
                <w:rFonts w:cs="Times New Roman"/>
                <w:color w:val="000000" w:themeColor="text1"/>
                <w:sz w:val="22"/>
                <w:szCs w:val="24"/>
              </w:rPr>
              <w:t xml:space="preserve">, milj. </w:t>
            </w:r>
            <w:r w:rsidR="00FC5BEB">
              <w:rPr>
                <w:rFonts w:cs="Times New Roman"/>
                <w:color w:val="000000" w:themeColor="text1"/>
                <w:sz w:val="22"/>
                <w:szCs w:val="24"/>
              </w:rPr>
              <w:t>euro</w:t>
            </w:r>
          </w:p>
          <w:p w14:paraId="02E1C9CB" w14:textId="77777777" w:rsidR="00D46FBB" w:rsidRPr="00FA718D" w:rsidRDefault="00D46FBB" w:rsidP="00D46FBB">
            <w:pPr>
              <w:rPr>
                <w:rFonts w:cs="Times New Roman"/>
                <w:color w:val="000000" w:themeColor="text1"/>
                <w:sz w:val="22"/>
                <w:szCs w:val="24"/>
              </w:rPr>
            </w:pPr>
            <w:r>
              <w:rPr>
                <w:rFonts w:cs="Times New Roman"/>
                <w:b/>
                <w:noProof/>
                <w:color w:val="000000" w:themeColor="text1"/>
                <w:sz w:val="22"/>
                <w:szCs w:val="24"/>
                <w:lang w:eastAsia="lv-LV"/>
              </w:rPr>
              <w:drawing>
                <wp:inline distT="0" distB="0" distL="0" distR="0" wp14:anchorId="4468D159" wp14:editId="04341143">
                  <wp:extent cx="3857625" cy="34907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1654" cy="3494357"/>
                          </a:xfrm>
                          <a:prstGeom prst="rect">
                            <a:avLst/>
                          </a:prstGeom>
                          <a:noFill/>
                        </pic:spPr>
                      </pic:pic>
                    </a:graphicData>
                  </a:graphic>
                </wp:inline>
              </w:drawing>
            </w:r>
          </w:p>
          <w:p w14:paraId="2B0719CF" w14:textId="77777777" w:rsidR="00D46FBB" w:rsidRDefault="00D46FBB" w:rsidP="00D46FBB">
            <w:pPr>
              <w:jc w:val="both"/>
              <w:rPr>
                <w:rFonts w:cs="Times New Roman"/>
                <w:sz w:val="24"/>
                <w:szCs w:val="24"/>
              </w:rPr>
            </w:pPr>
          </w:p>
        </w:tc>
      </w:tr>
    </w:tbl>
    <w:p w14:paraId="2779AAD5" w14:textId="77777777" w:rsidR="00E413C2" w:rsidRDefault="00E413C2" w:rsidP="00D46FBB">
      <w:pPr>
        <w:ind w:firstLine="426"/>
        <w:jc w:val="both"/>
        <w:rPr>
          <w:rFonts w:cs="Times New Roman"/>
          <w:sz w:val="24"/>
        </w:rPr>
      </w:pPr>
      <w:r w:rsidRPr="00ED5B12">
        <w:rPr>
          <w:rFonts w:cs="Times New Roman"/>
          <w:sz w:val="24"/>
        </w:rPr>
        <w:t xml:space="preserve">Pieaudzis augsto tehnoloģiju produktu eksporta īpatsvars kopējā eksportā: 2012.g. – 6,4%; 2013.g. – 8%; 2014.g. -9,2%. Lai gan augsto tehnoloģiju produktu īpatsvars Latvijas preču eksportā salīdzinājumā ar pārējām ES valstīm un ES vidējo ir neliels, tomēr tam ir tendence palielināties un kopš 2007. gada tas ir pieaudzis gandrīz divas reizes.  </w:t>
      </w:r>
    </w:p>
    <w:p w14:paraId="019B64D4" w14:textId="77777777" w:rsidR="00C76FE9" w:rsidRDefault="00C76FE9" w:rsidP="00FC5BEB">
      <w:pPr>
        <w:ind w:firstLine="426"/>
        <w:jc w:val="both"/>
        <w:rPr>
          <w:rFonts w:cs="Times New Roman"/>
          <w:sz w:val="24"/>
          <w:szCs w:val="24"/>
        </w:rPr>
      </w:pPr>
      <w:r>
        <w:rPr>
          <w:rFonts w:cs="Times New Roman"/>
          <w:sz w:val="24"/>
          <w:szCs w:val="24"/>
        </w:rPr>
        <w:t xml:space="preserve">Vērtējot </w:t>
      </w:r>
      <w:r w:rsidRPr="00C76FE9">
        <w:rPr>
          <w:rFonts w:cs="Times New Roman"/>
          <w:b/>
          <w:sz w:val="24"/>
          <w:szCs w:val="24"/>
        </w:rPr>
        <w:t xml:space="preserve">pamatnostādnēs noteiktās </w:t>
      </w:r>
      <w:r>
        <w:rPr>
          <w:rFonts w:cs="Times New Roman"/>
          <w:b/>
          <w:sz w:val="24"/>
          <w:szCs w:val="24"/>
        </w:rPr>
        <w:t>prioritāro</w:t>
      </w:r>
      <w:r w:rsidRPr="00C76FE9">
        <w:rPr>
          <w:rFonts w:cs="Times New Roman"/>
          <w:b/>
          <w:sz w:val="24"/>
          <w:szCs w:val="24"/>
        </w:rPr>
        <w:t xml:space="preserve"> eksporta nozar</w:t>
      </w:r>
      <w:r>
        <w:rPr>
          <w:rFonts w:cs="Times New Roman"/>
          <w:b/>
          <w:sz w:val="24"/>
          <w:szCs w:val="24"/>
        </w:rPr>
        <w:t>u eksportu</w:t>
      </w:r>
      <w:r>
        <w:rPr>
          <w:rFonts w:cs="Times New Roman"/>
          <w:sz w:val="24"/>
          <w:szCs w:val="24"/>
        </w:rPr>
        <w:t xml:space="preserve">, jāatzīmē, ka tās joprojām ir svarīgas kopējā eksportā. </w:t>
      </w:r>
      <w:r w:rsidR="00AB0133">
        <w:rPr>
          <w:rFonts w:cs="Times New Roman"/>
          <w:sz w:val="24"/>
          <w:szCs w:val="24"/>
        </w:rPr>
        <w:t xml:space="preserve">Ir </w:t>
      </w:r>
      <w:r>
        <w:rPr>
          <w:rFonts w:cs="Times New Roman"/>
          <w:sz w:val="24"/>
          <w:szCs w:val="24"/>
        </w:rPr>
        <w:t>mazinājies</w:t>
      </w:r>
      <w:r w:rsidRPr="0095397B">
        <w:rPr>
          <w:rFonts w:cs="Times New Roman"/>
          <w:sz w:val="24"/>
          <w:szCs w:val="24"/>
        </w:rPr>
        <w:t xml:space="preserve"> metālapstrādes un mašīnbūves nozaru grupas devum</w:t>
      </w:r>
      <w:r>
        <w:rPr>
          <w:rFonts w:cs="Times New Roman"/>
          <w:sz w:val="24"/>
          <w:szCs w:val="24"/>
        </w:rPr>
        <w:t>s</w:t>
      </w:r>
      <w:r w:rsidR="00AB0133">
        <w:rPr>
          <w:rFonts w:cs="Times New Roman"/>
          <w:sz w:val="24"/>
          <w:szCs w:val="24"/>
        </w:rPr>
        <w:t xml:space="preserve"> kopējā eksporta vērtībā - </w:t>
      </w:r>
      <w:r w:rsidRPr="0095397B">
        <w:rPr>
          <w:rFonts w:cs="Times New Roman"/>
          <w:sz w:val="24"/>
          <w:szCs w:val="24"/>
        </w:rPr>
        <w:t>salīdzinot ar 2012.gadu, kad šajā grupā ietilpstošo nozar</w:t>
      </w:r>
      <w:r>
        <w:rPr>
          <w:rFonts w:cs="Times New Roman"/>
          <w:sz w:val="24"/>
          <w:szCs w:val="24"/>
        </w:rPr>
        <w:t>es</w:t>
      </w:r>
      <w:r w:rsidRPr="0095397B">
        <w:rPr>
          <w:rFonts w:cs="Times New Roman"/>
          <w:sz w:val="24"/>
          <w:szCs w:val="24"/>
        </w:rPr>
        <w:t xml:space="preserve"> veidoja vairāk </w:t>
      </w:r>
      <w:r>
        <w:rPr>
          <w:rFonts w:cs="Times New Roman"/>
          <w:sz w:val="24"/>
          <w:szCs w:val="24"/>
        </w:rPr>
        <w:t>nekā</w:t>
      </w:r>
      <w:r w:rsidRPr="0095397B">
        <w:rPr>
          <w:rFonts w:cs="Times New Roman"/>
          <w:sz w:val="24"/>
          <w:szCs w:val="24"/>
        </w:rPr>
        <w:t xml:space="preserve"> 10%</w:t>
      </w:r>
      <w:r>
        <w:rPr>
          <w:rFonts w:cs="Times New Roman"/>
          <w:sz w:val="24"/>
          <w:szCs w:val="24"/>
        </w:rPr>
        <w:t xml:space="preserve"> kopējās eksporta vērtības</w:t>
      </w:r>
      <w:r w:rsidRPr="0095397B">
        <w:rPr>
          <w:rFonts w:cs="Times New Roman"/>
          <w:sz w:val="24"/>
          <w:szCs w:val="24"/>
        </w:rPr>
        <w:t>, 2015.g</w:t>
      </w:r>
      <w:r>
        <w:rPr>
          <w:rFonts w:cs="Times New Roman"/>
          <w:sz w:val="24"/>
          <w:szCs w:val="24"/>
        </w:rPr>
        <w:t xml:space="preserve">adā bija samazinājies uz pusi. </w:t>
      </w:r>
      <w:r w:rsidRPr="006344BA">
        <w:rPr>
          <w:rFonts w:cs="Times New Roman"/>
          <w:sz w:val="24"/>
          <w:szCs w:val="24"/>
        </w:rPr>
        <w:t>Būtisks devums kopējā apstrādes rūpniecības izaugsmē pēdējo 2 gadu laikā ir koksnes un koka izstrādājumu ražošanā (+ 7 %), līdz ar to šo preču eksports veido vairāk kā 12% no kopējā preču eksporta</w:t>
      </w:r>
      <w:r>
        <w:rPr>
          <w:rFonts w:cs="Times New Roman"/>
          <w:sz w:val="24"/>
          <w:szCs w:val="24"/>
        </w:rPr>
        <w:t>.</w:t>
      </w:r>
      <w:r w:rsidRPr="006344BA">
        <w:rPr>
          <w:rFonts w:cs="Times New Roman"/>
          <w:sz w:val="24"/>
          <w:szCs w:val="24"/>
        </w:rPr>
        <w:t xml:space="preserve"> Datoru, elektronisko un optisko iekārtu ražošanā, kas 2015.gadā piedzīvoja 40% izaugsmi pozitīvi ietekmē arī šīs preču grupas nostiprināšanos kopējā saražoto preču vērtībā naudas izteiksmē. Ārējā pieprasījuma mazināšanās un Krievijas Federācijas sankciju ietekmē negatīva ietekme uz </w:t>
      </w:r>
      <w:r w:rsidR="00AB0133">
        <w:rPr>
          <w:rFonts w:cs="Times New Roman"/>
          <w:sz w:val="24"/>
          <w:szCs w:val="24"/>
        </w:rPr>
        <w:t>pārtikas rūpniecību</w:t>
      </w:r>
      <w:r w:rsidRPr="006344BA">
        <w:rPr>
          <w:rFonts w:cs="Times New Roman"/>
          <w:sz w:val="24"/>
          <w:szCs w:val="24"/>
        </w:rPr>
        <w:t xml:space="preserve"> par 5 %, kas mazinājis pārtikas produktu pienesumu kopējā eksporta apjomā. </w:t>
      </w:r>
    </w:p>
    <w:p w14:paraId="4177DC60" w14:textId="77777777" w:rsidR="00C76FE9" w:rsidRPr="007A30C4" w:rsidRDefault="00C76FE9" w:rsidP="00AB0133">
      <w:pPr>
        <w:spacing w:before="240"/>
        <w:jc w:val="center"/>
        <w:rPr>
          <w:b/>
          <w:bCs/>
          <w:sz w:val="20"/>
          <w:szCs w:val="24"/>
        </w:rPr>
      </w:pPr>
      <w:r w:rsidRPr="007A30C4">
        <w:rPr>
          <w:b/>
          <w:bCs/>
          <w:sz w:val="20"/>
          <w:szCs w:val="24"/>
        </w:rPr>
        <w:t>Preču eksports 2012 – 2015.g.</w:t>
      </w:r>
      <w:r>
        <w:rPr>
          <w:b/>
          <w:bCs/>
          <w:sz w:val="20"/>
          <w:szCs w:val="24"/>
        </w:rPr>
        <w:t>,</w:t>
      </w:r>
      <w:r w:rsidRPr="007A30C4">
        <w:rPr>
          <w:b/>
          <w:bCs/>
          <w:sz w:val="20"/>
          <w:szCs w:val="24"/>
        </w:rPr>
        <w:t xml:space="preserve"> </w:t>
      </w:r>
      <w:r>
        <w:rPr>
          <w:bCs/>
          <w:sz w:val="20"/>
          <w:szCs w:val="24"/>
        </w:rPr>
        <w:t>% no kopējās eksporta vērtības</w:t>
      </w:r>
    </w:p>
    <w:p w14:paraId="2E4E3408" w14:textId="77777777" w:rsidR="00C76FE9" w:rsidRPr="008F1B7E" w:rsidRDefault="00C76FE9" w:rsidP="00C76FE9">
      <w:pPr>
        <w:jc w:val="center"/>
        <w:rPr>
          <w:b/>
          <w:bCs/>
          <w:sz w:val="10"/>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1243"/>
        <w:gridCol w:w="1243"/>
        <w:gridCol w:w="2484"/>
      </w:tblGrid>
      <w:tr w:rsidR="00C76FE9" w:rsidRPr="006344BA" w14:paraId="6F7238C0" w14:textId="77777777" w:rsidTr="00C76FE9">
        <w:trPr>
          <w:trHeight w:val="315"/>
          <w:jc w:val="center"/>
        </w:trPr>
        <w:tc>
          <w:tcPr>
            <w:tcW w:w="2459" w:type="pct"/>
            <w:shd w:val="clear" w:color="auto" w:fill="008080"/>
            <w:noWrap/>
            <w:vAlign w:val="center"/>
            <w:hideMark/>
          </w:tcPr>
          <w:p w14:paraId="092EDE18" w14:textId="77777777" w:rsidR="00C76FE9" w:rsidRPr="006344BA" w:rsidRDefault="00C76FE9" w:rsidP="003B02BC">
            <w:pPr>
              <w:jc w:val="center"/>
              <w:rPr>
                <w:rFonts w:eastAsia="Times New Roman" w:cs="Times New Roman"/>
                <w:b/>
                <w:color w:val="FFFFFF" w:themeColor="background1"/>
                <w:sz w:val="18"/>
                <w:szCs w:val="24"/>
                <w:lang w:eastAsia="lv-LV"/>
              </w:rPr>
            </w:pPr>
            <w:r w:rsidRPr="006344BA">
              <w:rPr>
                <w:rFonts w:eastAsia="Times New Roman" w:cs="Times New Roman"/>
                <w:b/>
                <w:color w:val="FFFFFF" w:themeColor="background1"/>
                <w:sz w:val="18"/>
                <w:szCs w:val="24"/>
                <w:lang w:eastAsia="lv-LV"/>
              </w:rPr>
              <w:t>Nozaru grupa</w:t>
            </w:r>
          </w:p>
        </w:tc>
        <w:tc>
          <w:tcPr>
            <w:tcW w:w="635" w:type="pct"/>
            <w:shd w:val="clear" w:color="auto" w:fill="008080"/>
            <w:noWrap/>
            <w:vAlign w:val="center"/>
            <w:hideMark/>
          </w:tcPr>
          <w:p w14:paraId="660AE142" w14:textId="77777777" w:rsidR="00C76FE9" w:rsidRPr="006344BA" w:rsidRDefault="00C76FE9" w:rsidP="003B02BC">
            <w:pPr>
              <w:jc w:val="center"/>
              <w:rPr>
                <w:rFonts w:eastAsia="Times New Roman" w:cs="Times New Roman"/>
                <w:b/>
                <w:color w:val="FFFFFF" w:themeColor="background1"/>
                <w:sz w:val="18"/>
                <w:szCs w:val="24"/>
                <w:lang w:eastAsia="lv-LV"/>
              </w:rPr>
            </w:pPr>
            <w:r w:rsidRPr="006344BA">
              <w:rPr>
                <w:rFonts w:eastAsia="Times New Roman" w:cs="Times New Roman"/>
                <w:b/>
                <w:color w:val="FFFFFF" w:themeColor="background1"/>
                <w:sz w:val="18"/>
                <w:szCs w:val="24"/>
                <w:lang w:eastAsia="lv-LV"/>
              </w:rPr>
              <w:t>2012</w:t>
            </w:r>
          </w:p>
        </w:tc>
        <w:tc>
          <w:tcPr>
            <w:tcW w:w="635" w:type="pct"/>
            <w:shd w:val="clear" w:color="auto" w:fill="008080"/>
            <w:noWrap/>
            <w:vAlign w:val="center"/>
            <w:hideMark/>
          </w:tcPr>
          <w:p w14:paraId="4A709710" w14:textId="77777777" w:rsidR="00C76FE9" w:rsidRPr="006344BA" w:rsidRDefault="00C76FE9" w:rsidP="003B02BC">
            <w:pPr>
              <w:jc w:val="center"/>
              <w:rPr>
                <w:rFonts w:eastAsia="Times New Roman" w:cs="Times New Roman"/>
                <w:b/>
                <w:color w:val="FFFFFF" w:themeColor="background1"/>
                <w:sz w:val="18"/>
                <w:szCs w:val="24"/>
                <w:lang w:eastAsia="lv-LV"/>
              </w:rPr>
            </w:pPr>
            <w:r w:rsidRPr="006344BA">
              <w:rPr>
                <w:rFonts w:eastAsia="Times New Roman" w:cs="Times New Roman"/>
                <w:b/>
                <w:color w:val="FFFFFF" w:themeColor="background1"/>
                <w:sz w:val="18"/>
                <w:szCs w:val="24"/>
                <w:lang w:eastAsia="lv-LV"/>
              </w:rPr>
              <w:t>2015</w:t>
            </w:r>
          </w:p>
        </w:tc>
        <w:tc>
          <w:tcPr>
            <w:tcW w:w="1270" w:type="pct"/>
            <w:shd w:val="clear" w:color="auto" w:fill="008080"/>
          </w:tcPr>
          <w:p w14:paraId="5C6024D7" w14:textId="77777777" w:rsidR="00C76FE9" w:rsidRPr="006344BA" w:rsidRDefault="00C76FE9" w:rsidP="003B02BC">
            <w:pPr>
              <w:jc w:val="center"/>
              <w:rPr>
                <w:rFonts w:eastAsia="Times New Roman" w:cs="Times New Roman"/>
                <w:b/>
                <w:color w:val="FFFFFF" w:themeColor="background1"/>
                <w:sz w:val="18"/>
                <w:szCs w:val="24"/>
                <w:lang w:eastAsia="lv-LV"/>
              </w:rPr>
            </w:pPr>
            <w:r w:rsidRPr="006344BA">
              <w:rPr>
                <w:rFonts w:eastAsia="Times New Roman" w:cs="Times New Roman"/>
                <w:b/>
                <w:color w:val="FFFFFF" w:themeColor="background1"/>
                <w:sz w:val="18"/>
                <w:szCs w:val="24"/>
                <w:lang w:eastAsia="lv-LV"/>
              </w:rPr>
              <w:t>Eksporta vērtības pieaugums 2015.gadā (2012=100)</w:t>
            </w:r>
          </w:p>
        </w:tc>
      </w:tr>
      <w:tr w:rsidR="00C76FE9" w:rsidRPr="006344BA" w14:paraId="19F2B7C4" w14:textId="77777777" w:rsidTr="00C76FE9">
        <w:trPr>
          <w:trHeight w:val="315"/>
          <w:jc w:val="center"/>
        </w:trPr>
        <w:tc>
          <w:tcPr>
            <w:tcW w:w="2459" w:type="pct"/>
            <w:vAlign w:val="center"/>
            <w:hideMark/>
          </w:tcPr>
          <w:p w14:paraId="0BF80621"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Pārtikas rūpniecība</w:t>
            </w:r>
          </w:p>
        </w:tc>
        <w:tc>
          <w:tcPr>
            <w:tcW w:w="635" w:type="pct"/>
            <w:noWrap/>
            <w:vAlign w:val="center"/>
            <w:hideMark/>
          </w:tcPr>
          <w:p w14:paraId="450FD483"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5,3%</w:t>
            </w:r>
          </w:p>
        </w:tc>
        <w:tc>
          <w:tcPr>
            <w:tcW w:w="635" w:type="pct"/>
            <w:noWrap/>
            <w:vAlign w:val="center"/>
            <w:hideMark/>
          </w:tcPr>
          <w:p w14:paraId="0B588C18"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4,6%</w:t>
            </w:r>
          </w:p>
        </w:tc>
        <w:tc>
          <w:tcPr>
            <w:tcW w:w="1270" w:type="pct"/>
          </w:tcPr>
          <w:p w14:paraId="5F033AC6"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-0,47%</w:t>
            </w:r>
          </w:p>
        </w:tc>
      </w:tr>
      <w:tr w:rsidR="00C76FE9" w:rsidRPr="006344BA" w14:paraId="79DEBB6E" w14:textId="77777777" w:rsidTr="00C76FE9">
        <w:trPr>
          <w:trHeight w:val="315"/>
          <w:jc w:val="center"/>
        </w:trPr>
        <w:tc>
          <w:tcPr>
            <w:tcW w:w="2459" w:type="pct"/>
            <w:vAlign w:val="center"/>
            <w:hideMark/>
          </w:tcPr>
          <w:p w14:paraId="0F809B05"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Tekstilrūpniecība</w:t>
            </w:r>
          </w:p>
        </w:tc>
        <w:tc>
          <w:tcPr>
            <w:tcW w:w="635" w:type="pct"/>
            <w:noWrap/>
            <w:vAlign w:val="center"/>
            <w:hideMark/>
          </w:tcPr>
          <w:p w14:paraId="53C7C6DD"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2,4%</w:t>
            </w:r>
          </w:p>
        </w:tc>
        <w:tc>
          <w:tcPr>
            <w:tcW w:w="635" w:type="pct"/>
            <w:noWrap/>
            <w:vAlign w:val="center"/>
            <w:hideMark/>
          </w:tcPr>
          <w:p w14:paraId="3224E108"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1,8%</w:t>
            </w:r>
          </w:p>
        </w:tc>
        <w:tc>
          <w:tcPr>
            <w:tcW w:w="1270" w:type="pct"/>
          </w:tcPr>
          <w:p w14:paraId="4BD9B417"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-0,51%</w:t>
            </w:r>
          </w:p>
        </w:tc>
      </w:tr>
      <w:tr w:rsidR="00C76FE9" w:rsidRPr="006344BA" w14:paraId="081A4906" w14:textId="77777777" w:rsidTr="00C76FE9">
        <w:trPr>
          <w:trHeight w:val="315"/>
          <w:jc w:val="center"/>
        </w:trPr>
        <w:tc>
          <w:tcPr>
            <w:tcW w:w="2459" w:type="pct"/>
            <w:vAlign w:val="center"/>
            <w:hideMark/>
          </w:tcPr>
          <w:p w14:paraId="70C96C6F"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Kokrūpniecība</w:t>
            </w:r>
          </w:p>
        </w:tc>
        <w:tc>
          <w:tcPr>
            <w:tcW w:w="635" w:type="pct"/>
            <w:noWrap/>
            <w:vAlign w:val="center"/>
            <w:hideMark/>
          </w:tcPr>
          <w:p w14:paraId="7A51D9BA"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10,8%</w:t>
            </w:r>
          </w:p>
        </w:tc>
        <w:tc>
          <w:tcPr>
            <w:tcW w:w="635" w:type="pct"/>
            <w:noWrap/>
            <w:vAlign w:val="center"/>
            <w:hideMark/>
          </w:tcPr>
          <w:p w14:paraId="311ABB11"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12,7%</w:t>
            </w:r>
          </w:p>
        </w:tc>
        <w:tc>
          <w:tcPr>
            <w:tcW w:w="1270" w:type="pct"/>
          </w:tcPr>
          <w:p w14:paraId="698756D0"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+2,56%</w:t>
            </w:r>
          </w:p>
        </w:tc>
      </w:tr>
      <w:tr w:rsidR="00C76FE9" w:rsidRPr="006344BA" w14:paraId="54239958" w14:textId="77777777" w:rsidTr="00C76FE9">
        <w:trPr>
          <w:trHeight w:val="315"/>
          <w:jc w:val="center"/>
        </w:trPr>
        <w:tc>
          <w:tcPr>
            <w:tcW w:w="2459" w:type="pct"/>
            <w:vAlign w:val="center"/>
            <w:hideMark/>
          </w:tcPr>
          <w:p w14:paraId="73702E63"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Poligrāfija un ar to saistītās palīgdarbības</w:t>
            </w:r>
          </w:p>
        </w:tc>
        <w:tc>
          <w:tcPr>
            <w:tcW w:w="635" w:type="pct"/>
            <w:noWrap/>
            <w:vAlign w:val="center"/>
            <w:hideMark/>
          </w:tcPr>
          <w:p w14:paraId="31B0898C"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1,4%</w:t>
            </w:r>
          </w:p>
        </w:tc>
        <w:tc>
          <w:tcPr>
            <w:tcW w:w="635" w:type="pct"/>
            <w:noWrap/>
            <w:vAlign w:val="center"/>
            <w:hideMark/>
          </w:tcPr>
          <w:p w14:paraId="5C9983D1"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1,6%</w:t>
            </w:r>
          </w:p>
        </w:tc>
        <w:tc>
          <w:tcPr>
            <w:tcW w:w="1270" w:type="pct"/>
          </w:tcPr>
          <w:p w14:paraId="0862DF77"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+0,27%</w:t>
            </w:r>
          </w:p>
        </w:tc>
      </w:tr>
      <w:tr w:rsidR="00C76FE9" w:rsidRPr="006344BA" w14:paraId="2DDD326F" w14:textId="77777777" w:rsidTr="00C76FE9">
        <w:trPr>
          <w:trHeight w:val="315"/>
          <w:jc w:val="center"/>
        </w:trPr>
        <w:tc>
          <w:tcPr>
            <w:tcW w:w="2459" w:type="pct"/>
            <w:vAlign w:val="center"/>
            <w:hideMark/>
          </w:tcPr>
          <w:p w14:paraId="74BE98E3"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Ķīmiskā rūpniecība un tās saskarnozares</w:t>
            </w:r>
          </w:p>
        </w:tc>
        <w:tc>
          <w:tcPr>
            <w:tcW w:w="635" w:type="pct"/>
            <w:noWrap/>
            <w:vAlign w:val="center"/>
            <w:hideMark/>
          </w:tcPr>
          <w:p w14:paraId="4EFC2716"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4,6%</w:t>
            </w:r>
          </w:p>
        </w:tc>
        <w:tc>
          <w:tcPr>
            <w:tcW w:w="635" w:type="pct"/>
            <w:noWrap/>
            <w:vAlign w:val="center"/>
            <w:hideMark/>
          </w:tcPr>
          <w:p w14:paraId="3A74631D"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3,8%</w:t>
            </w:r>
          </w:p>
        </w:tc>
        <w:tc>
          <w:tcPr>
            <w:tcW w:w="1270" w:type="pct"/>
          </w:tcPr>
          <w:p w14:paraId="1E0B2D7F"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-0,6%</w:t>
            </w:r>
          </w:p>
        </w:tc>
      </w:tr>
      <w:tr w:rsidR="00C76FE9" w:rsidRPr="006344BA" w14:paraId="1CE31AEF" w14:textId="77777777" w:rsidTr="00C76FE9">
        <w:trPr>
          <w:trHeight w:val="315"/>
          <w:jc w:val="center"/>
        </w:trPr>
        <w:tc>
          <w:tcPr>
            <w:tcW w:w="2459" w:type="pct"/>
            <w:vAlign w:val="center"/>
            <w:hideMark/>
          </w:tcPr>
          <w:p w14:paraId="19E4A93D"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Metālapstrāde un mašīnbūve</w:t>
            </w:r>
          </w:p>
        </w:tc>
        <w:tc>
          <w:tcPr>
            <w:tcW w:w="635" w:type="pct"/>
            <w:noWrap/>
            <w:vAlign w:val="center"/>
            <w:hideMark/>
          </w:tcPr>
          <w:p w14:paraId="743D45A0" w14:textId="77777777" w:rsidR="00C76FE9" w:rsidRPr="006344BA" w:rsidRDefault="00C76FE9" w:rsidP="003B02BC">
            <w:pPr>
              <w:jc w:val="center"/>
              <w:rPr>
                <w:rFonts w:eastAsia="Times New Roman" w:cs="Times New Roman"/>
                <w:color w:val="000000"/>
                <w:sz w:val="18"/>
                <w:szCs w:val="24"/>
                <w:lang w:eastAsia="lv-LV"/>
              </w:rPr>
            </w:pPr>
            <w:r w:rsidRPr="006344BA">
              <w:rPr>
                <w:rFonts w:cs="Times New Roman"/>
                <w:sz w:val="18"/>
                <w:szCs w:val="24"/>
              </w:rPr>
              <w:t>12,2%</w:t>
            </w:r>
          </w:p>
        </w:tc>
        <w:tc>
          <w:tcPr>
            <w:tcW w:w="635" w:type="pct"/>
            <w:noWrap/>
            <w:vAlign w:val="center"/>
            <w:hideMark/>
          </w:tcPr>
          <w:p w14:paraId="6DA4FB5D" w14:textId="77777777" w:rsidR="00C76FE9" w:rsidRPr="006344BA" w:rsidRDefault="00C76FE9" w:rsidP="003B02BC">
            <w:pPr>
              <w:jc w:val="center"/>
              <w:rPr>
                <w:rFonts w:eastAsia="Times New Roman" w:cs="Times New Roman"/>
                <w:color w:val="000000"/>
                <w:sz w:val="18"/>
                <w:szCs w:val="24"/>
                <w:lang w:eastAsia="lv-LV"/>
              </w:rPr>
            </w:pPr>
            <w:r w:rsidRPr="006344BA">
              <w:rPr>
                <w:rFonts w:cs="Times New Roman"/>
                <w:sz w:val="18"/>
                <w:szCs w:val="24"/>
              </w:rPr>
              <w:t>6,7%</w:t>
            </w:r>
          </w:p>
        </w:tc>
        <w:tc>
          <w:tcPr>
            <w:tcW w:w="1270" w:type="pct"/>
          </w:tcPr>
          <w:p w14:paraId="6D4C22E2" w14:textId="77777777" w:rsidR="00C76FE9" w:rsidRPr="006344BA" w:rsidRDefault="00C76FE9" w:rsidP="003B02BC">
            <w:pPr>
              <w:jc w:val="center"/>
              <w:rPr>
                <w:rFonts w:cs="Times New Roman"/>
                <w:sz w:val="18"/>
                <w:szCs w:val="24"/>
              </w:rPr>
            </w:pPr>
            <w:r w:rsidRPr="006344BA">
              <w:rPr>
                <w:rFonts w:cs="Times New Roman"/>
                <w:sz w:val="18"/>
                <w:szCs w:val="24"/>
              </w:rPr>
              <w:t>-5,16%</w:t>
            </w:r>
          </w:p>
        </w:tc>
      </w:tr>
      <w:tr w:rsidR="00C76FE9" w:rsidRPr="006344BA" w14:paraId="3621A122" w14:textId="77777777" w:rsidTr="00C76FE9">
        <w:trPr>
          <w:trHeight w:val="281"/>
          <w:jc w:val="center"/>
        </w:trPr>
        <w:tc>
          <w:tcPr>
            <w:tcW w:w="2459" w:type="pct"/>
            <w:vAlign w:val="center"/>
            <w:hideMark/>
          </w:tcPr>
          <w:p w14:paraId="4F8D0CC7"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Elektronika un optisko iekārtu ražošana</w:t>
            </w:r>
          </w:p>
        </w:tc>
        <w:tc>
          <w:tcPr>
            <w:tcW w:w="635" w:type="pct"/>
            <w:noWrap/>
            <w:vAlign w:val="center"/>
            <w:hideMark/>
          </w:tcPr>
          <w:p w14:paraId="713012D8" w14:textId="77777777" w:rsidR="00C76FE9" w:rsidRPr="006344BA" w:rsidRDefault="00C76FE9" w:rsidP="003B02BC">
            <w:pPr>
              <w:jc w:val="center"/>
              <w:rPr>
                <w:rFonts w:eastAsia="Times New Roman" w:cs="Times New Roman"/>
                <w:color w:val="000000"/>
                <w:sz w:val="18"/>
                <w:szCs w:val="24"/>
                <w:lang w:eastAsia="lv-LV"/>
              </w:rPr>
            </w:pPr>
            <w:r w:rsidRPr="006344BA">
              <w:rPr>
                <w:rFonts w:cs="Times New Roman"/>
                <w:sz w:val="18"/>
                <w:szCs w:val="24"/>
              </w:rPr>
              <w:t>1,3%</w:t>
            </w:r>
          </w:p>
        </w:tc>
        <w:tc>
          <w:tcPr>
            <w:tcW w:w="635" w:type="pct"/>
            <w:noWrap/>
            <w:vAlign w:val="center"/>
            <w:hideMark/>
          </w:tcPr>
          <w:p w14:paraId="5C4FDF87" w14:textId="77777777" w:rsidR="00C76FE9" w:rsidRPr="006344BA" w:rsidRDefault="00C76FE9" w:rsidP="003B02BC">
            <w:pPr>
              <w:jc w:val="center"/>
              <w:rPr>
                <w:rFonts w:eastAsia="Times New Roman" w:cs="Times New Roman"/>
                <w:color w:val="000000"/>
                <w:sz w:val="18"/>
                <w:szCs w:val="24"/>
                <w:lang w:eastAsia="lv-LV"/>
              </w:rPr>
            </w:pPr>
            <w:r w:rsidRPr="006344BA">
              <w:rPr>
                <w:rFonts w:cs="Times New Roman"/>
                <w:sz w:val="18"/>
                <w:szCs w:val="24"/>
              </w:rPr>
              <w:t>2,5%</w:t>
            </w:r>
          </w:p>
        </w:tc>
        <w:tc>
          <w:tcPr>
            <w:tcW w:w="1270" w:type="pct"/>
          </w:tcPr>
          <w:p w14:paraId="7F3F3001" w14:textId="77777777" w:rsidR="00C76FE9" w:rsidRPr="006344BA" w:rsidRDefault="00C76FE9" w:rsidP="003B02BC">
            <w:pPr>
              <w:jc w:val="center"/>
              <w:rPr>
                <w:rFonts w:cs="Times New Roman"/>
                <w:sz w:val="18"/>
                <w:szCs w:val="24"/>
              </w:rPr>
            </w:pPr>
            <w:r w:rsidRPr="006344BA">
              <w:rPr>
                <w:rFonts w:cs="Times New Roman"/>
                <w:sz w:val="18"/>
                <w:szCs w:val="24"/>
              </w:rPr>
              <w:t>+1,28%</w:t>
            </w:r>
          </w:p>
        </w:tc>
      </w:tr>
      <w:tr w:rsidR="00C76FE9" w:rsidRPr="006344BA" w14:paraId="2CE7AF0D" w14:textId="77777777" w:rsidTr="00C76FE9">
        <w:trPr>
          <w:trHeight w:val="217"/>
          <w:jc w:val="center"/>
        </w:trPr>
        <w:tc>
          <w:tcPr>
            <w:tcW w:w="2459" w:type="pct"/>
            <w:vAlign w:val="center"/>
            <w:hideMark/>
          </w:tcPr>
          <w:p w14:paraId="432F581D"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Būvniecība un būvmateriālu ražošana</w:t>
            </w:r>
          </w:p>
        </w:tc>
        <w:tc>
          <w:tcPr>
            <w:tcW w:w="635" w:type="pct"/>
            <w:noWrap/>
            <w:vAlign w:val="center"/>
            <w:hideMark/>
          </w:tcPr>
          <w:p w14:paraId="0A54244F"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14,7%</w:t>
            </w:r>
          </w:p>
        </w:tc>
        <w:tc>
          <w:tcPr>
            <w:tcW w:w="635" w:type="pct"/>
            <w:noWrap/>
            <w:vAlign w:val="center"/>
            <w:hideMark/>
          </w:tcPr>
          <w:p w14:paraId="5901A105"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15,9%</w:t>
            </w:r>
          </w:p>
        </w:tc>
        <w:tc>
          <w:tcPr>
            <w:tcW w:w="1270" w:type="pct"/>
          </w:tcPr>
          <w:p w14:paraId="2E8B311B"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color w:val="000000"/>
                <w:sz w:val="18"/>
                <w:szCs w:val="24"/>
                <w:lang w:eastAsia="lv-LV"/>
              </w:rPr>
              <w:t>+1,76%</w:t>
            </w:r>
          </w:p>
        </w:tc>
      </w:tr>
      <w:tr w:rsidR="00C76FE9" w:rsidRPr="006344BA" w14:paraId="16B5C0AE" w14:textId="77777777" w:rsidTr="00C76FE9">
        <w:trPr>
          <w:trHeight w:val="300"/>
          <w:jc w:val="center"/>
        </w:trPr>
        <w:tc>
          <w:tcPr>
            <w:tcW w:w="2459" w:type="pct"/>
            <w:shd w:val="clear" w:color="auto" w:fill="D0CECE" w:themeFill="background2" w:themeFillShade="E6"/>
            <w:noWrap/>
            <w:vAlign w:val="center"/>
            <w:hideMark/>
          </w:tcPr>
          <w:p w14:paraId="4F33622F" w14:textId="77777777" w:rsidR="00C76FE9" w:rsidRPr="006344BA" w:rsidRDefault="00C76FE9" w:rsidP="003B02BC">
            <w:pPr>
              <w:jc w:val="center"/>
              <w:rPr>
                <w:rFonts w:eastAsia="Times New Roman" w:cs="Times New Roman"/>
                <w:color w:val="000000"/>
                <w:sz w:val="18"/>
                <w:szCs w:val="24"/>
                <w:lang w:eastAsia="lv-LV"/>
              </w:rPr>
            </w:pPr>
            <w:r w:rsidRPr="006344BA">
              <w:rPr>
                <w:rFonts w:eastAsia="Times New Roman" w:cs="Times New Roman"/>
                <w:b/>
                <w:bCs/>
                <w:color w:val="000000"/>
                <w:sz w:val="18"/>
                <w:szCs w:val="24"/>
                <w:lang w:eastAsia="lv-LV"/>
              </w:rPr>
              <w:t>Kopējā eksporta vērtība attiecīgajā gadā, tūkst. EUR</w:t>
            </w:r>
          </w:p>
        </w:tc>
        <w:tc>
          <w:tcPr>
            <w:tcW w:w="635" w:type="pct"/>
            <w:shd w:val="clear" w:color="auto" w:fill="D0CECE" w:themeFill="background2" w:themeFillShade="E6"/>
            <w:noWrap/>
            <w:vAlign w:val="center"/>
            <w:hideMark/>
          </w:tcPr>
          <w:p w14:paraId="014A8476" w14:textId="77777777" w:rsidR="00C76FE9" w:rsidRPr="006344BA" w:rsidRDefault="00C76FE9" w:rsidP="003B02BC">
            <w:pPr>
              <w:spacing w:line="360" w:lineRule="auto"/>
              <w:jc w:val="center"/>
              <w:rPr>
                <w:rFonts w:eastAsia="Times New Roman" w:cs="Times New Roman"/>
                <w:b/>
                <w:bCs/>
                <w:color w:val="000000"/>
                <w:sz w:val="18"/>
                <w:szCs w:val="24"/>
                <w:lang w:eastAsia="lv-LV"/>
              </w:rPr>
            </w:pPr>
            <w:r w:rsidRPr="006344BA">
              <w:rPr>
                <w:rFonts w:eastAsia="Times New Roman" w:cs="Times New Roman"/>
                <w:b/>
                <w:bCs/>
                <w:color w:val="000000"/>
                <w:sz w:val="18"/>
                <w:szCs w:val="24"/>
                <w:lang w:eastAsia="lv-LV"/>
              </w:rPr>
              <w:t>9 871 054</w:t>
            </w:r>
          </w:p>
        </w:tc>
        <w:tc>
          <w:tcPr>
            <w:tcW w:w="635" w:type="pct"/>
            <w:shd w:val="clear" w:color="auto" w:fill="D0CECE" w:themeFill="background2" w:themeFillShade="E6"/>
            <w:noWrap/>
            <w:vAlign w:val="center"/>
            <w:hideMark/>
          </w:tcPr>
          <w:p w14:paraId="22C85F1D" w14:textId="77777777" w:rsidR="00C76FE9" w:rsidRPr="006344BA" w:rsidRDefault="00C76FE9" w:rsidP="003B02BC">
            <w:pPr>
              <w:spacing w:line="360" w:lineRule="auto"/>
              <w:jc w:val="center"/>
              <w:rPr>
                <w:rFonts w:eastAsia="Times New Roman" w:cs="Times New Roman"/>
                <w:b/>
                <w:bCs/>
                <w:color w:val="000000"/>
                <w:sz w:val="18"/>
                <w:szCs w:val="24"/>
                <w:lang w:eastAsia="lv-LV"/>
              </w:rPr>
            </w:pPr>
            <w:r w:rsidRPr="006344BA">
              <w:rPr>
                <w:rFonts w:eastAsia="Times New Roman" w:cs="Times New Roman"/>
                <w:b/>
                <w:bCs/>
                <w:color w:val="000000"/>
                <w:sz w:val="18"/>
                <w:szCs w:val="24"/>
                <w:lang w:eastAsia="lv-LV"/>
              </w:rPr>
              <w:t>10 371 537</w:t>
            </w:r>
          </w:p>
        </w:tc>
        <w:tc>
          <w:tcPr>
            <w:tcW w:w="1270" w:type="pct"/>
            <w:shd w:val="clear" w:color="auto" w:fill="D0CECE" w:themeFill="background2" w:themeFillShade="E6"/>
          </w:tcPr>
          <w:p w14:paraId="7BF59082" w14:textId="77777777" w:rsidR="00C76FE9" w:rsidRPr="006344BA" w:rsidRDefault="00C76FE9" w:rsidP="003B02BC">
            <w:pPr>
              <w:spacing w:line="360" w:lineRule="auto"/>
              <w:jc w:val="center"/>
              <w:rPr>
                <w:rFonts w:eastAsia="Times New Roman" w:cs="Times New Roman"/>
                <w:b/>
                <w:bCs/>
                <w:color w:val="000000"/>
                <w:sz w:val="18"/>
                <w:szCs w:val="24"/>
                <w:lang w:eastAsia="lv-LV"/>
              </w:rPr>
            </w:pPr>
            <w:r w:rsidRPr="006344BA">
              <w:rPr>
                <w:rFonts w:eastAsia="Times New Roman" w:cs="Times New Roman"/>
                <w:b/>
                <w:bCs/>
                <w:color w:val="000000"/>
                <w:sz w:val="18"/>
                <w:szCs w:val="24"/>
                <w:lang w:eastAsia="lv-LV"/>
              </w:rPr>
              <w:t>+5,1%</w:t>
            </w:r>
          </w:p>
        </w:tc>
      </w:tr>
    </w:tbl>
    <w:p w14:paraId="55AD8F3A" w14:textId="77777777" w:rsidR="00C76FE9" w:rsidRPr="007A30C4" w:rsidRDefault="00C76FE9" w:rsidP="00C76FE9">
      <w:pPr>
        <w:jc w:val="both"/>
        <w:rPr>
          <w:bCs/>
          <w:i/>
          <w:sz w:val="20"/>
          <w:szCs w:val="24"/>
        </w:rPr>
      </w:pPr>
      <w:r w:rsidRPr="007A30C4">
        <w:rPr>
          <w:bCs/>
          <w:i/>
          <w:sz w:val="20"/>
          <w:szCs w:val="24"/>
        </w:rPr>
        <w:t>Avots: CSP</w:t>
      </w:r>
    </w:p>
    <w:p w14:paraId="7E5C90DD" w14:textId="77777777" w:rsidR="00B62C69" w:rsidRDefault="00B62C69" w:rsidP="00AB0133">
      <w:pPr>
        <w:ind w:firstLine="426"/>
        <w:jc w:val="both"/>
        <w:rPr>
          <w:rFonts w:cs="Times New Roman"/>
          <w:sz w:val="24"/>
        </w:rPr>
      </w:pPr>
    </w:p>
    <w:p w14:paraId="402E6499" w14:textId="77777777" w:rsidR="00B62C69" w:rsidRPr="00AB0133" w:rsidRDefault="00B62C69" w:rsidP="00B62C69">
      <w:pPr>
        <w:ind w:firstLine="426"/>
        <w:jc w:val="both"/>
        <w:rPr>
          <w:rFonts w:cs="Times New Roman"/>
          <w:sz w:val="24"/>
        </w:rPr>
      </w:pPr>
      <w:r w:rsidRPr="00ED5B12">
        <w:rPr>
          <w:rFonts w:cs="Times New Roman"/>
          <w:sz w:val="24"/>
        </w:rPr>
        <w:t xml:space="preserve">Tradicionāli lielākie </w:t>
      </w:r>
      <w:r w:rsidRPr="00AB0133">
        <w:rPr>
          <w:rFonts w:cs="Times New Roman"/>
          <w:b/>
          <w:sz w:val="24"/>
        </w:rPr>
        <w:t>Latvijas eksporta partneri</w:t>
      </w:r>
      <w:r w:rsidRPr="00ED5B12">
        <w:rPr>
          <w:rFonts w:cs="Times New Roman"/>
          <w:sz w:val="24"/>
        </w:rPr>
        <w:t xml:space="preserve"> ir ES valstis, uz kurām Latvija eksportē vairāk nekā 70% no visa eksporta produkcijas. Vairāk nekā </w:t>
      </w:r>
      <w:r>
        <w:rPr>
          <w:rFonts w:cs="Times New Roman"/>
          <w:sz w:val="24"/>
        </w:rPr>
        <w:t>3</w:t>
      </w:r>
      <w:r w:rsidRPr="00ED5B12">
        <w:rPr>
          <w:rFonts w:cs="Times New Roman"/>
          <w:sz w:val="24"/>
        </w:rPr>
        <w:t xml:space="preserve">0% no preču eksporta veido eksports uz Lietuvu un Igauniju. Pēdējos trīs gados preču eksports uz Igauniju </w:t>
      </w:r>
      <w:r>
        <w:rPr>
          <w:rFonts w:cs="Times New Roman"/>
          <w:sz w:val="24"/>
        </w:rPr>
        <w:t>nedaudz samazinājās (par 2%)</w:t>
      </w:r>
      <w:r w:rsidRPr="00ED5B12">
        <w:rPr>
          <w:rFonts w:cs="Times New Roman"/>
          <w:sz w:val="24"/>
        </w:rPr>
        <w:t>, bet uz Lietuvu tas pieauga par gandrīz 8% ik gadu. Uz pārējām ES valstīm preču eksports pieauga mēreni</w:t>
      </w:r>
      <w:r>
        <w:rPr>
          <w:rFonts w:cs="Times New Roman"/>
          <w:sz w:val="24"/>
        </w:rPr>
        <w:t>.</w:t>
      </w:r>
    </w:p>
    <w:p w14:paraId="4ED6143A" w14:textId="5BC4684E" w:rsidR="00B62C69" w:rsidRPr="00C475B3" w:rsidRDefault="00B62C69" w:rsidP="00FC5BEB">
      <w:pPr>
        <w:ind w:firstLine="426"/>
        <w:jc w:val="both"/>
        <w:rPr>
          <w:rFonts w:cs="Times New Roman"/>
          <w:sz w:val="24"/>
        </w:rPr>
      </w:pPr>
      <w:r w:rsidRPr="00C475B3">
        <w:rPr>
          <w:rFonts w:cs="Times New Roman"/>
          <w:sz w:val="24"/>
        </w:rPr>
        <w:t xml:space="preserve">Pēdējos gados ekonomikas izaugsmes tempi ES valstīs kopumā ir mēreni. 2015.gadā ekonomikas izaugsme ES sasniedza 2%. 2015.gadā ES valstu ekonomikas pozitīvi ietekmēja vairāki labvēlīgi faktori, piemēram, zemās naftas cenas, labvēlīgs </w:t>
      </w:r>
      <w:r w:rsidR="00835279" w:rsidRPr="00835279">
        <w:rPr>
          <w:rFonts w:cs="Times New Roman"/>
          <w:i/>
          <w:sz w:val="24"/>
        </w:rPr>
        <w:t>euro</w:t>
      </w:r>
      <w:r w:rsidRPr="00C475B3">
        <w:rPr>
          <w:rFonts w:cs="Times New Roman"/>
          <w:sz w:val="24"/>
        </w:rPr>
        <w:t xml:space="preserve"> kurss, atbalstoši monetārās politikas pasākumi, un augošs valsts patēriņš.</w:t>
      </w:r>
    </w:p>
    <w:p w14:paraId="05D2DC53" w14:textId="77777777" w:rsidR="00C475B3" w:rsidRPr="00C475B3" w:rsidRDefault="00B62C69" w:rsidP="00215E49">
      <w:pPr>
        <w:ind w:firstLine="426"/>
        <w:jc w:val="both"/>
        <w:rPr>
          <w:rFonts w:cs="Times New Roman"/>
          <w:sz w:val="24"/>
        </w:rPr>
      </w:pPr>
      <w:r w:rsidRPr="00B62C69">
        <w:rPr>
          <w:rFonts w:cs="Times New Roman"/>
          <w:noProof/>
          <w:sz w:val="24"/>
          <w:lang w:eastAsia="lv-LV"/>
        </w:rPr>
        <w:lastRenderedPageBreak/>
        <mc:AlternateContent>
          <mc:Choice Requires="wps">
            <w:drawing>
              <wp:anchor distT="45720" distB="45720" distL="114300" distR="114300" simplePos="0" relativeHeight="251672576" behindDoc="0" locked="0" layoutInCell="1" allowOverlap="1" wp14:anchorId="5C86E738" wp14:editId="3E612BCE">
                <wp:simplePos x="0" y="0"/>
                <wp:positionH relativeFrom="column">
                  <wp:posOffset>2922905</wp:posOffset>
                </wp:positionH>
                <wp:positionV relativeFrom="paragraph">
                  <wp:posOffset>2699385</wp:posOffset>
                </wp:positionV>
                <wp:extent cx="3264535" cy="284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284480"/>
                        </a:xfrm>
                        <a:prstGeom prst="rect">
                          <a:avLst/>
                        </a:prstGeom>
                        <a:solidFill>
                          <a:srgbClr val="FFFFFF"/>
                        </a:solidFill>
                        <a:ln w="9525">
                          <a:noFill/>
                          <a:miter lim="800000"/>
                          <a:headEnd/>
                          <a:tailEnd/>
                        </a:ln>
                      </wps:spPr>
                      <wps:txbx>
                        <w:txbxContent>
                          <w:p w14:paraId="544D2E5C" w14:textId="194C23F5" w:rsidR="009B6AB6" w:rsidRPr="00B62C69" w:rsidRDefault="009B6AB6" w:rsidP="00B62C69">
                            <w:pPr>
                              <w:jc w:val="right"/>
                              <w:rPr>
                                <w:rFonts w:cs="Times New Roman"/>
                                <w:color w:val="000000" w:themeColor="text1"/>
                                <w:sz w:val="20"/>
                                <w:szCs w:val="24"/>
                              </w:rPr>
                            </w:pPr>
                            <w:r w:rsidRPr="00AB0133">
                              <w:rPr>
                                <w:rFonts w:cs="Times New Roman"/>
                                <w:b/>
                                <w:color w:val="000000" w:themeColor="text1"/>
                                <w:sz w:val="20"/>
                                <w:szCs w:val="24"/>
                              </w:rPr>
                              <w:t>Latvijas eksporta partnervalstis, 2015.gads</w:t>
                            </w:r>
                            <w:r w:rsidRPr="00AB0133">
                              <w:rPr>
                                <w:rFonts w:cs="Times New Roman"/>
                                <w:color w:val="000000" w:themeColor="text1"/>
                                <w:sz w:val="20"/>
                                <w:szCs w:val="24"/>
                              </w:rPr>
                              <w:t xml:space="preserve">, milj. </w:t>
                            </w:r>
                            <w:r w:rsidRPr="00835279">
                              <w:rPr>
                                <w:rFonts w:cs="Times New Roman"/>
                                <w:i/>
                                <w:color w:val="000000" w:themeColor="text1"/>
                                <w:sz w:val="20"/>
                                <w:szCs w:val="24"/>
                              </w:rPr>
                              <w:t>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6E738" id="_x0000_t202" coordsize="21600,21600" o:spt="202" path="m,l,21600r21600,l21600,xe">
                <v:stroke joinstyle="miter"/>
                <v:path gradientshapeok="t" o:connecttype="rect"/>
              </v:shapetype>
              <v:shape id="Text Box 2" o:spid="_x0000_s1026" type="#_x0000_t202" style="position:absolute;left:0;text-align:left;margin-left:230.15pt;margin-top:212.55pt;width:257.05pt;height:2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" stroked="f">
                <v:textbox>
                  <w:txbxContent>
                    <w:p w14:paraId="544D2E5C" w14:textId="194C23F5" w:rsidR="009B6AB6" w:rsidRPr="00B62C69" w:rsidRDefault="009B6AB6" w:rsidP="00B62C69">
                      <w:pPr>
                        <w:jc w:val="right"/>
                        <w:rPr>
                          <w:rFonts w:cs="Times New Roman"/>
                          <w:color w:val="000000" w:themeColor="text1"/>
                          <w:sz w:val="20"/>
                          <w:szCs w:val="24"/>
                        </w:rPr>
                      </w:pPr>
                      <w:r w:rsidRPr="00AB0133">
                        <w:rPr>
                          <w:rFonts w:cs="Times New Roman"/>
                          <w:b/>
                          <w:color w:val="000000" w:themeColor="text1"/>
                          <w:sz w:val="20"/>
                          <w:szCs w:val="24"/>
                        </w:rPr>
                        <w:t>Latvijas eksporta partnervalstis, 2015.gads</w:t>
                      </w:r>
                      <w:r w:rsidRPr="00AB0133">
                        <w:rPr>
                          <w:rFonts w:cs="Times New Roman"/>
                          <w:color w:val="000000" w:themeColor="text1"/>
                          <w:sz w:val="20"/>
                          <w:szCs w:val="24"/>
                        </w:rPr>
                        <w:t xml:space="preserve">, milj. </w:t>
                      </w:r>
                      <w:proofErr w:type="spellStart"/>
                      <w:r w:rsidRPr="00835279">
                        <w:rPr>
                          <w:rFonts w:cs="Times New Roman"/>
                          <w:i/>
                          <w:color w:val="000000" w:themeColor="text1"/>
                          <w:sz w:val="20"/>
                          <w:szCs w:val="24"/>
                        </w:rPr>
                        <w:t>euro</w:t>
                      </w:r>
                      <w:proofErr w:type="spellEnd"/>
                    </w:p>
                  </w:txbxContent>
                </v:textbox>
                <w10:wrap type="square"/>
              </v:shape>
            </w:pict>
          </mc:Fallback>
        </mc:AlternateContent>
      </w:r>
      <w:r w:rsidRPr="00ED5B12">
        <w:rPr>
          <w:rFonts w:cs="Times New Roman"/>
          <w:b/>
          <w:noProof/>
          <w:sz w:val="24"/>
          <w:lang w:eastAsia="lv-LV"/>
        </w:rPr>
        <w:drawing>
          <wp:anchor distT="0" distB="0" distL="114300" distR="114300" simplePos="0" relativeHeight="251670528" behindDoc="0" locked="0" layoutInCell="1" allowOverlap="1" wp14:anchorId="30DA5D39" wp14:editId="44370FF3">
            <wp:simplePos x="0" y="0"/>
            <wp:positionH relativeFrom="column">
              <wp:posOffset>1894840</wp:posOffset>
            </wp:positionH>
            <wp:positionV relativeFrom="paragraph">
              <wp:posOffset>437</wp:posOffset>
            </wp:positionV>
            <wp:extent cx="4304030" cy="269494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4637" t="23851" r="25217" b="22882"/>
                    <a:stretch/>
                  </pic:blipFill>
                  <pic:spPr bwMode="auto">
                    <a:xfrm>
                      <a:off x="0" y="0"/>
                      <a:ext cx="4304030" cy="269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5B3" w:rsidRPr="00C475B3">
        <w:rPr>
          <w:rFonts w:cs="Times New Roman"/>
          <w:sz w:val="24"/>
        </w:rPr>
        <w:t>Atšķirīgas attīstības tendences pēdējos gados bijušas mūsu lielākajās tirdzniecības partnervalstīs ES. Igaunijas izaugsme pēdējos trīs gados ir bijusi nevienmērīga. Pēc mērenas izaugsmes 2013.gadā, IKP pieaugums 2014.gadā bija tuvu 3%, galvenokārt pateicoties strauji augošajam valsts patēriņam. Savukārt 2015.gadā samazinoties investīcijām un eksportam Igaunijas izaugsme piebremzējās nedaudz pārsniedzot 1% robežu.</w:t>
      </w:r>
    </w:p>
    <w:p w14:paraId="055B1B2C" w14:textId="77777777" w:rsidR="00C475B3" w:rsidRPr="00C475B3" w:rsidRDefault="00C475B3" w:rsidP="00C475B3">
      <w:pPr>
        <w:ind w:firstLine="720"/>
        <w:jc w:val="both"/>
        <w:rPr>
          <w:rFonts w:cs="Times New Roman"/>
          <w:sz w:val="24"/>
        </w:rPr>
      </w:pPr>
      <w:r w:rsidRPr="00C475B3">
        <w:rPr>
          <w:rFonts w:cs="Times New Roman"/>
          <w:sz w:val="24"/>
        </w:rPr>
        <w:t>Lietuvas ekonomikas attīstība 2013.-2014.gadā bija salīdzinoši strauja. To balstīja stabils privātais patēriņš un ievērojams investīciju pieaugums. Savukārt 2015.gadā sarūkot neto eksportam, kopējā izaugsme palēninājās. Izaugsmi veicināja stabils iekšzemes pieprasījums.</w:t>
      </w:r>
    </w:p>
    <w:p w14:paraId="132E113F" w14:textId="77777777" w:rsidR="00D46FBB" w:rsidRPr="005C5B40" w:rsidRDefault="00D46FBB" w:rsidP="00D46FBB">
      <w:pPr>
        <w:ind w:firstLine="426"/>
        <w:jc w:val="both"/>
        <w:rPr>
          <w:rFonts w:cs="Times New Roman"/>
          <w:sz w:val="24"/>
        </w:rPr>
      </w:pPr>
      <w:r w:rsidRPr="005C5B40">
        <w:rPr>
          <w:rFonts w:cs="Times New Roman"/>
          <w:sz w:val="24"/>
        </w:rPr>
        <w:t>Izaugsme Vācijā pēdējos gados ir bijusi nedaudz virs 1% ik gadu. Nedaudz straujāk šajā laika posmā pieauga investīcijas, savukārt privātais patēriņš bija līdzīgs kopējai izaugsmei. Neto eksporta izaugsme Vācijā bija nedaudz virs nulles.</w:t>
      </w:r>
    </w:p>
    <w:p w14:paraId="69586272" w14:textId="77777777" w:rsidR="00D46FBB" w:rsidRPr="005C5B40" w:rsidRDefault="00D46FBB" w:rsidP="00D46FBB">
      <w:pPr>
        <w:ind w:firstLine="426"/>
        <w:jc w:val="both"/>
        <w:rPr>
          <w:rFonts w:cs="Times New Roman"/>
          <w:sz w:val="24"/>
        </w:rPr>
      </w:pPr>
      <w:r w:rsidRPr="005C5B40">
        <w:rPr>
          <w:rFonts w:cs="Times New Roman"/>
          <w:sz w:val="24"/>
        </w:rPr>
        <w:t>Polijā 2013.gadā ekonomikas izaugsme bija mērena (pieaugums par 1,3%), savukārt pēdējos gados IK</w:t>
      </w:r>
      <w:r>
        <w:rPr>
          <w:rFonts w:cs="Times New Roman"/>
          <w:sz w:val="24"/>
        </w:rPr>
        <w:t xml:space="preserve">P pieaugums jau pārsniedza 3%. </w:t>
      </w:r>
      <w:r w:rsidRPr="005C5B40">
        <w:rPr>
          <w:rFonts w:cs="Times New Roman"/>
          <w:sz w:val="24"/>
        </w:rPr>
        <w:t>2015.gadā ekonomikas izaugsme bija straujākā kopš 2011.gada. To pamatā noteica stabils iekšzemes pieprasījuma pieaugums.</w:t>
      </w:r>
    </w:p>
    <w:p w14:paraId="7EC590F8" w14:textId="77777777" w:rsidR="005C5B40" w:rsidRPr="00AB0133" w:rsidRDefault="005C5B40" w:rsidP="00AB0133">
      <w:pPr>
        <w:spacing w:before="120"/>
        <w:jc w:val="center"/>
        <w:rPr>
          <w:rFonts w:cs="Times New Roman"/>
          <w:sz w:val="22"/>
          <w:szCs w:val="20"/>
        </w:rPr>
      </w:pPr>
      <w:r w:rsidRPr="00AB0133">
        <w:rPr>
          <w:rFonts w:cs="Times New Roman"/>
          <w:b/>
          <w:sz w:val="22"/>
        </w:rPr>
        <w:t>Pasaules ekonomikas attīstība</w:t>
      </w:r>
      <w:r w:rsidR="00D46FBB" w:rsidRPr="00AB0133">
        <w:rPr>
          <w:rFonts w:cs="Times New Roman"/>
          <w:b/>
          <w:sz w:val="22"/>
        </w:rPr>
        <w:t xml:space="preserve">, </w:t>
      </w:r>
      <w:r w:rsidRPr="00AB0133">
        <w:rPr>
          <w:rFonts w:cs="Times New Roman"/>
          <w:i/>
          <w:sz w:val="22"/>
          <w:szCs w:val="20"/>
        </w:rPr>
        <w:t>IKP izmaiņas procentos</w:t>
      </w:r>
    </w:p>
    <w:tbl>
      <w:tblPr>
        <w:tblStyle w:val="ListTable5Dark-Accent11"/>
        <w:tblW w:w="5444" w:type="dxa"/>
        <w:jc w:val="center"/>
        <w:tblBorders>
          <w:top w:val="none" w:sz="0" w:space="0" w:color="auto"/>
          <w:left w:val="none" w:sz="0" w:space="0" w:color="auto"/>
          <w:bottom w:val="none" w:sz="0" w:space="0" w:color="auto"/>
          <w:right w:val="none" w:sz="0" w:space="0" w:color="auto"/>
        </w:tblBorders>
        <w:tblLayout w:type="fixed"/>
        <w:tblLook w:val="0420" w:firstRow="1" w:lastRow="0" w:firstColumn="0" w:lastColumn="0" w:noHBand="0" w:noVBand="1"/>
      </w:tblPr>
      <w:tblGrid>
        <w:gridCol w:w="2268"/>
        <w:gridCol w:w="794"/>
        <w:gridCol w:w="794"/>
        <w:gridCol w:w="794"/>
        <w:gridCol w:w="794"/>
      </w:tblGrid>
      <w:tr w:rsidR="005C5B40" w:rsidRPr="00C51B12" w14:paraId="36ADB713" w14:textId="77777777" w:rsidTr="00B62C69">
        <w:trPr>
          <w:cnfStyle w:val="100000000000" w:firstRow="1" w:lastRow="0" w:firstColumn="0" w:lastColumn="0" w:oddVBand="0" w:evenVBand="0" w:oddHBand="0" w:evenHBand="0" w:firstRowFirstColumn="0" w:firstRowLastColumn="0" w:lastRowFirstColumn="0" w:lastRowLastColumn="0"/>
          <w:trHeight w:val="20"/>
          <w:jc w:val="center"/>
        </w:trPr>
        <w:tc>
          <w:tcPr>
            <w:tcW w:w="2268" w:type="dxa"/>
            <w:shd w:val="clear" w:color="auto" w:fill="008080"/>
          </w:tcPr>
          <w:p w14:paraId="7C5766F6" w14:textId="77777777" w:rsidR="005C5B40" w:rsidRPr="00C51B12" w:rsidRDefault="005C5B40" w:rsidP="00B62C69">
            <w:pPr>
              <w:spacing w:after="20"/>
              <w:jc w:val="right"/>
              <w:rPr>
                <w:rFonts w:ascii="Arial Narrow" w:hAnsi="Arial Narrow" w:cs="Segoe UI"/>
                <w:sz w:val="20"/>
                <w:szCs w:val="20"/>
              </w:rPr>
            </w:pPr>
          </w:p>
        </w:tc>
        <w:tc>
          <w:tcPr>
            <w:tcW w:w="794" w:type="dxa"/>
            <w:shd w:val="clear" w:color="auto" w:fill="008080"/>
          </w:tcPr>
          <w:p w14:paraId="4015E8B9" w14:textId="77777777" w:rsidR="005C5B40" w:rsidRPr="00C51B12" w:rsidRDefault="005C5B40" w:rsidP="00D46FBB">
            <w:pPr>
              <w:spacing w:after="20"/>
              <w:jc w:val="center"/>
              <w:rPr>
                <w:rFonts w:ascii="Arial Narrow" w:hAnsi="Arial Narrow" w:cs="Segoe UI"/>
                <w:sz w:val="20"/>
                <w:szCs w:val="20"/>
              </w:rPr>
            </w:pPr>
            <w:r w:rsidRPr="00C51B12">
              <w:rPr>
                <w:rFonts w:ascii="Arial Narrow" w:hAnsi="Arial Narrow" w:cs="Segoe UI"/>
                <w:sz w:val="20"/>
                <w:szCs w:val="20"/>
              </w:rPr>
              <w:t>2013</w:t>
            </w:r>
          </w:p>
        </w:tc>
        <w:tc>
          <w:tcPr>
            <w:tcW w:w="794" w:type="dxa"/>
            <w:shd w:val="clear" w:color="auto" w:fill="008080"/>
          </w:tcPr>
          <w:p w14:paraId="238DD6B4" w14:textId="77777777" w:rsidR="005C5B40" w:rsidRPr="00C51B12" w:rsidRDefault="005C5B40" w:rsidP="00D46FBB">
            <w:pPr>
              <w:spacing w:after="20"/>
              <w:jc w:val="center"/>
              <w:rPr>
                <w:rFonts w:ascii="Arial Narrow" w:hAnsi="Arial Narrow" w:cs="Segoe UI"/>
                <w:sz w:val="20"/>
                <w:szCs w:val="20"/>
              </w:rPr>
            </w:pPr>
            <w:r w:rsidRPr="00C51B12">
              <w:rPr>
                <w:rFonts w:ascii="Arial Narrow" w:hAnsi="Arial Narrow" w:cs="Segoe UI"/>
                <w:sz w:val="20"/>
                <w:szCs w:val="20"/>
              </w:rPr>
              <w:t>2014</w:t>
            </w:r>
          </w:p>
        </w:tc>
        <w:tc>
          <w:tcPr>
            <w:tcW w:w="794" w:type="dxa"/>
            <w:shd w:val="clear" w:color="auto" w:fill="008080"/>
          </w:tcPr>
          <w:p w14:paraId="13727489" w14:textId="77777777" w:rsidR="005C5B40" w:rsidRPr="00C51B12" w:rsidRDefault="005C5B40" w:rsidP="00D46FBB">
            <w:pPr>
              <w:spacing w:after="20"/>
              <w:jc w:val="center"/>
              <w:rPr>
                <w:rFonts w:ascii="Arial Narrow" w:hAnsi="Arial Narrow" w:cs="Segoe UI"/>
                <w:sz w:val="20"/>
                <w:szCs w:val="20"/>
              </w:rPr>
            </w:pPr>
            <w:r w:rsidRPr="00C51B12">
              <w:rPr>
                <w:rFonts w:ascii="Arial Narrow" w:hAnsi="Arial Narrow" w:cs="Segoe UI"/>
                <w:sz w:val="20"/>
                <w:szCs w:val="20"/>
              </w:rPr>
              <w:t>2015</w:t>
            </w:r>
          </w:p>
        </w:tc>
        <w:tc>
          <w:tcPr>
            <w:tcW w:w="794" w:type="dxa"/>
            <w:shd w:val="clear" w:color="auto" w:fill="008080"/>
          </w:tcPr>
          <w:p w14:paraId="28ED67A4" w14:textId="77777777" w:rsidR="005C5B40" w:rsidRPr="00C51B12" w:rsidRDefault="005C5B40" w:rsidP="00D46FBB">
            <w:pPr>
              <w:spacing w:after="20"/>
              <w:jc w:val="center"/>
              <w:rPr>
                <w:rFonts w:ascii="Arial Narrow" w:hAnsi="Arial Narrow" w:cs="Segoe UI"/>
                <w:sz w:val="20"/>
                <w:szCs w:val="20"/>
              </w:rPr>
            </w:pPr>
            <w:r w:rsidRPr="00C51B12">
              <w:rPr>
                <w:rFonts w:ascii="Arial Narrow" w:hAnsi="Arial Narrow" w:cs="Segoe UI"/>
                <w:sz w:val="20"/>
                <w:szCs w:val="20"/>
              </w:rPr>
              <w:t>2016p</w:t>
            </w:r>
          </w:p>
        </w:tc>
      </w:tr>
      <w:tr w:rsidR="005C5B40" w:rsidRPr="001B0A79" w14:paraId="716F8000"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41552C18" w14:textId="77777777" w:rsidR="005C5B40" w:rsidRPr="001B0A79" w:rsidRDefault="005C5B40" w:rsidP="00D46FBB">
            <w:pPr>
              <w:spacing w:after="20"/>
              <w:ind w:left="142" w:right="-113" w:hanging="142"/>
              <w:rPr>
                <w:rFonts w:ascii="Arial Narrow" w:hAnsi="Arial Narrow" w:cs="Segoe UI"/>
                <w:b/>
                <w:color w:val="000000" w:themeColor="text1"/>
                <w:sz w:val="20"/>
                <w:szCs w:val="20"/>
              </w:rPr>
            </w:pPr>
            <w:r w:rsidRPr="001B0A79">
              <w:rPr>
                <w:rFonts w:ascii="Arial Narrow" w:hAnsi="Arial Narrow" w:cs="Segoe UI"/>
                <w:b/>
                <w:color w:val="000000" w:themeColor="text1"/>
                <w:sz w:val="20"/>
                <w:szCs w:val="20"/>
              </w:rPr>
              <w:t>Pasaule</w:t>
            </w:r>
          </w:p>
        </w:tc>
        <w:tc>
          <w:tcPr>
            <w:tcW w:w="794" w:type="dxa"/>
            <w:shd w:val="clear" w:color="auto" w:fill="F2F2F2" w:themeFill="background1" w:themeFillShade="F2"/>
          </w:tcPr>
          <w:p w14:paraId="7B89668A" w14:textId="77777777" w:rsidR="005C5B40" w:rsidRPr="001B0A79" w:rsidRDefault="005C5B40" w:rsidP="00D46FBB">
            <w:pPr>
              <w:spacing w:after="20"/>
              <w:jc w:val="right"/>
              <w:rPr>
                <w:rFonts w:ascii="Arial Narrow" w:hAnsi="Arial Narrow" w:cs="Segoe UI"/>
                <w:b/>
                <w:color w:val="000000" w:themeColor="text1"/>
                <w:sz w:val="20"/>
                <w:szCs w:val="20"/>
              </w:rPr>
            </w:pPr>
            <w:r w:rsidRPr="001B0A79">
              <w:rPr>
                <w:rFonts w:ascii="Arial Narrow" w:hAnsi="Arial Narrow" w:cs="Segoe UI"/>
                <w:b/>
                <w:color w:val="000000" w:themeColor="text1"/>
                <w:sz w:val="20"/>
                <w:szCs w:val="20"/>
              </w:rPr>
              <w:t>3,2</w:t>
            </w:r>
          </w:p>
        </w:tc>
        <w:tc>
          <w:tcPr>
            <w:tcW w:w="794" w:type="dxa"/>
            <w:shd w:val="clear" w:color="auto" w:fill="F2F2F2" w:themeFill="background1" w:themeFillShade="F2"/>
          </w:tcPr>
          <w:p w14:paraId="612FA375" w14:textId="77777777" w:rsidR="005C5B40" w:rsidRPr="001B0A79" w:rsidRDefault="005C5B40" w:rsidP="00D46FBB">
            <w:pPr>
              <w:spacing w:after="20"/>
              <w:jc w:val="right"/>
              <w:rPr>
                <w:rFonts w:ascii="Arial Narrow" w:hAnsi="Arial Narrow" w:cs="Segoe UI"/>
                <w:b/>
                <w:color w:val="000000" w:themeColor="text1"/>
                <w:sz w:val="20"/>
                <w:szCs w:val="20"/>
              </w:rPr>
            </w:pPr>
            <w:r w:rsidRPr="001B0A79">
              <w:rPr>
                <w:rFonts w:ascii="Arial Narrow" w:hAnsi="Arial Narrow" w:cs="Segoe UI"/>
                <w:b/>
                <w:color w:val="000000" w:themeColor="text1"/>
                <w:sz w:val="20"/>
                <w:szCs w:val="20"/>
              </w:rPr>
              <w:t>3,3</w:t>
            </w:r>
          </w:p>
        </w:tc>
        <w:tc>
          <w:tcPr>
            <w:tcW w:w="794" w:type="dxa"/>
            <w:shd w:val="clear" w:color="auto" w:fill="F2F2F2" w:themeFill="background1" w:themeFillShade="F2"/>
          </w:tcPr>
          <w:p w14:paraId="7B9EABEC" w14:textId="77777777" w:rsidR="005C5B40" w:rsidRPr="001B0A79" w:rsidRDefault="005C5B40" w:rsidP="00D46FBB">
            <w:pPr>
              <w:spacing w:after="20"/>
              <w:jc w:val="right"/>
              <w:rPr>
                <w:rFonts w:ascii="Arial Narrow" w:hAnsi="Arial Narrow" w:cs="Segoe UI"/>
                <w:b/>
                <w:color w:val="000000" w:themeColor="text1"/>
                <w:sz w:val="20"/>
                <w:szCs w:val="20"/>
              </w:rPr>
            </w:pPr>
            <w:r w:rsidRPr="001B0A79">
              <w:rPr>
                <w:rFonts w:ascii="Arial Narrow" w:hAnsi="Arial Narrow" w:cs="Segoe UI"/>
                <w:b/>
                <w:color w:val="000000" w:themeColor="text1"/>
                <w:sz w:val="20"/>
                <w:szCs w:val="20"/>
              </w:rPr>
              <w:t>3,0</w:t>
            </w:r>
          </w:p>
        </w:tc>
        <w:tc>
          <w:tcPr>
            <w:tcW w:w="794" w:type="dxa"/>
            <w:shd w:val="clear" w:color="auto" w:fill="F2F2F2" w:themeFill="background1" w:themeFillShade="F2"/>
          </w:tcPr>
          <w:p w14:paraId="11367692" w14:textId="77777777" w:rsidR="005C5B40" w:rsidRPr="001B0A79" w:rsidRDefault="005C5B40" w:rsidP="00D46FBB">
            <w:pPr>
              <w:spacing w:after="20"/>
              <w:jc w:val="right"/>
              <w:rPr>
                <w:rFonts w:ascii="Arial Narrow" w:hAnsi="Arial Narrow" w:cs="Segoe UI"/>
                <w:b/>
                <w:color w:val="000000" w:themeColor="text1"/>
                <w:sz w:val="20"/>
                <w:szCs w:val="20"/>
              </w:rPr>
            </w:pPr>
            <w:r w:rsidRPr="001B0A79">
              <w:rPr>
                <w:rFonts w:ascii="Arial Narrow" w:hAnsi="Arial Narrow" w:cs="Segoe UI"/>
                <w:b/>
                <w:color w:val="000000" w:themeColor="text1"/>
                <w:sz w:val="20"/>
                <w:szCs w:val="20"/>
              </w:rPr>
              <w:t>3,1</w:t>
            </w:r>
          </w:p>
        </w:tc>
      </w:tr>
      <w:tr w:rsidR="005C5B40" w:rsidRPr="001B0A79" w14:paraId="132D58AC" w14:textId="77777777" w:rsidTr="0081417B">
        <w:trPr>
          <w:trHeight w:val="20"/>
          <w:jc w:val="center"/>
        </w:trPr>
        <w:tc>
          <w:tcPr>
            <w:tcW w:w="2268" w:type="dxa"/>
            <w:shd w:val="clear" w:color="auto" w:fill="F2F2F2" w:themeFill="background1" w:themeFillShade="F2"/>
          </w:tcPr>
          <w:p w14:paraId="5D8E6C58" w14:textId="77777777" w:rsidR="005C5B40" w:rsidRPr="001B0A79" w:rsidRDefault="005C5B40" w:rsidP="00D46FBB">
            <w:pPr>
              <w:spacing w:after="20"/>
              <w:ind w:right="-113"/>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ASV</w:t>
            </w:r>
          </w:p>
        </w:tc>
        <w:tc>
          <w:tcPr>
            <w:tcW w:w="794" w:type="dxa"/>
            <w:shd w:val="clear" w:color="auto" w:fill="F2F2F2" w:themeFill="background1" w:themeFillShade="F2"/>
          </w:tcPr>
          <w:p w14:paraId="3BDF5EFC"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1,5</w:t>
            </w:r>
          </w:p>
        </w:tc>
        <w:tc>
          <w:tcPr>
            <w:tcW w:w="794" w:type="dxa"/>
            <w:shd w:val="clear" w:color="auto" w:fill="F2F2F2" w:themeFill="background1" w:themeFillShade="F2"/>
          </w:tcPr>
          <w:p w14:paraId="034BBC6C"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2,4</w:t>
            </w:r>
          </w:p>
        </w:tc>
        <w:tc>
          <w:tcPr>
            <w:tcW w:w="794" w:type="dxa"/>
            <w:shd w:val="clear" w:color="auto" w:fill="F2F2F2" w:themeFill="background1" w:themeFillShade="F2"/>
          </w:tcPr>
          <w:p w14:paraId="0B882AAB"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2,4</w:t>
            </w:r>
          </w:p>
        </w:tc>
        <w:tc>
          <w:tcPr>
            <w:tcW w:w="794" w:type="dxa"/>
            <w:shd w:val="clear" w:color="auto" w:fill="F2F2F2" w:themeFill="background1" w:themeFillShade="F2"/>
          </w:tcPr>
          <w:p w14:paraId="01D994C7"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2,3</w:t>
            </w:r>
          </w:p>
        </w:tc>
      </w:tr>
      <w:tr w:rsidR="005C5B40" w:rsidRPr="001B0A79" w14:paraId="3728529D"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4DAF8685" w14:textId="77777777" w:rsidR="005C5B40" w:rsidRPr="001B0A79" w:rsidRDefault="005C5B40" w:rsidP="00D46FBB">
            <w:pPr>
              <w:spacing w:after="20"/>
              <w:ind w:right="-113"/>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Japāna</w:t>
            </w:r>
          </w:p>
        </w:tc>
        <w:tc>
          <w:tcPr>
            <w:tcW w:w="794" w:type="dxa"/>
            <w:shd w:val="clear" w:color="auto" w:fill="F2F2F2" w:themeFill="background1" w:themeFillShade="F2"/>
          </w:tcPr>
          <w:p w14:paraId="61C8838C"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1,4</w:t>
            </w:r>
          </w:p>
        </w:tc>
        <w:tc>
          <w:tcPr>
            <w:tcW w:w="794" w:type="dxa"/>
            <w:shd w:val="clear" w:color="auto" w:fill="F2F2F2" w:themeFill="background1" w:themeFillShade="F2"/>
          </w:tcPr>
          <w:p w14:paraId="646B7F1A"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0,0</w:t>
            </w:r>
          </w:p>
        </w:tc>
        <w:tc>
          <w:tcPr>
            <w:tcW w:w="794" w:type="dxa"/>
            <w:shd w:val="clear" w:color="auto" w:fill="F2F2F2" w:themeFill="background1" w:themeFillShade="F2"/>
          </w:tcPr>
          <w:p w14:paraId="0AF80235"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0,5</w:t>
            </w:r>
          </w:p>
        </w:tc>
        <w:tc>
          <w:tcPr>
            <w:tcW w:w="794" w:type="dxa"/>
            <w:shd w:val="clear" w:color="auto" w:fill="F2F2F2" w:themeFill="background1" w:themeFillShade="F2"/>
          </w:tcPr>
          <w:p w14:paraId="67796519"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0,8</w:t>
            </w:r>
          </w:p>
        </w:tc>
      </w:tr>
      <w:tr w:rsidR="005C5B40" w:rsidRPr="001B0A79" w14:paraId="07D51237" w14:textId="77777777" w:rsidTr="0081417B">
        <w:trPr>
          <w:trHeight w:val="20"/>
          <w:jc w:val="center"/>
        </w:trPr>
        <w:tc>
          <w:tcPr>
            <w:tcW w:w="2268" w:type="dxa"/>
            <w:shd w:val="clear" w:color="auto" w:fill="F2F2F2" w:themeFill="background1" w:themeFillShade="F2"/>
          </w:tcPr>
          <w:p w14:paraId="20F62568" w14:textId="77777777" w:rsidR="005C5B40" w:rsidRPr="001B0A79" w:rsidRDefault="005C5B40" w:rsidP="00D46FBB">
            <w:pPr>
              <w:spacing w:after="20"/>
              <w:ind w:right="-113"/>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Ķīna</w:t>
            </w:r>
          </w:p>
        </w:tc>
        <w:tc>
          <w:tcPr>
            <w:tcW w:w="794" w:type="dxa"/>
            <w:shd w:val="clear" w:color="auto" w:fill="F2F2F2" w:themeFill="background1" w:themeFillShade="F2"/>
          </w:tcPr>
          <w:p w14:paraId="1E05CE7D"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8,0</w:t>
            </w:r>
          </w:p>
        </w:tc>
        <w:tc>
          <w:tcPr>
            <w:tcW w:w="794" w:type="dxa"/>
            <w:shd w:val="clear" w:color="auto" w:fill="F2F2F2" w:themeFill="background1" w:themeFillShade="F2"/>
          </w:tcPr>
          <w:p w14:paraId="5FCF64BB"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7,3</w:t>
            </w:r>
          </w:p>
        </w:tc>
        <w:tc>
          <w:tcPr>
            <w:tcW w:w="794" w:type="dxa"/>
            <w:shd w:val="clear" w:color="auto" w:fill="F2F2F2" w:themeFill="background1" w:themeFillShade="F2"/>
          </w:tcPr>
          <w:p w14:paraId="3258332D"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6,9</w:t>
            </w:r>
          </w:p>
        </w:tc>
        <w:tc>
          <w:tcPr>
            <w:tcW w:w="794" w:type="dxa"/>
            <w:shd w:val="clear" w:color="auto" w:fill="F2F2F2" w:themeFill="background1" w:themeFillShade="F2"/>
          </w:tcPr>
          <w:p w14:paraId="7CB005A2"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6,5</w:t>
            </w:r>
          </w:p>
        </w:tc>
      </w:tr>
      <w:tr w:rsidR="005C5B40" w:rsidRPr="001B0A79" w14:paraId="70CDE25C"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14286CEC" w14:textId="77777777" w:rsidR="005C5B40" w:rsidRPr="001B0A79" w:rsidRDefault="005C5B40" w:rsidP="00D46FBB">
            <w:pPr>
              <w:spacing w:after="20"/>
              <w:ind w:right="-113"/>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NVS, tai skaitā:</w:t>
            </w:r>
          </w:p>
        </w:tc>
        <w:tc>
          <w:tcPr>
            <w:tcW w:w="794" w:type="dxa"/>
            <w:shd w:val="clear" w:color="auto" w:fill="F2F2F2" w:themeFill="background1" w:themeFillShade="F2"/>
          </w:tcPr>
          <w:p w14:paraId="6DE76243"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2,1</w:t>
            </w:r>
          </w:p>
        </w:tc>
        <w:tc>
          <w:tcPr>
            <w:tcW w:w="794" w:type="dxa"/>
            <w:shd w:val="clear" w:color="auto" w:fill="F2F2F2" w:themeFill="background1" w:themeFillShade="F2"/>
          </w:tcPr>
          <w:p w14:paraId="60B19DF2"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0,9</w:t>
            </w:r>
          </w:p>
        </w:tc>
        <w:tc>
          <w:tcPr>
            <w:tcW w:w="794" w:type="dxa"/>
            <w:shd w:val="clear" w:color="auto" w:fill="F2F2F2" w:themeFill="background1" w:themeFillShade="F2"/>
          </w:tcPr>
          <w:p w14:paraId="190545A0"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-2,9</w:t>
            </w:r>
          </w:p>
        </w:tc>
        <w:tc>
          <w:tcPr>
            <w:tcW w:w="794" w:type="dxa"/>
            <w:shd w:val="clear" w:color="auto" w:fill="F2F2F2" w:themeFill="background1" w:themeFillShade="F2"/>
          </w:tcPr>
          <w:p w14:paraId="7A4CD680"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-1,1</w:t>
            </w:r>
          </w:p>
        </w:tc>
      </w:tr>
      <w:tr w:rsidR="005C5B40" w:rsidRPr="001B0A79" w14:paraId="5F9CEAC8" w14:textId="77777777" w:rsidTr="0081417B">
        <w:trPr>
          <w:trHeight w:val="20"/>
          <w:jc w:val="center"/>
        </w:trPr>
        <w:tc>
          <w:tcPr>
            <w:tcW w:w="2268" w:type="dxa"/>
            <w:shd w:val="clear" w:color="auto" w:fill="F2F2F2" w:themeFill="background1" w:themeFillShade="F2"/>
          </w:tcPr>
          <w:p w14:paraId="2571D8FC"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Krievija</w:t>
            </w:r>
          </w:p>
        </w:tc>
        <w:tc>
          <w:tcPr>
            <w:tcW w:w="794" w:type="dxa"/>
            <w:shd w:val="clear" w:color="auto" w:fill="F2F2F2" w:themeFill="background1" w:themeFillShade="F2"/>
          </w:tcPr>
          <w:p w14:paraId="1B9E153D"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1,3</w:t>
            </w:r>
          </w:p>
        </w:tc>
        <w:tc>
          <w:tcPr>
            <w:tcW w:w="794" w:type="dxa"/>
            <w:shd w:val="clear" w:color="auto" w:fill="F2F2F2" w:themeFill="background1" w:themeFillShade="F2"/>
          </w:tcPr>
          <w:p w14:paraId="1AA188E6"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0,6</w:t>
            </w:r>
          </w:p>
        </w:tc>
        <w:tc>
          <w:tcPr>
            <w:tcW w:w="794" w:type="dxa"/>
            <w:shd w:val="clear" w:color="auto" w:fill="F2F2F2" w:themeFill="background1" w:themeFillShade="F2"/>
          </w:tcPr>
          <w:p w14:paraId="420D9AD3"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-3,7</w:t>
            </w:r>
          </w:p>
        </w:tc>
        <w:tc>
          <w:tcPr>
            <w:tcW w:w="794" w:type="dxa"/>
            <w:shd w:val="clear" w:color="auto" w:fill="F2F2F2" w:themeFill="background1" w:themeFillShade="F2"/>
          </w:tcPr>
          <w:p w14:paraId="1EF95E21"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-1,9</w:t>
            </w:r>
          </w:p>
        </w:tc>
      </w:tr>
      <w:tr w:rsidR="005C5B40" w:rsidRPr="001B0A79" w14:paraId="6828576D"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21E7EFD9" w14:textId="77777777" w:rsidR="005C5B40" w:rsidRPr="001B0A79" w:rsidRDefault="005C5B40" w:rsidP="00D46FBB">
            <w:pPr>
              <w:spacing w:after="20"/>
              <w:ind w:right="-113"/>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Eiropas Savienība, tai skaitā:</w:t>
            </w:r>
          </w:p>
        </w:tc>
        <w:tc>
          <w:tcPr>
            <w:tcW w:w="794" w:type="dxa"/>
            <w:shd w:val="clear" w:color="auto" w:fill="F2F2F2" w:themeFill="background1" w:themeFillShade="F2"/>
          </w:tcPr>
          <w:p w14:paraId="59E90E9A"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0,2</w:t>
            </w:r>
          </w:p>
        </w:tc>
        <w:tc>
          <w:tcPr>
            <w:tcW w:w="794" w:type="dxa"/>
            <w:shd w:val="clear" w:color="auto" w:fill="F2F2F2" w:themeFill="background1" w:themeFillShade="F2"/>
          </w:tcPr>
          <w:p w14:paraId="5CE221AE"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1,4</w:t>
            </w:r>
          </w:p>
        </w:tc>
        <w:tc>
          <w:tcPr>
            <w:tcW w:w="794" w:type="dxa"/>
            <w:shd w:val="clear" w:color="auto" w:fill="F2F2F2" w:themeFill="background1" w:themeFillShade="F2"/>
          </w:tcPr>
          <w:p w14:paraId="6A32F417"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2,0</w:t>
            </w:r>
          </w:p>
        </w:tc>
        <w:tc>
          <w:tcPr>
            <w:tcW w:w="794" w:type="dxa"/>
            <w:shd w:val="clear" w:color="auto" w:fill="F2F2F2" w:themeFill="background1" w:themeFillShade="F2"/>
          </w:tcPr>
          <w:p w14:paraId="3FCAF511"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1,8</w:t>
            </w:r>
          </w:p>
        </w:tc>
      </w:tr>
      <w:tr w:rsidR="005C5B40" w:rsidRPr="001B0A79" w14:paraId="62FC87B6" w14:textId="77777777" w:rsidTr="0081417B">
        <w:trPr>
          <w:trHeight w:val="20"/>
          <w:jc w:val="center"/>
        </w:trPr>
        <w:tc>
          <w:tcPr>
            <w:tcW w:w="2268" w:type="dxa"/>
            <w:shd w:val="clear" w:color="auto" w:fill="F2F2F2" w:themeFill="background1" w:themeFillShade="F2"/>
          </w:tcPr>
          <w:p w14:paraId="6EAEF106"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Vācija</w:t>
            </w:r>
          </w:p>
        </w:tc>
        <w:tc>
          <w:tcPr>
            <w:tcW w:w="794" w:type="dxa"/>
            <w:shd w:val="clear" w:color="auto" w:fill="F2F2F2" w:themeFill="background1" w:themeFillShade="F2"/>
          </w:tcPr>
          <w:p w14:paraId="486159C2"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0,3</w:t>
            </w:r>
          </w:p>
        </w:tc>
        <w:tc>
          <w:tcPr>
            <w:tcW w:w="794" w:type="dxa"/>
            <w:shd w:val="clear" w:color="auto" w:fill="F2F2F2" w:themeFill="background1" w:themeFillShade="F2"/>
          </w:tcPr>
          <w:p w14:paraId="59BD3494"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1,6</w:t>
            </w:r>
          </w:p>
        </w:tc>
        <w:tc>
          <w:tcPr>
            <w:tcW w:w="794" w:type="dxa"/>
            <w:shd w:val="clear" w:color="auto" w:fill="F2F2F2" w:themeFill="background1" w:themeFillShade="F2"/>
          </w:tcPr>
          <w:p w14:paraId="4A96E815"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1,7</w:t>
            </w:r>
          </w:p>
        </w:tc>
        <w:tc>
          <w:tcPr>
            <w:tcW w:w="794" w:type="dxa"/>
            <w:shd w:val="clear" w:color="auto" w:fill="F2F2F2" w:themeFill="background1" w:themeFillShade="F2"/>
          </w:tcPr>
          <w:p w14:paraId="1A525110"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1,6</w:t>
            </w:r>
          </w:p>
        </w:tc>
      </w:tr>
      <w:tr w:rsidR="005C5B40" w:rsidRPr="001B0A79" w14:paraId="629A4825"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0CEF341A"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Zviedrija</w:t>
            </w:r>
          </w:p>
        </w:tc>
        <w:tc>
          <w:tcPr>
            <w:tcW w:w="794" w:type="dxa"/>
            <w:shd w:val="clear" w:color="auto" w:fill="F2F2F2" w:themeFill="background1" w:themeFillShade="F2"/>
          </w:tcPr>
          <w:p w14:paraId="4FAE7AE6"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1,2</w:t>
            </w:r>
          </w:p>
        </w:tc>
        <w:tc>
          <w:tcPr>
            <w:tcW w:w="794" w:type="dxa"/>
            <w:shd w:val="clear" w:color="auto" w:fill="F2F2F2" w:themeFill="background1" w:themeFillShade="F2"/>
          </w:tcPr>
          <w:p w14:paraId="73AD9EE5"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2,3</w:t>
            </w:r>
          </w:p>
        </w:tc>
        <w:tc>
          <w:tcPr>
            <w:tcW w:w="794" w:type="dxa"/>
            <w:shd w:val="clear" w:color="auto" w:fill="F2F2F2" w:themeFill="background1" w:themeFillShade="F2"/>
          </w:tcPr>
          <w:p w14:paraId="66B5B31F"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4,1</w:t>
            </w:r>
          </w:p>
        </w:tc>
        <w:tc>
          <w:tcPr>
            <w:tcW w:w="794" w:type="dxa"/>
            <w:shd w:val="clear" w:color="auto" w:fill="F2F2F2" w:themeFill="background1" w:themeFillShade="F2"/>
          </w:tcPr>
          <w:p w14:paraId="63A596E2"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3,4</w:t>
            </w:r>
          </w:p>
        </w:tc>
      </w:tr>
      <w:tr w:rsidR="005C5B40" w:rsidRPr="001B0A79" w14:paraId="7F9D824F" w14:textId="77777777" w:rsidTr="0081417B">
        <w:trPr>
          <w:trHeight w:val="20"/>
          <w:jc w:val="center"/>
        </w:trPr>
        <w:tc>
          <w:tcPr>
            <w:tcW w:w="2268" w:type="dxa"/>
            <w:shd w:val="clear" w:color="auto" w:fill="F2F2F2" w:themeFill="background1" w:themeFillShade="F2"/>
          </w:tcPr>
          <w:p w14:paraId="53CEB0CC"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Lielbritānija</w:t>
            </w:r>
          </w:p>
        </w:tc>
        <w:tc>
          <w:tcPr>
            <w:tcW w:w="794" w:type="dxa"/>
            <w:shd w:val="clear" w:color="auto" w:fill="F2F2F2" w:themeFill="background1" w:themeFillShade="F2"/>
          </w:tcPr>
          <w:p w14:paraId="3B615787"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2,2</w:t>
            </w:r>
          </w:p>
        </w:tc>
        <w:tc>
          <w:tcPr>
            <w:tcW w:w="794" w:type="dxa"/>
            <w:shd w:val="clear" w:color="auto" w:fill="F2F2F2" w:themeFill="background1" w:themeFillShade="F2"/>
          </w:tcPr>
          <w:p w14:paraId="2067B295"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2,9</w:t>
            </w:r>
          </w:p>
        </w:tc>
        <w:tc>
          <w:tcPr>
            <w:tcW w:w="794" w:type="dxa"/>
            <w:shd w:val="clear" w:color="auto" w:fill="F2F2F2" w:themeFill="background1" w:themeFillShade="F2"/>
          </w:tcPr>
          <w:p w14:paraId="453ABE1E"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2,3</w:t>
            </w:r>
          </w:p>
        </w:tc>
        <w:tc>
          <w:tcPr>
            <w:tcW w:w="794" w:type="dxa"/>
            <w:shd w:val="clear" w:color="auto" w:fill="F2F2F2" w:themeFill="background1" w:themeFillShade="F2"/>
          </w:tcPr>
          <w:p w14:paraId="799C6361"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1,8</w:t>
            </w:r>
          </w:p>
        </w:tc>
      </w:tr>
      <w:tr w:rsidR="005C5B40" w:rsidRPr="001B0A79" w14:paraId="6CECFE82"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589D1D7D" w14:textId="77777777" w:rsidR="005C5B40" w:rsidRPr="001B0A79" w:rsidRDefault="005C5B40" w:rsidP="00D46FBB">
            <w:pPr>
              <w:spacing w:after="20"/>
              <w:ind w:right="-113" w:firstLine="176"/>
              <w:rPr>
                <w:rFonts w:ascii="Arial Narrow" w:hAnsi="Arial Narrow" w:cs="Segoe UI"/>
                <w:color w:val="000000" w:themeColor="text1"/>
                <w:sz w:val="20"/>
                <w:szCs w:val="20"/>
              </w:rPr>
            </w:pPr>
            <w:r>
              <w:rPr>
                <w:rFonts w:ascii="Arial Narrow" w:hAnsi="Arial Narrow" w:cs="Segoe UI"/>
                <w:color w:val="000000" w:themeColor="text1"/>
                <w:sz w:val="20"/>
                <w:szCs w:val="20"/>
              </w:rPr>
              <w:t>Polija</w:t>
            </w:r>
          </w:p>
        </w:tc>
        <w:tc>
          <w:tcPr>
            <w:tcW w:w="794" w:type="dxa"/>
            <w:shd w:val="clear" w:color="auto" w:fill="F2F2F2" w:themeFill="background1" w:themeFillShade="F2"/>
          </w:tcPr>
          <w:p w14:paraId="1E8129F1" w14:textId="77777777" w:rsidR="005C5B40" w:rsidRPr="001B0A79" w:rsidRDefault="005C5B40" w:rsidP="00D46FBB">
            <w:pPr>
              <w:spacing w:after="20"/>
              <w:jc w:val="right"/>
              <w:rPr>
                <w:rFonts w:ascii="Arial Narrow" w:hAnsi="Arial Narrow" w:cs="Segoe UI"/>
                <w:color w:val="000000" w:themeColor="text1"/>
                <w:sz w:val="20"/>
                <w:szCs w:val="20"/>
              </w:rPr>
            </w:pPr>
            <w:r>
              <w:rPr>
                <w:rFonts w:ascii="Arial Narrow" w:hAnsi="Arial Narrow" w:cs="Segoe UI"/>
                <w:color w:val="000000" w:themeColor="text1"/>
                <w:sz w:val="20"/>
                <w:szCs w:val="20"/>
              </w:rPr>
              <w:t>1,3</w:t>
            </w:r>
          </w:p>
        </w:tc>
        <w:tc>
          <w:tcPr>
            <w:tcW w:w="794" w:type="dxa"/>
            <w:shd w:val="clear" w:color="auto" w:fill="F2F2F2" w:themeFill="background1" w:themeFillShade="F2"/>
          </w:tcPr>
          <w:p w14:paraId="5C32BABF" w14:textId="77777777" w:rsidR="005C5B40" w:rsidRPr="001B0A79" w:rsidRDefault="005C5B40" w:rsidP="00D46FBB">
            <w:pPr>
              <w:spacing w:after="20"/>
              <w:jc w:val="right"/>
              <w:rPr>
                <w:rFonts w:ascii="Arial Narrow" w:hAnsi="Arial Narrow" w:cs="Segoe UI"/>
                <w:color w:val="000000" w:themeColor="text1"/>
                <w:sz w:val="20"/>
                <w:szCs w:val="20"/>
              </w:rPr>
            </w:pPr>
            <w:r>
              <w:rPr>
                <w:rFonts w:ascii="Arial Narrow" w:hAnsi="Arial Narrow" w:cs="Segoe UI"/>
                <w:color w:val="000000" w:themeColor="text1"/>
                <w:sz w:val="20"/>
                <w:szCs w:val="20"/>
              </w:rPr>
              <w:t>3,3</w:t>
            </w:r>
          </w:p>
        </w:tc>
        <w:tc>
          <w:tcPr>
            <w:tcW w:w="794" w:type="dxa"/>
            <w:shd w:val="clear" w:color="auto" w:fill="F2F2F2" w:themeFill="background1" w:themeFillShade="F2"/>
          </w:tcPr>
          <w:p w14:paraId="21331412" w14:textId="77777777" w:rsidR="005C5B40" w:rsidRPr="001B0A79" w:rsidRDefault="005C5B40" w:rsidP="00D46FBB">
            <w:pPr>
              <w:spacing w:after="20"/>
              <w:jc w:val="right"/>
              <w:rPr>
                <w:rFonts w:ascii="Arial Narrow" w:hAnsi="Arial Narrow" w:cs="Segoe UI"/>
                <w:color w:val="000000" w:themeColor="text1"/>
                <w:sz w:val="20"/>
                <w:szCs w:val="20"/>
              </w:rPr>
            </w:pPr>
            <w:r>
              <w:rPr>
                <w:rFonts w:ascii="Arial Narrow" w:hAnsi="Arial Narrow" w:cs="Segoe UI"/>
                <w:color w:val="000000" w:themeColor="text1"/>
                <w:sz w:val="20"/>
                <w:szCs w:val="20"/>
              </w:rPr>
              <w:t>3,6</w:t>
            </w:r>
          </w:p>
        </w:tc>
        <w:tc>
          <w:tcPr>
            <w:tcW w:w="794" w:type="dxa"/>
            <w:shd w:val="clear" w:color="auto" w:fill="F2F2F2" w:themeFill="background1" w:themeFillShade="F2"/>
          </w:tcPr>
          <w:p w14:paraId="3F95B27B" w14:textId="77777777" w:rsidR="005C5B40" w:rsidRPr="001B0A79" w:rsidRDefault="005C5B40" w:rsidP="00D46FBB">
            <w:pPr>
              <w:spacing w:after="20"/>
              <w:jc w:val="right"/>
              <w:rPr>
                <w:rFonts w:ascii="Arial Narrow" w:hAnsi="Arial Narrow" w:cs="Segoe UI"/>
                <w:color w:val="000000" w:themeColor="text1"/>
                <w:sz w:val="20"/>
                <w:szCs w:val="20"/>
              </w:rPr>
            </w:pPr>
            <w:r>
              <w:rPr>
                <w:rFonts w:ascii="Arial Narrow" w:hAnsi="Arial Narrow" w:cs="Segoe UI"/>
                <w:color w:val="000000" w:themeColor="text1"/>
                <w:sz w:val="20"/>
                <w:szCs w:val="20"/>
              </w:rPr>
              <w:t>3,7</w:t>
            </w:r>
          </w:p>
        </w:tc>
      </w:tr>
      <w:tr w:rsidR="005C5B40" w:rsidRPr="001B0A79" w14:paraId="15DB5EC9" w14:textId="77777777" w:rsidTr="0081417B">
        <w:trPr>
          <w:trHeight w:val="20"/>
          <w:jc w:val="center"/>
        </w:trPr>
        <w:tc>
          <w:tcPr>
            <w:tcW w:w="2268" w:type="dxa"/>
            <w:shd w:val="clear" w:color="auto" w:fill="F2F2F2" w:themeFill="background1" w:themeFillShade="F2"/>
          </w:tcPr>
          <w:p w14:paraId="5AECBBA8"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Lietuva</w:t>
            </w:r>
          </w:p>
        </w:tc>
        <w:tc>
          <w:tcPr>
            <w:tcW w:w="794" w:type="dxa"/>
            <w:shd w:val="clear" w:color="auto" w:fill="F2F2F2" w:themeFill="background1" w:themeFillShade="F2"/>
          </w:tcPr>
          <w:p w14:paraId="46E814BE"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3,5</w:t>
            </w:r>
          </w:p>
        </w:tc>
        <w:tc>
          <w:tcPr>
            <w:tcW w:w="794" w:type="dxa"/>
            <w:shd w:val="clear" w:color="auto" w:fill="F2F2F2" w:themeFill="background1" w:themeFillShade="F2"/>
          </w:tcPr>
          <w:p w14:paraId="50708867"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3,0</w:t>
            </w:r>
          </w:p>
        </w:tc>
        <w:tc>
          <w:tcPr>
            <w:tcW w:w="794" w:type="dxa"/>
            <w:shd w:val="clear" w:color="auto" w:fill="F2F2F2" w:themeFill="background1" w:themeFillShade="F2"/>
          </w:tcPr>
          <w:p w14:paraId="082DA6EC"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1,6</w:t>
            </w:r>
          </w:p>
        </w:tc>
        <w:tc>
          <w:tcPr>
            <w:tcW w:w="794" w:type="dxa"/>
            <w:shd w:val="clear" w:color="auto" w:fill="F2F2F2" w:themeFill="background1" w:themeFillShade="F2"/>
          </w:tcPr>
          <w:p w14:paraId="5A69547E"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2,8</w:t>
            </w:r>
          </w:p>
        </w:tc>
      </w:tr>
      <w:tr w:rsidR="005C5B40" w:rsidRPr="001B0A79" w14:paraId="1C350EFC" w14:textId="77777777" w:rsidTr="0081417B">
        <w:trPr>
          <w:cnfStyle w:val="000000100000" w:firstRow="0" w:lastRow="0" w:firstColumn="0" w:lastColumn="0" w:oddVBand="0" w:evenVBand="0" w:oddHBand="1" w:evenHBand="0" w:firstRowFirstColumn="0" w:firstRowLastColumn="0" w:lastRowFirstColumn="0" w:lastRowLastColumn="0"/>
          <w:trHeight w:val="20"/>
          <w:jc w:val="center"/>
        </w:trPr>
        <w:tc>
          <w:tcPr>
            <w:tcW w:w="2268" w:type="dxa"/>
            <w:shd w:val="clear" w:color="auto" w:fill="F2F2F2" w:themeFill="background1" w:themeFillShade="F2"/>
          </w:tcPr>
          <w:p w14:paraId="1BD005E9" w14:textId="77777777" w:rsidR="005C5B40" w:rsidRPr="001B0A79" w:rsidRDefault="005C5B40" w:rsidP="00D46FBB">
            <w:pPr>
              <w:spacing w:after="20"/>
              <w:ind w:right="-113" w:firstLine="176"/>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Igaunija</w:t>
            </w:r>
          </w:p>
        </w:tc>
        <w:tc>
          <w:tcPr>
            <w:tcW w:w="794" w:type="dxa"/>
            <w:shd w:val="clear" w:color="auto" w:fill="F2F2F2" w:themeFill="background1" w:themeFillShade="F2"/>
          </w:tcPr>
          <w:p w14:paraId="167F7AA9"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1,6</w:t>
            </w:r>
          </w:p>
        </w:tc>
        <w:tc>
          <w:tcPr>
            <w:tcW w:w="794" w:type="dxa"/>
            <w:shd w:val="clear" w:color="auto" w:fill="F2F2F2" w:themeFill="background1" w:themeFillShade="F2"/>
          </w:tcPr>
          <w:p w14:paraId="33917605"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2,9</w:t>
            </w:r>
          </w:p>
        </w:tc>
        <w:tc>
          <w:tcPr>
            <w:tcW w:w="794" w:type="dxa"/>
            <w:shd w:val="clear" w:color="auto" w:fill="F2F2F2" w:themeFill="background1" w:themeFillShade="F2"/>
          </w:tcPr>
          <w:p w14:paraId="6E696260"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1,1</w:t>
            </w:r>
          </w:p>
        </w:tc>
        <w:tc>
          <w:tcPr>
            <w:tcW w:w="794" w:type="dxa"/>
            <w:shd w:val="clear" w:color="auto" w:fill="F2F2F2" w:themeFill="background1" w:themeFillShade="F2"/>
          </w:tcPr>
          <w:p w14:paraId="5BEFDE6E" w14:textId="77777777" w:rsidR="005C5B40" w:rsidRPr="001B0A79" w:rsidRDefault="005C5B40" w:rsidP="00D46FBB">
            <w:pPr>
              <w:spacing w:after="20"/>
              <w:jc w:val="right"/>
              <w:rPr>
                <w:rFonts w:ascii="Arial Narrow" w:hAnsi="Arial Narrow" w:cs="Segoe UI"/>
                <w:color w:val="000000" w:themeColor="text1"/>
                <w:sz w:val="20"/>
                <w:szCs w:val="20"/>
              </w:rPr>
            </w:pPr>
            <w:r w:rsidRPr="001B0A79">
              <w:rPr>
                <w:rFonts w:ascii="Arial Narrow" w:hAnsi="Arial Narrow" w:cs="Segoe UI"/>
                <w:color w:val="000000" w:themeColor="text1"/>
                <w:sz w:val="20"/>
                <w:szCs w:val="20"/>
              </w:rPr>
              <w:t>1,9</w:t>
            </w:r>
          </w:p>
        </w:tc>
      </w:tr>
    </w:tbl>
    <w:p w14:paraId="3A8C980A" w14:textId="77777777" w:rsidR="005C5B40" w:rsidRPr="005C5B40" w:rsidRDefault="005C5B40" w:rsidP="00B93CF6">
      <w:pPr>
        <w:tabs>
          <w:tab w:val="left" w:pos="2268"/>
          <w:tab w:val="left" w:pos="4536"/>
        </w:tabs>
        <w:spacing w:before="60" w:after="80"/>
        <w:ind w:left="108"/>
        <w:rPr>
          <w:rFonts w:cs="Times New Roman"/>
          <w:sz w:val="20"/>
          <w:szCs w:val="20"/>
        </w:rPr>
      </w:pPr>
      <w:r w:rsidRPr="005C5B40">
        <w:rPr>
          <w:rFonts w:cs="Times New Roman"/>
          <w:sz w:val="20"/>
          <w:szCs w:val="20"/>
        </w:rPr>
        <w:t>Avots: Eiropas Komisija; p –prognoze</w:t>
      </w:r>
    </w:p>
    <w:p w14:paraId="3EB17DD7" w14:textId="6F2E4C22" w:rsidR="005C5B40" w:rsidRPr="005C5B40" w:rsidRDefault="005C5B40" w:rsidP="00D46FBB">
      <w:pPr>
        <w:ind w:firstLine="426"/>
        <w:jc w:val="both"/>
        <w:rPr>
          <w:rFonts w:cs="Times New Roman"/>
          <w:sz w:val="24"/>
        </w:rPr>
      </w:pPr>
      <w:r w:rsidRPr="005C5B40">
        <w:rPr>
          <w:rFonts w:cs="Times New Roman"/>
          <w:sz w:val="24"/>
        </w:rPr>
        <w:t>Zviedrijas ekonomikas izaugsmes temps</w:t>
      </w:r>
      <w:r w:rsidR="00FC5BEB">
        <w:rPr>
          <w:rFonts w:cs="Times New Roman"/>
          <w:sz w:val="24"/>
        </w:rPr>
        <w:t>,</w:t>
      </w:r>
      <w:r w:rsidRPr="005C5B40">
        <w:rPr>
          <w:rFonts w:cs="Times New Roman"/>
          <w:sz w:val="24"/>
        </w:rPr>
        <w:t xml:space="preserve"> sākot no 2013.gada</w:t>
      </w:r>
      <w:r w:rsidR="00FC5BEB">
        <w:rPr>
          <w:rFonts w:cs="Times New Roman"/>
          <w:sz w:val="24"/>
        </w:rPr>
        <w:t>,</w:t>
      </w:r>
      <w:r w:rsidRPr="005C5B40">
        <w:rPr>
          <w:rFonts w:cs="Times New Roman"/>
          <w:sz w:val="24"/>
        </w:rPr>
        <w:t xml:space="preserve"> arvien pieaug. 2013.-2014.gadā to veicināja stabils iekšzemes pieprasījums, bet neto eksports bija ar nelielu mīnus zīmi. 2015.gadā atsākoties eksporta izaugsme un saglabājoties stabilam iekšzemes pieprasījumam, kopējā ekonomikas izaugsme Zviedrijā bija virs 4 procentiem.</w:t>
      </w:r>
    </w:p>
    <w:p w14:paraId="3A358283" w14:textId="77777777" w:rsidR="005C5B40" w:rsidRPr="005C5B40" w:rsidRDefault="005C5B40" w:rsidP="00D46FBB">
      <w:pPr>
        <w:ind w:firstLine="426"/>
        <w:jc w:val="both"/>
        <w:rPr>
          <w:rFonts w:cs="Times New Roman"/>
          <w:sz w:val="24"/>
        </w:rPr>
      </w:pPr>
      <w:r w:rsidRPr="005C5B40">
        <w:rPr>
          <w:rFonts w:cs="Times New Roman"/>
          <w:sz w:val="24"/>
        </w:rPr>
        <w:t>Ekonomiskā izaugsme Lielbritānijā pēdējos trīs gados saglabājas stabila – ap 2,5% ik gadu. Lai arī neto eksports pēdējos trīs gados samazinās, to pilnībā kompensē stabils iekšzemes pieprasījuma pieaugums.</w:t>
      </w:r>
    </w:p>
    <w:p w14:paraId="31DCBA86" w14:textId="77777777" w:rsidR="005C5B40" w:rsidRPr="005C5B40" w:rsidRDefault="005C5B40" w:rsidP="00D46FBB">
      <w:pPr>
        <w:ind w:firstLine="426"/>
        <w:jc w:val="both"/>
        <w:rPr>
          <w:rFonts w:cs="Times New Roman"/>
          <w:sz w:val="24"/>
        </w:rPr>
      </w:pPr>
      <w:r w:rsidRPr="005C5B40">
        <w:rPr>
          <w:rFonts w:cs="Times New Roman"/>
          <w:sz w:val="24"/>
        </w:rPr>
        <w:t xml:space="preserve">Saistībā ar Krievijas noteiktajiem pārtikas importa ierobežojumiem no 2014.gada beigās ievērojami samazinājās Latvijas eksporta apjomi uz NVS valstīm. Jāatzīmē, ka eksporta samazinājumu uz šīm valstīm būtiski ietekmēja arī ekonomiskā krīze reģionā un strauja valūtu kursu samazināšanās. </w:t>
      </w:r>
      <w:r w:rsidRPr="005C5B40">
        <w:rPr>
          <w:rFonts w:cs="Times New Roman"/>
          <w:sz w:val="24"/>
        </w:rPr>
        <w:lastRenderedPageBreak/>
        <w:t>Salīdzinot ar 2013.gadu Latvijas eksports uz NVS valstīm 2015.gadā samazinājās par ceturto daļu un sastādīja nepilnus 12% no kopējā Latvijas eksporta. 2013.gadā tas sastādīja vairāk nekā 16%. Latvijas eksportā uz Krieviju joprojām dominē lauksaimniecības un pārtikas produkti, tiesa to īpatsvars ir samazinājies. Šis samazinājums ir ļāvis pieaugt citu eksporta grupu īpatsvaram. Visvairāk īpatsvarā uz Krieviju ir pieaudzis mehānismu un ierīču eksports.</w:t>
      </w:r>
    </w:p>
    <w:p w14:paraId="7BEC85D6" w14:textId="77777777" w:rsidR="00D46FBB" w:rsidRPr="00B93CF6" w:rsidRDefault="00D46FBB" w:rsidP="00D46FBB">
      <w:pPr>
        <w:ind w:firstLine="426"/>
        <w:rPr>
          <w:rFonts w:cs="Times New Roman"/>
          <w:b/>
          <w:color w:val="000000" w:themeColor="text1"/>
          <w:sz w:val="10"/>
          <w:szCs w:val="24"/>
        </w:rPr>
      </w:pPr>
    </w:p>
    <w:p w14:paraId="3BD756CF" w14:textId="77777777" w:rsidR="005C5B40" w:rsidRPr="005C5B40" w:rsidRDefault="005C5B40" w:rsidP="00D46FBB">
      <w:pPr>
        <w:spacing w:after="40"/>
        <w:jc w:val="center"/>
        <w:rPr>
          <w:rFonts w:cs="Times New Roman"/>
          <w:b/>
          <w:color w:val="000000" w:themeColor="text1"/>
          <w:sz w:val="20"/>
          <w:szCs w:val="24"/>
        </w:rPr>
      </w:pPr>
      <w:r w:rsidRPr="005C5B40">
        <w:rPr>
          <w:rFonts w:cs="Times New Roman"/>
          <w:b/>
          <w:color w:val="000000" w:themeColor="text1"/>
          <w:sz w:val="20"/>
          <w:szCs w:val="24"/>
        </w:rPr>
        <w:t>Latvijas preču eksports</w:t>
      </w:r>
    </w:p>
    <w:tbl>
      <w:tblPr>
        <w:tblW w:w="4811" w:type="pct"/>
        <w:jc w:val="center"/>
        <w:tblCellMar>
          <w:left w:w="0" w:type="dxa"/>
          <w:right w:w="0" w:type="dxa"/>
        </w:tblCellMar>
        <w:tblLook w:val="04A0" w:firstRow="1" w:lastRow="0" w:firstColumn="1" w:lastColumn="0" w:noHBand="0" w:noVBand="1"/>
      </w:tblPr>
      <w:tblGrid>
        <w:gridCol w:w="4522"/>
        <w:gridCol w:w="830"/>
        <w:gridCol w:w="845"/>
        <w:gridCol w:w="922"/>
        <w:gridCol w:w="26"/>
        <w:gridCol w:w="1114"/>
        <w:gridCol w:w="1133"/>
      </w:tblGrid>
      <w:tr w:rsidR="005C5B40" w:rsidRPr="00130091" w14:paraId="4EAADA2F" w14:textId="77777777" w:rsidTr="00B62C69">
        <w:trPr>
          <w:trHeight w:val="127"/>
          <w:jc w:val="center"/>
        </w:trPr>
        <w:tc>
          <w:tcPr>
            <w:tcW w:w="2407" w:type="pct"/>
            <w:vMerge w:val="restart"/>
            <w:tcBorders>
              <w:top w:val="single" w:sz="8" w:space="0" w:color="BFBFBF"/>
              <w:left w:val="single" w:sz="8" w:space="0" w:color="BFBFBF"/>
              <w:bottom w:val="single" w:sz="8" w:space="0" w:color="BFBFBF"/>
              <w:right w:val="single" w:sz="8" w:space="0" w:color="BFBFBF"/>
            </w:tcBorders>
            <w:shd w:val="clear" w:color="auto" w:fill="008080"/>
            <w:noWrap/>
            <w:tcMar>
              <w:top w:w="0" w:type="dxa"/>
              <w:left w:w="108" w:type="dxa"/>
              <w:bottom w:w="0" w:type="dxa"/>
              <w:right w:w="108" w:type="dxa"/>
            </w:tcMar>
            <w:hideMark/>
          </w:tcPr>
          <w:p w14:paraId="4F2A049C" w14:textId="77777777" w:rsidR="005C5B40" w:rsidRPr="00130091" w:rsidRDefault="005C5B40" w:rsidP="0081417B">
            <w:pPr>
              <w:ind w:left="-57" w:right="-57"/>
              <w:rPr>
                <w:rFonts w:ascii="Arial Narrow" w:hAnsi="Arial Narrow"/>
                <w:color w:val="FFFFFF" w:themeColor="background1"/>
                <w:sz w:val="20"/>
                <w:szCs w:val="24"/>
                <w:lang w:eastAsia="lv-LV"/>
              </w:rPr>
            </w:pPr>
            <w:r w:rsidRPr="00130091">
              <w:rPr>
                <w:rFonts w:ascii="Arial Narrow" w:hAnsi="Arial Narrow"/>
                <w:color w:val="FFFFFF" w:themeColor="background1"/>
                <w:sz w:val="20"/>
                <w:szCs w:val="24"/>
                <w:lang w:eastAsia="lv-LV"/>
              </w:rPr>
              <w:t> </w:t>
            </w:r>
          </w:p>
        </w:tc>
        <w:tc>
          <w:tcPr>
            <w:tcW w:w="442" w:type="pct"/>
            <w:vMerge w:val="restart"/>
            <w:tcBorders>
              <w:top w:val="single" w:sz="8" w:space="0" w:color="BFBFBF"/>
              <w:left w:val="nil"/>
              <w:bottom w:val="single" w:sz="8" w:space="0" w:color="BFBFBF"/>
              <w:right w:val="single" w:sz="8" w:space="0" w:color="BFBFBF"/>
            </w:tcBorders>
            <w:shd w:val="clear" w:color="auto" w:fill="008080"/>
            <w:noWrap/>
            <w:tcMar>
              <w:top w:w="0" w:type="dxa"/>
              <w:left w:w="108" w:type="dxa"/>
              <w:bottom w:w="0" w:type="dxa"/>
              <w:right w:w="108" w:type="dxa"/>
            </w:tcMar>
            <w:vAlign w:val="center"/>
            <w:hideMark/>
          </w:tcPr>
          <w:p w14:paraId="19FFC478" w14:textId="77777777" w:rsidR="005C5B40" w:rsidRPr="00130091" w:rsidRDefault="005C5B40" w:rsidP="0081417B">
            <w:pPr>
              <w:ind w:left="-57" w:right="-57"/>
              <w:jc w:val="center"/>
              <w:rPr>
                <w:rFonts w:ascii="Arial Narrow" w:hAnsi="Arial Narrow"/>
                <w:b/>
                <w:bCs/>
                <w:color w:val="FFFFFF" w:themeColor="background1"/>
                <w:sz w:val="20"/>
                <w:szCs w:val="24"/>
                <w:lang w:eastAsia="lv-LV"/>
              </w:rPr>
            </w:pPr>
            <w:r w:rsidRPr="00130091">
              <w:rPr>
                <w:rFonts w:ascii="Arial Narrow" w:hAnsi="Arial Narrow"/>
                <w:b/>
                <w:bCs/>
                <w:color w:val="FFFFFF" w:themeColor="background1"/>
                <w:sz w:val="20"/>
                <w:szCs w:val="24"/>
                <w:lang w:eastAsia="lv-LV"/>
              </w:rPr>
              <w:t>2013</w:t>
            </w:r>
          </w:p>
        </w:tc>
        <w:tc>
          <w:tcPr>
            <w:tcW w:w="450" w:type="pct"/>
            <w:vMerge w:val="restart"/>
            <w:tcBorders>
              <w:top w:val="single" w:sz="8" w:space="0" w:color="BFBFBF"/>
              <w:left w:val="nil"/>
              <w:bottom w:val="single" w:sz="8" w:space="0" w:color="BFBFBF"/>
              <w:right w:val="single" w:sz="8" w:space="0" w:color="BFBFBF"/>
            </w:tcBorders>
            <w:shd w:val="clear" w:color="auto" w:fill="008080"/>
            <w:tcMar>
              <w:top w:w="0" w:type="dxa"/>
              <w:left w:w="108" w:type="dxa"/>
              <w:bottom w:w="0" w:type="dxa"/>
              <w:right w:w="108" w:type="dxa"/>
            </w:tcMar>
            <w:vAlign w:val="center"/>
            <w:hideMark/>
          </w:tcPr>
          <w:p w14:paraId="0420E360" w14:textId="77777777" w:rsidR="005C5B40" w:rsidRPr="00130091" w:rsidRDefault="005C5B40" w:rsidP="0081417B">
            <w:pPr>
              <w:ind w:left="-57" w:right="-57"/>
              <w:jc w:val="center"/>
              <w:rPr>
                <w:rFonts w:ascii="Arial Narrow" w:hAnsi="Arial Narrow"/>
                <w:b/>
                <w:bCs/>
                <w:color w:val="FFFFFF" w:themeColor="background1"/>
                <w:sz w:val="20"/>
                <w:szCs w:val="24"/>
                <w:lang w:eastAsia="lv-LV"/>
              </w:rPr>
            </w:pPr>
            <w:r w:rsidRPr="00130091">
              <w:rPr>
                <w:rFonts w:ascii="Arial Narrow" w:hAnsi="Arial Narrow"/>
                <w:b/>
                <w:bCs/>
                <w:color w:val="FFFFFF" w:themeColor="background1"/>
                <w:sz w:val="20"/>
                <w:szCs w:val="24"/>
                <w:lang w:eastAsia="lv-LV"/>
              </w:rPr>
              <w:t>2014</w:t>
            </w:r>
          </w:p>
        </w:tc>
        <w:tc>
          <w:tcPr>
            <w:tcW w:w="491" w:type="pct"/>
            <w:vMerge w:val="restart"/>
            <w:tcBorders>
              <w:top w:val="single" w:sz="8" w:space="0" w:color="BFBFBF"/>
              <w:left w:val="nil"/>
              <w:bottom w:val="single" w:sz="8" w:space="0" w:color="BFBFBF"/>
              <w:right w:val="single" w:sz="8" w:space="0" w:color="BFBFBF"/>
            </w:tcBorders>
            <w:shd w:val="clear" w:color="auto" w:fill="008080"/>
            <w:tcMar>
              <w:top w:w="0" w:type="dxa"/>
              <w:left w:w="108" w:type="dxa"/>
              <w:bottom w:w="0" w:type="dxa"/>
              <w:right w:w="108" w:type="dxa"/>
            </w:tcMar>
            <w:vAlign w:val="center"/>
            <w:hideMark/>
          </w:tcPr>
          <w:p w14:paraId="7CBF7AB1" w14:textId="77777777" w:rsidR="005C5B40" w:rsidRPr="00130091" w:rsidRDefault="005C5B40" w:rsidP="0081417B">
            <w:pPr>
              <w:ind w:left="-57" w:right="-57"/>
              <w:jc w:val="center"/>
              <w:rPr>
                <w:rFonts w:ascii="Arial Narrow" w:hAnsi="Arial Narrow"/>
                <w:b/>
                <w:bCs/>
                <w:color w:val="FFFFFF" w:themeColor="background1"/>
                <w:sz w:val="20"/>
                <w:szCs w:val="24"/>
                <w:lang w:eastAsia="lv-LV"/>
              </w:rPr>
            </w:pPr>
            <w:r w:rsidRPr="00130091">
              <w:rPr>
                <w:rFonts w:ascii="Arial Narrow" w:hAnsi="Arial Narrow"/>
                <w:b/>
                <w:bCs/>
                <w:color w:val="FFFFFF" w:themeColor="background1"/>
                <w:sz w:val="20"/>
                <w:szCs w:val="24"/>
                <w:lang w:eastAsia="lv-LV"/>
              </w:rPr>
              <w:t>2015</w:t>
            </w:r>
          </w:p>
        </w:tc>
        <w:tc>
          <w:tcPr>
            <w:tcW w:w="14" w:type="pct"/>
            <w:tcBorders>
              <w:top w:val="nil"/>
              <w:left w:val="nil"/>
              <w:bottom w:val="nil"/>
              <w:right w:val="single" w:sz="8" w:space="0" w:color="BFBFBF"/>
            </w:tcBorders>
            <w:shd w:val="clear" w:color="auto" w:fill="008080"/>
          </w:tcPr>
          <w:p w14:paraId="58D2C791" w14:textId="77777777" w:rsidR="005C5B40" w:rsidRPr="00130091" w:rsidRDefault="005C5B40" w:rsidP="0081417B">
            <w:pPr>
              <w:ind w:left="-113" w:right="-113"/>
              <w:rPr>
                <w:rFonts w:ascii="Arial Narrow" w:hAnsi="Arial Narrow"/>
                <w:b/>
                <w:bCs/>
                <w:color w:val="FFFFFF" w:themeColor="background1"/>
                <w:sz w:val="20"/>
                <w:szCs w:val="24"/>
                <w:lang w:eastAsia="lv-LV"/>
              </w:rPr>
            </w:pPr>
          </w:p>
        </w:tc>
        <w:tc>
          <w:tcPr>
            <w:tcW w:w="593" w:type="pct"/>
            <w:vMerge w:val="restart"/>
            <w:tcBorders>
              <w:top w:val="single" w:sz="8" w:space="0" w:color="BFBFBF"/>
              <w:left w:val="single" w:sz="8" w:space="0" w:color="BFBFBF"/>
              <w:bottom w:val="single" w:sz="8" w:space="0" w:color="BFBFBF"/>
              <w:right w:val="single" w:sz="8" w:space="0" w:color="BFBFBF"/>
            </w:tcBorders>
            <w:shd w:val="clear" w:color="auto" w:fill="008080"/>
            <w:tcMar>
              <w:top w:w="0" w:type="dxa"/>
              <w:left w:w="108" w:type="dxa"/>
              <w:bottom w:w="0" w:type="dxa"/>
              <w:right w:w="108" w:type="dxa"/>
            </w:tcMar>
            <w:vAlign w:val="center"/>
            <w:hideMark/>
          </w:tcPr>
          <w:p w14:paraId="293EFBD7" w14:textId="77777777" w:rsidR="005C5B40" w:rsidRPr="00130091" w:rsidRDefault="005C5B40" w:rsidP="0081417B">
            <w:pPr>
              <w:ind w:left="-57" w:right="-57"/>
              <w:jc w:val="center"/>
              <w:rPr>
                <w:rFonts w:ascii="Arial Narrow" w:hAnsi="Arial Narrow"/>
                <w:b/>
                <w:bCs/>
                <w:color w:val="FFFFFF" w:themeColor="background1"/>
                <w:sz w:val="20"/>
                <w:szCs w:val="24"/>
                <w:lang w:eastAsia="lv-LV"/>
              </w:rPr>
            </w:pPr>
            <w:r w:rsidRPr="00130091">
              <w:rPr>
                <w:rFonts w:ascii="Arial Narrow" w:hAnsi="Arial Narrow"/>
                <w:b/>
                <w:bCs/>
                <w:color w:val="FFFFFF" w:themeColor="background1"/>
                <w:sz w:val="20"/>
                <w:szCs w:val="24"/>
                <w:lang w:eastAsia="lv-LV"/>
              </w:rPr>
              <w:t>Izmaiņas %, 2015/2014</w:t>
            </w:r>
          </w:p>
        </w:tc>
        <w:tc>
          <w:tcPr>
            <w:tcW w:w="603" w:type="pct"/>
            <w:vMerge w:val="restart"/>
            <w:tcBorders>
              <w:top w:val="single" w:sz="8" w:space="0" w:color="BFBFBF"/>
              <w:left w:val="nil"/>
              <w:bottom w:val="single" w:sz="8" w:space="0" w:color="BFBFBF"/>
              <w:right w:val="single" w:sz="8" w:space="0" w:color="BFBFBF"/>
            </w:tcBorders>
            <w:shd w:val="clear" w:color="auto" w:fill="008080"/>
            <w:vAlign w:val="center"/>
            <w:hideMark/>
          </w:tcPr>
          <w:p w14:paraId="70502BBD" w14:textId="77777777" w:rsidR="005C5B40" w:rsidRPr="00130091" w:rsidRDefault="005C5B40" w:rsidP="0081417B">
            <w:pPr>
              <w:ind w:left="-57" w:right="-57"/>
              <w:jc w:val="center"/>
              <w:rPr>
                <w:rFonts w:ascii="Arial Narrow" w:hAnsi="Arial Narrow"/>
                <w:b/>
                <w:bCs/>
                <w:color w:val="FFFFFF" w:themeColor="background1"/>
                <w:sz w:val="20"/>
                <w:szCs w:val="24"/>
                <w:lang w:eastAsia="lv-LV"/>
              </w:rPr>
            </w:pPr>
            <w:r w:rsidRPr="00130091">
              <w:rPr>
                <w:rFonts w:ascii="Arial Narrow" w:hAnsi="Arial Narrow"/>
                <w:b/>
                <w:bCs/>
                <w:color w:val="FFFFFF" w:themeColor="background1"/>
                <w:sz w:val="20"/>
                <w:szCs w:val="24"/>
                <w:lang w:eastAsia="lv-LV"/>
              </w:rPr>
              <w:t>Struktūra %</w:t>
            </w:r>
          </w:p>
        </w:tc>
      </w:tr>
      <w:tr w:rsidR="005C5B40" w:rsidRPr="009C5DEA" w14:paraId="3EC584CB" w14:textId="77777777" w:rsidTr="00B62C69">
        <w:trPr>
          <w:trHeight w:val="238"/>
          <w:jc w:val="center"/>
        </w:trPr>
        <w:tc>
          <w:tcPr>
            <w:tcW w:w="2407" w:type="pct"/>
            <w:vMerge/>
            <w:tcBorders>
              <w:top w:val="single" w:sz="8" w:space="0" w:color="BFBFBF"/>
              <w:left w:val="single" w:sz="8" w:space="0" w:color="BFBFBF"/>
              <w:bottom w:val="single" w:sz="8" w:space="0" w:color="BFBFBF"/>
              <w:right w:val="single" w:sz="8" w:space="0" w:color="BFBFBF"/>
            </w:tcBorders>
            <w:shd w:val="clear" w:color="auto" w:fill="008080"/>
            <w:vAlign w:val="center"/>
            <w:hideMark/>
          </w:tcPr>
          <w:p w14:paraId="0B8125E7" w14:textId="77777777" w:rsidR="005C5B40" w:rsidRPr="009C5DEA" w:rsidRDefault="005C5B40" w:rsidP="0081417B">
            <w:pPr>
              <w:rPr>
                <w:rFonts w:ascii="Arial Narrow" w:hAnsi="Arial Narrow"/>
                <w:color w:val="000000" w:themeColor="text1"/>
                <w:sz w:val="20"/>
                <w:szCs w:val="24"/>
                <w:lang w:eastAsia="lv-LV"/>
              </w:rPr>
            </w:pPr>
          </w:p>
        </w:tc>
        <w:tc>
          <w:tcPr>
            <w:tcW w:w="0" w:type="auto"/>
            <w:vMerge/>
            <w:tcBorders>
              <w:top w:val="single" w:sz="8" w:space="0" w:color="BFBFBF"/>
              <w:left w:val="nil"/>
              <w:bottom w:val="single" w:sz="8" w:space="0" w:color="BFBFBF"/>
              <w:right w:val="single" w:sz="8" w:space="0" w:color="BFBFBF"/>
            </w:tcBorders>
            <w:vAlign w:val="center"/>
            <w:hideMark/>
          </w:tcPr>
          <w:p w14:paraId="7497C6D0" w14:textId="77777777" w:rsidR="005C5B40" w:rsidRPr="009C5DEA" w:rsidRDefault="005C5B40" w:rsidP="0081417B">
            <w:pPr>
              <w:rPr>
                <w:rFonts w:ascii="Arial Narrow" w:hAnsi="Arial Narrow"/>
                <w:b/>
                <w:bCs/>
                <w:color w:val="000000" w:themeColor="text1"/>
                <w:sz w:val="20"/>
                <w:szCs w:val="24"/>
                <w:lang w:eastAsia="lv-LV"/>
              </w:rPr>
            </w:pPr>
          </w:p>
        </w:tc>
        <w:tc>
          <w:tcPr>
            <w:tcW w:w="0" w:type="auto"/>
            <w:vMerge/>
            <w:tcBorders>
              <w:top w:val="single" w:sz="8" w:space="0" w:color="BFBFBF"/>
              <w:left w:val="nil"/>
              <w:bottom w:val="single" w:sz="8" w:space="0" w:color="BFBFBF"/>
              <w:right w:val="single" w:sz="8" w:space="0" w:color="BFBFBF"/>
            </w:tcBorders>
            <w:vAlign w:val="center"/>
            <w:hideMark/>
          </w:tcPr>
          <w:p w14:paraId="7DB306BB" w14:textId="77777777" w:rsidR="005C5B40" w:rsidRPr="009C5DEA" w:rsidRDefault="005C5B40" w:rsidP="0081417B">
            <w:pPr>
              <w:rPr>
                <w:rFonts w:ascii="Arial Narrow" w:hAnsi="Arial Narrow"/>
                <w:b/>
                <w:bCs/>
                <w:color w:val="000000" w:themeColor="text1"/>
                <w:sz w:val="20"/>
                <w:szCs w:val="24"/>
                <w:lang w:eastAsia="lv-LV"/>
              </w:rPr>
            </w:pPr>
          </w:p>
        </w:tc>
        <w:tc>
          <w:tcPr>
            <w:tcW w:w="0" w:type="auto"/>
            <w:vMerge/>
            <w:tcBorders>
              <w:top w:val="single" w:sz="8" w:space="0" w:color="BFBFBF"/>
              <w:left w:val="nil"/>
              <w:bottom w:val="single" w:sz="8" w:space="0" w:color="BFBFBF"/>
              <w:right w:val="single" w:sz="8" w:space="0" w:color="BFBFBF"/>
            </w:tcBorders>
            <w:vAlign w:val="center"/>
            <w:hideMark/>
          </w:tcPr>
          <w:p w14:paraId="581626CC" w14:textId="77777777" w:rsidR="005C5B40" w:rsidRPr="009C5DEA" w:rsidRDefault="005C5B40" w:rsidP="0081417B">
            <w:pPr>
              <w:rPr>
                <w:rFonts w:ascii="Arial Narrow" w:hAnsi="Arial Narrow"/>
                <w:b/>
                <w:bCs/>
                <w:color w:val="000000" w:themeColor="text1"/>
                <w:sz w:val="20"/>
                <w:szCs w:val="24"/>
                <w:lang w:eastAsia="lv-LV"/>
              </w:rPr>
            </w:pPr>
          </w:p>
        </w:tc>
        <w:tc>
          <w:tcPr>
            <w:tcW w:w="14" w:type="pct"/>
            <w:tcBorders>
              <w:top w:val="nil"/>
              <w:left w:val="nil"/>
              <w:bottom w:val="nil"/>
              <w:right w:val="single" w:sz="8" w:space="0" w:color="BFBFBF"/>
            </w:tcBorders>
          </w:tcPr>
          <w:p w14:paraId="64DB4B7B" w14:textId="77777777" w:rsidR="005C5B40" w:rsidRPr="009C5DEA" w:rsidRDefault="005C5B40" w:rsidP="0081417B">
            <w:pPr>
              <w:ind w:left="-113" w:right="-113"/>
              <w:rPr>
                <w:rFonts w:ascii="Arial Narrow" w:hAnsi="Arial Narrow"/>
                <w:b/>
                <w:bCs/>
                <w:color w:val="000000" w:themeColor="text1"/>
                <w:sz w:val="20"/>
                <w:szCs w:val="24"/>
                <w:lang w:eastAsia="lv-LV"/>
              </w:rPr>
            </w:pPr>
          </w:p>
        </w:tc>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BEB92B0" w14:textId="77777777" w:rsidR="005C5B40" w:rsidRPr="009C5DEA" w:rsidRDefault="005C5B40" w:rsidP="0081417B">
            <w:pPr>
              <w:rPr>
                <w:rFonts w:ascii="Arial Narrow" w:hAnsi="Arial Narrow"/>
                <w:b/>
                <w:bCs/>
                <w:color w:val="000000" w:themeColor="text1"/>
                <w:sz w:val="20"/>
                <w:szCs w:val="24"/>
                <w:lang w:eastAsia="lv-LV"/>
              </w:rPr>
            </w:pPr>
          </w:p>
        </w:tc>
        <w:tc>
          <w:tcPr>
            <w:tcW w:w="0" w:type="auto"/>
            <w:vMerge/>
            <w:tcBorders>
              <w:top w:val="single" w:sz="8" w:space="0" w:color="BFBFBF"/>
              <w:left w:val="nil"/>
              <w:bottom w:val="single" w:sz="8" w:space="0" w:color="BFBFBF"/>
              <w:right w:val="single" w:sz="8" w:space="0" w:color="BFBFBF"/>
            </w:tcBorders>
            <w:vAlign w:val="center"/>
            <w:hideMark/>
          </w:tcPr>
          <w:p w14:paraId="27673E15" w14:textId="77777777" w:rsidR="005C5B40" w:rsidRPr="009C5DEA" w:rsidRDefault="005C5B40" w:rsidP="0081417B">
            <w:pPr>
              <w:rPr>
                <w:rFonts w:ascii="Arial Narrow" w:hAnsi="Arial Narrow"/>
                <w:b/>
                <w:bCs/>
                <w:color w:val="000000" w:themeColor="text1"/>
                <w:sz w:val="20"/>
                <w:szCs w:val="24"/>
                <w:lang w:eastAsia="lv-LV"/>
              </w:rPr>
            </w:pPr>
          </w:p>
        </w:tc>
      </w:tr>
      <w:tr w:rsidR="005C5B40" w:rsidRPr="009C5DEA" w14:paraId="2AF5B815" w14:textId="77777777" w:rsidTr="0081417B">
        <w:trPr>
          <w:trHeight w:val="227"/>
          <w:jc w:val="center"/>
        </w:trPr>
        <w:tc>
          <w:tcPr>
            <w:tcW w:w="2407" w:type="pct"/>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3A843F6E"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Kopējais preču eksports, </w:t>
            </w:r>
            <w:r w:rsidRPr="009C5DEA">
              <w:rPr>
                <w:rFonts w:ascii="Arial Narrow" w:hAnsi="Arial Narrow"/>
                <w:i/>
                <w:iCs/>
                <w:color w:val="000000" w:themeColor="text1"/>
                <w:sz w:val="20"/>
                <w:szCs w:val="24"/>
                <w:lang w:eastAsia="lv-LV"/>
              </w:rPr>
              <w:t>milj. EUR</w:t>
            </w:r>
          </w:p>
        </w:tc>
        <w:tc>
          <w:tcPr>
            <w:tcW w:w="442" w:type="pct"/>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E823713"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10 021</w:t>
            </w: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87C51E"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10 249</w:t>
            </w:r>
          </w:p>
        </w:tc>
        <w:tc>
          <w:tcPr>
            <w:tcW w:w="491"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A1FB6C" w14:textId="77777777" w:rsidR="005C5B40" w:rsidRPr="009C5DEA" w:rsidRDefault="005C5B40" w:rsidP="00067C0A">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10 3</w:t>
            </w:r>
            <w:r w:rsidR="00067C0A">
              <w:rPr>
                <w:rFonts w:ascii="Arial Narrow" w:hAnsi="Arial Narrow"/>
                <w:color w:val="000000" w:themeColor="text1"/>
                <w:sz w:val="20"/>
                <w:szCs w:val="24"/>
                <w:lang w:eastAsia="lv-LV"/>
              </w:rPr>
              <w:t>63</w:t>
            </w:r>
          </w:p>
        </w:tc>
        <w:tc>
          <w:tcPr>
            <w:tcW w:w="14" w:type="pct"/>
            <w:tcBorders>
              <w:top w:val="nil"/>
              <w:left w:val="nil"/>
              <w:bottom w:val="nil"/>
              <w:right w:val="single" w:sz="8" w:space="0" w:color="BFBFBF"/>
            </w:tcBorders>
          </w:tcPr>
          <w:p w14:paraId="2C372AD0"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B723977" w14:textId="77777777" w:rsidR="005C5B40" w:rsidRPr="009C5DEA" w:rsidRDefault="005C5B40" w:rsidP="00067C0A">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w:t>
            </w:r>
            <w:r w:rsidR="00067C0A">
              <w:rPr>
                <w:rFonts w:ascii="Arial Narrow" w:hAnsi="Arial Narrow"/>
                <w:color w:val="000000" w:themeColor="text1"/>
                <w:sz w:val="20"/>
                <w:szCs w:val="24"/>
                <w:lang w:eastAsia="lv-LV"/>
              </w:rPr>
              <w:t>1</w:t>
            </w:r>
          </w:p>
        </w:tc>
        <w:tc>
          <w:tcPr>
            <w:tcW w:w="603" w:type="pct"/>
            <w:tcBorders>
              <w:top w:val="nil"/>
              <w:left w:val="nil"/>
              <w:bottom w:val="single" w:sz="8" w:space="0" w:color="BFBFBF"/>
              <w:right w:val="single" w:sz="8" w:space="0" w:color="BFBFBF"/>
            </w:tcBorders>
            <w:vAlign w:val="center"/>
            <w:hideMark/>
          </w:tcPr>
          <w:p w14:paraId="48136425"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100</w:t>
            </w:r>
          </w:p>
        </w:tc>
      </w:tr>
      <w:tr w:rsidR="005C5B40" w:rsidRPr="009C5DEA" w14:paraId="6322ADF0" w14:textId="77777777" w:rsidTr="0081417B">
        <w:trPr>
          <w:trHeight w:val="227"/>
          <w:jc w:val="center"/>
        </w:trPr>
        <w:tc>
          <w:tcPr>
            <w:tcW w:w="2407" w:type="pct"/>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2FA3D2E6"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Preču eksports uz Krieviju, </w:t>
            </w:r>
            <w:r w:rsidRPr="009C5DEA">
              <w:rPr>
                <w:rFonts w:ascii="Arial Narrow" w:hAnsi="Arial Narrow"/>
                <w:i/>
                <w:iCs/>
                <w:color w:val="000000" w:themeColor="text1"/>
                <w:sz w:val="20"/>
                <w:szCs w:val="24"/>
                <w:lang w:eastAsia="lv-LV"/>
              </w:rPr>
              <w:t xml:space="preserve">milj. EUR, </w:t>
            </w:r>
            <w:r w:rsidRPr="009C5DEA">
              <w:rPr>
                <w:rFonts w:ascii="Arial Narrow" w:hAnsi="Arial Narrow"/>
                <w:color w:val="000000" w:themeColor="text1"/>
                <w:sz w:val="20"/>
                <w:szCs w:val="24"/>
                <w:lang w:eastAsia="lv-LV"/>
              </w:rPr>
              <w:t>tai skaitā:</w:t>
            </w:r>
          </w:p>
        </w:tc>
        <w:tc>
          <w:tcPr>
            <w:tcW w:w="442" w:type="pct"/>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3ADE9028"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1 163</w:t>
            </w:r>
          </w:p>
        </w:tc>
        <w:tc>
          <w:tcPr>
            <w:tcW w:w="450"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074D16C4"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1 098</w:t>
            </w:r>
          </w:p>
        </w:tc>
        <w:tc>
          <w:tcPr>
            <w:tcW w:w="491"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336F1494" w14:textId="77777777" w:rsidR="005C5B40" w:rsidRPr="009C5DEA" w:rsidRDefault="005C5B40" w:rsidP="00067C0A">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83</w:t>
            </w:r>
            <w:r w:rsidR="00067C0A">
              <w:rPr>
                <w:rFonts w:ascii="Arial Narrow" w:hAnsi="Arial Narrow"/>
                <w:color w:val="000000" w:themeColor="text1"/>
                <w:sz w:val="20"/>
                <w:szCs w:val="24"/>
                <w:lang w:eastAsia="lv-LV"/>
              </w:rPr>
              <w:t>7</w:t>
            </w:r>
          </w:p>
        </w:tc>
        <w:tc>
          <w:tcPr>
            <w:tcW w:w="14" w:type="pct"/>
            <w:tcBorders>
              <w:top w:val="nil"/>
              <w:left w:val="nil"/>
              <w:bottom w:val="nil"/>
              <w:right w:val="single" w:sz="8" w:space="0" w:color="BFBFBF"/>
            </w:tcBorders>
          </w:tcPr>
          <w:p w14:paraId="47752E28"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75789DCD"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w:t>
            </w:r>
            <w:r w:rsidR="00542DF0">
              <w:rPr>
                <w:rFonts w:ascii="Arial Narrow" w:hAnsi="Arial Narrow"/>
                <w:color w:val="000000" w:themeColor="text1"/>
                <w:sz w:val="20"/>
                <w:szCs w:val="24"/>
                <w:lang w:eastAsia="lv-LV"/>
              </w:rPr>
              <w:t>23,8</w:t>
            </w:r>
          </w:p>
        </w:tc>
        <w:tc>
          <w:tcPr>
            <w:tcW w:w="603" w:type="pct"/>
            <w:tcBorders>
              <w:top w:val="nil"/>
              <w:left w:val="nil"/>
              <w:bottom w:val="single" w:sz="8" w:space="0" w:color="BFBFBF"/>
              <w:right w:val="single" w:sz="8" w:space="0" w:color="BFBFBF"/>
            </w:tcBorders>
            <w:shd w:val="clear" w:color="auto" w:fill="F2F2F2"/>
            <w:vAlign w:val="center"/>
            <w:hideMark/>
          </w:tcPr>
          <w:p w14:paraId="2F4AC98B"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8,</w:t>
            </w:r>
            <w:r w:rsidR="00542DF0">
              <w:rPr>
                <w:rFonts w:ascii="Arial Narrow" w:hAnsi="Arial Narrow"/>
                <w:color w:val="000000" w:themeColor="text1"/>
                <w:sz w:val="20"/>
                <w:szCs w:val="24"/>
                <w:lang w:eastAsia="lv-LV"/>
              </w:rPr>
              <w:t>1</w:t>
            </w:r>
          </w:p>
        </w:tc>
      </w:tr>
      <w:tr w:rsidR="005C5B40" w:rsidRPr="009C5DEA" w14:paraId="76F65BEF" w14:textId="77777777" w:rsidTr="0081417B">
        <w:trPr>
          <w:trHeight w:val="227"/>
          <w:jc w:val="center"/>
        </w:trPr>
        <w:tc>
          <w:tcPr>
            <w:tcW w:w="2407" w:type="pct"/>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4477C53A" w14:textId="77777777" w:rsidR="005C5B40" w:rsidRPr="009C5DEA" w:rsidRDefault="005C5B40" w:rsidP="0081417B">
            <w:pPr>
              <w:ind w:firstLine="315"/>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sankcijām pakļautās preces*</w:t>
            </w:r>
          </w:p>
        </w:tc>
        <w:tc>
          <w:tcPr>
            <w:tcW w:w="442" w:type="pct"/>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41D61145"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53</w:t>
            </w:r>
          </w:p>
        </w:tc>
        <w:tc>
          <w:tcPr>
            <w:tcW w:w="450"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4C615DAE"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46</w:t>
            </w:r>
          </w:p>
        </w:tc>
        <w:tc>
          <w:tcPr>
            <w:tcW w:w="491"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4E53BF57" w14:textId="77777777" w:rsidR="005C5B40" w:rsidRPr="009C5DEA" w:rsidRDefault="00542DF0" w:rsidP="0081417B">
            <w:pPr>
              <w:jc w:val="center"/>
              <w:rPr>
                <w:rFonts w:ascii="Arial Narrow" w:hAnsi="Arial Narrow"/>
                <w:color w:val="000000" w:themeColor="text1"/>
                <w:sz w:val="20"/>
                <w:szCs w:val="24"/>
                <w:lang w:eastAsia="lv-LV"/>
              </w:rPr>
            </w:pPr>
            <w:r>
              <w:rPr>
                <w:rFonts w:ascii="Arial Narrow" w:hAnsi="Arial Narrow"/>
                <w:color w:val="000000" w:themeColor="text1"/>
                <w:sz w:val="20"/>
                <w:szCs w:val="24"/>
                <w:lang w:eastAsia="lv-LV"/>
              </w:rPr>
              <w:t>2,4</w:t>
            </w:r>
          </w:p>
        </w:tc>
        <w:tc>
          <w:tcPr>
            <w:tcW w:w="14" w:type="pct"/>
            <w:tcBorders>
              <w:top w:val="nil"/>
              <w:left w:val="nil"/>
              <w:bottom w:val="nil"/>
              <w:right w:val="single" w:sz="8" w:space="0" w:color="BFBFBF"/>
            </w:tcBorders>
          </w:tcPr>
          <w:p w14:paraId="7DE0525B"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21C46086"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-94,</w:t>
            </w:r>
            <w:r w:rsidR="00542DF0">
              <w:rPr>
                <w:rFonts w:ascii="Arial Narrow" w:hAnsi="Arial Narrow"/>
                <w:color w:val="000000" w:themeColor="text1"/>
                <w:sz w:val="20"/>
                <w:szCs w:val="24"/>
                <w:lang w:eastAsia="lv-LV"/>
              </w:rPr>
              <w:t>8</w:t>
            </w:r>
          </w:p>
        </w:tc>
        <w:tc>
          <w:tcPr>
            <w:tcW w:w="603" w:type="pct"/>
            <w:tcBorders>
              <w:top w:val="nil"/>
              <w:left w:val="nil"/>
              <w:bottom w:val="single" w:sz="8" w:space="0" w:color="BFBFBF"/>
              <w:right w:val="single" w:sz="8" w:space="0" w:color="BFBFBF"/>
            </w:tcBorders>
            <w:shd w:val="clear" w:color="auto" w:fill="F2F2F2"/>
            <w:vAlign w:val="center"/>
            <w:hideMark/>
          </w:tcPr>
          <w:p w14:paraId="05B7CB13"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0,0</w:t>
            </w:r>
            <w:r w:rsidR="00542DF0">
              <w:rPr>
                <w:rFonts w:ascii="Arial Narrow" w:hAnsi="Arial Narrow"/>
                <w:color w:val="000000" w:themeColor="text1"/>
                <w:sz w:val="20"/>
                <w:szCs w:val="24"/>
                <w:lang w:eastAsia="lv-LV"/>
              </w:rPr>
              <w:t>2</w:t>
            </w:r>
          </w:p>
        </w:tc>
      </w:tr>
      <w:tr w:rsidR="005C5B40" w:rsidRPr="009C5DEA" w14:paraId="058A25E8" w14:textId="77777777" w:rsidTr="0081417B">
        <w:trPr>
          <w:trHeight w:val="227"/>
          <w:jc w:val="center"/>
        </w:trPr>
        <w:tc>
          <w:tcPr>
            <w:tcW w:w="2407" w:type="pct"/>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6431DD54" w14:textId="77777777" w:rsidR="005C5B40" w:rsidRPr="009C5DEA" w:rsidRDefault="005C5B40" w:rsidP="0081417B">
            <w:pPr>
              <w:ind w:firstLine="315"/>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pārējās preces</w:t>
            </w:r>
          </w:p>
        </w:tc>
        <w:tc>
          <w:tcPr>
            <w:tcW w:w="442" w:type="pct"/>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6804C2F1"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1 110</w:t>
            </w:r>
          </w:p>
        </w:tc>
        <w:tc>
          <w:tcPr>
            <w:tcW w:w="450"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19B7992E"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1 051</w:t>
            </w:r>
          </w:p>
        </w:tc>
        <w:tc>
          <w:tcPr>
            <w:tcW w:w="491"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337C3654" w14:textId="77777777" w:rsidR="005C5B40" w:rsidRPr="009C5DEA" w:rsidRDefault="005C5B40" w:rsidP="00067C0A">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8</w:t>
            </w:r>
            <w:r w:rsidR="00067C0A">
              <w:rPr>
                <w:rFonts w:ascii="Arial Narrow" w:hAnsi="Arial Narrow"/>
                <w:color w:val="000000" w:themeColor="text1"/>
                <w:sz w:val="20"/>
                <w:szCs w:val="24"/>
                <w:lang w:eastAsia="lv-LV"/>
              </w:rPr>
              <w:t>34</w:t>
            </w:r>
          </w:p>
        </w:tc>
        <w:tc>
          <w:tcPr>
            <w:tcW w:w="14" w:type="pct"/>
            <w:tcBorders>
              <w:top w:val="nil"/>
              <w:left w:val="nil"/>
              <w:bottom w:val="nil"/>
              <w:right w:val="single" w:sz="8" w:space="0" w:color="BFBFBF"/>
            </w:tcBorders>
          </w:tcPr>
          <w:p w14:paraId="3F3D0C55"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240EEE39"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w:t>
            </w:r>
            <w:r w:rsidR="00542DF0">
              <w:rPr>
                <w:rFonts w:ascii="Arial Narrow" w:hAnsi="Arial Narrow"/>
                <w:color w:val="000000" w:themeColor="text1"/>
                <w:sz w:val="20"/>
                <w:szCs w:val="24"/>
                <w:lang w:eastAsia="lv-LV"/>
              </w:rPr>
              <w:t>20,6</w:t>
            </w:r>
          </w:p>
        </w:tc>
        <w:tc>
          <w:tcPr>
            <w:tcW w:w="603" w:type="pct"/>
            <w:tcBorders>
              <w:top w:val="nil"/>
              <w:left w:val="nil"/>
              <w:bottom w:val="single" w:sz="8" w:space="0" w:color="BFBFBF"/>
              <w:right w:val="single" w:sz="8" w:space="0" w:color="BFBFBF"/>
            </w:tcBorders>
            <w:shd w:val="clear" w:color="auto" w:fill="F2F2F2"/>
            <w:vAlign w:val="center"/>
            <w:hideMark/>
          </w:tcPr>
          <w:p w14:paraId="6BD5D646" w14:textId="77777777" w:rsidR="005C5B40" w:rsidRPr="009C5DEA" w:rsidRDefault="00542DF0" w:rsidP="0081417B">
            <w:pPr>
              <w:jc w:val="center"/>
              <w:rPr>
                <w:rFonts w:ascii="Arial Narrow" w:hAnsi="Arial Narrow"/>
                <w:color w:val="000000" w:themeColor="text1"/>
                <w:sz w:val="20"/>
                <w:szCs w:val="24"/>
                <w:lang w:eastAsia="lv-LV"/>
              </w:rPr>
            </w:pPr>
            <w:r>
              <w:rPr>
                <w:rFonts w:ascii="Arial Narrow" w:hAnsi="Arial Narrow"/>
                <w:color w:val="000000" w:themeColor="text1"/>
                <w:sz w:val="20"/>
                <w:szCs w:val="24"/>
                <w:lang w:eastAsia="lv-LV"/>
              </w:rPr>
              <w:t>8,1</w:t>
            </w:r>
          </w:p>
        </w:tc>
      </w:tr>
      <w:tr w:rsidR="005C5B40" w:rsidRPr="009C5DEA" w14:paraId="1E11283B" w14:textId="77777777" w:rsidTr="0081417B">
        <w:trPr>
          <w:trHeight w:val="227"/>
          <w:jc w:val="center"/>
        </w:trPr>
        <w:tc>
          <w:tcPr>
            <w:tcW w:w="2407" w:type="pct"/>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FDCED1B"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Preču eksports uz pārējām NVS valstīm, </w:t>
            </w:r>
            <w:r w:rsidRPr="009C5DEA">
              <w:rPr>
                <w:rFonts w:ascii="Arial Narrow" w:hAnsi="Arial Narrow"/>
                <w:i/>
                <w:iCs/>
                <w:color w:val="000000" w:themeColor="text1"/>
                <w:sz w:val="20"/>
                <w:szCs w:val="24"/>
                <w:lang w:eastAsia="lv-LV"/>
              </w:rPr>
              <w:t>milj. EUR</w:t>
            </w:r>
          </w:p>
        </w:tc>
        <w:tc>
          <w:tcPr>
            <w:tcW w:w="442" w:type="pct"/>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980E4A5"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440</w:t>
            </w: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0D084DA"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425</w:t>
            </w:r>
          </w:p>
        </w:tc>
        <w:tc>
          <w:tcPr>
            <w:tcW w:w="491"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85833A" w14:textId="77777777" w:rsidR="005C5B40" w:rsidRPr="009C5DEA" w:rsidRDefault="00067C0A" w:rsidP="00542DF0">
            <w:pPr>
              <w:jc w:val="center"/>
              <w:rPr>
                <w:rFonts w:ascii="Arial Narrow" w:hAnsi="Arial Narrow"/>
                <w:color w:val="000000" w:themeColor="text1"/>
                <w:sz w:val="20"/>
                <w:szCs w:val="24"/>
                <w:lang w:eastAsia="lv-LV"/>
              </w:rPr>
            </w:pPr>
            <w:r>
              <w:rPr>
                <w:rFonts w:ascii="Arial Narrow" w:hAnsi="Arial Narrow"/>
                <w:color w:val="000000" w:themeColor="text1"/>
                <w:sz w:val="20"/>
                <w:szCs w:val="24"/>
                <w:lang w:eastAsia="lv-LV"/>
              </w:rPr>
              <w:t>3</w:t>
            </w:r>
            <w:r w:rsidR="00542DF0">
              <w:rPr>
                <w:rFonts w:ascii="Arial Narrow" w:hAnsi="Arial Narrow"/>
                <w:color w:val="000000" w:themeColor="text1"/>
                <w:sz w:val="20"/>
                <w:szCs w:val="24"/>
                <w:lang w:eastAsia="lv-LV"/>
              </w:rPr>
              <w:t>97</w:t>
            </w:r>
          </w:p>
        </w:tc>
        <w:tc>
          <w:tcPr>
            <w:tcW w:w="14" w:type="pct"/>
            <w:tcBorders>
              <w:top w:val="nil"/>
              <w:left w:val="nil"/>
              <w:bottom w:val="nil"/>
              <w:right w:val="single" w:sz="8" w:space="0" w:color="BFBFBF"/>
            </w:tcBorders>
          </w:tcPr>
          <w:p w14:paraId="2F080E5B"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31B7B12"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w:t>
            </w:r>
            <w:r w:rsidR="00542DF0">
              <w:rPr>
                <w:rFonts w:ascii="Arial Narrow" w:hAnsi="Arial Narrow"/>
                <w:color w:val="000000" w:themeColor="text1"/>
                <w:sz w:val="20"/>
                <w:szCs w:val="24"/>
                <w:lang w:eastAsia="lv-LV"/>
              </w:rPr>
              <w:t>6,5</w:t>
            </w:r>
          </w:p>
        </w:tc>
        <w:tc>
          <w:tcPr>
            <w:tcW w:w="603" w:type="pct"/>
            <w:tcBorders>
              <w:top w:val="nil"/>
              <w:left w:val="nil"/>
              <w:bottom w:val="single" w:sz="8" w:space="0" w:color="BFBFBF"/>
              <w:right w:val="single" w:sz="8" w:space="0" w:color="BFBFBF"/>
            </w:tcBorders>
            <w:vAlign w:val="center"/>
            <w:hideMark/>
          </w:tcPr>
          <w:p w14:paraId="304D3C5A"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3,8</w:t>
            </w:r>
          </w:p>
        </w:tc>
      </w:tr>
      <w:tr w:rsidR="005C5B40" w:rsidRPr="009C5DEA" w14:paraId="7CB720FF" w14:textId="77777777" w:rsidTr="0081417B">
        <w:trPr>
          <w:trHeight w:val="227"/>
          <w:jc w:val="center"/>
        </w:trPr>
        <w:tc>
          <w:tcPr>
            <w:tcW w:w="2407" w:type="pct"/>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1341299E"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Preču eksports uz ES valstīm, </w:t>
            </w:r>
            <w:r w:rsidRPr="009C5DEA">
              <w:rPr>
                <w:rFonts w:ascii="Arial Narrow" w:hAnsi="Arial Narrow"/>
                <w:i/>
                <w:iCs/>
                <w:color w:val="000000" w:themeColor="text1"/>
                <w:sz w:val="20"/>
                <w:szCs w:val="24"/>
                <w:lang w:eastAsia="lv-LV"/>
              </w:rPr>
              <w:t>milj. EUR</w:t>
            </w:r>
          </w:p>
        </w:tc>
        <w:tc>
          <w:tcPr>
            <w:tcW w:w="442" w:type="pct"/>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45E63F21"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7 121</w:t>
            </w:r>
          </w:p>
        </w:tc>
        <w:tc>
          <w:tcPr>
            <w:tcW w:w="450"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2D10BFB0"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7 449</w:t>
            </w:r>
          </w:p>
        </w:tc>
        <w:tc>
          <w:tcPr>
            <w:tcW w:w="491"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76968F96" w14:textId="77777777" w:rsidR="005C5B40" w:rsidRPr="009C5DEA" w:rsidRDefault="005C5B40" w:rsidP="00067C0A">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7 5</w:t>
            </w:r>
            <w:r w:rsidR="00067C0A">
              <w:rPr>
                <w:rFonts w:ascii="Arial Narrow" w:hAnsi="Arial Narrow"/>
                <w:color w:val="000000" w:themeColor="text1"/>
                <w:sz w:val="20"/>
                <w:szCs w:val="24"/>
                <w:lang w:eastAsia="lv-LV"/>
              </w:rPr>
              <w:t>33</w:t>
            </w:r>
          </w:p>
        </w:tc>
        <w:tc>
          <w:tcPr>
            <w:tcW w:w="14" w:type="pct"/>
            <w:tcBorders>
              <w:top w:val="nil"/>
              <w:left w:val="nil"/>
              <w:bottom w:val="nil"/>
              <w:right w:val="single" w:sz="8" w:space="0" w:color="BFBFBF"/>
            </w:tcBorders>
          </w:tcPr>
          <w:p w14:paraId="090F66BB"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2EE4C384"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w:t>
            </w:r>
            <w:r w:rsidR="00542DF0">
              <w:rPr>
                <w:rFonts w:ascii="Arial Narrow" w:hAnsi="Arial Narrow"/>
                <w:color w:val="000000" w:themeColor="text1"/>
                <w:sz w:val="20"/>
                <w:szCs w:val="24"/>
                <w:lang w:eastAsia="lv-LV"/>
              </w:rPr>
              <w:t>1</w:t>
            </w:r>
          </w:p>
        </w:tc>
        <w:tc>
          <w:tcPr>
            <w:tcW w:w="603" w:type="pct"/>
            <w:tcBorders>
              <w:top w:val="nil"/>
              <w:left w:val="nil"/>
              <w:bottom w:val="single" w:sz="8" w:space="0" w:color="BFBFBF"/>
              <w:right w:val="single" w:sz="8" w:space="0" w:color="BFBFBF"/>
            </w:tcBorders>
            <w:shd w:val="clear" w:color="auto" w:fill="F2F2F2"/>
            <w:vAlign w:val="center"/>
            <w:hideMark/>
          </w:tcPr>
          <w:p w14:paraId="192D5F8B" w14:textId="77777777" w:rsidR="005C5B40" w:rsidRPr="009C5DEA" w:rsidRDefault="00542DF0" w:rsidP="0081417B">
            <w:pPr>
              <w:jc w:val="center"/>
              <w:rPr>
                <w:rFonts w:ascii="Arial Narrow" w:hAnsi="Arial Narrow"/>
                <w:color w:val="000000" w:themeColor="text1"/>
                <w:sz w:val="20"/>
                <w:szCs w:val="24"/>
                <w:lang w:eastAsia="lv-LV"/>
              </w:rPr>
            </w:pPr>
            <w:r>
              <w:rPr>
                <w:rFonts w:ascii="Arial Narrow" w:hAnsi="Arial Narrow"/>
                <w:color w:val="000000" w:themeColor="text1"/>
                <w:sz w:val="20"/>
                <w:szCs w:val="24"/>
                <w:lang w:eastAsia="lv-LV"/>
              </w:rPr>
              <w:t>72,7</w:t>
            </w:r>
          </w:p>
        </w:tc>
      </w:tr>
      <w:tr w:rsidR="005C5B40" w:rsidRPr="009C5DEA" w14:paraId="40ABAB95" w14:textId="77777777" w:rsidTr="0081417B">
        <w:trPr>
          <w:trHeight w:val="227"/>
          <w:jc w:val="center"/>
        </w:trPr>
        <w:tc>
          <w:tcPr>
            <w:tcW w:w="2407" w:type="pct"/>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14:paraId="1879DE1C"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Preču eksports uz pārējām valstīm, </w:t>
            </w:r>
            <w:r w:rsidRPr="009C5DEA">
              <w:rPr>
                <w:rFonts w:ascii="Arial Narrow" w:hAnsi="Arial Narrow"/>
                <w:i/>
                <w:iCs/>
                <w:color w:val="000000" w:themeColor="text1"/>
                <w:sz w:val="20"/>
                <w:szCs w:val="24"/>
                <w:lang w:eastAsia="lv-LV"/>
              </w:rPr>
              <w:t>milj. EUR</w:t>
            </w:r>
          </w:p>
        </w:tc>
        <w:tc>
          <w:tcPr>
            <w:tcW w:w="442" w:type="pct"/>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64A9B3C"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1 297</w:t>
            </w:r>
          </w:p>
        </w:tc>
        <w:tc>
          <w:tcPr>
            <w:tcW w:w="450"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7321614"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1 277</w:t>
            </w:r>
          </w:p>
        </w:tc>
        <w:tc>
          <w:tcPr>
            <w:tcW w:w="491"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785C977"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1 5</w:t>
            </w:r>
            <w:r w:rsidR="00542DF0">
              <w:rPr>
                <w:rFonts w:ascii="Arial Narrow" w:hAnsi="Arial Narrow"/>
                <w:color w:val="000000" w:themeColor="text1"/>
                <w:sz w:val="20"/>
                <w:szCs w:val="24"/>
                <w:lang w:eastAsia="lv-LV"/>
              </w:rPr>
              <w:t>96</w:t>
            </w:r>
          </w:p>
        </w:tc>
        <w:tc>
          <w:tcPr>
            <w:tcW w:w="14" w:type="pct"/>
            <w:tcBorders>
              <w:top w:val="nil"/>
              <w:left w:val="nil"/>
              <w:bottom w:val="nil"/>
              <w:right w:val="single" w:sz="8" w:space="0" w:color="BFBFBF"/>
            </w:tcBorders>
          </w:tcPr>
          <w:p w14:paraId="128ED005" w14:textId="77777777" w:rsidR="005C5B40" w:rsidRPr="009C5DEA" w:rsidRDefault="005C5B40" w:rsidP="0081417B">
            <w:pPr>
              <w:ind w:left="-113" w:right="-113"/>
              <w:rPr>
                <w:rFonts w:ascii="Arial Narrow" w:hAnsi="Arial Narrow"/>
                <w:color w:val="000000" w:themeColor="text1"/>
                <w:sz w:val="20"/>
                <w:szCs w:val="24"/>
                <w:lang w:eastAsia="lv-LV"/>
              </w:rPr>
            </w:pPr>
          </w:p>
        </w:tc>
        <w:tc>
          <w:tcPr>
            <w:tcW w:w="593"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BCF17FA"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w:t>
            </w:r>
            <w:r w:rsidR="00542DF0">
              <w:rPr>
                <w:rFonts w:ascii="Arial Narrow" w:hAnsi="Arial Narrow"/>
                <w:color w:val="000000" w:themeColor="text1"/>
                <w:sz w:val="20"/>
                <w:szCs w:val="24"/>
                <w:lang w:eastAsia="lv-LV"/>
              </w:rPr>
              <w:t>25,0</w:t>
            </w:r>
          </w:p>
        </w:tc>
        <w:tc>
          <w:tcPr>
            <w:tcW w:w="603" w:type="pct"/>
            <w:tcBorders>
              <w:top w:val="nil"/>
              <w:left w:val="nil"/>
              <w:bottom w:val="single" w:sz="8" w:space="0" w:color="BFBFBF"/>
              <w:right w:val="single" w:sz="8" w:space="0" w:color="BFBFBF"/>
            </w:tcBorders>
            <w:vAlign w:val="center"/>
            <w:hideMark/>
          </w:tcPr>
          <w:p w14:paraId="22D7823A"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15,</w:t>
            </w:r>
            <w:r w:rsidR="00542DF0">
              <w:rPr>
                <w:rFonts w:ascii="Arial Narrow" w:hAnsi="Arial Narrow"/>
                <w:color w:val="000000" w:themeColor="text1"/>
                <w:sz w:val="20"/>
                <w:szCs w:val="24"/>
                <w:lang w:eastAsia="lv-LV"/>
              </w:rPr>
              <w:t>4</w:t>
            </w:r>
          </w:p>
        </w:tc>
      </w:tr>
      <w:tr w:rsidR="005C5B40" w:rsidRPr="009C5DEA" w14:paraId="098FCB4C" w14:textId="77777777" w:rsidTr="0081417B">
        <w:trPr>
          <w:trHeight w:val="227"/>
          <w:jc w:val="center"/>
        </w:trPr>
        <w:tc>
          <w:tcPr>
            <w:tcW w:w="2407" w:type="pct"/>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14E25C08" w14:textId="77777777" w:rsidR="005C5B40" w:rsidRPr="009C5DEA" w:rsidRDefault="005C5B40" w:rsidP="0081417B">
            <w:pP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 xml:space="preserve">Eksports uz Krieviju, </w:t>
            </w:r>
            <w:r w:rsidRPr="009C5DEA">
              <w:rPr>
                <w:rFonts w:ascii="Arial Narrow" w:hAnsi="Arial Narrow"/>
                <w:i/>
                <w:iCs/>
                <w:color w:val="000000" w:themeColor="text1"/>
                <w:sz w:val="20"/>
                <w:szCs w:val="24"/>
                <w:lang w:eastAsia="lv-LV"/>
              </w:rPr>
              <w:t>% no kopējā preču eksporta</w:t>
            </w:r>
          </w:p>
        </w:tc>
        <w:tc>
          <w:tcPr>
            <w:tcW w:w="442" w:type="pct"/>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14:paraId="4AF15DC5"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11,6</w:t>
            </w:r>
          </w:p>
        </w:tc>
        <w:tc>
          <w:tcPr>
            <w:tcW w:w="450"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28A7379E" w14:textId="77777777" w:rsidR="005C5B40" w:rsidRPr="009C5DEA" w:rsidRDefault="005C5B40" w:rsidP="0081417B">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10,7</w:t>
            </w:r>
          </w:p>
        </w:tc>
        <w:tc>
          <w:tcPr>
            <w:tcW w:w="491" w:type="pct"/>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320D7533" w14:textId="77777777" w:rsidR="005C5B40" w:rsidRPr="009C5DEA" w:rsidRDefault="005C5B40" w:rsidP="00542DF0">
            <w:pPr>
              <w:jc w:val="center"/>
              <w:rPr>
                <w:rFonts w:ascii="Arial Narrow" w:hAnsi="Arial Narrow"/>
                <w:color w:val="000000" w:themeColor="text1"/>
                <w:sz w:val="20"/>
                <w:szCs w:val="24"/>
                <w:lang w:eastAsia="lv-LV"/>
              </w:rPr>
            </w:pPr>
            <w:r w:rsidRPr="009C5DEA">
              <w:rPr>
                <w:rFonts w:ascii="Arial Narrow" w:hAnsi="Arial Narrow"/>
                <w:color w:val="000000" w:themeColor="text1"/>
                <w:sz w:val="20"/>
                <w:szCs w:val="24"/>
                <w:lang w:eastAsia="lv-LV"/>
              </w:rPr>
              <w:t>8,</w:t>
            </w:r>
            <w:r w:rsidR="00542DF0">
              <w:rPr>
                <w:rFonts w:ascii="Arial Narrow" w:hAnsi="Arial Narrow"/>
                <w:color w:val="000000" w:themeColor="text1"/>
                <w:sz w:val="20"/>
                <w:szCs w:val="24"/>
                <w:lang w:eastAsia="lv-LV"/>
              </w:rPr>
              <w:t>1</w:t>
            </w:r>
          </w:p>
        </w:tc>
        <w:tc>
          <w:tcPr>
            <w:tcW w:w="14" w:type="pct"/>
            <w:tcBorders>
              <w:top w:val="nil"/>
              <w:left w:val="nil"/>
              <w:bottom w:val="nil"/>
              <w:right w:val="single" w:sz="8" w:space="0" w:color="BFBFBF"/>
            </w:tcBorders>
          </w:tcPr>
          <w:p w14:paraId="49560656" w14:textId="77777777" w:rsidR="005C5B40" w:rsidRPr="009C5DEA" w:rsidRDefault="005C5B40" w:rsidP="0081417B">
            <w:pPr>
              <w:pStyle w:val="ListParagraph"/>
              <w:ind w:left="-113" w:right="-113"/>
              <w:rPr>
                <w:rFonts w:ascii="Arial Narrow" w:hAnsi="Arial Narrow"/>
                <w:color w:val="000000" w:themeColor="text1"/>
                <w:sz w:val="20"/>
                <w:szCs w:val="24"/>
              </w:rPr>
            </w:pPr>
          </w:p>
        </w:tc>
        <w:tc>
          <w:tcPr>
            <w:tcW w:w="593" w:type="pct"/>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vAlign w:val="center"/>
            <w:hideMark/>
          </w:tcPr>
          <w:p w14:paraId="043DDECC" w14:textId="77777777" w:rsidR="005C5B40" w:rsidRPr="009C5DEA" w:rsidRDefault="005C5B40" w:rsidP="0081417B">
            <w:pPr>
              <w:rPr>
                <w:rFonts w:cs="Times New Roman"/>
                <w:color w:val="000000" w:themeColor="text1"/>
              </w:rPr>
            </w:pPr>
          </w:p>
        </w:tc>
        <w:tc>
          <w:tcPr>
            <w:tcW w:w="603" w:type="pct"/>
            <w:tcBorders>
              <w:top w:val="nil"/>
              <w:left w:val="nil"/>
              <w:bottom w:val="single" w:sz="8" w:space="0" w:color="BFBFBF"/>
              <w:right w:val="single" w:sz="8" w:space="0" w:color="BFBFBF"/>
            </w:tcBorders>
            <w:shd w:val="clear" w:color="auto" w:fill="F2F2F2"/>
            <w:vAlign w:val="center"/>
          </w:tcPr>
          <w:p w14:paraId="5498EB82" w14:textId="77777777" w:rsidR="005C5B40" w:rsidRPr="009C5DEA" w:rsidRDefault="005C5B40" w:rsidP="0081417B">
            <w:pPr>
              <w:pStyle w:val="ListParagraph"/>
              <w:jc w:val="center"/>
              <w:rPr>
                <w:rFonts w:ascii="Arial Narrow" w:hAnsi="Arial Narrow"/>
                <w:color w:val="000000" w:themeColor="text1"/>
                <w:sz w:val="20"/>
                <w:szCs w:val="24"/>
              </w:rPr>
            </w:pPr>
          </w:p>
        </w:tc>
      </w:tr>
    </w:tbl>
    <w:p w14:paraId="6C76D9C1" w14:textId="77777777" w:rsidR="005C5B40" w:rsidRPr="005C5B40" w:rsidRDefault="005C5B40" w:rsidP="005C5B40">
      <w:pPr>
        <w:jc w:val="both"/>
        <w:rPr>
          <w:rFonts w:cs="Times New Roman"/>
          <w:color w:val="000000" w:themeColor="text1"/>
          <w:sz w:val="20"/>
          <w:szCs w:val="24"/>
        </w:rPr>
      </w:pPr>
      <w:r w:rsidRPr="005C5B40">
        <w:rPr>
          <w:rFonts w:cs="Times New Roman"/>
          <w:color w:val="000000" w:themeColor="text1"/>
          <w:sz w:val="20"/>
          <w:szCs w:val="24"/>
        </w:rPr>
        <w:t>Avots: CSP, * sankciju sarakstā nav iekļautas pārtikas preces, kas tiek izmantotas bērnu pārtikā</w:t>
      </w:r>
    </w:p>
    <w:p w14:paraId="268CB554" w14:textId="77777777" w:rsidR="00D46FBB" w:rsidRPr="00B93CF6" w:rsidRDefault="00D46FBB" w:rsidP="00D46FBB">
      <w:pPr>
        <w:ind w:firstLine="426"/>
        <w:jc w:val="both"/>
        <w:rPr>
          <w:rFonts w:cs="Times New Roman"/>
          <w:sz w:val="16"/>
        </w:rPr>
      </w:pPr>
    </w:p>
    <w:p w14:paraId="7F1526DC" w14:textId="77777777" w:rsidR="00D46FBB" w:rsidRPr="005C5B40" w:rsidRDefault="00D46FBB" w:rsidP="00D46FBB">
      <w:pPr>
        <w:ind w:firstLine="426"/>
        <w:jc w:val="both"/>
        <w:rPr>
          <w:rFonts w:cs="Times New Roman"/>
          <w:sz w:val="24"/>
        </w:rPr>
      </w:pPr>
      <w:r w:rsidRPr="005C5B40">
        <w:rPr>
          <w:rFonts w:cs="Times New Roman"/>
          <w:sz w:val="24"/>
        </w:rPr>
        <w:t>Krievijas līdz šim noteiktais importa embargo uz noteiktām preču grupām Latvijas potenciālo izaugsmi ir samazinājis nedaudz – par 0,2%. Tomēr netiešā ietekme, kas saistīta ar Krievijas iekšējām ekonomiskām problēmām (lielākoties rubļa devalvācijas dēļ) ir ievērojamāka. 2015.gadā tā vērtējama 1,1% līmenī. 2015. gadā Latvijas eksports uz Krieviju samazinājies par 24,4% (faktiskajās cenās), no kuriem 16% ir saistīti ar embargo precēm un 84% ar pārējo preču eksportu uz Krieviju.</w:t>
      </w:r>
    </w:p>
    <w:p w14:paraId="6980D3D5" w14:textId="77777777" w:rsidR="005C5B40" w:rsidRPr="00B93CF6" w:rsidRDefault="005C5B40" w:rsidP="00D46FBB">
      <w:pPr>
        <w:ind w:firstLine="426"/>
        <w:rPr>
          <w:rFonts w:ascii="Arial Narrow" w:hAnsi="Arial Narrow"/>
          <w:color w:val="000000" w:themeColor="text1"/>
          <w:sz w:val="10"/>
          <w:szCs w:val="24"/>
        </w:rPr>
      </w:pPr>
    </w:p>
    <w:p w14:paraId="0E4B93C9" w14:textId="77777777" w:rsidR="00F87F6B" w:rsidRPr="00F87F6B" w:rsidRDefault="00F87F6B" w:rsidP="00D46FBB">
      <w:pPr>
        <w:ind w:firstLine="426"/>
        <w:jc w:val="both"/>
        <w:rPr>
          <w:rFonts w:cs="Times New Roman"/>
          <w:sz w:val="24"/>
        </w:rPr>
      </w:pPr>
      <w:r w:rsidRPr="00F87F6B">
        <w:rPr>
          <w:rFonts w:cs="Times New Roman"/>
          <w:sz w:val="24"/>
        </w:rPr>
        <w:t xml:space="preserve">Krievijas noteiktie importa ierobežojumi vissmagāk skar tieši lauksaimniecības un pārtikas nozari. Krievija bija lielākais Latvijas tirdzniecības partneris trešajās valstīs lauksaimniecības un pārtikas produktu jomā, 2013. gadā uzņemot 62% no visiem uz trešajām valstīm eksportētajiem Latvijas lauksaimniecības un pārtikas produktiem 658 miljonu </w:t>
      </w:r>
      <w:r>
        <w:rPr>
          <w:rFonts w:cs="Times New Roman"/>
          <w:i/>
          <w:sz w:val="24"/>
        </w:rPr>
        <w:t>euro</w:t>
      </w:r>
      <w:r w:rsidRPr="00F87F6B">
        <w:rPr>
          <w:rFonts w:cs="Times New Roman"/>
          <w:sz w:val="24"/>
        </w:rPr>
        <w:t xml:space="preserve"> vērtībā.</w:t>
      </w:r>
    </w:p>
    <w:p w14:paraId="04712DBC" w14:textId="77777777" w:rsidR="00F87F6B" w:rsidRPr="00F87F6B" w:rsidRDefault="00F87F6B" w:rsidP="00D46FBB">
      <w:pPr>
        <w:ind w:firstLine="426"/>
        <w:jc w:val="both"/>
        <w:rPr>
          <w:rFonts w:cs="Times New Roman"/>
          <w:sz w:val="24"/>
        </w:rPr>
      </w:pPr>
      <w:r w:rsidRPr="00F87F6B">
        <w:rPr>
          <w:rFonts w:cs="Times New Roman"/>
          <w:sz w:val="24"/>
        </w:rPr>
        <w:t xml:space="preserve">Krievijas importa embargo skarto produktu eksporta vērtība uz Krieviju 2013. gadā sasniedza 70 milj. </w:t>
      </w:r>
      <w:r w:rsidRPr="00F87F6B">
        <w:rPr>
          <w:rFonts w:cs="Times New Roman"/>
          <w:i/>
          <w:sz w:val="24"/>
        </w:rPr>
        <w:t>euro</w:t>
      </w:r>
      <w:r w:rsidRPr="00F87F6B">
        <w:rPr>
          <w:rFonts w:cs="Times New Roman"/>
          <w:sz w:val="24"/>
        </w:rPr>
        <w:t>, no kuriem 40% veidoja piena pr</w:t>
      </w:r>
      <w:r>
        <w:rPr>
          <w:rFonts w:cs="Times New Roman"/>
          <w:sz w:val="24"/>
        </w:rPr>
        <w:t>odukti, tai skaitā siers - 21%.</w:t>
      </w:r>
      <w:r w:rsidRPr="00F87F6B">
        <w:rPr>
          <w:rFonts w:cs="Times New Roman"/>
          <w:sz w:val="24"/>
        </w:rPr>
        <w:t xml:space="preserve">Tādējādi importa embargo skarto produktu eksports uz Krieviju no 2014. gada augusta līdz 2015. gada decembrim bija samazinājies par 74,6 milj. </w:t>
      </w:r>
      <w:r>
        <w:rPr>
          <w:rFonts w:cs="Times New Roman"/>
          <w:i/>
          <w:sz w:val="24"/>
        </w:rPr>
        <w:t>euro</w:t>
      </w:r>
      <w:r w:rsidRPr="00F87F6B">
        <w:rPr>
          <w:rFonts w:cs="Times New Roman"/>
          <w:sz w:val="24"/>
        </w:rPr>
        <w:t xml:space="preserve"> (t.sk. pienam un piena produktiem 60,7 milj. </w:t>
      </w:r>
      <w:r>
        <w:rPr>
          <w:rFonts w:cs="Times New Roman"/>
          <w:i/>
          <w:sz w:val="24"/>
        </w:rPr>
        <w:t>euro</w:t>
      </w:r>
      <w:r w:rsidRPr="00F87F6B">
        <w:rPr>
          <w:rFonts w:cs="Times New Roman"/>
          <w:sz w:val="24"/>
        </w:rPr>
        <w:t>). Savukārt zivju konservu eksporta samazinājums un eksporta cenas zaudējums kopā veido 54,5 milj. EUR.</w:t>
      </w:r>
    </w:p>
    <w:p w14:paraId="04F4431E" w14:textId="77777777" w:rsidR="00F87F6B" w:rsidRPr="00F87F6B" w:rsidRDefault="00F87F6B" w:rsidP="00D46FBB">
      <w:pPr>
        <w:ind w:firstLine="426"/>
        <w:jc w:val="both"/>
        <w:rPr>
          <w:rFonts w:cs="Times New Roman"/>
          <w:sz w:val="24"/>
        </w:rPr>
      </w:pPr>
      <w:r w:rsidRPr="00F87F6B">
        <w:rPr>
          <w:rFonts w:cs="Times New Roman"/>
          <w:sz w:val="24"/>
        </w:rPr>
        <w:t>Krievijas importa embargo ietekmē eksports samazinājies ne tikai uz Krieviju, bet arī citiem nozīmīgiem eksporta tirgiem, jo arī viss ES iekšējais tirgus, kas ir galvenais Latvijas lauksaimniecības un pārtikas produktu eksporta tirgus, pēc Krievijas importa embargo saskaras ar produktu piedāvājuma pārpilnību.</w:t>
      </w:r>
      <w:r w:rsidR="00B93CF6">
        <w:rPr>
          <w:rFonts w:cs="Times New Roman"/>
          <w:sz w:val="24"/>
        </w:rPr>
        <w:t xml:space="preserve"> </w:t>
      </w:r>
      <w:r w:rsidRPr="00F87F6B">
        <w:rPr>
          <w:rFonts w:cs="Times New Roman"/>
          <w:sz w:val="24"/>
        </w:rPr>
        <w:t xml:space="preserve">Šo produktu eksports uz citiem tirgiem līdz 2015. gada decembrim bija samazinājies par 131 milj. </w:t>
      </w:r>
      <w:r>
        <w:rPr>
          <w:rFonts w:cs="Times New Roman"/>
          <w:i/>
          <w:sz w:val="24"/>
        </w:rPr>
        <w:t>euro</w:t>
      </w:r>
      <w:r w:rsidRPr="00F87F6B">
        <w:rPr>
          <w:rFonts w:cs="Times New Roman"/>
          <w:sz w:val="24"/>
        </w:rPr>
        <w:t xml:space="preserve">. Savukārt zivju konservu eksporta samazinājums uz citiem nozīmīgiem tirgiem veido aptuveni 4,6 milj. </w:t>
      </w:r>
      <w:r>
        <w:rPr>
          <w:rFonts w:cs="Times New Roman"/>
          <w:i/>
          <w:sz w:val="24"/>
        </w:rPr>
        <w:t>euro</w:t>
      </w:r>
      <w:r w:rsidRPr="00F87F6B">
        <w:rPr>
          <w:rFonts w:cs="Times New Roman"/>
          <w:sz w:val="24"/>
        </w:rPr>
        <w:t>.</w:t>
      </w:r>
    </w:p>
    <w:p w14:paraId="29BF83C2" w14:textId="77777777" w:rsidR="00F87F6B" w:rsidRDefault="00F87F6B" w:rsidP="00D46FBB">
      <w:pPr>
        <w:ind w:firstLine="426"/>
        <w:jc w:val="both"/>
        <w:rPr>
          <w:rFonts w:cs="Times New Roman"/>
          <w:sz w:val="24"/>
        </w:rPr>
      </w:pPr>
      <w:r w:rsidRPr="00F87F6B">
        <w:rPr>
          <w:rFonts w:cs="Times New Roman"/>
          <w:sz w:val="24"/>
        </w:rPr>
        <w:t>Jāatzīmē, ka piena, gaļas un zivju produkcijas ražotāji savai produkcijai ir atraduši jaunus eksporta tirgus, tomēr to vērtība vēl ir neliela. Jāņem vērā, ka lauksaimniecības, pārtikas un zivsaimniecības nozare eksporta samazinājumu Krievijas tirgū nevar īsā periodā ātri kompensēt ar eksporta palielinājumu citos tirgos, jo pārtikas eksportētājiem jaunu eksporta tirgu apgūšanai nepieciešamas laikietilpīgas procedūras (sertifikāti, atļaujas, pārbaudes u.c.)</w:t>
      </w:r>
    </w:p>
    <w:p w14:paraId="332E633F" w14:textId="77777777" w:rsidR="00F87F6B" w:rsidRPr="00D46FBB" w:rsidRDefault="005C5B40" w:rsidP="00D46FBB">
      <w:pPr>
        <w:ind w:firstLine="426"/>
        <w:jc w:val="both"/>
        <w:rPr>
          <w:rFonts w:cs="Times New Roman"/>
          <w:sz w:val="24"/>
        </w:rPr>
      </w:pPr>
      <w:r w:rsidRPr="005C5B40">
        <w:rPr>
          <w:rFonts w:cs="Times New Roman"/>
          <w:sz w:val="24"/>
        </w:rPr>
        <w:t xml:space="preserve">Latvijas preču eksporta samazinājumu uz NVS valstīm daļēji kompensēja eksporta izaugsme uz trešajām valstīm. Salīdzinot ar 2013.gadu eksports uz trešajām valstīm ir palielinājies par 3 procentpunktiem un 2015.gadā tas sastādīja </w:t>
      </w:r>
      <w:r w:rsidR="00A92AC1">
        <w:rPr>
          <w:rFonts w:cs="Times New Roman"/>
          <w:sz w:val="24"/>
        </w:rPr>
        <w:t>15,4</w:t>
      </w:r>
      <w:r w:rsidRPr="005C5B40">
        <w:rPr>
          <w:rFonts w:cs="Times New Roman"/>
          <w:sz w:val="24"/>
        </w:rPr>
        <w:t>% no kopējā Latvijas preču eksporta. Tradicionāli lielākā eksporta preču grupa uz šīm valstīm ir lauksaimniecības un pārtikas preces. Savukārt pēdējo trīs gadu laikā ir samazinājies metālu un to izstrādājumu eksports, ko pilnībā kompensēja mehānismu un elektroie</w:t>
      </w:r>
      <w:r w:rsidR="00D46FBB">
        <w:rPr>
          <w:rFonts w:cs="Times New Roman"/>
          <w:sz w:val="24"/>
        </w:rPr>
        <w:t>rīču eksporta apjomu pieaugums.</w:t>
      </w:r>
    </w:p>
    <w:p w14:paraId="15A24374" w14:textId="77777777" w:rsidR="005C5B40" w:rsidRPr="005C5B40" w:rsidRDefault="00B62C69" w:rsidP="00B62C69">
      <w:pPr>
        <w:tabs>
          <w:tab w:val="left" w:pos="2768"/>
          <w:tab w:val="right" w:pos="9781"/>
        </w:tabs>
        <w:spacing w:after="40"/>
        <w:rPr>
          <w:rFonts w:cs="Times New Roman"/>
          <w:b/>
          <w:color w:val="000000" w:themeColor="text1"/>
          <w:sz w:val="24"/>
          <w:szCs w:val="24"/>
        </w:rPr>
      </w:pPr>
      <w:r>
        <w:rPr>
          <w:rFonts w:cs="Times New Roman"/>
          <w:b/>
          <w:color w:val="000000" w:themeColor="text1"/>
          <w:sz w:val="24"/>
          <w:szCs w:val="24"/>
        </w:rPr>
        <w:lastRenderedPageBreak/>
        <w:tab/>
      </w:r>
      <w:r>
        <w:rPr>
          <w:rFonts w:cs="Times New Roman"/>
          <w:b/>
          <w:color w:val="000000" w:themeColor="text1"/>
          <w:sz w:val="24"/>
          <w:szCs w:val="24"/>
        </w:rPr>
        <w:tab/>
      </w:r>
      <w:r w:rsidR="00396665" w:rsidRPr="00130091">
        <w:rPr>
          <w:rFonts w:ascii="Arial Narrow" w:hAnsi="Arial Narrow"/>
          <w:noProof/>
          <w:lang w:eastAsia="lv-LV"/>
        </w:rPr>
        <w:drawing>
          <wp:anchor distT="0" distB="0" distL="114300" distR="114300" simplePos="0" relativeHeight="251668480" behindDoc="0" locked="0" layoutInCell="1" allowOverlap="1" wp14:anchorId="0F6BB89E" wp14:editId="329648FC">
            <wp:simplePos x="0" y="0"/>
            <wp:positionH relativeFrom="column">
              <wp:posOffset>2211705</wp:posOffset>
            </wp:positionH>
            <wp:positionV relativeFrom="paragraph">
              <wp:posOffset>202565</wp:posOffset>
            </wp:positionV>
            <wp:extent cx="4079875" cy="2043430"/>
            <wp:effectExtent l="0" t="0" r="0" b="0"/>
            <wp:wrapSquare wrapText="bothSides"/>
            <wp:docPr id="2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l="11694" t="20617" r="12965" b="33117"/>
                    <a:stretch>
                      <a:fillRect/>
                    </a:stretch>
                  </pic:blipFill>
                  <pic:spPr bwMode="auto">
                    <a:xfrm>
                      <a:off x="0" y="0"/>
                      <a:ext cx="4079875" cy="2043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C5B40" w:rsidRPr="005C5B40">
        <w:rPr>
          <w:rFonts w:cs="Times New Roman"/>
          <w:b/>
          <w:color w:val="000000" w:themeColor="text1"/>
          <w:sz w:val="24"/>
          <w:szCs w:val="24"/>
        </w:rPr>
        <w:t>Pakalpojumu eksports, 2015.gads</w:t>
      </w:r>
      <w:r w:rsidR="005C5B40" w:rsidRPr="00D46FBB">
        <w:rPr>
          <w:rFonts w:cs="Times New Roman"/>
          <w:color w:val="000000" w:themeColor="text1"/>
          <w:sz w:val="24"/>
          <w:szCs w:val="24"/>
        </w:rPr>
        <w:t>, milj. EUR</w:t>
      </w:r>
    </w:p>
    <w:p w14:paraId="0D026B45" w14:textId="77777777" w:rsidR="005C5B40" w:rsidRDefault="005C5B40" w:rsidP="00D46FBB">
      <w:pPr>
        <w:ind w:firstLine="426"/>
        <w:jc w:val="both"/>
        <w:rPr>
          <w:rFonts w:cs="Times New Roman"/>
          <w:sz w:val="24"/>
        </w:rPr>
      </w:pPr>
      <w:r w:rsidRPr="005C5B40">
        <w:rPr>
          <w:rFonts w:cs="Times New Roman"/>
          <w:sz w:val="24"/>
        </w:rPr>
        <w:t xml:space="preserve">Latvijas </w:t>
      </w:r>
      <w:r w:rsidRPr="00B62C69">
        <w:rPr>
          <w:rFonts w:cs="Times New Roman"/>
          <w:b/>
          <w:sz w:val="24"/>
        </w:rPr>
        <w:t xml:space="preserve">pakalpojumu eksports </w:t>
      </w:r>
      <w:r w:rsidRPr="005C5B40">
        <w:rPr>
          <w:rFonts w:cs="Times New Roman"/>
          <w:sz w:val="24"/>
        </w:rPr>
        <w:t>pēdējos gados sastāda aptuveni 28% no kopējā preču un pakalpojumu eksporta. 40% no visa pakalpojumu eksporta veido ar pārvadājumiem saistītie pakalpojumi. Pēdējo trīs gadu laikā šo pakalpojumu īpatsvars kopējā pakalpojumu eksportā ir nedaudz samazinājies. Transporta pakalpojumu eksporta grupā līdzīgu daļu veido gan autotransporta, gan arī jūras un dzelzceļa transporta pakalpojumi. Pēdējo trīs gadu laikā ar vien lielāku daļu kopējā pakalpojumu eksportā veido ieņēmumi no Latvijā ieceļojušiem tūristiem. To īpatsvars eksportā ir pieaudzis no 15% 2012.gadā līdz 20% 2015. gadā. Tāpat arī pieaug finanšu pakalpojumu eksports – no 13% 2012.gadā līdz 15% 2015.gadā.</w:t>
      </w:r>
    </w:p>
    <w:p w14:paraId="30D9FD66" w14:textId="77777777" w:rsidR="00B62C69" w:rsidRPr="005C5B40" w:rsidRDefault="00B62C69" w:rsidP="00D46FBB">
      <w:pPr>
        <w:ind w:firstLine="426"/>
        <w:jc w:val="both"/>
        <w:rPr>
          <w:rFonts w:cs="Times New Roman"/>
          <w:sz w:val="24"/>
        </w:rPr>
      </w:pPr>
      <w:r>
        <w:rPr>
          <w:sz w:val="24"/>
          <w:szCs w:val="24"/>
        </w:rPr>
        <w:t>Vērtējot pakalpojuma eksporta prioritārās nozares, jāatzīmē, ka visās no tām saglabājusies stabila izaugsme -T</w:t>
      </w:r>
      <w:r w:rsidRPr="00AE7CBA">
        <w:rPr>
          <w:sz w:val="24"/>
          <w:szCs w:val="24"/>
        </w:rPr>
        <w:t>ūristu un to nakšņojumu skaita stabils pieaugums vērojams jau kopš 2010.gada, 5 gad</w:t>
      </w:r>
      <w:r>
        <w:rPr>
          <w:sz w:val="24"/>
          <w:szCs w:val="24"/>
        </w:rPr>
        <w:t xml:space="preserve">u posmā pieaugot vairāk par 60% un kopējā </w:t>
      </w:r>
      <w:r w:rsidRPr="00AE7CBA">
        <w:rPr>
          <w:sz w:val="24"/>
          <w:szCs w:val="24"/>
        </w:rPr>
        <w:t xml:space="preserve">pakalpojumu </w:t>
      </w:r>
      <w:r>
        <w:rPr>
          <w:sz w:val="24"/>
          <w:szCs w:val="24"/>
        </w:rPr>
        <w:t>eksportā</w:t>
      </w:r>
      <w:r w:rsidRPr="00AE7CBA">
        <w:rPr>
          <w:sz w:val="24"/>
          <w:szCs w:val="24"/>
        </w:rPr>
        <w:t xml:space="preserve">, tūrisms </w:t>
      </w:r>
      <w:r>
        <w:rPr>
          <w:sz w:val="24"/>
          <w:szCs w:val="24"/>
        </w:rPr>
        <w:t>caurmērā veido 15%. Arī IKT</w:t>
      </w:r>
      <w:r w:rsidRPr="00D847C3">
        <w:rPr>
          <w:sz w:val="24"/>
          <w:szCs w:val="24"/>
        </w:rPr>
        <w:t xml:space="preserve"> ir viena no straujāk augošajām nozarēm, vērtējot gan </w:t>
      </w:r>
      <w:r w:rsidRPr="00E424D1">
        <w:rPr>
          <w:sz w:val="24"/>
          <w:szCs w:val="24"/>
        </w:rPr>
        <w:t xml:space="preserve">pēc eksporta pieauguma, gan nodarbināto skaita pieauguma attiecīgajā nozarē. </w:t>
      </w:r>
      <w:r w:rsidRPr="000066BD">
        <w:rPr>
          <w:sz w:val="24"/>
          <w:szCs w:val="24"/>
        </w:rPr>
        <w:t>2015. gadā Latvijas IKT nozares pakalpojuma eksports audzis  par 24%</w:t>
      </w:r>
      <w:r>
        <w:rPr>
          <w:sz w:val="24"/>
          <w:szCs w:val="24"/>
        </w:rPr>
        <w:t xml:space="preserve">, sasniedzot </w:t>
      </w:r>
      <w:r w:rsidRPr="000066BD">
        <w:rPr>
          <w:sz w:val="24"/>
          <w:szCs w:val="24"/>
        </w:rPr>
        <w:t>361,32</w:t>
      </w:r>
      <w:r>
        <w:rPr>
          <w:sz w:val="24"/>
          <w:szCs w:val="24"/>
        </w:rPr>
        <w:t xml:space="preserve"> miljonus EUR. </w:t>
      </w:r>
      <w:r w:rsidRPr="000066BD">
        <w:rPr>
          <w:bCs/>
          <w:sz w:val="24"/>
          <w:szCs w:val="24"/>
        </w:rPr>
        <w:t xml:space="preserve">Transporta un uzglabāšanas nozare veido nedaudz zem 10% </w:t>
      </w:r>
      <w:r>
        <w:rPr>
          <w:bCs/>
          <w:sz w:val="24"/>
          <w:szCs w:val="24"/>
        </w:rPr>
        <w:t>no kopējās pievienotās vērtības tautsaimniecības struktūrā, un a</w:t>
      </w:r>
      <w:r w:rsidRPr="000066BD">
        <w:rPr>
          <w:bCs/>
          <w:sz w:val="24"/>
          <w:szCs w:val="24"/>
        </w:rPr>
        <w:t>ptuveni</w:t>
      </w:r>
    </w:p>
    <w:p w14:paraId="35DB08E6" w14:textId="77777777" w:rsidR="005C5B40" w:rsidRDefault="00CB74D4" w:rsidP="00D46FBB">
      <w:pPr>
        <w:ind w:firstLine="426"/>
        <w:jc w:val="both"/>
        <w:rPr>
          <w:rFonts w:cs="Times New Roman"/>
          <w:color w:val="000000" w:themeColor="text1"/>
          <w:sz w:val="24"/>
        </w:rPr>
      </w:pPr>
      <w:r>
        <w:rPr>
          <w:rFonts w:cs="Times New Roman"/>
          <w:sz w:val="24"/>
        </w:rPr>
        <w:t xml:space="preserve">Tuvākajos gados eksporta dinamika visdrīzāk saglabāsies mērena, ko lielā mērā noteiks vājā globālās ekonomikas izaugsme. </w:t>
      </w:r>
      <w:r w:rsidR="005C5B40" w:rsidRPr="005C5B40">
        <w:rPr>
          <w:rFonts w:cs="Times New Roman"/>
          <w:sz w:val="24"/>
        </w:rPr>
        <w:t xml:space="preserve">Salīdzinot ar iepriekšējām prognozēm, 2016.gada maijā Eiropas Komisija nedaudz samazināja globālās ekonomikas izaugsmes prognozes. Pēc EK aplēsēm globālā ekonomika 2016.gadā pieaugs par 3,1%. Pasaules ekonomikai riskus rada galvenokārt deflācija, valūtas maiņas kursu augstās svārstības, naftas cenu kritums, kas rada zaudējumus naftas eksportētājvalstīm, bet ieguvumus naftas importētājvalstīm. Krievijas ekonomikas lejupslīde ietekmēs izaugsmi kaimiņvalstīs. Saskaņā ar EK prognozēm Krievijā IKP 2016.gadā samazināsies par 1,9% (salīdzinot ar iepriekšējām prognozēm – tā ir pasliktināta par 0,7 procentpunktiem). ASV 2016.gadā tiek prognozēta izaugsme par 2,3%, kas, salīdzinot ar iepriekšējo prognozi, ir samazināta par 0,4 procentpunktiem. Ekonomikas aktivitātes kāpumu ASV ietekmē privātā patēriņa kāpums, galvenokārt saistībā ar zemajām naftas cenām, kā arī mērenāka fiskālā un monetārā politika, bet ASV dolāra augstais kurss ietekmē procentu likmju kāpumu un eksporta kritumu. Eirozonas ekonomikā turpināsies mērena izaugsme  2016.gadā – par 1,6% (samazināta par 0,2 procentpunktiem).  Tas nozīmē, ka </w:t>
      </w:r>
      <w:r w:rsidR="005C5B40" w:rsidRPr="005C5B40">
        <w:rPr>
          <w:rFonts w:cs="Times New Roman"/>
          <w:color w:val="000000" w:themeColor="text1"/>
          <w:sz w:val="24"/>
        </w:rPr>
        <w:t xml:space="preserve">Latvijas eksporta </w:t>
      </w:r>
      <w:r w:rsidR="005C5B40" w:rsidRPr="00C76FE9">
        <w:rPr>
          <w:rFonts w:cs="Times New Roman"/>
          <w:b/>
          <w:color w:val="000000" w:themeColor="text1"/>
          <w:sz w:val="24"/>
        </w:rPr>
        <w:t>turpmākās attīstības iespējas lielā mērā noteiks Latvijas ražotāju konkurētspēja</w:t>
      </w:r>
      <w:r w:rsidR="005C5B40" w:rsidRPr="005C5B40">
        <w:rPr>
          <w:rFonts w:cs="Times New Roman"/>
          <w:color w:val="000000" w:themeColor="text1"/>
          <w:sz w:val="24"/>
        </w:rPr>
        <w:t xml:space="preserve">. </w:t>
      </w:r>
    </w:p>
    <w:p w14:paraId="2EF1270A" w14:textId="77777777" w:rsidR="00237CF4" w:rsidRDefault="00B44EF8" w:rsidP="00D46FBB">
      <w:pPr>
        <w:pStyle w:val="Heading2"/>
        <w:shd w:val="clear" w:color="auto" w:fill="1DA0A7"/>
        <w:rPr>
          <w:b/>
          <w:color w:val="FFFFFF" w:themeColor="background1"/>
        </w:rPr>
      </w:pPr>
      <w:bookmarkStart w:id="7" w:name="_Toc462740001"/>
      <w:r w:rsidRPr="00D46FBB">
        <w:rPr>
          <w:b/>
          <w:color w:val="FFFFFF" w:themeColor="background1"/>
        </w:rPr>
        <w:t xml:space="preserve">1.2. </w:t>
      </w:r>
      <w:r w:rsidR="00237CF4" w:rsidRPr="00D46FBB">
        <w:rPr>
          <w:b/>
          <w:color w:val="FFFFFF" w:themeColor="background1"/>
        </w:rPr>
        <w:t>Konkurētspējas raksturojums</w:t>
      </w:r>
      <w:bookmarkEnd w:id="7"/>
    </w:p>
    <w:p w14:paraId="7473690C" w14:textId="77777777" w:rsidR="00D46FBB" w:rsidRPr="00396665" w:rsidRDefault="00D46FBB" w:rsidP="00D46FBB">
      <w:pPr>
        <w:rPr>
          <w:sz w:val="18"/>
        </w:rPr>
      </w:pPr>
    </w:p>
    <w:tbl>
      <w:tblPr>
        <w:tblpPr w:leftFromText="180" w:rightFromText="180" w:vertAnchor="text" w:horzAnchor="margin" w:tblpXSpec="right" w:tblpY="20"/>
        <w:tblW w:w="0" w:type="auto"/>
        <w:tblLook w:val="04A0" w:firstRow="1" w:lastRow="0" w:firstColumn="1" w:lastColumn="0" w:noHBand="0" w:noVBand="1"/>
      </w:tblPr>
      <w:tblGrid>
        <w:gridCol w:w="5406"/>
      </w:tblGrid>
      <w:tr w:rsidR="00237CF4" w:rsidRPr="00237CF4" w14:paraId="17F080E6" w14:textId="77777777" w:rsidTr="0081417B">
        <w:tc>
          <w:tcPr>
            <w:tcW w:w="4926" w:type="dxa"/>
          </w:tcPr>
          <w:p w14:paraId="0A91D6F7" w14:textId="77777777" w:rsidR="00237CF4" w:rsidRPr="00237CF4" w:rsidRDefault="00237CF4" w:rsidP="0081417B">
            <w:pPr>
              <w:spacing w:after="120"/>
              <w:ind w:left="-142" w:right="-110"/>
              <w:jc w:val="center"/>
              <w:rPr>
                <w:rFonts w:cs="Times New Roman"/>
              </w:rPr>
            </w:pPr>
            <w:r w:rsidRPr="00237CF4">
              <w:rPr>
                <w:rFonts w:cs="Times New Roman"/>
                <w:b/>
                <w:sz w:val="20"/>
              </w:rPr>
              <w:t>Darbaspēka izmaksas un produktivitāte apstrādes rūpniecībā</w:t>
            </w:r>
            <w:r w:rsidRPr="00237CF4">
              <w:rPr>
                <w:rFonts w:cs="Times New Roman"/>
                <w:sz w:val="20"/>
              </w:rPr>
              <w:t xml:space="preserve"> (</w:t>
            </w:r>
            <w:r w:rsidRPr="00E9146D">
              <w:rPr>
                <w:rFonts w:cs="Times New Roman"/>
                <w:sz w:val="18"/>
                <w:szCs w:val="18"/>
              </w:rPr>
              <w:t>kreisā ass – % pret iepriekšējo gadu; labā ass – 2005.g = 100</w:t>
            </w:r>
          </w:p>
        </w:tc>
      </w:tr>
      <w:tr w:rsidR="00237CF4" w:rsidRPr="00237CF4" w14:paraId="569C3B6E" w14:textId="77777777" w:rsidTr="0081417B">
        <w:tc>
          <w:tcPr>
            <w:tcW w:w="4926" w:type="dxa"/>
          </w:tcPr>
          <w:p w14:paraId="008DAFC1" w14:textId="77777777" w:rsidR="00237CF4" w:rsidRPr="00237CF4" w:rsidRDefault="00237CF4" w:rsidP="0081417B">
            <w:pPr>
              <w:spacing w:after="120"/>
              <w:jc w:val="both"/>
              <w:rPr>
                <w:rFonts w:cs="Times New Roman"/>
              </w:rPr>
            </w:pPr>
            <w:r w:rsidRPr="00237CF4">
              <w:rPr>
                <w:rFonts w:cs="Times New Roman"/>
                <w:b/>
                <w:noProof/>
                <w:lang w:eastAsia="lv-LV"/>
              </w:rPr>
              <w:drawing>
                <wp:inline distT="0" distB="0" distL="0" distR="0" wp14:anchorId="4A7ABF3E" wp14:editId="6207833D">
                  <wp:extent cx="3295291" cy="1475117"/>
                  <wp:effectExtent l="0" t="0" r="63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42A0CD45" w14:textId="77777777" w:rsidR="00237CF4" w:rsidRPr="00237CF4" w:rsidRDefault="00237CF4" w:rsidP="00D46FBB">
      <w:pPr>
        <w:ind w:firstLine="426"/>
        <w:jc w:val="both"/>
        <w:rPr>
          <w:rFonts w:cs="Times New Roman"/>
          <w:sz w:val="24"/>
        </w:rPr>
      </w:pPr>
      <w:r w:rsidRPr="00237CF4">
        <w:rPr>
          <w:rFonts w:cs="Times New Roman"/>
          <w:sz w:val="24"/>
        </w:rPr>
        <w:t xml:space="preserve">Līdz šim Latvijas konkurētspējas uzlabošanos pamatā noteica </w:t>
      </w:r>
      <w:r w:rsidR="00843547" w:rsidRPr="00843547">
        <w:rPr>
          <w:rFonts w:cs="Times New Roman"/>
          <w:b/>
          <w:sz w:val="24"/>
        </w:rPr>
        <w:t>zemākas</w:t>
      </w:r>
      <w:r w:rsidR="00843547">
        <w:rPr>
          <w:rFonts w:cs="Times New Roman"/>
          <w:sz w:val="24"/>
        </w:rPr>
        <w:t xml:space="preserve"> </w:t>
      </w:r>
      <w:r w:rsidRPr="00237CF4">
        <w:rPr>
          <w:rFonts w:cs="Times New Roman"/>
          <w:sz w:val="24"/>
        </w:rPr>
        <w:t>darbaspēka izmaks</w:t>
      </w:r>
      <w:r w:rsidR="00843547">
        <w:rPr>
          <w:rFonts w:cs="Times New Roman"/>
          <w:sz w:val="24"/>
        </w:rPr>
        <w:t>as</w:t>
      </w:r>
      <w:r w:rsidRPr="00237CF4">
        <w:rPr>
          <w:rFonts w:cs="Times New Roman"/>
          <w:sz w:val="24"/>
        </w:rPr>
        <w:t>, bet turpmāk izšķiroša loma būs spējai palielināt produktivitāti.</w:t>
      </w:r>
    </w:p>
    <w:p w14:paraId="2DEF9AFF" w14:textId="77777777" w:rsidR="00237CF4" w:rsidRPr="00237CF4" w:rsidRDefault="00237CF4" w:rsidP="00237CF4">
      <w:pPr>
        <w:jc w:val="both"/>
        <w:rPr>
          <w:rFonts w:cs="Times New Roman"/>
          <w:sz w:val="24"/>
        </w:rPr>
      </w:pPr>
      <w:r w:rsidRPr="00237CF4">
        <w:rPr>
          <w:rFonts w:cs="Times New Roman"/>
          <w:sz w:val="24"/>
        </w:rPr>
        <w:t>Par Latvijas izmaksu konkurētspējas izmaiņām liecina produkcijas vienības</w:t>
      </w:r>
      <w:r w:rsidR="00B62C69">
        <w:rPr>
          <w:rFonts w:cs="Times New Roman"/>
          <w:sz w:val="24"/>
        </w:rPr>
        <w:t xml:space="preserve"> </w:t>
      </w:r>
      <w:r w:rsidR="00E9146D">
        <w:rPr>
          <w:rFonts w:cs="Times New Roman"/>
          <w:sz w:val="24"/>
        </w:rPr>
        <w:lastRenderedPageBreak/>
        <w:t>d</w:t>
      </w:r>
      <w:r w:rsidRPr="00237CF4">
        <w:rPr>
          <w:rFonts w:cs="Times New Roman"/>
          <w:sz w:val="24"/>
        </w:rPr>
        <w:t>arbaspēka izmaksu (ULC)</w:t>
      </w:r>
      <w:r w:rsidRPr="00237CF4">
        <w:rPr>
          <w:rFonts w:cs="Times New Roman"/>
          <w:sz w:val="24"/>
          <w:vertAlign w:val="superscript"/>
        </w:rPr>
        <w:footnoteReference w:id="1"/>
      </w:r>
      <w:r w:rsidRPr="00237CF4">
        <w:rPr>
          <w:rFonts w:cs="Times New Roman"/>
          <w:sz w:val="24"/>
        </w:rPr>
        <w:t xml:space="preserve"> dinamika rūpniecībā. Straujās izaugsmes gados darba samaksa pieauga gandrīz piecas reizes straujāk nekā produktivitāte, negatīvi ietekmējot nozares izmaksu konkurētspēju. Krīzes radītās korekcijas preču un darba tirgos mazināja plaisu starp produktivitātes un darbaspēka izmaksu dinamiku, kā rezultātā Latvijas rūpniecības konkurētspēja ārējos tirgos pakāpeniski uzlabojās. Tomēr pēdējos gados ir vērojama pozitīva ULC dinamika, kas ir straujāka nekā vidēji ES. </w:t>
      </w:r>
    </w:p>
    <w:p w14:paraId="5C19F4B0" w14:textId="77777777" w:rsidR="00237CF4" w:rsidRPr="00237CF4" w:rsidRDefault="00237CF4" w:rsidP="00D46FBB">
      <w:pPr>
        <w:ind w:firstLine="426"/>
        <w:jc w:val="both"/>
        <w:rPr>
          <w:rFonts w:cs="Times New Roman"/>
          <w:b/>
          <w:sz w:val="24"/>
        </w:rPr>
      </w:pPr>
      <w:r w:rsidRPr="0064037A">
        <w:rPr>
          <w:rFonts w:cs="Times New Roman"/>
          <w:sz w:val="24"/>
        </w:rPr>
        <w:t xml:space="preserve">Viens no nozīmīgākajiem ULC palielināšanas faktoriem ir algu konverģence, ko lielā mērā ietekmē </w:t>
      </w:r>
      <w:r w:rsidR="00F57A6A" w:rsidRPr="0064037A">
        <w:rPr>
          <w:rFonts w:cs="Times New Roman"/>
          <w:sz w:val="24"/>
        </w:rPr>
        <w:t>būtiski augstākas algas Rietumeiropas darba tirgos</w:t>
      </w:r>
      <w:r w:rsidRPr="0064037A">
        <w:rPr>
          <w:rFonts w:cs="Times New Roman"/>
          <w:sz w:val="24"/>
        </w:rPr>
        <w:t>.</w:t>
      </w:r>
      <w:r w:rsidRPr="00237CF4">
        <w:rPr>
          <w:rFonts w:cs="Times New Roman"/>
          <w:sz w:val="24"/>
        </w:rPr>
        <w:t xml:space="preserve"> Algu izlīdzināšanās (konverģence) ir objektīvs process, ar ko nākotnē ir jārēķinās. Darbaspēka vienības izmaksu un produktivitātes dinamika pēdējos gados rāda, ka, pieaugot ekonomiskām aktivitātēm, produkcijas vienības darbaspēka izmaksas turpinās pieaugt. Tas nozīmē, ka </w:t>
      </w:r>
      <w:r w:rsidR="00F57A6A" w:rsidRPr="0064037A">
        <w:rPr>
          <w:rFonts w:cs="Times New Roman"/>
          <w:sz w:val="24"/>
        </w:rPr>
        <w:t>zemo</w:t>
      </w:r>
      <w:r w:rsidRPr="00237CF4">
        <w:rPr>
          <w:rFonts w:cs="Times New Roman"/>
          <w:sz w:val="24"/>
        </w:rPr>
        <w:t xml:space="preserve"> darbaspēka izmaksu konkurētspējas priekšrocības pakāpeniski tiek zaudētas, līdz ar to Latvija var zaudēt konkurētspēju zemu izmaksu segmentos ātrāk nekā iegūt priekšrocības augstākas pievienotās vērtības produktu ražošanā. Par to liecina arī uzņēmēju arvien biežākās sūdzības par</w:t>
      </w:r>
      <w:r w:rsidR="00843547">
        <w:rPr>
          <w:rFonts w:cs="Times New Roman"/>
          <w:sz w:val="24"/>
        </w:rPr>
        <w:t xml:space="preserve"> </w:t>
      </w:r>
      <w:r w:rsidR="00843547" w:rsidRPr="0064037A">
        <w:rPr>
          <w:rFonts w:cs="Times New Roman"/>
          <w:sz w:val="24"/>
        </w:rPr>
        <w:t>atbilstoša</w:t>
      </w:r>
      <w:r w:rsidR="00843547">
        <w:rPr>
          <w:rFonts w:cs="Times New Roman"/>
          <w:sz w:val="24"/>
        </w:rPr>
        <w:t xml:space="preserve"> darba</w:t>
      </w:r>
      <w:r w:rsidRPr="00237CF4">
        <w:rPr>
          <w:rFonts w:cs="Times New Roman"/>
          <w:sz w:val="24"/>
        </w:rPr>
        <w:t xml:space="preserve">spēka </w:t>
      </w:r>
      <w:r w:rsidR="00843547" w:rsidRPr="0064037A">
        <w:rPr>
          <w:rFonts w:cs="Times New Roman"/>
          <w:sz w:val="24"/>
        </w:rPr>
        <w:t>nepietiekamību</w:t>
      </w:r>
      <w:r w:rsidRPr="00237CF4">
        <w:rPr>
          <w:rFonts w:cs="Times New Roman"/>
          <w:sz w:val="24"/>
        </w:rPr>
        <w:t xml:space="preserve">. </w:t>
      </w:r>
    </w:p>
    <w:p w14:paraId="6ACCEBC9" w14:textId="77777777" w:rsidR="00245E5D" w:rsidRPr="00D46FBB" w:rsidRDefault="00237CF4" w:rsidP="00D46FBB">
      <w:pPr>
        <w:ind w:firstLine="426"/>
        <w:jc w:val="both"/>
        <w:rPr>
          <w:rFonts w:cs="Times New Roman"/>
          <w:sz w:val="24"/>
        </w:rPr>
      </w:pPr>
      <w:r w:rsidRPr="00237CF4">
        <w:rPr>
          <w:rFonts w:cs="Times New Roman"/>
          <w:sz w:val="24"/>
        </w:rPr>
        <w:t>Lai arī produktivitāte un darbaspēka izmaksas Latvijā ir ievērojami zemākas nekā Vācijā, Somijā, Zviedrijā, Dānijā un atsevišķās nozarēs arī zemākas nekā pārējās jaunajās dalībvalstīs, tomēr apstrādes rūpniecības rentabilitātes rādītāji neatpaliek no citām valstīm. Gan lētais darbaspēks, gan vienlaikus augstā rentabilitāte nerada stimulus uzņēmējdarbības modeļa maiņai un citu salīdzinošo priekšrocību radīšanai.</w:t>
      </w:r>
    </w:p>
    <w:tbl>
      <w:tblPr>
        <w:tblW w:w="0" w:type="auto"/>
        <w:jc w:val="right"/>
        <w:tblLook w:val="04A0" w:firstRow="1" w:lastRow="0" w:firstColumn="1" w:lastColumn="0" w:noHBand="0" w:noVBand="1"/>
      </w:tblPr>
      <w:tblGrid>
        <w:gridCol w:w="4731"/>
        <w:gridCol w:w="4731"/>
      </w:tblGrid>
      <w:tr w:rsidR="00237CF4" w:rsidRPr="00237CF4" w14:paraId="01377E47" w14:textId="77777777" w:rsidTr="0081417B">
        <w:trPr>
          <w:jc w:val="right"/>
        </w:trPr>
        <w:tc>
          <w:tcPr>
            <w:tcW w:w="4731" w:type="dxa"/>
          </w:tcPr>
          <w:p w14:paraId="527E74C8" w14:textId="77777777" w:rsidR="00237CF4" w:rsidRPr="00237CF4" w:rsidRDefault="00237CF4" w:rsidP="0081417B">
            <w:pPr>
              <w:spacing w:after="120"/>
              <w:jc w:val="center"/>
              <w:rPr>
                <w:rFonts w:cs="Times New Roman"/>
                <w:b/>
                <w:sz w:val="20"/>
              </w:rPr>
            </w:pPr>
            <w:r w:rsidRPr="00237CF4">
              <w:rPr>
                <w:rFonts w:cs="Times New Roman"/>
                <w:b/>
                <w:sz w:val="20"/>
              </w:rPr>
              <w:t>Produktivitāte, ES-28=100</w:t>
            </w:r>
          </w:p>
        </w:tc>
        <w:tc>
          <w:tcPr>
            <w:tcW w:w="4731" w:type="dxa"/>
          </w:tcPr>
          <w:p w14:paraId="5852F2BF" w14:textId="77777777" w:rsidR="00237CF4" w:rsidRPr="00237CF4" w:rsidRDefault="00237CF4" w:rsidP="0081417B">
            <w:pPr>
              <w:spacing w:after="120"/>
              <w:jc w:val="center"/>
              <w:rPr>
                <w:rFonts w:cs="Times New Roman"/>
                <w:b/>
                <w:sz w:val="20"/>
              </w:rPr>
            </w:pPr>
            <w:r w:rsidRPr="00237CF4">
              <w:rPr>
                <w:rFonts w:cs="Times New Roman"/>
                <w:b/>
                <w:sz w:val="20"/>
              </w:rPr>
              <w:t>Darbaspēka izmaksas, ES-28=100</w:t>
            </w:r>
          </w:p>
        </w:tc>
      </w:tr>
      <w:tr w:rsidR="00237CF4" w:rsidRPr="00237CF4" w14:paraId="4932A065" w14:textId="77777777" w:rsidTr="0081417B">
        <w:trPr>
          <w:jc w:val="right"/>
        </w:trPr>
        <w:tc>
          <w:tcPr>
            <w:tcW w:w="4731" w:type="dxa"/>
          </w:tcPr>
          <w:p w14:paraId="48F42B0E" w14:textId="77777777" w:rsidR="00237CF4" w:rsidRPr="00237CF4" w:rsidRDefault="00237CF4" w:rsidP="0081417B">
            <w:pPr>
              <w:spacing w:after="120"/>
              <w:jc w:val="both"/>
              <w:rPr>
                <w:rFonts w:cs="Times New Roman"/>
              </w:rPr>
            </w:pPr>
            <w:r w:rsidRPr="00237CF4">
              <w:rPr>
                <w:rFonts w:cs="Times New Roman"/>
                <w:noProof/>
                <w:lang w:eastAsia="lv-LV"/>
              </w:rPr>
              <w:drawing>
                <wp:inline distT="0" distB="0" distL="0" distR="0" wp14:anchorId="5542B392" wp14:editId="7AEFBDE7">
                  <wp:extent cx="2863970" cy="1259457"/>
                  <wp:effectExtent l="0" t="0" r="0"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31" w:type="dxa"/>
          </w:tcPr>
          <w:p w14:paraId="5A2499F1" w14:textId="77777777" w:rsidR="00237CF4" w:rsidRPr="00237CF4" w:rsidRDefault="00237CF4" w:rsidP="0081417B">
            <w:pPr>
              <w:spacing w:after="120"/>
              <w:jc w:val="both"/>
              <w:rPr>
                <w:rFonts w:cs="Times New Roman"/>
              </w:rPr>
            </w:pPr>
            <w:r w:rsidRPr="00237CF4">
              <w:rPr>
                <w:rFonts w:cs="Times New Roman"/>
                <w:noProof/>
                <w:lang w:eastAsia="lv-LV"/>
              </w:rPr>
              <w:drawing>
                <wp:inline distT="0" distB="0" distL="0" distR="0" wp14:anchorId="5A554D43" wp14:editId="1581F768">
                  <wp:extent cx="2863970" cy="1259457"/>
                  <wp:effectExtent l="0" t="0" r="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36402779" w14:textId="77777777" w:rsidR="00237CF4" w:rsidRPr="00237CF4" w:rsidRDefault="00237CF4" w:rsidP="00396665">
      <w:pPr>
        <w:ind w:firstLine="426"/>
        <w:jc w:val="both"/>
        <w:rPr>
          <w:rFonts w:cs="Times New Roman"/>
          <w:sz w:val="24"/>
        </w:rPr>
      </w:pPr>
      <w:r w:rsidRPr="00237CF4">
        <w:rPr>
          <w:rFonts w:cs="Times New Roman"/>
          <w:sz w:val="24"/>
        </w:rPr>
        <w:t xml:space="preserve">Ņemot vērā, ka brīva darbaspēka kustības apstākļos ilgstoši uzturēt zemas darbaspēka izmaksas nebūs iespējams, Latvijā </w:t>
      </w:r>
      <w:r w:rsidRPr="0064037A">
        <w:rPr>
          <w:rFonts w:cs="Times New Roman"/>
          <w:b/>
          <w:sz w:val="24"/>
        </w:rPr>
        <w:t>apstrādes rūpniecības paplašināšanās un eksporta tirgus daļas palielināšanas iespējas ir saistītas galvenokārt ar produktivitātes pieaugumu</w:t>
      </w:r>
      <w:r w:rsidRPr="00237CF4">
        <w:rPr>
          <w:rFonts w:cs="Times New Roman"/>
          <w:sz w:val="24"/>
        </w:rPr>
        <w:t xml:space="preserve">. </w:t>
      </w:r>
    </w:p>
    <w:p w14:paraId="56370C32" w14:textId="77777777" w:rsidR="00237CF4" w:rsidRPr="00237CF4" w:rsidRDefault="00237CF4" w:rsidP="00396665">
      <w:pPr>
        <w:ind w:firstLine="426"/>
        <w:jc w:val="both"/>
        <w:rPr>
          <w:rFonts w:cs="Times New Roman"/>
          <w:sz w:val="24"/>
        </w:rPr>
      </w:pPr>
      <w:r w:rsidRPr="00237CF4">
        <w:rPr>
          <w:rFonts w:cs="Times New Roman"/>
          <w:sz w:val="24"/>
        </w:rPr>
        <w:t xml:space="preserve">Produktivitātes līmeņa paaugstināšana ir ilgtspējīgas un sabalansētās ekonomiskās izaugsmes noteicošais priekšnosacījums. Savukārt produktivitātes paaugstināšanas pamatā ir ne tikai tehnoloģiskās novitātes, ražošanas procesa vadības pilnveidošana, bet arī esošo resursu pārdale augstākās pievienotās vērtības produktu ražošanai. Šāds resursu pārdales process ir atkarīgs no tā cik kvalitatīvs ir institucionālais ietvars (likumdošana, valsts atbalsts un ekonomiskās un politiskās institūcijas), kas nodrošina produktu un resursu tirgus darbības efektivitāti, minimizējot ar pārdales procesu saistītas izmaksas un riskus, tādējādi stiprinot valsts konkurētspējīgas priekšrocības. </w:t>
      </w:r>
    </w:p>
    <w:p w14:paraId="18DBBFB2" w14:textId="77777777" w:rsidR="00237CF4" w:rsidRPr="00237CF4" w:rsidRDefault="00237CF4" w:rsidP="00396665">
      <w:pPr>
        <w:ind w:firstLine="426"/>
        <w:jc w:val="both"/>
        <w:rPr>
          <w:rFonts w:cs="Times New Roman"/>
          <w:sz w:val="24"/>
        </w:rPr>
      </w:pPr>
      <w:r w:rsidRPr="00237CF4">
        <w:rPr>
          <w:rFonts w:cs="Times New Roman"/>
          <w:sz w:val="24"/>
        </w:rPr>
        <w:t>2015.gada Pasaules ekonomikas foruma Globālās konkurētspējas indeksa</w:t>
      </w:r>
      <w:r w:rsidR="004D6948">
        <w:rPr>
          <w:rFonts w:cs="Times New Roman"/>
          <w:sz w:val="24"/>
        </w:rPr>
        <w:t xml:space="preserve"> (GCI)</w:t>
      </w:r>
      <w:r w:rsidRPr="00237CF4">
        <w:rPr>
          <w:rFonts w:cs="Times New Roman"/>
          <w:sz w:val="24"/>
        </w:rPr>
        <w:t xml:space="preserve"> reitingā</w:t>
      </w:r>
      <w:r w:rsidRPr="00237CF4">
        <w:rPr>
          <w:rStyle w:val="FootnoteReference"/>
          <w:rFonts w:cs="Times New Roman"/>
          <w:sz w:val="24"/>
          <w:szCs w:val="24"/>
        </w:rPr>
        <w:footnoteReference w:id="2"/>
      </w:r>
      <w:r w:rsidRPr="00237CF4">
        <w:rPr>
          <w:rFonts w:cs="Times New Roman"/>
          <w:sz w:val="24"/>
        </w:rPr>
        <w:t xml:space="preserve"> Latvija </w:t>
      </w:r>
      <w:r w:rsidR="00753665" w:rsidRPr="00237CF4">
        <w:rPr>
          <w:rFonts w:cs="Times New Roman"/>
          <w:sz w:val="24"/>
        </w:rPr>
        <w:t>ieņēma</w:t>
      </w:r>
      <w:r w:rsidRPr="00237CF4">
        <w:rPr>
          <w:rFonts w:cs="Times New Roman"/>
          <w:sz w:val="24"/>
        </w:rPr>
        <w:t xml:space="preserve"> 44.vietu 140 valsts vidū un ir ierindota to valstu grupā, kuru izaugsmi galvenokārt noteiks resursu efektīvāka izmantošana un inovācijas. Pēc vietas reitingā Latvija būtiski atpaliek no vairākām ES dalībvalstīm. Daudz labākas pozīcijas ir arī mūsu kaimiņvalstīm – Lietuvai un Igaunijai, kuras reitingā ir attiecīgi 36. un 30.vietā.</w:t>
      </w:r>
    </w:p>
    <w:p w14:paraId="4155C7DC" w14:textId="77777777" w:rsidR="00237CF4" w:rsidRPr="00237CF4" w:rsidRDefault="00237CF4" w:rsidP="00396665">
      <w:pPr>
        <w:ind w:firstLine="426"/>
        <w:jc w:val="both"/>
        <w:rPr>
          <w:rFonts w:cs="Times New Roman"/>
          <w:sz w:val="24"/>
        </w:rPr>
      </w:pPr>
      <w:r w:rsidRPr="00237CF4">
        <w:rPr>
          <w:rFonts w:cs="Times New Roman"/>
          <w:sz w:val="24"/>
        </w:rPr>
        <w:t xml:space="preserve">Salīdzinot ar citām Baltijas valstīm Latvijas konkurētspējas pozīcijas GCI reitingā kopumā ir nedaudz vājākas nekā Lietuvas, bet Latvija būtiski atpaliek no Igaunijas konkurētspējas novērtējuma. Arī konkurētspējīgas priekšrocības visam trim Baltijas valstīm ir līdzīgas. Tomēr ir jomas, kurās Latvijai ir vērojama liela atpalicība no pārējām Baltijas valstīm un kurās pasaules konkurētspējas </w:t>
      </w:r>
      <w:r w:rsidRPr="00237CF4">
        <w:rPr>
          <w:rFonts w:cs="Times New Roman"/>
          <w:sz w:val="24"/>
        </w:rPr>
        <w:lastRenderedPageBreak/>
        <w:t xml:space="preserve">indeksa reitingā esam ierindoti pasaules valstu saraksta beigu daļā. Piemērām, ceļu kvalitāte – 96.vieta, sabiedrības uzticamība politiķiem – 87. vieta, kapitāla tirgus attīstība – 99.vieta u.c. </w:t>
      </w:r>
    </w:p>
    <w:p w14:paraId="12E1259B" w14:textId="77777777" w:rsidR="00245E5D" w:rsidRPr="00237CF4" w:rsidRDefault="00245E5D" w:rsidP="00396665">
      <w:pPr>
        <w:ind w:firstLine="426"/>
        <w:jc w:val="both"/>
        <w:rPr>
          <w:rFonts w:cs="Times New Roman"/>
          <w:sz w:val="24"/>
        </w:rPr>
      </w:pPr>
      <w:r w:rsidRPr="00237CF4">
        <w:rPr>
          <w:rFonts w:cs="Times New Roman"/>
          <w:sz w:val="24"/>
        </w:rPr>
        <w:t>Latvijas ekonomikas turpmāko attīstību noteiks tas, cik efektīvi tiks izmantoti esošie ražošanas resursi un spējas paplašināt ārējos noieta tirgus. To lielā mērā nosaka tehnoloģiju līmenis. Inovācijas un uzņēmējdarbības attīstības kvalitatīvie aspekti ir noteicošie faktori uz zināšanām balstītas ekonomikas modeļa veidošanai. Diemžēl minēto faktoru vērtējums Latvijai gan pasaules attīstīto valstu, gan arī mūsu kaimiņvalstu starpā ir ļoti zems. 2015.gada Pasaules ekonomikas foruma GCI reitingā pēc inovāciju un biznesa izsmalcinātības Latvija ir ierindota 58. vietā (Lietuva – 37.vietā un Igaunija – 31.vietā). Turpretim Lietuvas un Igaunijas inovāciju potenciāls tiek vērtēts kā konkurētspējas priekšrocība. Īpaši jāatzīmē zemā pētniecības institūciju kvalitāte (50.vieta), kā arī vājā augstskolu un nozaru sadarbība pētniecības jomā (63.vieta), zems uzņēmēju pētniecības un attīstības finansējums (81. vieta).</w:t>
      </w:r>
    </w:p>
    <w:p w14:paraId="626C6740" w14:textId="77777777" w:rsidR="00D44AAA" w:rsidRPr="00396665" w:rsidRDefault="00D44AAA" w:rsidP="00396665">
      <w:pPr>
        <w:spacing w:after="120"/>
        <w:ind w:firstLine="426"/>
        <w:jc w:val="center"/>
        <w:rPr>
          <w:rFonts w:cs="Times New Roman"/>
          <w:b/>
          <w:sz w:val="2"/>
        </w:rPr>
      </w:pPr>
    </w:p>
    <w:p w14:paraId="73C1E813" w14:textId="77777777" w:rsidR="00237CF4" w:rsidRDefault="00237CF4" w:rsidP="00237CF4">
      <w:pPr>
        <w:spacing w:after="120"/>
        <w:jc w:val="center"/>
        <w:rPr>
          <w:rFonts w:cs="Times New Roman"/>
          <w:b/>
          <w:sz w:val="20"/>
        </w:rPr>
      </w:pPr>
      <w:r w:rsidRPr="00237CF4">
        <w:rPr>
          <w:rFonts w:cs="Times New Roman"/>
          <w:b/>
          <w:sz w:val="20"/>
        </w:rPr>
        <w:t>Baltijas valstu vērtējums Globālās konkurētspējas indeksā 2015-2016</w:t>
      </w:r>
    </w:p>
    <w:tbl>
      <w:tblPr>
        <w:tblW w:w="5000" w:type="pct"/>
        <w:tblLook w:val="04A0" w:firstRow="1" w:lastRow="0" w:firstColumn="1" w:lastColumn="0" w:noHBand="0" w:noVBand="1"/>
      </w:tblPr>
      <w:tblGrid>
        <w:gridCol w:w="5202"/>
        <w:gridCol w:w="4579"/>
      </w:tblGrid>
      <w:tr w:rsidR="00237CF4" w:rsidRPr="00237CF4" w14:paraId="0545F2F0" w14:textId="77777777" w:rsidTr="00A92AC1">
        <w:trPr>
          <w:trHeight w:val="3834"/>
        </w:trPr>
        <w:tc>
          <w:tcPr>
            <w:tcW w:w="2701" w:type="pct"/>
          </w:tcPr>
          <w:p w14:paraId="70F11B55" w14:textId="77777777" w:rsidR="00237CF4" w:rsidRPr="00237CF4" w:rsidRDefault="00237CF4" w:rsidP="0081417B">
            <w:pPr>
              <w:rPr>
                <w:rFonts w:cs="Times New Roman"/>
                <w:sz w:val="16"/>
                <w:szCs w:val="16"/>
              </w:rPr>
            </w:pPr>
            <w:r w:rsidRPr="00237CF4">
              <w:rPr>
                <w:rFonts w:cs="Times New Roman"/>
                <w:noProof/>
                <w:sz w:val="16"/>
                <w:szCs w:val="16"/>
                <w:lang w:eastAsia="lv-LV"/>
              </w:rPr>
              <w:drawing>
                <wp:inline distT="0" distB="0" distL="0" distR="0" wp14:anchorId="35FD121F" wp14:editId="48ACF1B9">
                  <wp:extent cx="3240000" cy="2880000"/>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299" w:type="pct"/>
          </w:tcPr>
          <w:tbl>
            <w:tblPr>
              <w:tblStyle w:val="ListTable5Dark-Accent11"/>
              <w:tblW w:w="4383" w:type="dxa"/>
              <w:tblLook w:val="0420" w:firstRow="1" w:lastRow="0" w:firstColumn="0" w:lastColumn="0" w:noHBand="0" w:noVBand="1"/>
            </w:tblPr>
            <w:tblGrid>
              <w:gridCol w:w="2681"/>
              <w:gridCol w:w="567"/>
              <w:gridCol w:w="567"/>
              <w:gridCol w:w="568"/>
            </w:tblGrid>
            <w:tr w:rsidR="00237CF4" w:rsidRPr="00237CF4" w14:paraId="589C8D3D" w14:textId="77777777" w:rsidTr="00396665">
              <w:trPr>
                <w:cnfStyle w:val="100000000000" w:firstRow="1" w:lastRow="0" w:firstColumn="0" w:lastColumn="0" w:oddVBand="0" w:evenVBand="0" w:oddHBand="0" w:evenHBand="0" w:firstRowFirstColumn="0" w:firstRowLastColumn="0" w:lastRowFirstColumn="0" w:lastRowLastColumn="0"/>
                <w:trHeight w:val="113"/>
              </w:trPr>
              <w:tc>
                <w:tcPr>
                  <w:tcW w:w="3058" w:type="pct"/>
                </w:tcPr>
                <w:p w14:paraId="6CB28496" w14:textId="77777777" w:rsidR="00237CF4" w:rsidRPr="00237CF4" w:rsidRDefault="00237CF4" w:rsidP="0081417B">
                  <w:pPr>
                    <w:spacing w:before="40" w:after="40"/>
                    <w:jc w:val="center"/>
                    <w:rPr>
                      <w:rFonts w:cs="Times New Roman"/>
                      <w:b w:val="0"/>
                      <w:sz w:val="16"/>
                      <w:szCs w:val="16"/>
                    </w:rPr>
                  </w:pPr>
                </w:p>
              </w:tc>
              <w:tc>
                <w:tcPr>
                  <w:tcW w:w="1942" w:type="pct"/>
                  <w:gridSpan w:val="3"/>
                </w:tcPr>
                <w:p w14:paraId="17956050" w14:textId="77777777" w:rsidR="00237CF4" w:rsidRPr="00237CF4" w:rsidRDefault="00237CF4" w:rsidP="0081417B">
                  <w:pPr>
                    <w:spacing w:before="40" w:after="40"/>
                    <w:jc w:val="center"/>
                    <w:rPr>
                      <w:rFonts w:cs="Times New Roman"/>
                      <w:sz w:val="16"/>
                      <w:szCs w:val="16"/>
                    </w:rPr>
                  </w:pPr>
                  <w:r w:rsidRPr="00237CF4">
                    <w:rPr>
                      <w:rFonts w:cs="Times New Roman"/>
                      <w:sz w:val="16"/>
                      <w:szCs w:val="16"/>
                    </w:rPr>
                    <w:t>Vieta GCI reitingā</w:t>
                  </w:r>
                </w:p>
              </w:tc>
            </w:tr>
            <w:tr w:rsidR="00237CF4" w:rsidRPr="00237CF4" w14:paraId="36AB9CF4"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08E35580" w14:textId="77777777" w:rsidR="00237CF4" w:rsidRPr="00237CF4" w:rsidRDefault="00237CF4" w:rsidP="00396665">
                  <w:pPr>
                    <w:spacing w:after="20"/>
                    <w:jc w:val="center"/>
                    <w:rPr>
                      <w:rFonts w:cs="Times New Roman"/>
                      <w:b/>
                      <w:sz w:val="16"/>
                      <w:szCs w:val="16"/>
                    </w:rPr>
                  </w:pPr>
                </w:p>
              </w:tc>
              <w:tc>
                <w:tcPr>
                  <w:tcW w:w="647" w:type="pct"/>
                </w:tcPr>
                <w:p w14:paraId="1453B80A" w14:textId="77777777" w:rsidR="00237CF4" w:rsidRPr="00237CF4" w:rsidRDefault="00237CF4" w:rsidP="00396665">
                  <w:pPr>
                    <w:spacing w:after="20"/>
                    <w:jc w:val="center"/>
                    <w:rPr>
                      <w:rFonts w:cs="Times New Roman"/>
                      <w:b/>
                      <w:sz w:val="16"/>
                      <w:szCs w:val="16"/>
                    </w:rPr>
                  </w:pPr>
                  <w:r w:rsidRPr="00237CF4">
                    <w:rPr>
                      <w:rFonts w:cs="Times New Roman"/>
                      <w:b/>
                      <w:sz w:val="16"/>
                      <w:szCs w:val="16"/>
                    </w:rPr>
                    <w:t xml:space="preserve">LV </w:t>
                  </w:r>
                </w:p>
              </w:tc>
              <w:tc>
                <w:tcPr>
                  <w:tcW w:w="647" w:type="pct"/>
                </w:tcPr>
                <w:p w14:paraId="6AC8155F" w14:textId="77777777" w:rsidR="00237CF4" w:rsidRPr="00237CF4" w:rsidRDefault="00237CF4" w:rsidP="00396665">
                  <w:pPr>
                    <w:spacing w:after="20"/>
                    <w:jc w:val="center"/>
                    <w:rPr>
                      <w:rFonts w:cs="Times New Roman"/>
                      <w:b/>
                      <w:sz w:val="16"/>
                      <w:szCs w:val="16"/>
                    </w:rPr>
                  </w:pPr>
                  <w:r w:rsidRPr="00237CF4">
                    <w:rPr>
                      <w:rFonts w:cs="Times New Roman"/>
                      <w:b/>
                      <w:sz w:val="16"/>
                      <w:szCs w:val="16"/>
                    </w:rPr>
                    <w:t>LT</w:t>
                  </w:r>
                </w:p>
              </w:tc>
              <w:tc>
                <w:tcPr>
                  <w:tcW w:w="648" w:type="pct"/>
                </w:tcPr>
                <w:p w14:paraId="18E8D121" w14:textId="77777777" w:rsidR="00237CF4" w:rsidRPr="00237CF4" w:rsidRDefault="00237CF4" w:rsidP="00396665">
                  <w:pPr>
                    <w:spacing w:after="20"/>
                    <w:jc w:val="center"/>
                    <w:rPr>
                      <w:rFonts w:cs="Times New Roman"/>
                      <w:b/>
                      <w:sz w:val="16"/>
                      <w:szCs w:val="16"/>
                    </w:rPr>
                  </w:pPr>
                  <w:r w:rsidRPr="00237CF4">
                    <w:rPr>
                      <w:rFonts w:cs="Times New Roman"/>
                      <w:b/>
                      <w:sz w:val="16"/>
                      <w:szCs w:val="16"/>
                    </w:rPr>
                    <w:t>EE</w:t>
                  </w:r>
                </w:p>
              </w:tc>
            </w:tr>
            <w:tr w:rsidR="00237CF4" w:rsidRPr="00237CF4" w14:paraId="43D6F1F7" w14:textId="77777777" w:rsidTr="00396665">
              <w:trPr>
                <w:trHeight w:val="227"/>
              </w:trPr>
              <w:tc>
                <w:tcPr>
                  <w:tcW w:w="3058" w:type="pct"/>
                </w:tcPr>
                <w:p w14:paraId="70B11ECB" w14:textId="77777777" w:rsidR="00237CF4" w:rsidRPr="00237CF4" w:rsidRDefault="00237CF4" w:rsidP="00396665">
                  <w:pPr>
                    <w:spacing w:after="20"/>
                    <w:rPr>
                      <w:rFonts w:cs="Times New Roman"/>
                      <w:b/>
                      <w:bCs/>
                      <w:sz w:val="16"/>
                      <w:szCs w:val="16"/>
                    </w:rPr>
                  </w:pPr>
                  <w:r w:rsidRPr="00237CF4">
                    <w:rPr>
                      <w:rFonts w:cs="Times New Roman"/>
                      <w:b/>
                      <w:bCs/>
                      <w:sz w:val="16"/>
                      <w:szCs w:val="16"/>
                    </w:rPr>
                    <w:t>GCI</w:t>
                  </w:r>
                </w:p>
              </w:tc>
              <w:tc>
                <w:tcPr>
                  <w:tcW w:w="647" w:type="pct"/>
                </w:tcPr>
                <w:p w14:paraId="55F75000" w14:textId="77777777" w:rsidR="00237CF4" w:rsidRPr="00237CF4" w:rsidRDefault="00237CF4" w:rsidP="00396665">
                  <w:pPr>
                    <w:spacing w:after="20"/>
                    <w:jc w:val="center"/>
                    <w:rPr>
                      <w:rFonts w:cs="Times New Roman"/>
                      <w:b/>
                      <w:bCs/>
                      <w:sz w:val="16"/>
                      <w:szCs w:val="16"/>
                    </w:rPr>
                  </w:pPr>
                  <w:r w:rsidRPr="00237CF4">
                    <w:rPr>
                      <w:rFonts w:cs="Times New Roman"/>
                      <w:b/>
                      <w:bCs/>
                      <w:sz w:val="16"/>
                      <w:szCs w:val="16"/>
                    </w:rPr>
                    <w:t>44</w:t>
                  </w:r>
                </w:p>
              </w:tc>
              <w:tc>
                <w:tcPr>
                  <w:tcW w:w="647" w:type="pct"/>
                </w:tcPr>
                <w:p w14:paraId="0BC4EC64" w14:textId="77777777" w:rsidR="00237CF4" w:rsidRPr="00237CF4" w:rsidRDefault="00237CF4" w:rsidP="00396665">
                  <w:pPr>
                    <w:spacing w:after="20"/>
                    <w:jc w:val="center"/>
                    <w:rPr>
                      <w:rFonts w:cs="Times New Roman"/>
                      <w:b/>
                      <w:bCs/>
                      <w:sz w:val="16"/>
                      <w:szCs w:val="16"/>
                    </w:rPr>
                  </w:pPr>
                  <w:r w:rsidRPr="00237CF4">
                    <w:rPr>
                      <w:rFonts w:cs="Times New Roman"/>
                      <w:b/>
                      <w:bCs/>
                      <w:sz w:val="16"/>
                      <w:szCs w:val="16"/>
                    </w:rPr>
                    <w:t>36</w:t>
                  </w:r>
                </w:p>
              </w:tc>
              <w:tc>
                <w:tcPr>
                  <w:tcW w:w="648" w:type="pct"/>
                </w:tcPr>
                <w:p w14:paraId="1CAD6A62" w14:textId="77777777" w:rsidR="00237CF4" w:rsidRPr="00237CF4" w:rsidRDefault="00237CF4" w:rsidP="00396665">
                  <w:pPr>
                    <w:spacing w:after="20"/>
                    <w:jc w:val="center"/>
                    <w:rPr>
                      <w:rFonts w:cs="Times New Roman"/>
                      <w:b/>
                      <w:bCs/>
                      <w:sz w:val="16"/>
                      <w:szCs w:val="16"/>
                    </w:rPr>
                  </w:pPr>
                  <w:r w:rsidRPr="00237CF4">
                    <w:rPr>
                      <w:rFonts w:cs="Times New Roman"/>
                      <w:b/>
                      <w:bCs/>
                      <w:sz w:val="16"/>
                      <w:szCs w:val="16"/>
                    </w:rPr>
                    <w:t>30</w:t>
                  </w:r>
                </w:p>
              </w:tc>
            </w:tr>
            <w:tr w:rsidR="00237CF4" w:rsidRPr="00237CF4" w14:paraId="67D5AC6E"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280D6BB2" w14:textId="77777777" w:rsidR="00237CF4" w:rsidRPr="00237CF4" w:rsidRDefault="00237CF4" w:rsidP="00396665">
                  <w:pPr>
                    <w:spacing w:after="20"/>
                    <w:rPr>
                      <w:rFonts w:cs="Times New Roman"/>
                      <w:b/>
                      <w:bCs/>
                      <w:i/>
                      <w:iCs/>
                      <w:sz w:val="16"/>
                      <w:szCs w:val="16"/>
                    </w:rPr>
                  </w:pPr>
                  <w:r w:rsidRPr="00237CF4">
                    <w:rPr>
                      <w:rFonts w:cs="Times New Roman"/>
                      <w:b/>
                      <w:bCs/>
                      <w:i/>
                      <w:iCs/>
                      <w:sz w:val="16"/>
                      <w:szCs w:val="16"/>
                    </w:rPr>
                    <w:t>Pamatprasību rādītāji</w:t>
                  </w:r>
                </w:p>
              </w:tc>
              <w:tc>
                <w:tcPr>
                  <w:tcW w:w="647" w:type="pct"/>
                </w:tcPr>
                <w:p w14:paraId="25E952C6"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37</w:t>
                  </w:r>
                </w:p>
              </w:tc>
              <w:tc>
                <w:tcPr>
                  <w:tcW w:w="647" w:type="pct"/>
                </w:tcPr>
                <w:p w14:paraId="031937DF"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35</w:t>
                  </w:r>
                </w:p>
              </w:tc>
              <w:tc>
                <w:tcPr>
                  <w:tcW w:w="648" w:type="pct"/>
                </w:tcPr>
                <w:p w14:paraId="7981137D"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21</w:t>
                  </w:r>
                </w:p>
              </w:tc>
            </w:tr>
            <w:tr w:rsidR="00237CF4" w:rsidRPr="00237CF4" w14:paraId="4B1F069E" w14:textId="77777777" w:rsidTr="00396665">
              <w:trPr>
                <w:trHeight w:val="227"/>
              </w:trPr>
              <w:tc>
                <w:tcPr>
                  <w:tcW w:w="3058" w:type="pct"/>
                </w:tcPr>
                <w:p w14:paraId="0B44D8D9" w14:textId="77777777" w:rsidR="00237CF4" w:rsidRPr="00237CF4" w:rsidRDefault="00237CF4" w:rsidP="00396665">
                  <w:pPr>
                    <w:spacing w:after="20"/>
                    <w:rPr>
                      <w:rFonts w:cs="Times New Roman"/>
                      <w:sz w:val="16"/>
                      <w:szCs w:val="16"/>
                    </w:rPr>
                  </w:pPr>
                  <w:r w:rsidRPr="00237CF4">
                    <w:rPr>
                      <w:rFonts w:cs="Times New Roman"/>
                      <w:sz w:val="16"/>
                      <w:szCs w:val="16"/>
                    </w:rPr>
                    <w:t>Institucionālais ietvars</w:t>
                  </w:r>
                </w:p>
              </w:tc>
              <w:tc>
                <w:tcPr>
                  <w:tcW w:w="647" w:type="pct"/>
                </w:tcPr>
                <w:p w14:paraId="6B3FAAFC" w14:textId="77777777" w:rsidR="00237CF4" w:rsidRPr="00237CF4" w:rsidRDefault="00237CF4" w:rsidP="00396665">
                  <w:pPr>
                    <w:spacing w:after="20"/>
                    <w:jc w:val="center"/>
                    <w:rPr>
                      <w:rFonts w:cs="Times New Roman"/>
                      <w:sz w:val="16"/>
                      <w:szCs w:val="16"/>
                    </w:rPr>
                  </w:pPr>
                  <w:r w:rsidRPr="00237CF4">
                    <w:rPr>
                      <w:rFonts w:cs="Times New Roman"/>
                      <w:sz w:val="16"/>
                      <w:szCs w:val="16"/>
                    </w:rPr>
                    <w:t>48</w:t>
                  </w:r>
                </w:p>
              </w:tc>
              <w:tc>
                <w:tcPr>
                  <w:tcW w:w="647" w:type="pct"/>
                </w:tcPr>
                <w:p w14:paraId="048F818F" w14:textId="77777777" w:rsidR="00237CF4" w:rsidRPr="00237CF4" w:rsidRDefault="00237CF4" w:rsidP="00396665">
                  <w:pPr>
                    <w:spacing w:after="20"/>
                    <w:jc w:val="center"/>
                    <w:rPr>
                      <w:rFonts w:cs="Times New Roman"/>
                      <w:sz w:val="16"/>
                      <w:szCs w:val="16"/>
                    </w:rPr>
                  </w:pPr>
                  <w:r w:rsidRPr="00237CF4">
                    <w:rPr>
                      <w:rFonts w:cs="Times New Roman"/>
                      <w:sz w:val="16"/>
                      <w:szCs w:val="16"/>
                    </w:rPr>
                    <w:t>53</w:t>
                  </w:r>
                </w:p>
              </w:tc>
              <w:tc>
                <w:tcPr>
                  <w:tcW w:w="648" w:type="pct"/>
                </w:tcPr>
                <w:p w14:paraId="1069EFBE" w14:textId="77777777" w:rsidR="00237CF4" w:rsidRPr="00237CF4" w:rsidRDefault="00237CF4" w:rsidP="00396665">
                  <w:pPr>
                    <w:spacing w:after="20"/>
                    <w:jc w:val="center"/>
                    <w:rPr>
                      <w:rFonts w:cs="Times New Roman"/>
                      <w:sz w:val="16"/>
                      <w:szCs w:val="16"/>
                    </w:rPr>
                  </w:pPr>
                  <w:r w:rsidRPr="00237CF4">
                    <w:rPr>
                      <w:rFonts w:cs="Times New Roman"/>
                      <w:sz w:val="16"/>
                      <w:szCs w:val="16"/>
                    </w:rPr>
                    <w:t>25</w:t>
                  </w:r>
                </w:p>
              </w:tc>
            </w:tr>
            <w:tr w:rsidR="00237CF4" w:rsidRPr="00237CF4" w14:paraId="35CB39C9"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004DB6E4" w14:textId="77777777" w:rsidR="00237CF4" w:rsidRPr="00237CF4" w:rsidRDefault="00237CF4" w:rsidP="00396665">
                  <w:pPr>
                    <w:spacing w:after="20"/>
                    <w:rPr>
                      <w:rFonts w:cs="Times New Roman"/>
                      <w:sz w:val="16"/>
                      <w:szCs w:val="16"/>
                    </w:rPr>
                  </w:pPr>
                  <w:r w:rsidRPr="00237CF4">
                    <w:rPr>
                      <w:rFonts w:cs="Times New Roman"/>
                      <w:sz w:val="16"/>
                      <w:szCs w:val="16"/>
                    </w:rPr>
                    <w:t>Infrastruktūra</w:t>
                  </w:r>
                </w:p>
              </w:tc>
              <w:tc>
                <w:tcPr>
                  <w:tcW w:w="647" w:type="pct"/>
                </w:tcPr>
                <w:p w14:paraId="406DF3FD" w14:textId="77777777" w:rsidR="00237CF4" w:rsidRPr="00237CF4" w:rsidRDefault="00237CF4" w:rsidP="00396665">
                  <w:pPr>
                    <w:spacing w:after="20"/>
                    <w:jc w:val="center"/>
                    <w:rPr>
                      <w:rFonts w:cs="Times New Roman"/>
                      <w:sz w:val="16"/>
                      <w:szCs w:val="16"/>
                    </w:rPr>
                  </w:pPr>
                  <w:r w:rsidRPr="00237CF4">
                    <w:rPr>
                      <w:rFonts w:cs="Times New Roman"/>
                      <w:sz w:val="16"/>
                      <w:szCs w:val="16"/>
                    </w:rPr>
                    <w:t>49</w:t>
                  </w:r>
                </w:p>
              </w:tc>
              <w:tc>
                <w:tcPr>
                  <w:tcW w:w="647" w:type="pct"/>
                </w:tcPr>
                <w:p w14:paraId="5535FC5D" w14:textId="77777777" w:rsidR="00237CF4" w:rsidRPr="00237CF4" w:rsidRDefault="00237CF4" w:rsidP="00396665">
                  <w:pPr>
                    <w:spacing w:after="20"/>
                    <w:jc w:val="center"/>
                    <w:rPr>
                      <w:rFonts w:cs="Times New Roman"/>
                      <w:sz w:val="16"/>
                      <w:szCs w:val="16"/>
                    </w:rPr>
                  </w:pPr>
                  <w:r w:rsidRPr="00237CF4">
                    <w:rPr>
                      <w:rFonts w:cs="Times New Roman"/>
                      <w:sz w:val="16"/>
                      <w:szCs w:val="16"/>
                    </w:rPr>
                    <w:t>42</w:t>
                  </w:r>
                </w:p>
              </w:tc>
              <w:tc>
                <w:tcPr>
                  <w:tcW w:w="648" w:type="pct"/>
                </w:tcPr>
                <w:p w14:paraId="131F60A4" w14:textId="77777777" w:rsidR="00237CF4" w:rsidRPr="00237CF4" w:rsidRDefault="00237CF4" w:rsidP="00396665">
                  <w:pPr>
                    <w:spacing w:after="20"/>
                    <w:jc w:val="center"/>
                    <w:rPr>
                      <w:rFonts w:cs="Times New Roman"/>
                      <w:sz w:val="16"/>
                      <w:szCs w:val="16"/>
                    </w:rPr>
                  </w:pPr>
                  <w:r w:rsidRPr="00237CF4">
                    <w:rPr>
                      <w:rFonts w:cs="Times New Roman"/>
                      <w:sz w:val="16"/>
                      <w:szCs w:val="16"/>
                    </w:rPr>
                    <w:t>33</w:t>
                  </w:r>
                </w:p>
              </w:tc>
            </w:tr>
            <w:tr w:rsidR="00237CF4" w:rsidRPr="00237CF4" w14:paraId="287EBB94" w14:textId="77777777" w:rsidTr="00396665">
              <w:trPr>
                <w:trHeight w:val="227"/>
              </w:trPr>
              <w:tc>
                <w:tcPr>
                  <w:tcW w:w="3058" w:type="pct"/>
                </w:tcPr>
                <w:p w14:paraId="5074B56D" w14:textId="77777777" w:rsidR="00237CF4" w:rsidRPr="00237CF4" w:rsidRDefault="00237CF4" w:rsidP="00396665">
                  <w:pPr>
                    <w:spacing w:after="20"/>
                    <w:rPr>
                      <w:rFonts w:cs="Times New Roman"/>
                      <w:sz w:val="16"/>
                      <w:szCs w:val="16"/>
                    </w:rPr>
                  </w:pPr>
                  <w:r w:rsidRPr="00237CF4">
                    <w:rPr>
                      <w:rFonts w:cs="Times New Roman"/>
                      <w:sz w:val="16"/>
                      <w:szCs w:val="16"/>
                    </w:rPr>
                    <w:t>Makroekonomiskā stabilitāte</w:t>
                  </w:r>
                </w:p>
              </w:tc>
              <w:tc>
                <w:tcPr>
                  <w:tcW w:w="647" w:type="pct"/>
                </w:tcPr>
                <w:p w14:paraId="2860F589" w14:textId="77777777" w:rsidR="00237CF4" w:rsidRPr="00237CF4" w:rsidRDefault="00237CF4" w:rsidP="00396665">
                  <w:pPr>
                    <w:spacing w:after="20"/>
                    <w:jc w:val="center"/>
                    <w:rPr>
                      <w:rFonts w:cs="Times New Roman"/>
                      <w:sz w:val="16"/>
                      <w:szCs w:val="16"/>
                    </w:rPr>
                  </w:pPr>
                  <w:r w:rsidRPr="00237CF4">
                    <w:rPr>
                      <w:rFonts w:cs="Times New Roman"/>
                      <w:sz w:val="16"/>
                      <w:szCs w:val="16"/>
                    </w:rPr>
                    <w:t>31</w:t>
                  </w:r>
                </w:p>
              </w:tc>
              <w:tc>
                <w:tcPr>
                  <w:tcW w:w="647" w:type="pct"/>
                </w:tcPr>
                <w:p w14:paraId="2AB84191" w14:textId="77777777" w:rsidR="00237CF4" w:rsidRPr="00237CF4" w:rsidRDefault="00237CF4" w:rsidP="00396665">
                  <w:pPr>
                    <w:spacing w:after="20"/>
                    <w:jc w:val="center"/>
                    <w:rPr>
                      <w:rFonts w:cs="Times New Roman"/>
                      <w:sz w:val="16"/>
                      <w:szCs w:val="16"/>
                    </w:rPr>
                  </w:pPr>
                  <w:r w:rsidRPr="00237CF4">
                    <w:rPr>
                      <w:rFonts w:cs="Times New Roman"/>
                      <w:sz w:val="16"/>
                      <w:szCs w:val="16"/>
                    </w:rPr>
                    <w:t>30</w:t>
                  </w:r>
                </w:p>
              </w:tc>
              <w:tc>
                <w:tcPr>
                  <w:tcW w:w="648" w:type="pct"/>
                </w:tcPr>
                <w:p w14:paraId="79B82560" w14:textId="77777777" w:rsidR="00237CF4" w:rsidRPr="00237CF4" w:rsidRDefault="00237CF4" w:rsidP="00396665">
                  <w:pPr>
                    <w:spacing w:after="20"/>
                    <w:jc w:val="center"/>
                    <w:rPr>
                      <w:rFonts w:cs="Times New Roman"/>
                      <w:sz w:val="16"/>
                      <w:szCs w:val="16"/>
                    </w:rPr>
                  </w:pPr>
                  <w:r w:rsidRPr="00237CF4">
                    <w:rPr>
                      <w:rFonts w:cs="Times New Roman"/>
                      <w:sz w:val="16"/>
                      <w:szCs w:val="16"/>
                    </w:rPr>
                    <w:t>15</w:t>
                  </w:r>
                </w:p>
              </w:tc>
            </w:tr>
            <w:tr w:rsidR="00237CF4" w:rsidRPr="00237CF4" w14:paraId="3D7D851D"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20EEDF3B" w14:textId="77777777" w:rsidR="00237CF4" w:rsidRPr="00237CF4" w:rsidRDefault="00237CF4" w:rsidP="00396665">
                  <w:pPr>
                    <w:spacing w:after="20"/>
                    <w:rPr>
                      <w:rFonts w:cs="Times New Roman"/>
                      <w:sz w:val="16"/>
                      <w:szCs w:val="16"/>
                    </w:rPr>
                  </w:pPr>
                  <w:r w:rsidRPr="00237CF4">
                    <w:rPr>
                      <w:rFonts w:cs="Times New Roman"/>
                      <w:sz w:val="16"/>
                      <w:szCs w:val="16"/>
                    </w:rPr>
                    <w:t>Veselības stāvoklis un pamatizglītība</w:t>
                  </w:r>
                </w:p>
              </w:tc>
              <w:tc>
                <w:tcPr>
                  <w:tcW w:w="647" w:type="pct"/>
                </w:tcPr>
                <w:p w14:paraId="06F69255" w14:textId="77777777" w:rsidR="00237CF4" w:rsidRPr="00237CF4" w:rsidRDefault="00237CF4" w:rsidP="00396665">
                  <w:pPr>
                    <w:spacing w:after="20"/>
                    <w:jc w:val="center"/>
                    <w:rPr>
                      <w:rFonts w:cs="Times New Roman"/>
                      <w:sz w:val="16"/>
                      <w:szCs w:val="16"/>
                    </w:rPr>
                  </w:pPr>
                  <w:r w:rsidRPr="00237CF4">
                    <w:rPr>
                      <w:rFonts w:cs="Times New Roman"/>
                      <w:sz w:val="16"/>
                      <w:szCs w:val="16"/>
                    </w:rPr>
                    <w:t>37</w:t>
                  </w:r>
                </w:p>
              </w:tc>
              <w:tc>
                <w:tcPr>
                  <w:tcW w:w="647" w:type="pct"/>
                </w:tcPr>
                <w:p w14:paraId="3C588DB0" w14:textId="77777777" w:rsidR="00237CF4" w:rsidRPr="00237CF4" w:rsidRDefault="00237CF4" w:rsidP="00396665">
                  <w:pPr>
                    <w:spacing w:after="20"/>
                    <w:jc w:val="center"/>
                    <w:rPr>
                      <w:rFonts w:cs="Times New Roman"/>
                      <w:sz w:val="16"/>
                      <w:szCs w:val="16"/>
                    </w:rPr>
                  </w:pPr>
                  <w:r w:rsidRPr="00237CF4">
                    <w:rPr>
                      <w:rFonts w:cs="Times New Roman"/>
                      <w:sz w:val="16"/>
                      <w:szCs w:val="16"/>
                    </w:rPr>
                    <w:t>36</w:t>
                  </w:r>
                </w:p>
              </w:tc>
              <w:tc>
                <w:tcPr>
                  <w:tcW w:w="648" w:type="pct"/>
                </w:tcPr>
                <w:p w14:paraId="2C40655E" w14:textId="77777777" w:rsidR="00237CF4" w:rsidRPr="00237CF4" w:rsidRDefault="00237CF4" w:rsidP="00396665">
                  <w:pPr>
                    <w:spacing w:after="20"/>
                    <w:jc w:val="center"/>
                    <w:rPr>
                      <w:rFonts w:cs="Times New Roman"/>
                      <w:sz w:val="16"/>
                      <w:szCs w:val="16"/>
                    </w:rPr>
                  </w:pPr>
                  <w:r w:rsidRPr="00237CF4">
                    <w:rPr>
                      <w:rFonts w:cs="Times New Roman"/>
                      <w:sz w:val="16"/>
                      <w:szCs w:val="16"/>
                    </w:rPr>
                    <w:t>22</w:t>
                  </w:r>
                </w:p>
              </w:tc>
            </w:tr>
            <w:tr w:rsidR="00237CF4" w:rsidRPr="00237CF4" w14:paraId="0140921C" w14:textId="77777777" w:rsidTr="00396665">
              <w:trPr>
                <w:trHeight w:val="227"/>
              </w:trPr>
              <w:tc>
                <w:tcPr>
                  <w:tcW w:w="3058" w:type="pct"/>
                </w:tcPr>
                <w:p w14:paraId="13688BB2" w14:textId="77777777" w:rsidR="00237CF4" w:rsidRPr="00237CF4" w:rsidRDefault="00237CF4" w:rsidP="00396665">
                  <w:pPr>
                    <w:spacing w:after="20"/>
                    <w:rPr>
                      <w:rFonts w:cs="Times New Roman"/>
                      <w:b/>
                      <w:bCs/>
                      <w:i/>
                      <w:iCs/>
                      <w:sz w:val="16"/>
                      <w:szCs w:val="16"/>
                    </w:rPr>
                  </w:pPr>
                  <w:r w:rsidRPr="00237CF4">
                    <w:rPr>
                      <w:rFonts w:cs="Times New Roman"/>
                      <w:b/>
                      <w:bCs/>
                      <w:i/>
                      <w:iCs/>
                      <w:sz w:val="16"/>
                      <w:szCs w:val="16"/>
                    </w:rPr>
                    <w:t>Efektivitātes pastiprināšanas faktori</w:t>
                  </w:r>
                </w:p>
              </w:tc>
              <w:tc>
                <w:tcPr>
                  <w:tcW w:w="647" w:type="pct"/>
                </w:tcPr>
                <w:p w14:paraId="2CC3DD31"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37</w:t>
                  </w:r>
                </w:p>
              </w:tc>
              <w:tc>
                <w:tcPr>
                  <w:tcW w:w="647" w:type="pct"/>
                </w:tcPr>
                <w:p w14:paraId="71097D1C"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35</w:t>
                  </w:r>
                </w:p>
              </w:tc>
              <w:tc>
                <w:tcPr>
                  <w:tcW w:w="648" w:type="pct"/>
                </w:tcPr>
                <w:p w14:paraId="141192FC"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28</w:t>
                  </w:r>
                </w:p>
              </w:tc>
            </w:tr>
            <w:tr w:rsidR="00237CF4" w:rsidRPr="00237CF4" w14:paraId="3733E47C"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2531F75E" w14:textId="77777777" w:rsidR="00237CF4" w:rsidRPr="00237CF4" w:rsidRDefault="00237CF4" w:rsidP="00396665">
                  <w:pPr>
                    <w:spacing w:after="20"/>
                    <w:rPr>
                      <w:rFonts w:cs="Times New Roman"/>
                      <w:sz w:val="16"/>
                      <w:szCs w:val="16"/>
                    </w:rPr>
                  </w:pPr>
                  <w:r w:rsidRPr="00237CF4">
                    <w:rPr>
                      <w:rFonts w:cs="Times New Roman"/>
                      <w:sz w:val="16"/>
                      <w:szCs w:val="16"/>
                    </w:rPr>
                    <w:t>Augstākā izglītība un apmācība</w:t>
                  </w:r>
                </w:p>
              </w:tc>
              <w:tc>
                <w:tcPr>
                  <w:tcW w:w="647" w:type="pct"/>
                </w:tcPr>
                <w:p w14:paraId="08EB97A9" w14:textId="77777777" w:rsidR="00237CF4" w:rsidRPr="00237CF4" w:rsidRDefault="00237CF4" w:rsidP="00396665">
                  <w:pPr>
                    <w:spacing w:after="20"/>
                    <w:jc w:val="center"/>
                    <w:rPr>
                      <w:rFonts w:cs="Times New Roman"/>
                      <w:sz w:val="16"/>
                      <w:szCs w:val="16"/>
                    </w:rPr>
                  </w:pPr>
                  <w:r w:rsidRPr="00237CF4">
                    <w:rPr>
                      <w:rFonts w:cs="Times New Roman"/>
                      <w:sz w:val="16"/>
                      <w:szCs w:val="16"/>
                    </w:rPr>
                    <w:t>32</w:t>
                  </w:r>
                </w:p>
              </w:tc>
              <w:tc>
                <w:tcPr>
                  <w:tcW w:w="647" w:type="pct"/>
                </w:tcPr>
                <w:p w14:paraId="5125EA73" w14:textId="77777777" w:rsidR="00237CF4" w:rsidRPr="00237CF4" w:rsidRDefault="00237CF4" w:rsidP="00396665">
                  <w:pPr>
                    <w:spacing w:after="20"/>
                    <w:jc w:val="center"/>
                    <w:rPr>
                      <w:rFonts w:cs="Times New Roman"/>
                      <w:sz w:val="16"/>
                      <w:szCs w:val="16"/>
                    </w:rPr>
                  </w:pPr>
                  <w:r w:rsidRPr="00237CF4">
                    <w:rPr>
                      <w:rFonts w:cs="Times New Roman"/>
                      <w:sz w:val="16"/>
                      <w:szCs w:val="16"/>
                    </w:rPr>
                    <w:t>24</w:t>
                  </w:r>
                </w:p>
              </w:tc>
              <w:tc>
                <w:tcPr>
                  <w:tcW w:w="648" w:type="pct"/>
                </w:tcPr>
                <w:p w14:paraId="36A01AE0" w14:textId="77777777" w:rsidR="00237CF4" w:rsidRPr="00237CF4" w:rsidRDefault="00237CF4" w:rsidP="00396665">
                  <w:pPr>
                    <w:spacing w:after="20"/>
                    <w:jc w:val="center"/>
                    <w:rPr>
                      <w:rFonts w:cs="Times New Roman"/>
                      <w:sz w:val="16"/>
                      <w:szCs w:val="16"/>
                    </w:rPr>
                  </w:pPr>
                  <w:r w:rsidRPr="00237CF4">
                    <w:rPr>
                      <w:rFonts w:cs="Times New Roman"/>
                      <w:sz w:val="16"/>
                      <w:szCs w:val="16"/>
                    </w:rPr>
                    <w:t>20</w:t>
                  </w:r>
                </w:p>
              </w:tc>
            </w:tr>
            <w:tr w:rsidR="00237CF4" w:rsidRPr="00237CF4" w14:paraId="4FF57ED9" w14:textId="77777777" w:rsidTr="00396665">
              <w:trPr>
                <w:trHeight w:val="227"/>
              </w:trPr>
              <w:tc>
                <w:tcPr>
                  <w:tcW w:w="3058" w:type="pct"/>
                </w:tcPr>
                <w:p w14:paraId="5CD12C1B" w14:textId="77777777" w:rsidR="00237CF4" w:rsidRPr="00237CF4" w:rsidRDefault="00237CF4" w:rsidP="00396665">
                  <w:pPr>
                    <w:spacing w:after="20"/>
                    <w:rPr>
                      <w:rFonts w:cs="Times New Roman"/>
                      <w:sz w:val="16"/>
                      <w:szCs w:val="16"/>
                    </w:rPr>
                  </w:pPr>
                  <w:r w:rsidRPr="00237CF4">
                    <w:rPr>
                      <w:rFonts w:cs="Times New Roman"/>
                      <w:sz w:val="16"/>
                      <w:szCs w:val="16"/>
                    </w:rPr>
                    <w:t>Produktu tirgus efektivitāte</w:t>
                  </w:r>
                </w:p>
              </w:tc>
              <w:tc>
                <w:tcPr>
                  <w:tcW w:w="647" w:type="pct"/>
                </w:tcPr>
                <w:p w14:paraId="5F95F773" w14:textId="77777777" w:rsidR="00237CF4" w:rsidRPr="00237CF4" w:rsidRDefault="00237CF4" w:rsidP="00396665">
                  <w:pPr>
                    <w:spacing w:after="20"/>
                    <w:jc w:val="center"/>
                    <w:rPr>
                      <w:rFonts w:cs="Times New Roman"/>
                      <w:sz w:val="16"/>
                      <w:szCs w:val="16"/>
                    </w:rPr>
                  </w:pPr>
                  <w:r w:rsidRPr="00237CF4">
                    <w:rPr>
                      <w:rFonts w:cs="Times New Roman"/>
                      <w:sz w:val="16"/>
                      <w:szCs w:val="16"/>
                    </w:rPr>
                    <w:t>34</w:t>
                  </w:r>
                </w:p>
              </w:tc>
              <w:tc>
                <w:tcPr>
                  <w:tcW w:w="647" w:type="pct"/>
                </w:tcPr>
                <w:p w14:paraId="1742E958" w14:textId="77777777" w:rsidR="00237CF4" w:rsidRPr="00237CF4" w:rsidRDefault="00237CF4" w:rsidP="00396665">
                  <w:pPr>
                    <w:spacing w:after="20"/>
                    <w:jc w:val="center"/>
                    <w:rPr>
                      <w:rFonts w:cs="Times New Roman"/>
                      <w:sz w:val="16"/>
                      <w:szCs w:val="16"/>
                    </w:rPr>
                  </w:pPr>
                  <w:r w:rsidRPr="00237CF4">
                    <w:rPr>
                      <w:rFonts w:cs="Times New Roman"/>
                      <w:sz w:val="16"/>
                      <w:szCs w:val="16"/>
                    </w:rPr>
                    <w:t>36</w:t>
                  </w:r>
                </w:p>
              </w:tc>
              <w:tc>
                <w:tcPr>
                  <w:tcW w:w="648" w:type="pct"/>
                </w:tcPr>
                <w:p w14:paraId="7CFEA464" w14:textId="77777777" w:rsidR="00237CF4" w:rsidRPr="00237CF4" w:rsidRDefault="00237CF4" w:rsidP="00396665">
                  <w:pPr>
                    <w:spacing w:after="20"/>
                    <w:jc w:val="center"/>
                    <w:rPr>
                      <w:rFonts w:cs="Times New Roman"/>
                      <w:sz w:val="16"/>
                      <w:szCs w:val="16"/>
                    </w:rPr>
                  </w:pPr>
                  <w:r w:rsidRPr="00237CF4">
                    <w:rPr>
                      <w:rFonts w:cs="Times New Roman"/>
                      <w:sz w:val="16"/>
                      <w:szCs w:val="16"/>
                    </w:rPr>
                    <w:t>22</w:t>
                  </w:r>
                </w:p>
              </w:tc>
            </w:tr>
            <w:tr w:rsidR="00237CF4" w:rsidRPr="00237CF4" w14:paraId="46A1CC5C"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181021AD" w14:textId="77777777" w:rsidR="00237CF4" w:rsidRPr="00237CF4" w:rsidRDefault="00237CF4" w:rsidP="00396665">
                  <w:pPr>
                    <w:spacing w:after="20"/>
                    <w:rPr>
                      <w:rFonts w:cs="Times New Roman"/>
                      <w:sz w:val="16"/>
                      <w:szCs w:val="16"/>
                    </w:rPr>
                  </w:pPr>
                  <w:r w:rsidRPr="00237CF4">
                    <w:rPr>
                      <w:rFonts w:cs="Times New Roman"/>
                      <w:sz w:val="16"/>
                      <w:szCs w:val="16"/>
                    </w:rPr>
                    <w:t>Darba tirgus efektivitāte</w:t>
                  </w:r>
                </w:p>
              </w:tc>
              <w:tc>
                <w:tcPr>
                  <w:tcW w:w="647" w:type="pct"/>
                </w:tcPr>
                <w:p w14:paraId="3DE8B154" w14:textId="77777777" w:rsidR="00237CF4" w:rsidRPr="00237CF4" w:rsidRDefault="00237CF4" w:rsidP="00396665">
                  <w:pPr>
                    <w:spacing w:after="20"/>
                    <w:jc w:val="center"/>
                    <w:rPr>
                      <w:rFonts w:cs="Times New Roman"/>
                      <w:sz w:val="16"/>
                      <w:szCs w:val="16"/>
                    </w:rPr>
                  </w:pPr>
                  <w:r w:rsidRPr="00237CF4">
                    <w:rPr>
                      <w:rFonts w:cs="Times New Roman"/>
                      <w:sz w:val="16"/>
                      <w:szCs w:val="16"/>
                    </w:rPr>
                    <w:t>25</w:t>
                  </w:r>
                </w:p>
              </w:tc>
              <w:tc>
                <w:tcPr>
                  <w:tcW w:w="647" w:type="pct"/>
                </w:tcPr>
                <w:p w14:paraId="22E7C84C" w14:textId="77777777" w:rsidR="00237CF4" w:rsidRPr="00237CF4" w:rsidRDefault="00237CF4" w:rsidP="00396665">
                  <w:pPr>
                    <w:spacing w:after="20"/>
                    <w:jc w:val="center"/>
                    <w:rPr>
                      <w:rFonts w:cs="Times New Roman"/>
                      <w:sz w:val="16"/>
                      <w:szCs w:val="16"/>
                    </w:rPr>
                  </w:pPr>
                  <w:r w:rsidRPr="00237CF4">
                    <w:rPr>
                      <w:rFonts w:cs="Times New Roman"/>
                      <w:sz w:val="16"/>
                      <w:szCs w:val="16"/>
                    </w:rPr>
                    <w:t>53</w:t>
                  </w:r>
                </w:p>
              </w:tc>
              <w:tc>
                <w:tcPr>
                  <w:tcW w:w="648" w:type="pct"/>
                </w:tcPr>
                <w:p w14:paraId="30FBCADA" w14:textId="77777777" w:rsidR="00237CF4" w:rsidRPr="00237CF4" w:rsidRDefault="00237CF4" w:rsidP="00396665">
                  <w:pPr>
                    <w:spacing w:after="20"/>
                    <w:jc w:val="center"/>
                    <w:rPr>
                      <w:rFonts w:cs="Times New Roman"/>
                      <w:sz w:val="16"/>
                      <w:szCs w:val="16"/>
                    </w:rPr>
                  </w:pPr>
                  <w:r w:rsidRPr="00237CF4">
                    <w:rPr>
                      <w:rFonts w:cs="Times New Roman"/>
                      <w:sz w:val="16"/>
                      <w:szCs w:val="16"/>
                    </w:rPr>
                    <w:t>15</w:t>
                  </w:r>
                </w:p>
              </w:tc>
            </w:tr>
            <w:tr w:rsidR="00237CF4" w:rsidRPr="00237CF4" w14:paraId="49D269B8" w14:textId="77777777" w:rsidTr="00396665">
              <w:trPr>
                <w:trHeight w:val="227"/>
              </w:trPr>
              <w:tc>
                <w:tcPr>
                  <w:tcW w:w="3058" w:type="pct"/>
                </w:tcPr>
                <w:p w14:paraId="4829C3FB" w14:textId="77777777" w:rsidR="00237CF4" w:rsidRPr="00237CF4" w:rsidRDefault="00237CF4" w:rsidP="00396665">
                  <w:pPr>
                    <w:spacing w:after="20"/>
                    <w:rPr>
                      <w:rFonts w:cs="Times New Roman"/>
                      <w:sz w:val="16"/>
                      <w:szCs w:val="16"/>
                    </w:rPr>
                  </w:pPr>
                  <w:r w:rsidRPr="00237CF4">
                    <w:rPr>
                      <w:rFonts w:cs="Times New Roman"/>
                      <w:sz w:val="16"/>
                      <w:szCs w:val="16"/>
                    </w:rPr>
                    <w:t>Finanšu tirgus attīstības līmenis</w:t>
                  </w:r>
                </w:p>
              </w:tc>
              <w:tc>
                <w:tcPr>
                  <w:tcW w:w="647" w:type="pct"/>
                </w:tcPr>
                <w:p w14:paraId="055056DE" w14:textId="77777777" w:rsidR="00237CF4" w:rsidRPr="00237CF4" w:rsidRDefault="00237CF4" w:rsidP="00396665">
                  <w:pPr>
                    <w:spacing w:after="20"/>
                    <w:jc w:val="center"/>
                    <w:rPr>
                      <w:rFonts w:cs="Times New Roman"/>
                      <w:sz w:val="16"/>
                      <w:szCs w:val="16"/>
                    </w:rPr>
                  </w:pPr>
                  <w:r w:rsidRPr="00237CF4">
                    <w:rPr>
                      <w:rFonts w:cs="Times New Roman"/>
                      <w:sz w:val="16"/>
                      <w:szCs w:val="16"/>
                    </w:rPr>
                    <w:t>37</w:t>
                  </w:r>
                </w:p>
              </w:tc>
              <w:tc>
                <w:tcPr>
                  <w:tcW w:w="647" w:type="pct"/>
                </w:tcPr>
                <w:p w14:paraId="76213E97" w14:textId="77777777" w:rsidR="00237CF4" w:rsidRPr="00237CF4" w:rsidRDefault="00237CF4" w:rsidP="00396665">
                  <w:pPr>
                    <w:spacing w:after="20"/>
                    <w:jc w:val="center"/>
                    <w:rPr>
                      <w:rFonts w:cs="Times New Roman"/>
                      <w:sz w:val="16"/>
                      <w:szCs w:val="16"/>
                    </w:rPr>
                  </w:pPr>
                  <w:r w:rsidRPr="00237CF4">
                    <w:rPr>
                      <w:rFonts w:cs="Times New Roman"/>
                      <w:sz w:val="16"/>
                      <w:szCs w:val="16"/>
                    </w:rPr>
                    <w:t>57</w:t>
                  </w:r>
                </w:p>
              </w:tc>
              <w:tc>
                <w:tcPr>
                  <w:tcW w:w="648" w:type="pct"/>
                </w:tcPr>
                <w:p w14:paraId="746B0CAE" w14:textId="77777777" w:rsidR="00237CF4" w:rsidRPr="00237CF4" w:rsidRDefault="00237CF4" w:rsidP="00396665">
                  <w:pPr>
                    <w:spacing w:after="20"/>
                    <w:jc w:val="center"/>
                    <w:rPr>
                      <w:rFonts w:cs="Times New Roman"/>
                      <w:sz w:val="16"/>
                      <w:szCs w:val="16"/>
                    </w:rPr>
                  </w:pPr>
                  <w:r w:rsidRPr="00237CF4">
                    <w:rPr>
                      <w:rFonts w:cs="Times New Roman"/>
                      <w:sz w:val="16"/>
                      <w:szCs w:val="16"/>
                    </w:rPr>
                    <w:t>23</w:t>
                  </w:r>
                </w:p>
              </w:tc>
            </w:tr>
            <w:tr w:rsidR="00237CF4" w:rsidRPr="00237CF4" w14:paraId="6B4FEC9D"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282E9116" w14:textId="77777777" w:rsidR="00237CF4" w:rsidRPr="00237CF4" w:rsidRDefault="00237CF4" w:rsidP="00396665">
                  <w:pPr>
                    <w:spacing w:after="20"/>
                    <w:rPr>
                      <w:rFonts w:cs="Times New Roman"/>
                      <w:sz w:val="16"/>
                      <w:szCs w:val="16"/>
                    </w:rPr>
                  </w:pPr>
                  <w:r w:rsidRPr="00237CF4">
                    <w:rPr>
                      <w:rFonts w:cs="Times New Roman"/>
                      <w:sz w:val="16"/>
                      <w:szCs w:val="16"/>
                    </w:rPr>
                    <w:t>Tehnoloģiskā sagatavotība</w:t>
                  </w:r>
                </w:p>
              </w:tc>
              <w:tc>
                <w:tcPr>
                  <w:tcW w:w="647" w:type="pct"/>
                </w:tcPr>
                <w:p w14:paraId="1D80B948" w14:textId="77777777" w:rsidR="00237CF4" w:rsidRPr="00237CF4" w:rsidRDefault="00237CF4" w:rsidP="00396665">
                  <w:pPr>
                    <w:spacing w:after="20"/>
                    <w:jc w:val="center"/>
                    <w:rPr>
                      <w:rFonts w:cs="Times New Roman"/>
                      <w:sz w:val="16"/>
                      <w:szCs w:val="16"/>
                    </w:rPr>
                  </w:pPr>
                  <w:r w:rsidRPr="00237CF4">
                    <w:rPr>
                      <w:rFonts w:cs="Times New Roman"/>
                      <w:sz w:val="16"/>
                      <w:szCs w:val="16"/>
                    </w:rPr>
                    <w:t>33</w:t>
                  </w:r>
                </w:p>
              </w:tc>
              <w:tc>
                <w:tcPr>
                  <w:tcW w:w="647" w:type="pct"/>
                </w:tcPr>
                <w:p w14:paraId="6E50D326" w14:textId="77777777" w:rsidR="00237CF4" w:rsidRPr="00237CF4" w:rsidRDefault="00237CF4" w:rsidP="00396665">
                  <w:pPr>
                    <w:spacing w:after="20"/>
                    <w:jc w:val="center"/>
                    <w:rPr>
                      <w:rFonts w:cs="Times New Roman"/>
                      <w:sz w:val="16"/>
                      <w:szCs w:val="16"/>
                    </w:rPr>
                  </w:pPr>
                  <w:r w:rsidRPr="00237CF4">
                    <w:rPr>
                      <w:rFonts w:cs="Times New Roman"/>
                      <w:sz w:val="16"/>
                      <w:szCs w:val="16"/>
                    </w:rPr>
                    <w:t>22</w:t>
                  </w:r>
                </w:p>
              </w:tc>
              <w:tc>
                <w:tcPr>
                  <w:tcW w:w="648" w:type="pct"/>
                </w:tcPr>
                <w:p w14:paraId="2DC14A66" w14:textId="77777777" w:rsidR="00237CF4" w:rsidRPr="00237CF4" w:rsidRDefault="00237CF4" w:rsidP="00396665">
                  <w:pPr>
                    <w:spacing w:after="20"/>
                    <w:jc w:val="center"/>
                    <w:rPr>
                      <w:rFonts w:cs="Times New Roman"/>
                      <w:sz w:val="16"/>
                      <w:szCs w:val="16"/>
                    </w:rPr>
                  </w:pPr>
                  <w:r w:rsidRPr="00237CF4">
                    <w:rPr>
                      <w:rFonts w:cs="Times New Roman"/>
                      <w:sz w:val="16"/>
                      <w:szCs w:val="16"/>
                    </w:rPr>
                    <w:t>32</w:t>
                  </w:r>
                </w:p>
              </w:tc>
            </w:tr>
            <w:tr w:rsidR="00237CF4" w:rsidRPr="00237CF4" w14:paraId="4621059E" w14:textId="77777777" w:rsidTr="00396665">
              <w:trPr>
                <w:trHeight w:val="227"/>
              </w:trPr>
              <w:tc>
                <w:tcPr>
                  <w:tcW w:w="3058" w:type="pct"/>
                </w:tcPr>
                <w:p w14:paraId="743540C3" w14:textId="77777777" w:rsidR="00237CF4" w:rsidRPr="00237CF4" w:rsidRDefault="00237CF4" w:rsidP="00396665">
                  <w:pPr>
                    <w:spacing w:after="20"/>
                    <w:rPr>
                      <w:rFonts w:cs="Times New Roman"/>
                      <w:sz w:val="16"/>
                      <w:szCs w:val="16"/>
                    </w:rPr>
                  </w:pPr>
                  <w:r w:rsidRPr="00237CF4">
                    <w:rPr>
                      <w:rFonts w:cs="Times New Roman"/>
                      <w:sz w:val="16"/>
                      <w:szCs w:val="16"/>
                    </w:rPr>
                    <w:t>Tirgus lielums</w:t>
                  </w:r>
                </w:p>
              </w:tc>
              <w:tc>
                <w:tcPr>
                  <w:tcW w:w="647" w:type="pct"/>
                </w:tcPr>
                <w:p w14:paraId="3A027140" w14:textId="77777777" w:rsidR="00237CF4" w:rsidRPr="00237CF4" w:rsidRDefault="00237CF4" w:rsidP="00396665">
                  <w:pPr>
                    <w:spacing w:after="20"/>
                    <w:jc w:val="center"/>
                    <w:rPr>
                      <w:rFonts w:cs="Times New Roman"/>
                      <w:sz w:val="16"/>
                      <w:szCs w:val="16"/>
                    </w:rPr>
                  </w:pPr>
                  <w:r w:rsidRPr="00237CF4">
                    <w:rPr>
                      <w:rFonts w:cs="Times New Roman"/>
                      <w:sz w:val="16"/>
                      <w:szCs w:val="16"/>
                    </w:rPr>
                    <w:t>94</w:t>
                  </w:r>
                </w:p>
              </w:tc>
              <w:tc>
                <w:tcPr>
                  <w:tcW w:w="647" w:type="pct"/>
                </w:tcPr>
                <w:p w14:paraId="0ABF7A32" w14:textId="77777777" w:rsidR="00237CF4" w:rsidRPr="00237CF4" w:rsidRDefault="00237CF4" w:rsidP="00396665">
                  <w:pPr>
                    <w:spacing w:after="20"/>
                    <w:jc w:val="center"/>
                    <w:rPr>
                      <w:rFonts w:cs="Times New Roman"/>
                      <w:sz w:val="16"/>
                      <w:szCs w:val="16"/>
                    </w:rPr>
                  </w:pPr>
                  <w:r w:rsidRPr="00237CF4">
                    <w:rPr>
                      <w:rFonts w:cs="Times New Roman"/>
                      <w:sz w:val="16"/>
                      <w:szCs w:val="16"/>
                    </w:rPr>
                    <w:t>78</w:t>
                  </w:r>
                </w:p>
              </w:tc>
              <w:tc>
                <w:tcPr>
                  <w:tcW w:w="648" w:type="pct"/>
                </w:tcPr>
                <w:p w14:paraId="6EBF90C0" w14:textId="77777777" w:rsidR="00237CF4" w:rsidRPr="00237CF4" w:rsidRDefault="00237CF4" w:rsidP="00396665">
                  <w:pPr>
                    <w:spacing w:after="20"/>
                    <w:jc w:val="center"/>
                    <w:rPr>
                      <w:rFonts w:cs="Times New Roman"/>
                      <w:sz w:val="16"/>
                      <w:szCs w:val="16"/>
                    </w:rPr>
                  </w:pPr>
                  <w:r w:rsidRPr="00237CF4">
                    <w:rPr>
                      <w:rFonts w:cs="Times New Roman"/>
                      <w:sz w:val="16"/>
                      <w:szCs w:val="16"/>
                    </w:rPr>
                    <w:t>98</w:t>
                  </w:r>
                </w:p>
              </w:tc>
            </w:tr>
            <w:tr w:rsidR="00237CF4" w:rsidRPr="00237CF4" w14:paraId="558055A9"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7BE15F94" w14:textId="77777777" w:rsidR="00237CF4" w:rsidRPr="00237CF4" w:rsidRDefault="00237CF4" w:rsidP="00396665">
                  <w:pPr>
                    <w:spacing w:after="20"/>
                    <w:rPr>
                      <w:rFonts w:cs="Times New Roman"/>
                      <w:b/>
                      <w:bCs/>
                      <w:i/>
                      <w:iCs/>
                      <w:sz w:val="16"/>
                      <w:szCs w:val="16"/>
                    </w:rPr>
                  </w:pPr>
                  <w:r w:rsidRPr="00237CF4">
                    <w:rPr>
                      <w:rFonts w:cs="Times New Roman"/>
                      <w:b/>
                      <w:bCs/>
                      <w:i/>
                      <w:iCs/>
                      <w:sz w:val="16"/>
                      <w:szCs w:val="16"/>
                    </w:rPr>
                    <w:t>Inovācijas un izsmalcinātības faktori</w:t>
                  </w:r>
                </w:p>
              </w:tc>
              <w:tc>
                <w:tcPr>
                  <w:tcW w:w="647" w:type="pct"/>
                </w:tcPr>
                <w:p w14:paraId="101CA129"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58</w:t>
                  </w:r>
                </w:p>
              </w:tc>
              <w:tc>
                <w:tcPr>
                  <w:tcW w:w="647" w:type="pct"/>
                </w:tcPr>
                <w:p w14:paraId="355F670E"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37</w:t>
                  </w:r>
                </w:p>
              </w:tc>
              <w:tc>
                <w:tcPr>
                  <w:tcW w:w="648" w:type="pct"/>
                </w:tcPr>
                <w:p w14:paraId="280150AA" w14:textId="77777777" w:rsidR="00237CF4" w:rsidRPr="00237CF4" w:rsidRDefault="00237CF4" w:rsidP="00396665">
                  <w:pPr>
                    <w:spacing w:after="20"/>
                    <w:jc w:val="center"/>
                    <w:rPr>
                      <w:rFonts w:cs="Times New Roman"/>
                      <w:b/>
                      <w:bCs/>
                      <w:i/>
                      <w:iCs/>
                      <w:sz w:val="16"/>
                      <w:szCs w:val="16"/>
                    </w:rPr>
                  </w:pPr>
                  <w:r w:rsidRPr="00237CF4">
                    <w:rPr>
                      <w:rFonts w:cs="Times New Roman"/>
                      <w:b/>
                      <w:bCs/>
                      <w:i/>
                      <w:iCs/>
                      <w:sz w:val="16"/>
                      <w:szCs w:val="16"/>
                    </w:rPr>
                    <w:t>31</w:t>
                  </w:r>
                </w:p>
              </w:tc>
            </w:tr>
            <w:tr w:rsidR="00237CF4" w:rsidRPr="00237CF4" w14:paraId="3F13A8CB" w14:textId="77777777" w:rsidTr="00396665">
              <w:trPr>
                <w:trHeight w:val="227"/>
              </w:trPr>
              <w:tc>
                <w:tcPr>
                  <w:tcW w:w="3058" w:type="pct"/>
                </w:tcPr>
                <w:p w14:paraId="37630E4F" w14:textId="77777777" w:rsidR="00237CF4" w:rsidRPr="00237CF4" w:rsidRDefault="00237CF4" w:rsidP="00396665">
                  <w:pPr>
                    <w:spacing w:after="20"/>
                    <w:rPr>
                      <w:rFonts w:cs="Times New Roman"/>
                      <w:sz w:val="16"/>
                      <w:szCs w:val="16"/>
                    </w:rPr>
                  </w:pPr>
                  <w:r w:rsidRPr="00237CF4">
                    <w:rPr>
                      <w:rFonts w:cs="Times New Roman"/>
                      <w:sz w:val="16"/>
                      <w:szCs w:val="16"/>
                    </w:rPr>
                    <w:t>Uzņēmējdarbības kvalitāte</w:t>
                  </w:r>
                </w:p>
              </w:tc>
              <w:tc>
                <w:tcPr>
                  <w:tcW w:w="647" w:type="pct"/>
                </w:tcPr>
                <w:p w14:paraId="6E28C556" w14:textId="77777777" w:rsidR="00237CF4" w:rsidRPr="00237CF4" w:rsidRDefault="00237CF4" w:rsidP="00396665">
                  <w:pPr>
                    <w:spacing w:after="20"/>
                    <w:jc w:val="center"/>
                    <w:rPr>
                      <w:rFonts w:cs="Times New Roman"/>
                      <w:sz w:val="16"/>
                      <w:szCs w:val="16"/>
                    </w:rPr>
                  </w:pPr>
                  <w:r w:rsidRPr="00237CF4">
                    <w:rPr>
                      <w:rFonts w:cs="Times New Roman"/>
                      <w:sz w:val="16"/>
                      <w:szCs w:val="16"/>
                    </w:rPr>
                    <w:t>60</w:t>
                  </w:r>
                </w:p>
              </w:tc>
              <w:tc>
                <w:tcPr>
                  <w:tcW w:w="647" w:type="pct"/>
                </w:tcPr>
                <w:p w14:paraId="2D276FE0" w14:textId="77777777" w:rsidR="00237CF4" w:rsidRPr="00237CF4" w:rsidRDefault="00237CF4" w:rsidP="00396665">
                  <w:pPr>
                    <w:spacing w:after="20"/>
                    <w:jc w:val="center"/>
                    <w:rPr>
                      <w:rFonts w:cs="Times New Roman"/>
                      <w:sz w:val="16"/>
                      <w:szCs w:val="16"/>
                    </w:rPr>
                  </w:pPr>
                  <w:r w:rsidRPr="00237CF4">
                    <w:rPr>
                      <w:rFonts w:cs="Times New Roman"/>
                      <w:sz w:val="16"/>
                      <w:szCs w:val="16"/>
                    </w:rPr>
                    <w:t>39</w:t>
                  </w:r>
                </w:p>
              </w:tc>
              <w:tc>
                <w:tcPr>
                  <w:tcW w:w="648" w:type="pct"/>
                </w:tcPr>
                <w:p w14:paraId="5CFBB320" w14:textId="77777777" w:rsidR="00237CF4" w:rsidRPr="00237CF4" w:rsidRDefault="00237CF4" w:rsidP="00396665">
                  <w:pPr>
                    <w:spacing w:after="20"/>
                    <w:jc w:val="center"/>
                    <w:rPr>
                      <w:rFonts w:cs="Times New Roman"/>
                      <w:sz w:val="16"/>
                      <w:szCs w:val="16"/>
                    </w:rPr>
                  </w:pPr>
                  <w:r w:rsidRPr="00237CF4">
                    <w:rPr>
                      <w:rFonts w:cs="Times New Roman"/>
                      <w:sz w:val="16"/>
                      <w:szCs w:val="16"/>
                    </w:rPr>
                    <w:t>43</w:t>
                  </w:r>
                </w:p>
              </w:tc>
            </w:tr>
            <w:tr w:rsidR="00237CF4" w:rsidRPr="00237CF4" w14:paraId="498934C2" w14:textId="77777777" w:rsidTr="00396665">
              <w:trPr>
                <w:cnfStyle w:val="000000100000" w:firstRow="0" w:lastRow="0" w:firstColumn="0" w:lastColumn="0" w:oddVBand="0" w:evenVBand="0" w:oddHBand="1" w:evenHBand="0" w:firstRowFirstColumn="0" w:firstRowLastColumn="0" w:lastRowFirstColumn="0" w:lastRowLastColumn="0"/>
                <w:trHeight w:val="227"/>
              </w:trPr>
              <w:tc>
                <w:tcPr>
                  <w:tcW w:w="3058" w:type="pct"/>
                </w:tcPr>
                <w:p w14:paraId="703F493D" w14:textId="77777777" w:rsidR="00237CF4" w:rsidRPr="00237CF4" w:rsidRDefault="00237CF4" w:rsidP="00396665">
                  <w:pPr>
                    <w:spacing w:after="20"/>
                    <w:rPr>
                      <w:rFonts w:cs="Times New Roman"/>
                      <w:sz w:val="16"/>
                      <w:szCs w:val="16"/>
                    </w:rPr>
                  </w:pPr>
                  <w:r w:rsidRPr="00237CF4">
                    <w:rPr>
                      <w:rFonts w:cs="Times New Roman"/>
                      <w:sz w:val="16"/>
                      <w:szCs w:val="16"/>
                    </w:rPr>
                    <w:t>Inovācijas potenciāls</w:t>
                  </w:r>
                </w:p>
              </w:tc>
              <w:tc>
                <w:tcPr>
                  <w:tcW w:w="647" w:type="pct"/>
                </w:tcPr>
                <w:p w14:paraId="46E98CAA" w14:textId="77777777" w:rsidR="00237CF4" w:rsidRPr="00237CF4" w:rsidRDefault="00237CF4" w:rsidP="00396665">
                  <w:pPr>
                    <w:spacing w:after="20"/>
                    <w:jc w:val="center"/>
                    <w:rPr>
                      <w:rFonts w:cs="Times New Roman"/>
                      <w:sz w:val="16"/>
                      <w:szCs w:val="16"/>
                    </w:rPr>
                  </w:pPr>
                  <w:r w:rsidRPr="00237CF4">
                    <w:rPr>
                      <w:rFonts w:cs="Times New Roman"/>
                      <w:sz w:val="16"/>
                      <w:szCs w:val="16"/>
                    </w:rPr>
                    <w:t>62</w:t>
                  </w:r>
                </w:p>
              </w:tc>
              <w:tc>
                <w:tcPr>
                  <w:tcW w:w="647" w:type="pct"/>
                </w:tcPr>
                <w:p w14:paraId="08C637FE" w14:textId="77777777" w:rsidR="00237CF4" w:rsidRPr="00237CF4" w:rsidRDefault="00237CF4" w:rsidP="00396665">
                  <w:pPr>
                    <w:spacing w:after="20"/>
                    <w:jc w:val="center"/>
                    <w:rPr>
                      <w:rFonts w:cs="Times New Roman"/>
                      <w:sz w:val="16"/>
                      <w:szCs w:val="16"/>
                    </w:rPr>
                  </w:pPr>
                  <w:r w:rsidRPr="00237CF4">
                    <w:rPr>
                      <w:rFonts w:cs="Times New Roman"/>
                      <w:sz w:val="16"/>
                      <w:szCs w:val="16"/>
                    </w:rPr>
                    <w:t>36</w:t>
                  </w:r>
                </w:p>
              </w:tc>
              <w:tc>
                <w:tcPr>
                  <w:tcW w:w="648" w:type="pct"/>
                </w:tcPr>
                <w:p w14:paraId="375EC3C5" w14:textId="77777777" w:rsidR="00237CF4" w:rsidRPr="00237CF4" w:rsidRDefault="00237CF4" w:rsidP="00396665">
                  <w:pPr>
                    <w:spacing w:after="20"/>
                    <w:jc w:val="center"/>
                    <w:rPr>
                      <w:rFonts w:cs="Times New Roman"/>
                      <w:sz w:val="16"/>
                      <w:szCs w:val="16"/>
                    </w:rPr>
                  </w:pPr>
                  <w:r w:rsidRPr="00237CF4">
                    <w:rPr>
                      <w:rFonts w:cs="Times New Roman"/>
                      <w:sz w:val="16"/>
                      <w:szCs w:val="16"/>
                    </w:rPr>
                    <w:t>29</w:t>
                  </w:r>
                </w:p>
              </w:tc>
            </w:tr>
          </w:tbl>
          <w:p w14:paraId="2FB9C84D" w14:textId="77777777" w:rsidR="00237CF4" w:rsidRPr="00237CF4" w:rsidRDefault="00237CF4" w:rsidP="0081417B">
            <w:pPr>
              <w:jc w:val="center"/>
              <w:rPr>
                <w:rFonts w:cs="Times New Roman"/>
                <w:b/>
                <w:sz w:val="16"/>
                <w:szCs w:val="16"/>
              </w:rPr>
            </w:pPr>
          </w:p>
        </w:tc>
      </w:tr>
    </w:tbl>
    <w:p w14:paraId="6785A72B" w14:textId="77777777" w:rsidR="00A0664A" w:rsidRDefault="00A0664A" w:rsidP="00237CF4">
      <w:pPr>
        <w:ind w:firstLine="720"/>
        <w:jc w:val="both"/>
        <w:rPr>
          <w:rFonts w:cs="Times New Roman"/>
          <w:sz w:val="24"/>
        </w:rPr>
      </w:pPr>
    </w:p>
    <w:p w14:paraId="0D6B0F7D" w14:textId="77777777" w:rsidR="00237CF4" w:rsidRDefault="00237CF4" w:rsidP="00237CF4">
      <w:pPr>
        <w:ind w:firstLine="720"/>
        <w:jc w:val="both"/>
        <w:rPr>
          <w:rFonts w:cs="Times New Roman"/>
          <w:sz w:val="24"/>
        </w:rPr>
      </w:pPr>
      <w:r w:rsidRPr="00237CF4">
        <w:rPr>
          <w:rFonts w:cs="Times New Roman"/>
          <w:sz w:val="24"/>
        </w:rPr>
        <w:t>Latvijas ekonomikas izaugsmes problēma ir jārisina kompleksi ar konkurētspējas palielināšanas problēmām, kas savukārt nav iespējams bez esošā ekonomikas modeļa maiņas. Jauna uz zināšanām un inovācijām balstītā ekonomikas modeļa veidošanā, īpaša uzmanība ir jāpievērš tādām izteiktām problēmām, kā: infrastruktūras un institucionālās vides kvalitāte; uzņēmējdarbības izsmalcinātības palielināšana, klasteru attīstība, inovācijas potenciāla stiprināšana.</w:t>
      </w:r>
      <w:r w:rsidR="0064037A">
        <w:rPr>
          <w:rFonts w:cs="Times New Roman"/>
          <w:sz w:val="24"/>
        </w:rPr>
        <w:t xml:space="preserve"> </w:t>
      </w:r>
      <w:r w:rsidR="0064037A" w:rsidRPr="0064037A">
        <w:rPr>
          <w:rFonts w:cs="Times New Roman"/>
          <w:sz w:val="24"/>
        </w:rPr>
        <w:t>Identificētās problēmas konkurētspējas jautājumu risināšanai atspoguļotas inf</w:t>
      </w:r>
      <w:r w:rsidR="0064037A">
        <w:rPr>
          <w:rFonts w:cs="Times New Roman"/>
          <w:sz w:val="24"/>
        </w:rPr>
        <w:t>ormatīvā ziņojuma 2.pielikuma (</w:t>
      </w:r>
      <w:r w:rsidR="0064037A" w:rsidRPr="0064037A">
        <w:rPr>
          <w:rFonts w:cs="Times New Roman"/>
          <w:sz w:val="24"/>
        </w:rPr>
        <w:t>pasākumu un uzdevumu plān</w:t>
      </w:r>
      <w:r w:rsidR="0064037A">
        <w:rPr>
          <w:rFonts w:cs="Times New Roman"/>
          <w:sz w:val="24"/>
        </w:rPr>
        <w:t>a</w:t>
      </w:r>
      <w:r w:rsidR="0064037A" w:rsidRPr="0064037A">
        <w:rPr>
          <w:rFonts w:cs="Times New Roman"/>
          <w:sz w:val="24"/>
        </w:rPr>
        <w:t xml:space="preserve"> 2016.-2016.gadam</w:t>
      </w:r>
      <w:r w:rsidR="0064037A">
        <w:rPr>
          <w:rFonts w:cs="Times New Roman"/>
          <w:sz w:val="24"/>
        </w:rPr>
        <w:t>)</w:t>
      </w:r>
      <w:r w:rsidR="0064037A" w:rsidRPr="0064037A">
        <w:rPr>
          <w:rFonts w:cs="Times New Roman"/>
          <w:sz w:val="24"/>
        </w:rPr>
        <w:t xml:space="preserve"> rīcības virziena “Produktivitātes paaugstināšana” aktivitātēs, kas vērstas uz inovāciju kapacitātes paaugstināšanas sekmēšanu.</w:t>
      </w:r>
    </w:p>
    <w:p w14:paraId="5F3DF358" w14:textId="77777777" w:rsidR="00A0664A" w:rsidRDefault="00A0664A" w:rsidP="00E413C2">
      <w:pPr>
        <w:pStyle w:val="PlainText"/>
        <w:spacing w:after="40"/>
        <w:rPr>
          <w:rFonts w:ascii="Times New Roman" w:hAnsi="Times New Roman" w:cs="Times New Roman"/>
          <w:b/>
          <w:sz w:val="24"/>
          <w:szCs w:val="24"/>
        </w:rPr>
      </w:pPr>
    </w:p>
    <w:p w14:paraId="66AD5500" w14:textId="77777777" w:rsidR="00E413C2" w:rsidRPr="00D46FBB" w:rsidRDefault="00B44EF8" w:rsidP="00D46FBB">
      <w:pPr>
        <w:pStyle w:val="Heading2"/>
        <w:shd w:val="clear" w:color="auto" w:fill="1DA0A7"/>
        <w:rPr>
          <w:b/>
          <w:color w:val="FFFFFF" w:themeColor="background1"/>
        </w:rPr>
      </w:pPr>
      <w:bookmarkStart w:id="8" w:name="_Toc462740002"/>
      <w:r w:rsidRPr="00D46FBB">
        <w:rPr>
          <w:b/>
          <w:color w:val="FFFFFF" w:themeColor="background1"/>
        </w:rPr>
        <w:t>1.3</w:t>
      </w:r>
      <w:r w:rsidR="00ED5B12" w:rsidRPr="00D46FBB">
        <w:rPr>
          <w:b/>
          <w:color w:val="FFFFFF" w:themeColor="background1"/>
        </w:rPr>
        <w:t xml:space="preserve">. </w:t>
      </w:r>
      <w:r w:rsidR="00E413C2" w:rsidRPr="00D46FBB">
        <w:rPr>
          <w:b/>
          <w:color w:val="FFFFFF" w:themeColor="background1"/>
        </w:rPr>
        <w:t>Ārvalstu tiešās investīcijas</w:t>
      </w:r>
      <w:bookmarkEnd w:id="8"/>
    </w:p>
    <w:p w14:paraId="22A2DFA2" w14:textId="77777777" w:rsidR="00D46FBB" w:rsidRPr="00D46FBB" w:rsidRDefault="00DE0F41" w:rsidP="00DE0F41">
      <w:pPr>
        <w:tabs>
          <w:tab w:val="left" w:pos="2816"/>
        </w:tabs>
        <w:spacing w:after="40"/>
        <w:ind w:firstLine="284"/>
        <w:jc w:val="both"/>
        <w:rPr>
          <w:rFonts w:eastAsia="Times New Roman" w:cs="Times New Roman"/>
          <w:sz w:val="12"/>
          <w:szCs w:val="12"/>
        </w:rPr>
      </w:pPr>
      <w:r>
        <w:rPr>
          <w:rFonts w:eastAsia="Times New Roman" w:cs="Times New Roman"/>
          <w:sz w:val="12"/>
          <w:szCs w:val="12"/>
        </w:rPr>
        <w:tab/>
      </w:r>
    </w:p>
    <w:p w14:paraId="5D69FC47" w14:textId="77777777" w:rsidR="00E413C2" w:rsidRPr="00ED5B12" w:rsidRDefault="00E413C2" w:rsidP="00E413C2">
      <w:pPr>
        <w:spacing w:after="40"/>
        <w:ind w:firstLine="284"/>
        <w:jc w:val="both"/>
        <w:rPr>
          <w:rFonts w:eastAsia="Times New Roman" w:cs="Times New Roman"/>
          <w:sz w:val="24"/>
          <w:szCs w:val="24"/>
        </w:rPr>
      </w:pPr>
      <w:r w:rsidRPr="00ED5B12">
        <w:rPr>
          <w:rFonts w:eastAsia="Times New Roman" w:cs="Times New Roman"/>
          <w:sz w:val="24"/>
          <w:szCs w:val="24"/>
        </w:rPr>
        <w:t>Pēdējos gados ĀTI plūsmu intensitāte Latvijā, kā arī citās Baltijas valstīs ir visai mērena. Jāatzīmē, ka arī pasaulē kopumā ir samazinājušās investīciju pārrobežu plūsmas, kas galvenokārt skaidrojams ar nestabilitāti pasaules ekonomikā, pieaugušiem ģeopolitiskiem riskiem un politikas neprognozējamību. Saskaņā ar Apvienoto Nāciju Organizācijas UNCTAD Pasaules investīciju ziņojumu 2014.gadā ĀTI plūsmu apjoms samazinājās par 8%, īpaši ES dalībvalstīs, uzrādot zemāko kopējo apjomu kopš 2006.gada, turklāt ienākošo ĀTI plūsmas Eiropā samazinājās par 11%.</w:t>
      </w:r>
    </w:p>
    <w:p w14:paraId="460012FF" w14:textId="3F154766" w:rsidR="00E413C2" w:rsidRDefault="00E413C2" w:rsidP="00E413C2">
      <w:pPr>
        <w:spacing w:after="40"/>
        <w:ind w:firstLine="284"/>
        <w:jc w:val="both"/>
        <w:rPr>
          <w:rFonts w:eastAsia="Times New Roman" w:cs="Times New Roman"/>
          <w:sz w:val="24"/>
          <w:szCs w:val="24"/>
        </w:rPr>
      </w:pPr>
      <w:r w:rsidRPr="00ED5B12">
        <w:rPr>
          <w:rFonts w:eastAsia="Times New Roman" w:cs="Times New Roman"/>
          <w:sz w:val="24"/>
          <w:szCs w:val="24"/>
        </w:rPr>
        <w:t xml:space="preserve">Vidēji gadā ĀTI neto ieplūde Baltijas valstīs kopš 2011.gada bija trīs reizes mazākā apjomā nekā pirmskrīzes gados. Kopumā Baltijas valstis pēdējos trīs gados piesaistīja ĀTI gandrīz 3500 milj. </w:t>
      </w:r>
      <w:r w:rsidR="00835279" w:rsidRPr="00835279">
        <w:rPr>
          <w:rFonts w:eastAsia="Times New Roman" w:cs="Times New Roman"/>
          <w:i/>
          <w:sz w:val="24"/>
          <w:szCs w:val="24"/>
        </w:rPr>
        <w:t>euro</w:t>
      </w:r>
      <w:r w:rsidRPr="00ED5B12">
        <w:rPr>
          <w:rFonts w:eastAsia="Times New Roman" w:cs="Times New Roman"/>
          <w:sz w:val="24"/>
          <w:szCs w:val="24"/>
        </w:rPr>
        <w:t xml:space="preserve"> apjomā, tai</w:t>
      </w:r>
      <w:r w:rsidR="000A27E2">
        <w:rPr>
          <w:rFonts w:eastAsia="Times New Roman" w:cs="Times New Roman"/>
          <w:sz w:val="24"/>
          <w:szCs w:val="24"/>
        </w:rPr>
        <w:t xml:space="preserve"> skaitā </w:t>
      </w:r>
      <w:r w:rsidRPr="00ED5B12">
        <w:rPr>
          <w:rFonts w:eastAsia="Times New Roman" w:cs="Times New Roman"/>
          <w:sz w:val="24"/>
          <w:szCs w:val="24"/>
        </w:rPr>
        <w:t xml:space="preserve">Latvija piesaistīja apmēram 24% no visām ĀTI Baltijas valstīs, Igaunija – 26% un Lietuva – 50 procentus. </w:t>
      </w:r>
    </w:p>
    <w:p w14:paraId="0BE5AD5C" w14:textId="77777777" w:rsidR="00A0664A" w:rsidRDefault="00A0664A" w:rsidP="00A0664A">
      <w:pPr>
        <w:ind w:firstLine="284"/>
        <w:jc w:val="both"/>
        <w:rPr>
          <w:rFonts w:eastAsia="Times New Roman" w:cs="Times New Roman"/>
          <w:sz w:val="24"/>
          <w:szCs w:val="21"/>
        </w:rPr>
      </w:pPr>
      <w:r w:rsidRPr="00237CF4">
        <w:rPr>
          <w:rFonts w:eastAsia="Times New Roman" w:cs="Times New Roman"/>
          <w:sz w:val="24"/>
          <w:szCs w:val="21"/>
        </w:rPr>
        <w:lastRenderedPageBreak/>
        <w:t xml:space="preserve">Latvijas ekonomikā ienākošo ĀTI apjoms laika periodā no 2013. līdz 2015. gadam bija gandrīz uz pusi mazāks nekā ekonomikas straujās izaugsmes gados. 2014. gadā ārvalstu tiešo investīciju neto ieplūde Latvijā sasniedza 1,9% no IKP, t.i., par gandrīz 1 procentpunktu zemākā līmenī nekā pirms gada. Savukārt 2015. gadā ārvalstu investoru aktivitātes palielinājās, ĀTI plūsmas pieauga par 29% un veidoja 2,3% no IKP, ko galvenokārt noteica reinvestētas peļņas pieaugums. Jāatzīmē, ka </w:t>
      </w:r>
      <w:r w:rsidR="00906B8A">
        <w:rPr>
          <w:rFonts w:eastAsia="Times New Roman" w:cs="Times New Roman"/>
          <w:sz w:val="24"/>
          <w:szCs w:val="21"/>
        </w:rPr>
        <w:t>reinvestētās peļņas īpatsvars kopējās ĀTI pēdējos gados ir bijis ļoti svārstīgs. K</w:t>
      </w:r>
      <w:r w:rsidRPr="00237CF4">
        <w:rPr>
          <w:rFonts w:eastAsia="Times New Roman" w:cs="Times New Roman"/>
          <w:sz w:val="24"/>
          <w:szCs w:val="21"/>
        </w:rPr>
        <w:t>opš 2011. gada reinvestētā peļņa veido vidēji 40% no piesaistītām ĀTI.</w:t>
      </w:r>
    </w:p>
    <w:p w14:paraId="05386B68" w14:textId="77777777" w:rsidR="00E413C2" w:rsidRDefault="00E413C2" w:rsidP="00E413C2">
      <w:pPr>
        <w:spacing w:after="40"/>
        <w:ind w:firstLine="284"/>
        <w:jc w:val="both"/>
        <w:rPr>
          <w:rFonts w:ascii="Arial Narrow" w:eastAsia="Times New Roman" w:hAnsi="Arial Narrow" w:cs="Times New Roman"/>
          <w:sz w:val="2"/>
          <w:szCs w:val="21"/>
        </w:rPr>
      </w:pPr>
    </w:p>
    <w:p w14:paraId="607D251C" w14:textId="77777777" w:rsidR="00E413C2" w:rsidRPr="00FC5BEB" w:rsidRDefault="00E413C2" w:rsidP="00E413C2">
      <w:pPr>
        <w:spacing w:after="40"/>
        <w:ind w:firstLine="284"/>
        <w:jc w:val="both"/>
        <w:rPr>
          <w:rFonts w:eastAsia="Times New Roman" w:cs="Times New Roman"/>
          <w:sz w:val="2"/>
          <w:szCs w:val="21"/>
        </w:rPr>
      </w:pPr>
    </w:p>
    <w:tbl>
      <w:tblPr>
        <w:tblStyle w:val="TableGrid1"/>
        <w:tblW w:w="53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192"/>
        <w:gridCol w:w="5229"/>
      </w:tblGrid>
      <w:tr w:rsidR="00237CF4" w:rsidRPr="00FC5BEB" w14:paraId="3BF36C60" w14:textId="77777777" w:rsidTr="00237CF4">
        <w:tc>
          <w:tcPr>
            <w:tcW w:w="2491" w:type="pct"/>
            <w:hideMark/>
          </w:tcPr>
          <w:p w14:paraId="3C058315" w14:textId="54D01BAD" w:rsidR="00237CF4" w:rsidRPr="00FC5BEB" w:rsidRDefault="00237CF4" w:rsidP="00835279">
            <w:pPr>
              <w:spacing w:after="40"/>
              <w:jc w:val="center"/>
              <w:rPr>
                <w:rFonts w:cs="Times New Roman"/>
                <w:sz w:val="20"/>
                <w:szCs w:val="20"/>
              </w:rPr>
            </w:pPr>
            <w:r w:rsidRPr="00FC5BEB">
              <w:rPr>
                <w:rFonts w:eastAsia="Arial Unicode MS" w:cs="Times New Roman"/>
                <w:b/>
                <w:sz w:val="20"/>
                <w:szCs w:val="20"/>
              </w:rPr>
              <w:t>Ārvalstu investīciju ieplūde Baltijas valstīs</w:t>
            </w:r>
            <w:r w:rsidRPr="00FC5BEB">
              <w:rPr>
                <w:rFonts w:eastAsia="Arial Unicode MS" w:cs="Times New Roman"/>
                <w:sz w:val="20"/>
                <w:szCs w:val="20"/>
              </w:rPr>
              <w:br/>
            </w:r>
            <w:r w:rsidRPr="00FC5BEB">
              <w:rPr>
                <w:rFonts w:cs="Times New Roman"/>
                <w:sz w:val="20"/>
                <w:szCs w:val="20"/>
              </w:rPr>
              <w:t xml:space="preserve">(mljrd. </w:t>
            </w:r>
            <w:r w:rsidR="00835279" w:rsidRPr="00835279">
              <w:rPr>
                <w:rFonts w:cs="Times New Roman"/>
                <w:i/>
                <w:sz w:val="20"/>
                <w:szCs w:val="20"/>
              </w:rPr>
              <w:t>euro</w:t>
            </w:r>
            <w:r w:rsidRPr="00FC5BEB">
              <w:rPr>
                <w:rFonts w:cs="Times New Roman"/>
                <w:sz w:val="20"/>
                <w:szCs w:val="20"/>
              </w:rPr>
              <w:t>)</w:t>
            </w:r>
          </w:p>
        </w:tc>
        <w:tc>
          <w:tcPr>
            <w:tcW w:w="2509" w:type="pct"/>
            <w:hideMark/>
          </w:tcPr>
          <w:p w14:paraId="3A828349" w14:textId="1C56B732" w:rsidR="00237CF4" w:rsidRPr="00FC5BEB" w:rsidRDefault="00237CF4" w:rsidP="00835279">
            <w:pPr>
              <w:spacing w:after="40"/>
              <w:jc w:val="center"/>
              <w:rPr>
                <w:rFonts w:cs="Times New Roman"/>
                <w:sz w:val="20"/>
                <w:szCs w:val="20"/>
              </w:rPr>
            </w:pPr>
            <w:r w:rsidRPr="00FC5BEB">
              <w:rPr>
                <w:rFonts w:eastAsia="Arial Unicode MS" w:cs="Times New Roman"/>
                <w:b/>
                <w:sz w:val="20"/>
                <w:szCs w:val="20"/>
              </w:rPr>
              <w:t>Ārvalstu tiešās investīcijas Latvijā</w:t>
            </w:r>
            <w:r w:rsidRPr="00FC5BEB">
              <w:rPr>
                <w:rFonts w:eastAsia="Arial Unicode MS" w:cs="Times New Roman"/>
                <w:sz w:val="20"/>
                <w:szCs w:val="20"/>
              </w:rPr>
              <w:br/>
            </w:r>
            <w:r w:rsidRPr="00FC5BEB">
              <w:rPr>
                <w:rFonts w:cs="Times New Roman"/>
                <w:sz w:val="20"/>
                <w:szCs w:val="20"/>
              </w:rPr>
              <w:t xml:space="preserve">(gada laikā saņemtās, milj. </w:t>
            </w:r>
            <w:r w:rsidR="00835279" w:rsidRPr="00835279">
              <w:rPr>
                <w:rFonts w:cs="Times New Roman"/>
                <w:i/>
                <w:sz w:val="20"/>
                <w:szCs w:val="20"/>
              </w:rPr>
              <w:t>euro</w:t>
            </w:r>
            <w:r w:rsidRPr="00FC5BEB">
              <w:rPr>
                <w:rFonts w:cs="Times New Roman"/>
                <w:sz w:val="20"/>
                <w:szCs w:val="20"/>
              </w:rPr>
              <w:t>)</w:t>
            </w:r>
          </w:p>
        </w:tc>
      </w:tr>
      <w:tr w:rsidR="00237CF4" w14:paraId="19A41035" w14:textId="77777777" w:rsidTr="00237CF4">
        <w:trPr>
          <w:trHeight w:val="2535"/>
        </w:trPr>
        <w:tc>
          <w:tcPr>
            <w:tcW w:w="2491" w:type="pct"/>
            <w:hideMark/>
          </w:tcPr>
          <w:p w14:paraId="04916516" w14:textId="77777777" w:rsidR="00237CF4" w:rsidRDefault="00237CF4" w:rsidP="0081417B">
            <w:pPr>
              <w:tabs>
                <w:tab w:val="decimal" w:pos="269"/>
              </w:tabs>
              <w:spacing w:after="40"/>
              <w:jc w:val="center"/>
              <w:rPr>
                <w:rFonts w:ascii="Arial Narrow" w:hAnsi="Arial Narrow"/>
                <w:b/>
                <w:color w:val="FF0000"/>
                <w:sz w:val="20"/>
                <w:szCs w:val="20"/>
              </w:rPr>
            </w:pPr>
            <w:r>
              <w:rPr>
                <w:rFonts w:ascii="Arial Narrow" w:hAnsi="Arial Narrow"/>
                <w:noProof/>
                <w:color w:val="FF0000"/>
                <w:sz w:val="18"/>
                <w:szCs w:val="18"/>
                <w:lang w:eastAsia="lv-LV"/>
              </w:rPr>
              <w:drawing>
                <wp:inline distT="0" distB="0" distL="0" distR="0" wp14:anchorId="2DC22478" wp14:editId="15EFA3B7">
                  <wp:extent cx="2880000" cy="2160000"/>
                  <wp:effectExtent l="0" t="0" r="0" b="0"/>
                  <wp:docPr id="235" name="Chart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509" w:type="pct"/>
            <w:hideMark/>
          </w:tcPr>
          <w:p w14:paraId="58DFB809" w14:textId="77777777" w:rsidR="00237CF4" w:rsidRDefault="00237CF4" w:rsidP="0081417B">
            <w:pPr>
              <w:tabs>
                <w:tab w:val="decimal" w:pos="269"/>
              </w:tabs>
              <w:spacing w:after="40"/>
              <w:jc w:val="center"/>
              <w:rPr>
                <w:rFonts w:ascii="Arial Narrow" w:hAnsi="Arial Narrow"/>
                <w:b/>
                <w:color w:val="FF0000"/>
                <w:sz w:val="20"/>
                <w:szCs w:val="20"/>
              </w:rPr>
            </w:pPr>
            <w:r>
              <w:rPr>
                <w:rFonts w:ascii="Arial Narrow" w:hAnsi="Arial Narrow"/>
                <w:noProof/>
                <w:color w:val="FF0000"/>
                <w:sz w:val="18"/>
                <w:lang w:eastAsia="lv-LV"/>
              </w:rPr>
              <w:drawing>
                <wp:inline distT="0" distB="0" distL="0" distR="0" wp14:anchorId="2416F9D9" wp14:editId="3230D1DC">
                  <wp:extent cx="2880000" cy="2160000"/>
                  <wp:effectExtent l="0" t="0" r="0" b="0"/>
                  <wp:docPr id="234" name="Chart 2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460E7A0D" w14:textId="402E1306" w:rsidR="00237CF4" w:rsidRPr="00237CF4" w:rsidRDefault="00237CF4" w:rsidP="00237CF4">
      <w:pPr>
        <w:ind w:firstLine="284"/>
        <w:jc w:val="both"/>
        <w:rPr>
          <w:rFonts w:eastAsia="Times New Roman" w:cs="Times New Roman"/>
          <w:sz w:val="24"/>
          <w:szCs w:val="21"/>
        </w:rPr>
      </w:pPr>
      <w:r w:rsidRPr="00237CF4">
        <w:rPr>
          <w:rFonts w:eastAsia="Times New Roman" w:cs="Times New Roman"/>
          <w:sz w:val="24"/>
          <w:szCs w:val="21"/>
        </w:rPr>
        <w:t xml:space="preserve">Saskaņā ar Latvijas starptautisko investīciju bilanci 2015. gada beigās uzkrātās ĀTI Latvijas ekonomikā sasniedza 13,4 miljardus </w:t>
      </w:r>
      <w:r w:rsidR="00835279" w:rsidRPr="00835279">
        <w:rPr>
          <w:rFonts w:eastAsia="Times New Roman" w:cs="Times New Roman"/>
          <w:i/>
          <w:sz w:val="24"/>
          <w:szCs w:val="21"/>
        </w:rPr>
        <w:t>euro</w:t>
      </w:r>
      <w:r w:rsidRPr="00237CF4">
        <w:rPr>
          <w:rFonts w:eastAsia="Times New Roman" w:cs="Times New Roman"/>
          <w:sz w:val="24"/>
          <w:szCs w:val="21"/>
        </w:rPr>
        <w:t xml:space="preserve"> (54,8% līmenī no IKP), un to daļa uzkrātā ārvalstu kapitāla struktūrā veidoja aptuveni 30%. Salīdzinot ar 2012.gada beigām, uzkrāto ĀTI līmenis pieauga par 30,3%, ko ietekmēja Kipras, Krievijas, Nīderlandes, Norvēģijas, Luksemburgas un Lielbritānijas uzņēmēju uzkrāto tiešo investīciju apjoma palielināšanās. Nozaru struktūrā lielāks uzkrāto ĀTI īpatsvars ir ieguldījumiem banku starpniecībā, darījumos ar nekustamo īpašumu un apstrādes rūpniecībā.</w:t>
      </w:r>
    </w:p>
    <w:p w14:paraId="346D126D" w14:textId="77777777" w:rsidR="00237CF4" w:rsidRDefault="00237CF4" w:rsidP="00237CF4">
      <w:pPr>
        <w:ind w:firstLine="284"/>
        <w:jc w:val="both"/>
        <w:rPr>
          <w:rFonts w:eastAsia="Times New Roman" w:cs="Times New Roman"/>
          <w:sz w:val="24"/>
          <w:szCs w:val="21"/>
        </w:rPr>
      </w:pPr>
      <w:r w:rsidRPr="00237CF4">
        <w:rPr>
          <w:rFonts w:eastAsia="Times New Roman" w:cs="Times New Roman"/>
          <w:sz w:val="24"/>
          <w:szCs w:val="21"/>
        </w:rPr>
        <w:t>Kopumā Latvijā uzkrāto ĀTI ģeopolitiskā struktūra nav būtiski mainījusies. Lielākoties tās ir ES valstu investīcijas. 2015. gada septembra beigās ES valstu ĀTI veidoja 67% no uzkrātajām ĀTI, un no tām gandrīz 60% bija eirozonas valstu investīcijas.</w:t>
      </w:r>
    </w:p>
    <w:tbl>
      <w:tblPr>
        <w:tblStyle w:val="TableGrid11"/>
        <w:tblW w:w="51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016"/>
        <w:gridCol w:w="5154"/>
      </w:tblGrid>
      <w:tr w:rsidR="00237CF4" w:rsidRPr="006F3283" w14:paraId="76949390" w14:textId="77777777" w:rsidTr="0064037A">
        <w:trPr>
          <w:trHeight w:val="167"/>
        </w:trPr>
        <w:tc>
          <w:tcPr>
            <w:tcW w:w="2466" w:type="pct"/>
            <w:hideMark/>
          </w:tcPr>
          <w:p w14:paraId="5768A0EF" w14:textId="0FBD311C" w:rsidR="00237CF4" w:rsidRPr="00FC5BEB" w:rsidRDefault="00237CF4" w:rsidP="00835279">
            <w:pPr>
              <w:spacing w:after="40"/>
              <w:jc w:val="center"/>
              <w:rPr>
                <w:rFonts w:eastAsia="Times New Roman" w:cs="Times New Roman"/>
                <w:bCs/>
                <w:sz w:val="20"/>
                <w:szCs w:val="20"/>
              </w:rPr>
            </w:pPr>
            <w:r w:rsidRPr="00FC5BEB">
              <w:rPr>
                <w:rFonts w:eastAsia="Times New Roman" w:cs="Times New Roman"/>
                <w:b/>
                <w:bCs/>
                <w:sz w:val="20"/>
                <w:szCs w:val="20"/>
              </w:rPr>
              <w:t>Pa valstu grupām</w:t>
            </w:r>
            <w:r w:rsidRPr="00FC5BEB">
              <w:rPr>
                <w:rFonts w:eastAsia="Times New Roman" w:cs="Times New Roman"/>
                <w:b/>
                <w:bCs/>
                <w:sz w:val="20"/>
                <w:szCs w:val="20"/>
              </w:rPr>
              <w:br/>
            </w:r>
            <w:r w:rsidRPr="00FC5BEB">
              <w:rPr>
                <w:rFonts w:eastAsia="Times New Roman" w:cs="Times New Roman"/>
                <w:bCs/>
                <w:sz w:val="20"/>
                <w:szCs w:val="20"/>
              </w:rPr>
              <w:t xml:space="preserve">(milj. </w:t>
            </w:r>
            <w:r w:rsidR="00835279" w:rsidRPr="00835279">
              <w:rPr>
                <w:rFonts w:eastAsia="Times New Roman" w:cs="Times New Roman"/>
                <w:bCs/>
                <w:i/>
                <w:sz w:val="20"/>
                <w:szCs w:val="20"/>
              </w:rPr>
              <w:t>euro</w:t>
            </w:r>
            <w:r w:rsidRPr="00FC5BEB">
              <w:rPr>
                <w:rFonts w:eastAsia="Times New Roman" w:cs="Times New Roman"/>
                <w:bCs/>
                <w:sz w:val="20"/>
                <w:szCs w:val="20"/>
              </w:rPr>
              <w:t>, perioda beigās)</w:t>
            </w:r>
          </w:p>
        </w:tc>
        <w:tc>
          <w:tcPr>
            <w:tcW w:w="2534" w:type="pct"/>
            <w:hideMark/>
          </w:tcPr>
          <w:p w14:paraId="63F2D9A6" w14:textId="77777777" w:rsidR="00237CF4" w:rsidRPr="00FC5BEB" w:rsidRDefault="00237CF4" w:rsidP="0081417B">
            <w:pPr>
              <w:spacing w:after="40"/>
              <w:jc w:val="center"/>
              <w:rPr>
                <w:rFonts w:eastAsia="Times New Roman" w:cs="Times New Roman"/>
                <w:bCs/>
                <w:sz w:val="20"/>
                <w:szCs w:val="20"/>
              </w:rPr>
            </w:pPr>
            <w:r w:rsidRPr="00FC5BEB">
              <w:rPr>
                <w:rFonts w:eastAsia="Times New Roman" w:cs="Times New Roman"/>
                <w:b/>
                <w:bCs/>
                <w:sz w:val="20"/>
                <w:szCs w:val="20"/>
              </w:rPr>
              <w:t>ES valstu ĀTI</w:t>
            </w:r>
            <w:r w:rsidRPr="00FC5BEB">
              <w:rPr>
                <w:rFonts w:eastAsia="Times New Roman" w:cs="Times New Roman"/>
                <w:b/>
                <w:bCs/>
                <w:sz w:val="20"/>
                <w:szCs w:val="20"/>
              </w:rPr>
              <w:br/>
            </w:r>
            <w:r w:rsidRPr="00FC5BEB">
              <w:rPr>
                <w:rFonts w:eastAsia="Times New Roman" w:cs="Times New Roman"/>
                <w:bCs/>
                <w:sz w:val="20"/>
                <w:szCs w:val="20"/>
              </w:rPr>
              <w:t>(procentos, 2015. gada beigās)</w:t>
            </w:r>
          </w:p>
        </w:tc>
      </w:tr>
      <w:tr w:rsidR="00237CF4" w14:paraId="0DFCA98D" w14:textId="77777777" w:rsidTr="0064037A">
        <w:trPr>
          <w:trHeight w:val="2400"/>
        </w:trPr>
        <w:tc>
          <w:tcPr>
            <w:tcW w:w="5000" w:type="pct"/>
            <w:gridSpan w:val="2"/>
            <w:hideMark/>
          </w:tcPr>
          <w:p w14:paraId="3CEDE87C" w14:textId="77777777" w:rsidR="00237CF4" w:rsidRDefault="00237CF4" w:rsidP="0081417B">
            <w:pPr>
              <w:spacing w:after="40"/>
              <w:ind w:left="-97"/>
              <w:jc w:val="center"/>
              <w:rPr>
                <w:rFonts w:ascii="Arial Narrow" w:eastAsia="Times New Roman" w:hAnsi="Arial Narrow" w:cs="Times New Roman"/>
                <w:color w:val="FF0000"/>
                <w:sz w:val="16"/>
                <w:szCs w:val="16"/>
              </w:rPr>
            </w:pPr>
            <w:r>
              <w:rPr>
                <w:rFonts w:ascii="Arial Narrow" w:eastAsia="Times New Roman" w:hAnsi="Arial Narrow" w:cs="Segoe UI"/>
                <w:noProof/>
                <w:color w:val="FF0000"/>
                <w:sz w:val="16"/>
                <w:szCs w:val="16"/>
                <w:lang w:eastAsia="lv-LV"/>
              </w:rPr>
              <w:drawing>
                <wp:inline distT="0" distB="0" distL="0" distR="0" wp14:anchorId="4546EF44" wp14:editId="1691380C">
                  <wp:extent cx="2880000" cy="2160000"/>
                  <wp:effectExtent l="0" t="0" r="0" b="0"/>
                  <wp:docPr id="233" name="Chart 2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Narrow" w:eastAsia="Times New Roman" w:hAnsi="Arial Narrow" w:cs="Times New Roman"/>
                <w:color w:val="FF0000"/>
                <w:sz w:val="16"/>
                <w:szCs w:val="16"/>
              </w:rPr>
              <w:t xml:space="preserve"> </w:t>
            </w:r>
            <w:r>
              <w:rPr>
                <w:rFonts w:ascii="Arial Narrow" w:eastAsia="Times New Roman" w:hAnsi="Arial Narrow"/>
                <w:noProof/>
                <w:color w:val="FF0000"/>
                <w:sz w:val="16"/>
                <w:szCs w:val="16"/>
                <w:lang w:eastAsia="lv-LV"/>
              </w:rPr>
              <w:drawing>
                <wp:inline distT="0" distB="0" distL="0" distR="0" wp14:anchorId="71D63287" wp14:editId="5C1FEA44">
                  <wp:extent cx="3060000" cy="2160000"/>
                  <wp:effectExtent l="0" t="0" r="0" b="0"/>
                  <wp:docPr id="232" name="Chart 2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31014B28" w14:textId="77777777" w:rsidR="00237CF4" w:rsidRPr="00237CF4" w:rsidRDefault="00237CF4" w:rsidP="00237CF4">
      <w:pPr>
        <w:ind w:firstLine="284"/>
        <w:jc w:val="both"/>
        <w:rPr>
          <w:rFonts w:eastAsia="Times New Roman" w:cs="Times New Roman"/>
          <w:sz w:val="24"/>
          <w:szCs w:val="24"/>
        </w:rPr>
      </w:pPr>
      <w:r w:rsidRPr="00237CF4">
        <w:rPr>
          <w:rFonts w:eastAsia="Times New Roman" w:cs="Times New Roman"/>
          <w:sz w:val="24"/>
          <w:szCs w:val="24"/>
        </w:rPr>
        <w:t>Lielākā ieguldītājvalsts Latvijas ekonomikā ir Zviedrija. 2015. gada beigās Zviedrijas uzņēmēju investīcijas veidoja 19% no kopējām uzkrātajām ĀTI. Kopš 2012. gada beigām Zviedrijas tiešās investīcijas palielinājās Latvijas tautsaimniecībā par 4,7</w:t>
      </w:r>
      <w:r w:rsidR="00906B8A">
        <w:rPr>
          <w:rFonts w:eastAsia="Times New Roman" w:cs="Times New Roman"/>
          <w:sz w:val="24"/>
          <w:szCs w:val="24"/>
        </w:rPr>
        <w:t xml:space="preserve"> </w:t>
      </w:r>
      <w:r w:rsidRPr="00237CF4">
        <w:rPr>
          <w:rFonts w:eastAsia="Times New Roman" w:cs="Times New Roman"/>
          <w:sz w:val="24"/>
          <w:szCs w:val="24"/>
        </w:rPr>
        <w:t>procentiem. Pārsvarā tās ir investīcijas finanšu starpniecībā.</w:t>
      </w:r>
    </w:p>
    <w:p w14:paraId="19AD1B92" w14:textId="77777777" w:rsidR="00237CF4" w:rsidRPr="00237CF4" w:rsidRDefault="00237CF4" w:rsidP="00237CF4">
      <w:pPr>
        <w:ind w:firstLine="284"/>
        <w:jc w:val="both"/>
        <w:rPr>
          <w:rFonts w:eastAsia="Times New Roman" w:cs="Times New Roman"/>
          <w:sz w:val="24"/>
          <w:szCs w:val="24"/>
        </w:rPr>
      </w:pPr>
      <w:r w:rsidRPr="00237CF4">
        <w:rPr>
          <w:rFonts w:eastAsia="Times New Roman" w:cs="Times New Roman"/>
          <w:sz w:val="24"/>
          <w:szCs w:val="24"/>
        </w:rPr>
        <w:t xml:space="preserve">Lieli ir arī Nīderlandes, Kipras, Vācijas, Norvēģijas, Krievijas, Igaunijas, Lietuvas, Dānijas un Lielbritānijas uzņēmēju ieguldījumi. Šo valstu investīciju apjomi 2015. gada beigās veidoja 70% no </w:t>
      </w:r>
      <w:r w:rsidRPr="00237CF4">
        <w:rPr>
          <w:rFonts w:eastAsia="Times New Roman" w:cs="Times New Roman"/>
          <w:sz w:val="24"/>
          <w:szCs w:val="24"/>
        </w:rPr>
        <w:lastRenderedPageBreak/>
        <w:t>kopējām uzkrātām ĀTI Latvijas ekonomikā. Jāatzīmē, ka pēdējos gados palielinās Āzijas reģiona investoru aktivitātes Latvijā.</w:t>
      </w:r>
    </w:p>
    <w:p w14:paraId="210761F2" w14:textId="77777777" w:rsidR="00237CF4" w:rsidRPr="00237CF4" w:rsidRDefault="00237CF4" w:rsidP="00237CF4">
      <w:pPr>
        <w:ind w:firstLine="284"/>
        <w:jc w:val="both"/>
        <w:rPr>
          <w:rFonts w:eastAsia="Times New Roman" w:cs="Times New Roman"/>
          <w:sz w:val="24"/>
          <w:szCs w:val="24"/>
        </w:rPr>
      </w:pPr>
      <w:r w:rsidRPr="00237CF4">
        <w:rPr>
          <w:rFonts w:eastAsia="Times New Roman" w:cs="Times New Roman"/>
          <w:sz w:val="24"/>
          <w:szCs w:val="24"/>
        </w:rPr>
        <w:t>Lielākā daļa ĀTI piesaistīta pakalpojumu nozarēs. Straujās izaugsmes gados ienākošo ĀTI plūsmu struktūrā izteikti dominēja ieguldījumi finanšu starpniecības nozarē. ĀTI pakalpojumu sfērā vidēji gadā bija gandrīz četras reizes lielākā apjomā nekā ražošanas sfērā. Kopš 2010. gada ienākošo ĀTI plūsmu struktūra Latvijā ir kļuvusi vienmērīgāka, bez izteiktas finanšu sektora dominances. Uzkrātās ĀTI pakalpojumu sfērā 2015. gada beigās veidoja 76% no uzkrātām ĀTI Latvijas tautsaimniecībā. Salīdzinot ar 2012. gada beigām, tās pieauga par 32%. Gandrīz pusi no uzkrātām ĀTI pakalpojumu sfērā veidoja finanšu starpniecības un nekustamo īpašumu nozares.</w:t>
      </w:r>
    </w:p>
    <w:p w14:paraId="33453358" w14:textId="77777777" w:rsidR="00237CF4" w:rsidRPr="00237CF4" w:rsidRDefault="00237CF4" w:rsidP="00237CF4">
      <w:pPr>
        <w:ind w:firstLine="284"/>
        <w:jc w:val="both"/>
        <w:rPr>
          <w:rFonts w:eastAsia="Times New Roman" w:cs="Times New Roman"/>
          <w:sz w:val="24"/>
          <w:szCs w:val="24"/>
        </w:rPr>
      </w:pPr>
      <w:r w:rsidRPr="00237CF4">
        <w:rPr>
          <w:rFonts w:eastAsia="Times New Roman" w:cs="Times New Roman"/>
          <w:sz w:val="24"/>
          <w:szCs w:val="24"/>
        </w:rPr>
        <w:t>Uzkrātās ĀTI preču ražošanas nozarēs 2015. gada beigās veidoja 24% no kopējām uzkrātām ĀTI Latvijas tautsaimniecībā. Salīdzinot ar 2012. gada beigām, tās pieauga par 32%, tai skaitā apstrādes rūpniecībā – par 28,2 procentiem. Bet laika periodā no 2007. gada beigām līdz 2015. gada beigām uzkrāto ĀTI apjoms apstrādes rūpniecības nozarē palielinājās vairāk nekā divas reizes, ko būtiski ietekmēja nozīmīgi ieguldījumi būvmateriālu ražošanā, kokapstrādē un pārtikas rūpniecībā.</w:t>
      </w:r>
    </w:p>
    <w:p w14:paraId="00CF73D1" w14:textId="77777777" w:rsidR="00237CF4" w:rsidRPr="00237CF4" w:rsidRDefault="00237CF4" w:rsidP="00237CF4">
      <w:pPr>
        <w:spacing w:after="120"/>
        <w:ind w:firstLine="284"/>
        <w:jc w:val="center"/>
        <w:rPr>
          <w:rFonts w:ascii="Arial Narrow" w:eastAsia="Times New Roman" w:hAnsi="Arial Narrow" w:cs="Times New Roman"/>
          <w:sz w:val="20"/>
          <w:szCs w:val="20"/>
        </w:rPr>
      </w:pPr>
      <w:r w:rsidRPr="00237CF4">
        <w:rPr>
          <w:rFonts w:ascii="Arial Narrow" w:eastAsia="Times New Roman" w:hAnsi="Arial Narrow" w:cs="Times New Roman"/>
          <w:b/>
          <w:sz w:val="20"/>
          <w:szCs w:val="20"/>
          <w:lang w:eastAsia="lv-LV"/>
        </w:rPr>
        <w:t>ĀTI sadalījumā pa nozarēm</w:t>
      </w:r>
      <w:r w:rsidR="00396665">
        <w:rPr>
          <w:rFonts w:ascii="Arial Narrow" w:eastAsia="Times New Roman" w:hAnsi="Arial Narrow" w:cs="Times New Roman"/>
          <w:b/>
          <w:sz w:val="20"/>
          <w:szCs w:val="20"/>
          <w:lang w:eastAsia="lv-LV"/>
        </w:rPr>
        <w:t xml:space="preserve">, </w:t>
      </w:r>
      <w:r w:rsidR="00396665">
        <w:rPr>
          <w:rFonts w:ascii="Arial Narrow" w:eastAsia="Times New Roman" w:hAnsi="Arial Narrow" w:cs="Times New Roman"/>
          <w:sz w:val="20"/>
          <w:szCs w:val="20"/>
        </w:rPr>
        <w:t>perioda beigās</w:t>
      </w:r>
    </w:p>
    <w:tbl>
      <w:tblPr>
        <w:tblStyle w:val="ListTable5Dark-Accent111"/>
        <w:tblW w:w="4839" w:type="pct"/>
        <w:jc w:val="center"/>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448"/>
        <w:gridCol w:w="1003"/>
        <w:gridCol w:w="1002"/>
        <w:gridCol w:w="1002"/>
        <w:gridCol w:w="1002"/>
        <w:gridCol w:w="1002"/>
        <w:gridCol w:w="1007"/>
      </w:tblGrid>
      <w:tr w:rsidR="00237CF4" w:rsidRPr="00237CF4" w14:paraId="3300790B" w14:textId="77777777" w:rsidTr="00F32433">
        <w:trPr>
          <w:cnfStyle w:val="100000000000" w:firstRow="1" w:lastRow="0" w:firstColumn="0" w:lastColumn="0" w:oddVBand="0" w:evenVBand="0" w:oddHBand="0" w:evenHBand="0" w:firstRowFirstColumn="0" w:firstRowLastColumn="0" w:lastRowFirstColumn="0" w:lastRowLastColumn="0"/>
          <w:jc w:val="center"/>
        </w:trPr>
        <w:tc>
          <w:tcPr>
            <w:tcW w:w="1822" w:type="pct"/>
            <w:shd w:val="clear" w:color="auto" w:fill="008080"/>
          </w:tcPr>
          <w:p w14:paraId="319AB8EC" w14:textId="77777777" w:rsidR="00237CF4" w:rsidRPr="00237CF4" w:rsidRDefault="00237CF4" w:rsidP="00396665">
            <w:pPr>
              <w:autoSpaceDE w:val="0"/>
              <w:autoSpaceDN w:val="0"/>
              <w:adjustRightInd w:val="0"/>
              <w:jc w:val="center"/>
              <w:rPr>
                <w:rFonts w:ascii="Arial Narrow" w:eastAsia="Times New Roman" w:hAnsi="Arial Narrow" w:cs="Times New Roman"/>
                <w:bCs w:val="0"/>
                <w:color w:val="000000"/>
                <w:sz w:val="16"/>
                <w:szCs w:val="16"/>
              </w:rPr>
            </w:pPr>
          </w:p>
        </w:tc>
        <w:tc>
          <w:tcPr>
            <w:tcW w:w="1588" w:type="pct"/>
            <w:gridSpan w:val="3"/>
            <w:shd w:val="clear" w:color="auto" w:fill="008080"/>
            <w:hideMark/>
          </w:tcPr>
          <w:p w14:paraId="17B4FEB8" w14:textId="0D12F88B" w:rsidR="00237CF4" w:rsidRPr="00237CF4" w:rsidRDefault="00237CF4" w:rsidP="00835279">
            <w:pPr>
              <w:autoSpaceDE w:val="0"/>
              <w:autoSpaceDN w:val="0"/>
              <w:adjustRightInd w:val="0"/>
              <w:ind w:left="-57" w:right="-57"/>
              <w:jc w:val="center"/>
              <w:rPr>
                <w:rFonts w:ascii="Arial Narrow" w:eastAsia="Times New Roman" w:hAnsi="Arial Narrow" w:cs="Times New Roman"/>
                <w:bCs w:val="0"/>
                <w:sz w:val="16"/>
                <w:szCs w:val="16"/>
              </w:rPr>
            </w:pPr>
            <w:r w:rsidRPr="00237CF4">
              <w:rPr>
                <w:rFonts w:ascii="Arial Narrow" w:eastAsia="Times New Roman" w:hAnsi="Arial Narrow" w:cs="Times New Roman"/>
                <w:bCs w:val="0"/>
                <w:sz w:val="16"/>
                <w:szCs w:val="16"/>
              </w:rPr>
              <w:t xml:space="preserve">Atlikumi (milj. </w:t>
            </w:r>
            <w:r w:rsidR="00835279" w:rsidRPr="00835279">
              <w:rPr>
                <w:rFonts w:ascii="Arial Narrow" w:eastAsia="Times New Roman" w:hAnsi="Arial Narrow" w:cs="Times New Roman"/>
                <w:bCs w:val="0"/>
                <w:i/>
                <w:sz w:val="16"/>
                <w:szCs w:val="16"/>
              </w:rPr>
              <w:t>euro</w:t>
            </w:r>
            <w:r w:rsidRPr="00237CF4">
              <w:rPr>
                <w:rFonts w:ascii="Arial Narrow" w:eastAsia="Times New Roman" w:hAnsi="Arial Narrow" w:cs="Times New Roman"/>
                <w:bCs w:val="0"/>
                <w:sz w:val="16"/>
                <w:szCs w:val="16"/>
              </w:rPr>
              <w:t>)</w:t>
            </w:r>
          </w:p>
        </w:tc>
        <w:tc>
          <w:tcPr>
            <w:tcW w:w="1590" w:type="pct"/>
            <w:gridSpan w:val="3"/>
            <w:shd w:val="clear" w:color="auto" w:fill="008080"/>
            <w:hideMark/>
          </w:tcPr>
          <w:p w14:paraId="159C94AD" w14:textId="77777777" w:rsidR="00237CF4" w:rsidRPr="00237CF4" w:rsidRDefault="00237CF4" w:rsidP="00396665">
            <w:pPr>
              <w:autoSpaceDE w:val="0"/>
              <w:autoSpaceDN w:val="0"/>
              <w:adjustRightInd w:val="0"/>
              <w:ind w:left="-57" w:right="-57"/>
              <w:jc w:val="center"/>
              <w:rPr>
                <w:rFonts w:ascii="Arial Narrow" w:eastAsia="Times New Roman" w:hAnsi="Arial Narrow" w:cs="Times New Roman"/>
                <w:bCs w:val="0"/>
                <w:sz w:val="16"/>
                <w:szCs w:val="16"/>
              </w:rPr>
            </w:pPr>
            <w:r w:rsidRPr="00237CF4">
              <w:rPr>
                <w:rFonts w:ascii="Arial Narrow" w:eastAsia="Times New Roman" w:hAnsi="Arial Narrow" w:cs="Times New Roman"/>
                <w:bCs w:val="0"/>
                <w:sz w:val="16"/>
                <w:szCs w:val="16"/>
              </w:rPr>
              <w:t>Struktūra (procentos)</w:t>
            </w:r>
          </w:p>
        </w:tc>
      </w:tr>
      <w:tr w:rsidR="00237CF4" w:rsidRPr="00237CF4" w14:paraId="17718369" w14:textId="77777777" w:rsidTr="00F32433">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008080"/>
          </w:tcPr>
          <w:p w14:paraId="34306211" w14:textId="77777777" w:rsidR="00237CF4" w:rsidRPr="00237CF4" w:rsidRDefault="00237CF4" w:rsidP="00396665">
            <w:pPr>
              <w:autoSpaceDE w:val="0"/>
              <w:autoSpaceDN w:val="0"/>
              <w:adjustRightInd w:val="0"/>
              <w:jc w:val="center"/>
              <w:rPr>
                <w:rFonts w:ascii="Arial Narrow" w:eastAsia="Times New Roman" w:hAnsi="Arial Narrow" w:cs="Times New Roman"/>
                <w:b/>
                <w:bCs/>
                <w:color w:val="000000"/>
                <w:sz w:val="16"/>
                <w:szCs w:val="16"/>
              </w:rPr>
            </w:pPr>
          </w:p>
        </w:tc>
        <w:tc>
          <w:tcPr>
            <w:tcW w:w="530" w:type="pct"/>
            <w:shd w:val="clear" w:color="auto" w:fill="008080"/>
            <w:hideMark/>
          </w:tcPr>
          <w:p w14:paraId="3F2EF7CF" w14:textId="77777777" w:rsidR="00237CF4" w:rsidRPr="00237CF4" w:rsidRDefault="00237CF4" w:rsidP="00396665">
            <w:pPr>
              <w:autoSpaceDE w:val="0"/>
              <w:autoSpaceDN w:val="0"/>
              <w:adjustRightInd w:val="0"/>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2010</w:t>
            </w:r>
          </w:p>
        </w:tc>
        <w:tc>
          <w:tcPr>
            <w:tcW w:w="529" w:type="pct"/>
            <w:shd w:val="clear" w:color="auto" w:fill="008080"/>
            <w:hideMark/>
          </w:tcPr>
          <w:p w14:paraId="07E5A94A" w14:textId="77777777" w:rsidR="00237CF4" w:rsidRPr="00237CF4" w:rsidRDefault="00237CF4" w:rsidP="00396665">
            <w:pPr>
              <w:autoSpaceDE w:val="0"/>
              <w:autoSpaceDN w:val="0"/>
              <w:adjustRightInd w:val="0"/>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2012</w:t>
            </w:r>
          </w:p>
        </w:tc>
        <w:tc>
          <w:tcPr>
            <w:tcW w:w="529" w:type="pct"/>
            <w:shd w:val="clear" w:color="auto" w:fill="008080"/>
            <w:hideMark/>
          </w:tcPr>
          <w:p w14:paraId="109C3907" w14:textId="77777777" w:rsidR="00237CF4" w:rsidRPr="00237CF4" w:rsidRDefault="00237CF4" w:rsidP="00396665">
            <w:pPr>
              <w:autoSpaceDE w:val="0"/>
              <w:autoSpaceDN w:val="0"/>
              <w:adjustRightInd w:val="0"/>
              <w:ind w:right="-57"/>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2015</w:t>
            </w:r>
          </w:p>
        </w:tc>
        <w:tc>
          <w:tcPr>
            <w:tcW w:w="529" w:type="pct"/>
            <w:shd w:val="clear" w:color="auto" w:fill="008080"/>
            <w:hideMark/>
          </w:tcPr>
          <w:p w14:paraId="54447D69" w14:textId="77777777" w:rsidR="00237CF4" w:rsidRPr="00237CF4" w:rsidRDefault="00237CF4" w:rsidP="00396665">
            <w:pPr>
              <w:autoSpaceDE w:val="0"/>
              <w:autoSpaceDN w:val="0"/>
              <w:adjustRightInd w:val="0"/>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2010</w:t>
            </w:r>
          </w:p>
        </w:tc>
        <w:tc>
          <w:tcPr>
            <w:tcW w:w="529" w:type="pct"/>
            <w:shd w:val="clear" w:color="auto" w:fill="008080"/>
            <w:hideMark/>
          </w:tcPr>
          <w:p w14:paraId="628C0401" w14:textId="77777777" w:rsidR="00237CF4" w:rsidRPr="00237CF4" w:rsidRDefault="00237CF4" w:rsidP="00396665">
            <w:pPr>
              <w:autoSpaceDE w:val="0"/>
              <w:autoSpaceDN w:val="0"/>
              <w:adjustRightInd w:val="0"/>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2012</w:t>
            </w:r>
          </w:p>
        </w:tc>
        <w:tc>
          <w:tcPr>
            <w:tcW w:w="532" w:type="pct"/>
            <w:shd w:val="clear" w:color="auto" w:fill="008080"/>
            <w:hideMark/>
          </w:tcPr>
          <w:p w14:paraId="3082728E" w14:textId="77777777" w:rsidR="00237CF4" w:rsidRPr="00237CF4" w:rsidRDefault="00237CF4" w:rsidP="00396665">
            <w:pPr>
              <w:autoSpaceDE w:val="0"/>
              <w:autoSpaceDN w:val="0"/>
              <w:adjustRightInd w:val="0"/>
              <w:ind w:left="-57" w:right="-57"/>
              <w:jc w:val="center"/>
              <w:rPr>
                <w:rFonts w:ascii="Arial Narrow" w:eastAsia="Times New Roman" w:hAnsi="Arial Narrow" w:cs="Times New Roman"/>
                <w:b/>
                <w:bCs/>
                <w:sz w:val="16"/>
                <w:szCs w:val="16"/>
              </w:rPr>
            </w:pPr>
            <w:r w:rsidRPr="00237CF4">
              <w:rPr>
                <w:rFonts w:ascii="Arial Narrow" w:eastAsia="Times New Roman" w:hAnsi="Arial Narrow" w:cs="Times New Roman"/>
                <w:b/>
                <w:bCs/>
                <w:sz w:val="16"/>
                <w:szCs w:val="16"/>
              </w:rPr>
              <w:t>2015</w:t>
            </w:r>
          </w:p>
        </w:tc>
      </w:tr>
      <w:tr w:rsidR="00237CF4" w:rsidRPr="00237CF4" w14:paraId="07F4E56D" w14:textId="77777777" w:rsidTr="00237CF4">
        <w:trPr>
          <w:jc w:val="center"/>
        </w:trPr>
        <w:tc>
          <w:tcPr>
            <w:tcW w:w="1822" w:type="pct"/>
            <w:shd w:val="clear" w:color="auto" w:fill="F2F2F2"/>
            <w:hideMark/>
          </w:tcPr>
          <w:p w14:paraId="78CB141B"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Lauksaimniecība</w:t>
            </w:r>
          </w:p>
        </w:tc>
        <w:tc>
          <w:tcPr>
            <w:tcW w:w="530" w:type="pct"/>
            <w:shd w:val="clear" w:color="auto" w:fill="F2F2F2"/>
            <w:hideMark/>
          </w:tcPr>
          <w:p w14:paraId="21CF3C28"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214,6</w:t>
            </w:r>
          </w:p>
        </w:tc>
        <w:tc>
          <w:tcPr>
            <w:tcW w:w="529" w:type="pct"/>
            <w:shd w:val="clear" w:color="auto" w:fill="F2F2F2"/>
            <w:hideMark/>
          </w:tcPr>
          <w:p w14:paraId="2643972F"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294,4</w:t>
            </w:r>
          </w:p>
        </w:tc>
        <w:tc>
          <w:tcPr>
            <w:tcW w:w="529" w:type="pct"/>
            <w:shd w:val="clear" w:color="auto" w:fill="F2F2F2"/>
            <w:hideMark/>
          </w:tcPr>
          <w:p w14:paraId="0A0BB8F3"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477,6</w:t>
            </w:r>
          </w:p>
        </w:tc>
        <w:tc>
          <w:tcPr>
            <w:tcW w:w="529" w:type="pct"/>
            <w:shd w:val="clear" w:color="auto" w:fill="F2F2F2"/>
            <w:hideMark/>
          </w:tcPr>
          <w:p w14:paraId="7EC2F1B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2,6</w:t>
            </w:r>
          </w:p>
        </w:tc>
        <w:tc>
          <w:tcPr>
            <w:tcW w:w="529" w:type="pct"/>
            <w:shd w:val="clear" w:color="auto" w:fill="F2F2F2"/>
            <w:hideMark/>
          </w:tcPr>
          <w:p w14:paraId="17BF85C6"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2,9</w:t>
            </w:r>
          </w:p>
        </w:tc>
        <w:tc>
          <w:tcPr>
            <w:tcW w:w="532" w:type="pct"/>
            <w:shd w:val="clear" w:color="auto" w:fill="F2F2F2"/>
            <w:hideMark/>
          </w:tcPr>
          <w:p w14:paraId="297BA851"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3,6</w:t>
            </w:r>
          </w:p>
        </w:tc>
      </w:tr>
      <w:tr w:rsidR="00237CF4" w:rsidRPr="00237CF4" w14:paraId="50979484" w14:textId="77777777" w:rsidTr="00237CF4">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F2F2F2"/>
            <w:hideMark/>
          </w:tcPr>
          <w:p w14:paraId="59122A56"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Apstrādes rūpniecība</w:t>
            </w:r>
          </w:p>
        </w:tc>
        <w:tc>
          <w:tcPr>
            <w:tcW w:w="530" w:type="pct"/>
            <w:shd w:val="clear" w:color="auto" w:fill="F2F2F2"/>
            <w:hideMark/>
          </w:tcPr>
          <w:p w14:paraId="28EF17BC"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1017,0</w:t>
            </w:r>
          </w:p>
        </w:tc>
        <w:tc>
          <w:tcPr>
            <w:tcW w:w="529" w:type="pct"/>
            <w:shd w:val="clear" w:color="auto" w:fill="F2F2F2"/>
            <w:hideMark/>
          </w:tcPr>
          <w:p w14:paraId="776E4FC0"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1200,3</w:t>
            </w:r>
          </w:p>
        </w:tc>
        <w:tc>
          <w:tcPr>
            <w:tcW w:w="529" w:type="pct"/>
            <w:shd w:val="clear" w:color="auto" w:fill="F2F2F2"/>
            <w:hideMark/>
          </w:tcPr>
          <w:p w14:paraId="5DF66B6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1539,3</w:t>
            </w:r>
          </w:p>
        </w:tc>
        <w:tc>
          <w:tcPr>
            <w:tcW w:w="529" w:type="pct"/>
            <w:shd w:val="clear" w:color="auto" w:fill="F2F2F2"/>
            <w:hideMark/>
          </w:tcPr>
          <w:p w14:paraId="5182B1DF"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12,4</w:t>
            </w:r>
          </w:p>
        </w:tc>
        <w:tc>
          <w:tcPr>
            <w:tcW w:w="529" w:type="pct"/>
            <w:shd w:val="clear" w:color="auto" w:fill="F2F2F2"/>
            <w:hideMark/>
          </w:tcPr>
          <w:p w14:paraId="1DEE89FC"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11,7</w:t>
            </w:r>
          </w:p>
        </w:tc>
        <w:tc>
          <w:tcPr>
            <w:tcW w:w="532" w:type="pct"/>
            <w:shd w:val="clear" w:color="auto" w:fill="F2F2F2"/>
            <w:hideMark/>
          </w:tcPr>
          <w:p w14:paraId="63305772"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11,5</w:t>
            </w:r>
          </w:p>
        </w:tc>
      </w:tr>
      <w:tr w:rsidR="00237CF4" w:rsidRPr="00237CF4" w14:paraId="79F340D8" w14:textId="77777777" w:rsidTr="00237CF4">
        <w:trPr>
          <w:jc w:val="center"/>
        </w:trPr>
        <w:tc>
          <w:tcPr>
            <w:tcW w:w="1822" w:type="pct"/>
            <w:shd w:val="clear" w:color="auto" w:fill="F2F2F2"/>
            <w:hideMark/>
          </w:tcPr>
          <w:p w14:paraId="62297F91"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Pārējā rūpniecība</w:t>
            </w:r>
          </w:p>
        </w:tc>
        <w:tc>
          <w:tcPr>
            <w:tcW w:w="530" w:type="pct"/>
            <w:shd w:val="clear" w:color="auto" w:fill="F2F2F2"/>
            <w:hideMark/>
          </w:tcPr>
          <w:p w14:paraId="6D0FC1ED"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385,9</w:t>
            </w:r>
          </w:p>
        </w:tc>
        <w:tc>
          <w:tcPr>
            <w:tcW w:w="529" w:type="pct"/>
            <w:shd w:val="clear" w:color="auto" w:fill="F2F2F2"/>
            <w:hideMark/>
          </w:tcPr>
          <w:p w14:paraId="108FA2A7"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492,2</w:t>
            </w:r>
          </w:p>
        </w:tc>
        <w:tc>
          <w:tcPr>
            <w:tcW w:w="529" w:type="pct"/>
            <w:shd w:val="clear" w:color="auto" w:fill="F2F2F2"/>
            <w:hideMark/>
          </w:tcPr>
          <w:p w14:paraId="715F966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588,0</w:t>
            </w:r>
          </w:p>
        </w:tc>
        <w:tc>
          <w:tcPr>
            <w:tcW w:w="529" w:type="pct"/>
            <w:shd w:val="clear" w:color="auto" w:fill="F2F2F2"/>
            <w:hideMark/>
          </w:tcPr>
          <w:p w14:paraId="7B195D3B"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4,7</w:t>
            </w:r>
          </w:p>
        </w:tc>
        <w:tc>
          <w:tcPr>
            <w:tcW w:w="529" w:type="pct"/>
            <w:shd w:val="clear" w:color="auto" w:fill="F2F2F2"/>
            <w:hideMark/>
          </w:tcPr>
          <w:p w14:paraId="171A97A6"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4,8</w:t>
            </w:r>
          </w:p>
        </w:tc>
        <w:tc>
          <w:tcPr>
            <w:tcW w:w="532" w:type="pct"/>
            <w:shd w:val="clear" w:color="auto" w:fill="F2F2F2"/>
            <w:hideMark/>
          </w:tcPr>
          <w:p w14:paraId="72386E7A"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4,4</w:t>
            </w:r>
          </w:p>
        </w:tc>
      </w:tr>
      <w:tr w:rsidR="00237CF4" w:rsidRPr="00237CF4" w14:paraId="57D01494" w14:textId="77777777" w:rsidTr="00237CF4">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F2F2F2"/>
            <w:hideMark/>
          </w:tcPr>
          <w:p w14:paraId="040B887F"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Būvniecība</w:t>
            </w:r>
          </w:p>
        </w:tc>
        <w:tc>
          <w:tcPr>
            <w:tcW w:w="530" w:type="pct"/>
            <w:shd w:val="clear" w:color="auto" w:fill="F2F2F2"/>
            <w:hideMark/>
          </w:tcPr>
          <w:p w14:paraId="49802483"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540,7</w:t>
            </w:r>
          </w:p>
        </w:tc>
        <w:tc>
          <w:tcPr>
            <w:tcW w:w="529" w:type="pct"/>
            <w:shd w:val="clear" w:color="auto" w:fill="F2F2F2"/>
            <w:hideMark/>
          </w:tcPr>
          <w:p w14:paraId="54058E27"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528,1</w:t>
            </w:r>
          </w:p>
        </w:tc>
        <w:tc>
          <w:tcPr>
            <w:tcW w:w="529" w:type="pct"/>
            <w:shd w:val="clear" w:color="auto" w:fill="F2F2F2"/>
            <w:hideMark/>
          </w:tcPr>
          <w:p w14:paraId="742B62D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536,3</w:t>
            </w:r>
          </w:p>
        </w:tc>
        <w:tc>
          <w:tcPr>
            <w:tcW w:w="529" w:type="pct"/>
            <w:shd w:val="clear" w:color="auto" w:fill="F2F2F2"/>
            <w:hideMark/>
          </w:tcPr>
          <w:p w14:paraId="3F7B581A"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6,6</w:t>
            </w:r>
          </w:p>
        </w:tc>
        <w:tc>
          <w:tcPr>
            <w:tcW w:w="529" w:type="pct"/>
            <w:shd w:val="clear" w:color="auto" w:fill="F2F2F2"/>
            <w:hideMark/>
          </w:tcPr>
          <w:p w14:paraId="79EFA54C"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5,1</w:t>
            </w:r>
          </w:p>
        </w:tc>
        <w:tc>
          <w:tcPr>
            <w:tcW w:w="532" w:type="pct"/>
            <w:shd w:val="clear" w:color="auto" w:fill="F2F2F2"/>
            <w:hideMark/>
          </w:tcPr>
          <w:p w14:paraId="79A55C3A"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4,0</w:t>
            </w:r>
          </w:p>
        </w:tc>
      </w:tr>
      <w:tr w:rsidR="00237CF4" w:rsidRPr="00237CF4" w14:paraId="173433B7" w14:textId="77777777" w:rsidTr="00237CF4">
        <w:trPr>
          <w:jc w:val="center"/>
        </w:trPr>
        <w:tc>
          <w:tcPr>
            <w:tcW w:w="1822" w:type="pct"/>
            <w:shd w:val="clear" w:color="auto" w:fill="F2F2F2"/>
            <w:hideMark/>
          </w:tcPr>
          <w:p w14:paraId="64B2672D"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Tirdzniecība un izmitināšana</w:t>
            </w:r>
          </w:p>
        </w:tc>
        <w:tc>
          <w:tcPr>
            <w:tcW w:w="530" w:type="pct"/>
            <w:shd w:val="clear" w:color="auto" w:fill="F2F2F2"/>
            <w:hideMark/>
          </w:tcPr>
          <w:p w14:paraId="2B2D1B6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1046,3</w:t>
            </w:r>
          </w:p>
        </w:tc>
        <w:tc>
          <w:tcPr>
            <w:tcW w:w="529" w:type="pct"/>
            <w:shd w:val="clear" w:color="auto" w:fill="F2F2F2"/>
            <w:hideMark/>
          </w:tcPr>
          <w:p w14:paraId="7C809055"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1416,1</w:t>
            </w:r>
          </w:p>
        </w:tc>
        <w:tc>
          <w:tcPr>
            <w:tcW w:w="529" w:type="pct"/>
            <w:shd w:val="clear" w:color="auto" w:fill="F2F2F2"/>
            <w:hideMark/>
          </w:tcPr>
          <w:p w14:paraId="6B2E183E"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1372,8</w:t>
            </w:r>
          </w:p>
        </w:tc>
        <w:tc>
          <w:tcPr>
            <w:tcW w:w="529" w:type="pct"/>
            <w:shd w:val="clear" w:color="auto" w:fill="F2F2F2"/>
            <w:hideMark/>
          </w:tcPr>
          <w:p w14:paraId="6264FD08"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12,8</w:t>
            </w:r>
          </w:p>
        </w:tc>
        <w:tc>
          <w:tcPr>
            <w:tcW w:w="529" w:type="pct"/>
            <w:shd w:val="clear" w:color="auto" w:fill="F2F2F2"/>
            <w:hideMark/>
          </w:tcPr>
          <w:p w14:paraId="574BF525"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13,8</w:t>
            </w:r>
          </w:p>
        </w:tc>
        <w:tc>
          <w:tcPr>
            <w:tcW w:w="532" w:type="pct"/>
            <w:shd w:val="clear" w:color="auto" w:fill="F2F2F2"/>
            <w:hideMark/>
          </w:tcPr>
          <w:p w14:paraId="18087319"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10,3</w:t>
            </w:r>
          </w:p>
        </w:tc>
      </w:tr>
      <w:tr w:rsidR="00237CF4" w:rsidRPr="00237CF4" w14:paraId="7DDC9B20" w14:textId="77777777" w:rsidTr="00237CF4">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F2F2F2"/>
            <w:hideMark/>
          </w:tcPr>
          <w:p w14:paraId="48B0BEB5"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Transports un uzglabāšana</w:t>
            </w:r>
          </w:p>
        </w:tc>
        <w:tc>
          <w:tcPr>
            <w:tcW w:w="530" w:type="pct"/>
            <w:shd w:val="clear" w:color="auto" w:fill="F2F2F2"/>
            <w:hideMark/>
          </w:tcPr>
          <w:p w14:paraId="3F910DAE"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346,0</w:t>
            </w:r>
          </w:p>
        </w:tc>
        <w:tc>
          <w:tcPr>
            <w:tcW w:w="529" w:type="pct"/>
            <w:shd w:val="clear" w:color="auto" w:fill="F2F2F2"/>
            <w:hideMark/>
          </w:tcPr>
          <w:p w14:paraId="3AC6A39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449,0</w:t>
            </w:r>
          </w:p>
        </w:tc>
        <w:tc>
          <w:tcPr>
            <w:tcW w:w="529" w:type="pct"/>
            <w:shd w:val="clear" w:color="auto" w:fill="F2F2F2"/>
            <w:hideMark/>
          </w:tcPr>
          <w:p w14:paraId="717E36A9"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458,8</w:t>
            </w:r>
          </w:p>
        </w:tc>
        <w:tc>
          <w:tcPr>
            <w:tcW w:w="529" w:type="pct"/>
            <w:shd w:val="clear" w:color="auto" w:fill="F2F2F2"/>
            <w:hideMark/>
          </w:tcPr>
          <w:p w14:paraId="1203DFB1"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4,2</w:t>
            </w:r>
          </w:p>
        </w:tc>
        <w:tc>
          <w:tcPr>
            <w:tcW w:w="529" w:type="pct"/>
            <w:shd w:val="clear" w:color="auto" w:fill="F2F2F2"/>
            <w:hideMark/>
          </w:tcPr>
          <w:p w14:paraId="39A94B2A"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4,4</w:t>
            </w:r>
          </w:p>
        </w:tc>
        <w:tc>
          <w:tcPr>
            <w:tcW w:w="532" w:type="pct"/>
            <w:shd w:val="clear" w:color="auto" w:fill="F2F2F2"/>
            <w:hideMark/>
          </w:tcPr>
          <w:p w14:paraId="2EB55723"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3,4</w:t>
            </w:r>
          </w:p>
        </w:tc>
      </w:tr>
      <w:tr w:rsidR="00237CF4" w:rsidRPr="00237CF4" w14:paraId="6568DEC9" w14:textId="77777777" w:rsidTr="00237CF4">
        <w:trPr>
          <w:jc w:val="center"/>
        </w:trPr>
        <w:tc>
          <w:tcPr>
            <w:tcW w:w="1822" w:type="pct"/>
            <w:shd w:val="clear" w:color="auto" w:fill="F2F2F2"/>
            <w:hideMark/>
          </w:tcPr>
          <w:p w14:paraId="13380A6C"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Finanšu starpniecība</w:t>
            </w:r>
          </w:p>
        </w:tc>
        <w:tc>
          <w:tcPr>
            <w:tcW w:w="530" w:type="pct"/>
            <w:shd w:val="clear" w:color="auto" w:fill="F2F2F2"/>
            <w:hideMark/>
          </w:tcPr>
          <w:p w14:paraId="67F48502"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2326,9</w:t>
            </w:r>
          </w:p>
        </w:tc>
        <w:tc>
          <w:tcPr>
            <w:tcW w:w="529" w:type="pct"/>
            <w:shd w:val="clear" w:color="auto" w:fill="F2F2F2"/>
            <w:hideMark/>
          </w:tcPr>
          <w:p w14:paraId="2A9F8B46"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2825,7</w:t>
            </w:r>
          </w:p>
        </w:tc>
        <w:tc>
          <w:tcPr>
            <w:tcW w:w="529" w:type="pct"/>
            <w:shd w:val="clear" w:color="auto" w:fill="F2F2F2"/>
            <w:hideMark/>
          </w:tcPr>
          <w:p w14:paraId="45AEC556"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3578,2</w:t>
            </w:r>
          </w:p>
        </w:tc>
        <w:tc>
          <w:tcPr>
            <w:tcW w:w="529" w:type="pct"/>
            <w:shd w:val="clear" w:color="auto" w:fill="F2F2F2"/>
            <w:hideMark/>
          </w:tcPr>
          <w:p w14:paraId="5CD543F7"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28,4</w:t>
            </w:r>
          </w:p>
        </w:tc>
        <w:tc>
          <w:tcPr>
            <w:tcW w:w="529" w:type="pct"/>
            <w:shd w:val="clear" w:color="auto" w:fill="F2F2F2"/>
            <w:hideMark/>
          </w:tcPr>
          <w:p w14:paraId="7C9D3EC2"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27,5</w:t>
            </w:r>
          </w:p>
        </w:tc>
        <w:tc>
          <w:tcPr>
            <w:tcW w:w="532" w:type="pct"/>
            <w:shd w:val="clear" w:color="auto" w:fill="F2F2F2"/>
            <w:hideMark/>
          </w:tcPr>
          <w:p w14:paraId="377D8520"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26,8</w:t>
            </w:r>
          </w:p>
        </w:tc>
      </w:tr>
      <w:tr w:rsidR="00237CF4" w:rsidRPr="00237CF4" w14:paraId="721FB2EA" w14:textId="77777777" w:rsidTr="00237CF4">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F2F2F2"/>
            <w:hideMark/>
          </w:tcPr>
          <w:p w14:paraId="0337ADC6"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Operācijas ar nekustamo īpašumu</w:t>
            </w:r>
          </w:p>
        </w:tc>
        <w:tc>
          <w:tcPr>
            <w:tcW w:w="530" w:type="pct"/>
            <w:shd w:val="clear" w:color="auto" w:fill="F2F2F2"/>
            <w:hideMark/>
          </w:tcPr>
          <w:p w14:paraId="0A1235DD"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936,5</w:t>
            </w:r>
          </w:p>
        </w:tc>
        <w:tc>
          <w:tcPr>
            <w:tcW w:w="529" w:type="pct"/>
            <w:shd w:val="clear" w:color="auto" w:fill="F2F2F2"/>
            <w:hideMark/>
          </w:tcPr>
          <w:p w14:paraId="77A903D9"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1244,7</w:t>
            </w:r>
          </w:p>
        </w:tc>
        <w:tc>
          <w:tcPr>
            <w:tcW w:w="529" w:type="pct"/>
            <w:shd w:val="clear" w:color="auto" w:fill="F2F2F2"/>
            <w:hideMark/>
          </w:tcPr>
          <w:p w14:paraId="2A05A53E"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1569,4</w:t>
            </w:r>
          </w:p>
        </w:tc>
        <w:tc>
          <w:tcPr>
            <w:tcW w:w="529" w:type="pct"/>
            <w:shd w:val="clear" w:color="auto" w:fill="F2F2F2"/>
            <w:hideMark/>
          </w:tcPr>
          <w:p w14:paraId="35A10B2C"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11,4</w:t>
            </w:r>
          </w:p>
        </w:tc>
        <w:tc>
          <w:tcPr>
            <w:tcW w:w="529" w:type="pct"/>
            <w:shd w:val="clear" w:color="auto" w:fill="F2F2F2"/>
            <w:hideMark/>
          </w:tcPr>
          <w:p w14:paraId="7E36740B"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12,1</w:t>
            </w:r>
          </w:p>
        </w:tc>
        <w:tc>
          <w:tcPr>
            <w:tcW w:w="532" w:type="pct"/>
            <w:shd w:val="clear" w:color="auto" w:fill="F2F2F2"/>
            <w:hideMark/>
          </w:tcPr>
          <w:p w14:paraId="0A0EBAC4"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11,7</w:t>
            </w:r>
          </w:p>
        </w:tc>
      </w:tr>
      <w:tr w:rsidR="00237CF4" w:rsidRPr="00237CF4" w14:paraId="4E54B371" w14:textId="77777777" w:rsidTr="00237CF4">
        <w:trPr>
          <w:jc w:val="center"/>
        </w:trPr>
        <w:tc>
          <w:tcPr>
            <w:tcW w:w="1822" w:type="pct"/>
            <w:shd w:val="clear" w:color="auto" w:fill="F2F2F2"/>
            <w:hideMark/>
          </w:tcPr>
          <w:p w14:paraId="451FA050" w14:textId="77777777" w:rsidR="00237CF4" w:rsidRPr="00237CF4" w:rsidRDefault="00237CF4" w:rsidP="00237CF4">
            <w:pPr>
              <w:autoSpaceDE w:val="0"/>
              <w:autoSpaceDN w:val="0"/>
              <w:adjustRightInd w:val="0"/>
              <w:spacing w:before="40" w:after="40"/>
              <w:rPr>
                <w:rFonts w:ascii="Arial Narrow" w:eastAsia="Times New Roman" w:hAnsi="Arial Narrow" w:cs="Times New Roman"/>
                <w:bCs/>
                <w:color w:val="000000"/>
                <w:sz w:val="18"/>
                <w:szCs w:val="16"/>
              </w:rPr>
            </w:pPr>
            <w:r w:rsidRPr="00237CF4">
              <w:rPr>
                <w:rFonts w:ascii="Arial Narrow" w:eastAsia="Times New Roman" w:hAnsi="Arial Narrow" w:cs="Times New Roman"/>
                <w:bCs/>
                <w:color w:val="000000"/>
                <w:sz w:val="18"/>
                <w:szCs w:val="16"/>
              </w:rPr>
              <w:t>Citi pakalpojumi</w:t>
            </w:r>
          </w:p>
        </w:tc>
        <w:tc>
          <w:tcPr>
            <w:tcW w:w="530" w:type="pct"/>
            <w:shd w:val="clear" w:color="auto" w:fill="F2F2F2"/>
            <w:hideMark/>
          </w:tcPr>
          <w:p w14:paraId="6955E6B7"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698,5</w:t>
            </w:r>
          </w:p>
        </w:tc>
        <w:tc>
          <w:tcPr>
            <w:tcW w:w="529" w:type="pct"/>
            <w:shd w:val="clear" w:color="auto" w:fill="F2F2F2"/>
            <w:hideMark/>
          </w:tcPr>
          <w:p w14:paraId="1F80E987"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621,9</w:t>
            </w:r>
          </w:p>
        </w:tc>
        <w:tc>
          <w:tcPr>
            <w:tcW w:w="529" w:type="pct"/>
            <w:shd w:val="clear" w:color="auto" w:fill="F2F2F2"/>
            <w:hideMark/>
          </w:tcPr>
          <w:p w14:paraId="2F8B9ADD"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977,6</w:t>
            </w:r>
          </w:p>
        </w:tc>
        <w:tc>
          <w:tcPr>
            <w:tcW w:w="529" w:type="pct"/>
            <w:shd w:val="clear" w:color="auto" w:fill="F2F2F2"/>
            <w:hideMark/>
          </w:tcPr>
          <w:p w14:paraId="19C0DA51"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8,5</w:t>
            </w:r>
          </w:p>
        </w:tc>
        <w:tc>
          <w:tcPr>
            <w:tcW w:w="529" w:type="pct"/>
            <w:shd w:val="clear" w:color="auto" w:fill="F2F2F2"/>
            <w:hideMark/>
          </w:tcPr>
          <w:p w14:paraId="16841A96"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6,1</w:t>
            </w:r>
          </w:p>
        </w:tc>
        <w:tc>
          <w:tcPr>
            <w:tcW w:w="532" w:type="pct"/>
            <w:shd w:val="clear" w:color="auto" w:fill="F2F2F2"/>
            <w:hideMark/>
          </w:tcPr>
          <w:p w14:paraId="64FCB911"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7,3</w:t>
            </w:r>
          </w:p>
        </w:tc>
      </w:tr>
      <w:tr w:rsidR="00237CF4" w:rsidRPr="00237CF4" w14:paraId="07FDF2C6" w14:textId="77777777" w:rsidTr="00237CF4">
        <w:trPr>
          <w:cnfStyle w:val="000000100000" w:firstRow="0" w:lastRow="0" w:firstColumn="0" w:lastColumn="0" w:oddVBand="0" w:evenVBand="0" w:oddHBand="1" w:evenHBand="0" w:firstRowFirstColumn="0" w:firstRowLastColumn="0" w:lastRowFirstColumn="0" w:lastRowLastColumn="0"/>
          <w:jc w:val="center"/>
        </w:trPr>
        <w:tc>
          <w:tcPr>
            <w:tcW w:w="1822" w:type="pct"/>
            <w:shd w:val="clear" w:color="auto" w:fill="F2F2F2"/>
            <w:hideMark/>
          </w:tcPr>
          <w:p w14:paraId="2274CFF8" w14:textId="77777777" w:rsidR="00237CF4" w:rsidRPr="00237CF4" w:rsidRDefault="00237CF4" w:rsidP="00237CF4">
            <w:pPr>
              <w:autoSpaceDE w:val="0"/>
              <w:autoSpaceDN w:val="0"/>
              <w:adjustRightInd w:val="0"/>
              <w:spacing w:before="40" w:after="40"/>
              <w:rPr>
                <w:rFonts w:ascii="Arial Narrow" w:eastAsia="Times New Roman" w:hAnsi="Arial Narrow" w:cs="Times New Roman"/>
                <w:b/>
                <w:bCs/>
                <w:color w:val="000000"/>
                <w:sz w:val="18"/>
                <w:szCs w:val="16"/>
              </w:rPr>
            </w:pPr>
            <w:r w:rsidRPr="00237CF4">
              <w:rPr>
                <w:rFonts w:ascii="Arial Narrow" w:eastAsia="Times New Roman" w:hAnsi="Arial Narrow" w:cs="Times New Roman"/>
                <w:bCs/>
                <w:color w:val="000000"/>
                <w:sz w:val="18"/>
                <w:szCs w:val="16"/>
              </w:rPr>
              <w:t>Neklasificēta darbība</w:t>
            </w:r>
          </w:p>
        </w:tc>
        <w:tc>
          <w:tcPr>
            <w:tcW w:w="530" w:type="pct"/>
            <w:shd w:val="clear" w:color="auto" w:fill="F2F2F2"/>
            <w:hideMark/>
          </w:tcPr>
          <w:p w14:paraId="765B0F5E"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671,4</w:t>
            </w:r>
          </w:p>
        </w:tc>
        <w:tc>
          <w:tcPr>
            <w:tcW w:w="529" w:type="pct"/>
            <w:shd w:val="clear" w:color="auto" w:fill="F2F2F2"/>
            <w:hideMark/>
          </w:tcPr>
          <w:p w14:paraId="1E6984C8"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1185,5</w:t>
            </w:r>
          </w:p>
        </w:tc>
        <w:tc>
          <w:tcPr>
            <w:tcW w:w="529" w:type="pct"/>
            <w:shd w:val="clear" w:color="auto" w:fill="F2F2F2"/>
            <w:hideMark/>
          </w:tcPr>
          <w:p w14:paraId="5117BB68"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2265,8</w:t>
            </w:r>
          </w:p>
        </w:tc>
        <w:tc>
          <w:tcPr>
            <w:tcW w:w="529" w:type="pct"/>
            <w:shd w:val="clear" w:color="auto" w:fill="F2F2F2"/>
            <w:hideMark/>
          </w:tcPr>
          <w:p w14:paraId="167D5AF4"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8,2</w:t>
            </w:r>
          </w:p>
        </w:tc>
        <w:tc>
          <w:tcPr>
            <w:tcW w:w="529" w:type="pct"/>
            <w:shd w:val="clear" w:color="auto" w:fill="F2F2F2"/>
            <w:hideMark/>
          </w:tcPr>
          <w:p w14:paraId="6216F1C5" w14:textId="77777777" w:rsidR="00237CF4" w:rsidRPr="00237CF4" w:rsidRDefault="00237CF4" w:rsidP="00237CF4">
            <w:pPr>
              <w:tabs>
                <w:tab w:val="decimal" w:pos="458"/>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11,6</w:t>
            </w:r>
          </w:p>
        </w:tc>
        <w:tc>
          <w:tcPr>
            <w:tcW w:w="532" w:type="pct"/>
            <w:shd w:val="clear" w:color="auto" w:fill="F2F2F2"/>
            <w:hideMark/>
          </w:tcPr>
          <w:p w14:paraId="2545F613" w14:textId="77777777" w:rsidR="00237CF4" w:rsidRPr="00237CF4" w:rsidRDefault="00237CF4" w:rsidP="00237CF4">
            <w:pPr>
              <w:tabs>
                <w:tab w:val="decimal" w:pos="184"/>
              </w:tabs>
              <w:spacing w:before="40" w:after="40"/>
              <w:jc w:val="center"/>
              <w:rPr>
                <w:rFonts w:ascii="Arial Narrow" w:eastAsia="Times New Roman" w:hAnsi="Arial Narrow" w:cs="Times New Roman"/>
                <w:color w:val="000000"/>
                <w:sz w:val="18"/>
                <w:szCs w:val="16"/>
              </w:rPr>
            </w:pPr>
            <w:r w:rsidRPr="00237CF4">
              <w:rPr>
                <w:rFonts w:ascii="Arial Narrow" w:eastAsia="Times New Roman" w:hAnsi="Arial Narrow" w:cs="Times New Roman"/>
                <w:color w:val="000000"/>
                <w:sz w:val="18"/>
                <w:szCs w:val="16"/>
              </w:rPr>
              <w:t>17,0</w:t>
            </w:r>
          </w:p>
        </w:tc>
      </w:tr>
      <w:tr w:rsidR="00237CF4" w:rsidRPr="00237CF4" w14:paraId="15DA8CCA" w14:textId="77777777" w:rsidTr="00237CF4">
        <w:trPr>
          <w:jc w:val="center"/>
        </w:trPr>
        <w:tc>
          <w:tcPr>
            <w:tcW w:w="1822" w:type="pct"/>
            <w:shd w:val="clear" w:color="auto" w:fill="F2F2F2"/>
            <w:hideMark/>
          </w:tcPr>
          <w:p w14:paraId="34574E6D" w14:textId="77777777" w:rsidR="00237CF4" w:rsidRPr="00237CF4" w:rsidRDefault="00237CF4" w:rsidP="00237CF4">
            <w:pPr>
              <w:autoSpaceDE w:val="0"/>
              <w:autoSpaceDN w:val="0"/>
              <w:adjustRightInd w:val="0"/>
              <w:spacing w:before="40" w:after="40"/>
              <w:rPr>
                <w:rFonts w:ascii="Arial Narrow" w:eastAsia="Times New Roman" w:hAnsi="Arial Narrow" w:cs="Times New Roman"/>
                <w:b/>
                <w:bCs/>
                <w:color w:val="000000"/>
                <w:sz w:val="18"/>
                <w:szCs w:val="16"/>
              </w:rPr>
            </w:pPr>
            <w:r w:rsidRPr="00237CF4">
              <w:rPr>
                <w:rFonts w:ascii="Arial Narrow" w:eastAsia="Times New Roman" w:hAnsi="Arial Narrow" w:cs="Times New Roman"/>
                <w:b/>
                <w:bCs/>
                <w:color w:val="000000"/>
                <w:sz w:val="18"/>
                <w:szCs w:val="16"/>
              </w:rPr>
              <w:t>Kopā</w:t>
            </w:r>
          </w:p>
        </w:tc>
        <w:tc>
          <w:tcPr>
            <w:tcW w:w="530" w:type="pct"/>
            <w:shd w:val="clear" w:color="auto" w:fill="F2F2F2"/>
            <w:hideMark/>
          </w:tcPr>
          <w:p w14:paraId="146883CB" w14:textId="77777777" w:rsidR="00237CF4" w:rsidRPr="00237CF4" w:rsidRDefault="00237CF4" w:rsidP="00237CF4">
            <w:pPr>
              <w:tabs>
                <w:tab w:val="decimal" w:pos="458"/>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8183,8</w:t>
            </w:r>
          </w:p>
        </w:tc>
        <w:tc>
          <w:tcPr>
            <w:tcW w:w="529" w:type="pct"/>
            <w:shd w:val="clear" w:color="auto" w:fill="F2F2F2"/>
            <w:hideMark/>
          </w:tcPr>
          <w:p w14:paraId="0894AE35" w14:textId="77777777" w:rsidR="00237CF4" w:rsidRPr="00237CF4" w:rsidRDefault="00237CF4" w:rsidP="00237CF4">
            <w:pPr>
              <w:tabs>
                <w:tab w:val="decimal" w:pos="458"/>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10257,9</w:t>
            </w:r>
          </w:p>
        </w:tc>
        <w:tc>
          <w:tcPr>
            <w:tcW w:w="529" w:type="pct"/>
            <w:shd w:val="clear" w:color="auto" w:fill="F2F2F2"/>
            <w:hideMark/>
          </w:tcPr>
          <w:p w14:paraId="4AEBE837" w14:textId="77777777" w:rsidR="00237CF4" w:rsidRPr="00237CF4" w:rsidRDefault="00237CF4" w:rsidP="00237CF4">
            <w:pPr>
              <w:tabs>
                <w:tab w:val="decimal" w:pos="458"/>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13363,6</w:t>
            </w:r>
          </w:p>
        </w:tc>
        <w:tc>
          <w:tcPr>
            <w:tcW w:w="529" w:type="pct"/>
            <w:shd w:val="clear" w:color="auto" w:fill="F2F2F2"/>
            <w:hideMark/>
          </w:tcPr>
          <w:p w14:paraId="57387253" w14:textId="77777777" w:rsidR="00237CF4" w:rsidRPr="00237CF4" w:rsidRDefault="00237CF4" w:rsidP="00237CF4">
            <w:pPr>
              <w:tabs>
                <w:tab w:val="decimal" w:pos="184"/>
                <w:tab w:val="decimal" w:pos="258"/>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100</w:t>
            </w:r>
          </w:p>
        </w:tc>
        <w:tc>
          <w:tcPr>
            <w:tcW w:w="529" w:type="pct"/>
            <w:shd w:val="clear" w:color="auto" w:fill="F2F2F2"/>
            <w:hideMark/>
          </w:tcPr>
          <w:p w14:paraId="2B86CD05" w14:textId="77777777" w:rsidR="00237CF4" w:rsidRPr="00237CF4" w:rsidRDefault="00237CF4" w:rsidP="00237CF4">
            <w:pPr>
              <w:tabs>
                <w:tab w:val="decimal" w:pos="184"/>
                <w:tab w:val="decimal" w:pos="286"/>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100</w:t>
            </w:r>
          </w:p>
        </w:tc>
        <w:tc>
          <w:tcPr>
            <w:tcW w:w="532" w:type="pct"/>
            <w:shd w:val="clear" w:color="auto" w:fill="F2F2F2"/>
            <w:hideMark/>
          </w:tcPr>
          <w:p w14:paraId="6D73FDBF" w14:textId="77777777" w:rsidR="00237CF4" w:rsidRPr="00237CF4" w:rsidRDefault="00237CF4" w:rsidP="00237CF4">
            <w:pPr>
              <w:tabs>
                <w:tab w:val="decimal" w:pos="184"/>
                <w:tab w:val="decimal" w:pos="287"/>
              </w:tabs>
              <w:spacing w:before="40" w:after="40"/>
              <w:jc w:val="center"/>
              <w:rPr>
                <w:rFonts w:ascii="Arial Narrow" w:eastAsia="Times New Roman" w:hAnsi="Arial Narrow" w:cs="Times New Roman"/>
                <w:b/>
                <w:color w:val="000000"/>
                <w:sz w:val="18"/>
                <w:szCs w:val="16"/>
              </w:rPr>
            </w:pPr>
            <w:r w:rsidRPr="00237CF4">
              <w:rPr>
                <w:rFonts w:ascii="Arial Narrow" w:eastAsia="Times New Roman" w:hAnsi="Arial Narrow" w:cs="Times New Roman"/>
                <w:b/>
                <w:color w:val="000000"/>
                <w:sz w:val="18"/>
                <w:szCs w:val="16"/>
              </w:rPr>
              <w:t>100</w:t>
            </w:r>
          </w:p>
        </w:tc>
      </w:tr>
    </w:tbl>
    <w:p w14:paraId="7C57D35B" w14:textId="77777777" w:rsidR="00396665" w:rsidRPr="00396665" w:rsidRDefault="00396665" w:rsidP="00237CF4">
      <w:pPr>
        <w:spacing w:after="40"/>
        <w:ind w:firstLine="284"/>
        <w:jc w:val="both"/>
        <w:rPr>
          <w:rFonts w:eastAsia="Times New Roman" w:cs="Times New Roman"/>
          <w:sz w:val="10"/>
          <w:szCs w:val="21"/>
        </w:rPr>
      </w:pPr>
    </w:p>
    <w:p w14:paraId="5054502E" w14:textId="77777777" w:rsidR="00237CF4" w:rsidRDefault="00237CF4" w:rsidP="00237CF4">
      <w:pPr>
        <w:spacing w:after="40"/>
        <w:ind w:firstLine="284"/>
        <w:jc w:val="both"/>
        <w:rPr>
          <w:rFonts w:eastAsia="Times New Roman" w:cs="Times New Roman"/>
          <w:sz w:val="24"/>
          <w:szCs w:val="21"/>
        </w:rPr>
      </w:pPr>
      <w:r w:rsidRPr="008B71CF">
        <w:rPr>
          <w:rFonts w:eastAsia="Times New Roman" w:cs="Times New Roman"/>
          <w:sz w:val="24"/>
          <w:szCs w:val="21"/>
        </w:rPr>
        <w:t>Kaut arī ĀTI plūsmas Latvijas apstrādes rūpniecībā ir bijušas visai noturīgas pat straujās lejupslīdes gados, jāatzīmē, ka šajā nozarē uzkrāto ĀTI ziņā Latvija atpaliek no Lietuvas un Igaunijas.</w:t>
      </w:r>
    </w:p>
    <w:p w14:paraId="4D94D3F2" w14:textId="77777777" w:rsidR="00E9146D" w:rsidRPr="0095397B" w:rsidRDefault="00E9146D" w:rsidP="00E9146D">
      <w:pPr>
        <w:ind w:firstLine="720"/>
        <w:jc w:val="both"/>
        <w:rPr>
          <w:rFonts w:cs="Times New Roman"/>
          <w:color w:val="000000" w:themeColor="text1"/>
          <w:sz w:val="24"/>
          <w:szCs w:val="24"/>
        </w:rPr>
      </w:pPr>
      <w:r w:rsidRPr="0095397B">
        <w:rPr>
          <w:rFonts w:cs="Times New Roman"/>
          <w:color w:val="000000" w:themeColor="text1"/>
          <w:sz w:val="24"/>
          <w:szCs w:val="24"/>
        </w:rPr>
        <w:t xml:space="preserve">Vērtējot </w:t>
      </w:r>
      <w:r w:rsidRPr="0095397B">
        <w:rPr>
          <w:rFonts w:cs="Times New Roman"/>
          <w:b/>
          <w:color w:val="000000" w:themeColor="text1"/>
          <w:sz w:val="24"/>
          <w:szCs w:val="24"/>
        </w:rPr>
        <w:t>datus par ārvalstu investīcijām Latvijā Pamatnostādnēs definētajās mērķa nozarēs investīciju piesaistē</w:t>
      </w:r>
      <w:r w:rsidRPr="0095397B">
        <w:rPr>
          <w:rFonts w:cs="Times New Roman"/>
          <w:color w:val="000000" w:themeColor="text1"/>
          <w:sz w:val="24"/>
          <w:szCs w:val="24"/>
        </w:rPr>
        <w:t xml:space="preserve">, jāsecina, ka kopumā mērķa nozares aizņem nelielu īpatsvaru kopējā ĀTI apjomā. Svarīgi atzīmēt, ka dati par ĀTI atlikumiem ietver arī reinvestēto peļņu attiecīgajā gadā. Saskaņā ar Latvijas Bankas datiem prioritāro nozaru grupas veido vidēji 17% no kopējām uzkrātajām ĀTI Latvijā. Salīdzinājumam joprojām vairāk kā ceturtā daļa no uzkrātajām ĀTI Latvijā ir finanšu sektorā – vidēji 25% no kopējām ĀTI, būtiska loma ir arī tirdzniecības sektoram – vidēji 11% un nekustamo īpašumu sektoram – aptuveni 12%. </w:t>
      </w:r>
    </w:p>
    <w:p w14:paraId="6193BF95" w14:textId="77777777" w:rsidR="00E9146D" w:rsidRPr="00530579" w:rsidRDefault="00E9146D" w:rsidP="00F32433">
      <w:pPr>
        <w:spacing w:before="240"/>
        <w:jc w:val="center"/>
        <w:rPr>
          <w:rFonts w:ascii="Arial Narrow" w:eastAsia="Times New Roman" w:hAnsi="Arial Narrow" w:cs="Times New Roman"/>
          <w:bCs/>
          <w:color w:val="000000"/>
          <w:sz w:val="20"/>
          <w:szCs w:val="24"/>
          <w:lang w:eastAsia="lv-LV"/>
        </w:rPr>
      </w:pPr>
      <w:r w:rsidRPr="00530579">
        <w:rPr>
          <w:rFonts w:ascii="Arial Narrow" w:eastAsia="Times New Roman" w:hAnsi="Arial Narrow" w:cs="Times New Roman"/>
          <w:b/>
          <w:bCs/>
          <w:color w:val="000000"/>
          <w:sz w:val="24"/>
          <w:szCs w:val="24"/>
          <w:lang w:eastAsia="lv-LV"/>
        </w:rPr>
        <w:t xml:space="preserve"> </w:t>
      </w:r>
      <w:r w:rsidRPr="00530579">
        <w:rPr>
          <w:rFonts w:ascii="Arial Narrow" w:eastAsia="Times New Roman" w:hAnsi="Arial Narrow" w:cs="Times New Roman"/>
          <w:b/>
          <w:bCs/>
          <w:color w:val="000000"/>
          <w:sz w:val="20"/>
          <w:szCs w:val="24"/>
          <w:lang w:eastAsia="lv-LV"/>
        </w:rPr>
        <w:t xml:space="preserve">Uzkrātās ĀTI Latvijā prioritārajās nozaru grupās </w:t>
      </w:r>
      <w:r w:rsidRPr="00530579">
        <w:rPr>
          <w:rFonts w:ascii="Arial Narrow" w:eastAsia="Times New Roman" w:hAnsi="Arial Narrow" w:cs="Times New Roman"/>
          <w:bCs/>
          <w:color w:val="000000"/>
          <w:sz w:val="20"/>
          <w:szCs w:val="24"/>
          <w:lang w:eastAsia="lv-LV"/>
        </w:rPr>
        <w:t>(atlikumi perioda beigās)</w:t>
      </w:r>
    </w:p>
    <w:tbl>
      <w:tblPr>
        <w:tblStyle w:val="TableGrid2"/>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40"/>
        <w:gridCol w:w="851"/>
        <w:gridCol w:w="850"/>
        <w:gridCol w:w="851"/>
        <w:gridCol w:w="861"/>
        <w:gridCol w:w="850"/>
      </w:tblGrid>
      <w:tr w:rsidR="00F32433" w:rsidRPr="00F32433" w14:paraId="05678ACF" w14:textId="77777777" w:rsidTr="00F32433">
        <w:trPr>
          <w:jc w:val="center"/>
        </w:trPr>
        <w:tc>
          <w:tcPr>
            <w:tcW w:w="4395" w:type="dxa"/>
            <w:shd w:val="clear" w:color="auto" w:fill="008080"/>
          </w:tcPr>
          <w:p w14:paraId="7C299AB5" w14:textId="77777777" w:rsidR="00F32433" w:rsidRPr="00F32433" w:rsidRDefault="00F32433" w:rsidP="00F32433">
            <w:pPr>
              <w:autoSpaceDE w:val="0"/>
              <w:autoSpaceDN w:val="0"/>
              <w:adjustRightInd w:val="0"/>
              <w:jc w:val="center"/>
              <w:rPr>
                <w:rFonts w:ascii="Arial Narrow" w:eastAsia="Times New Roman" w:hAnsi="Arial Narrow" w:cs="Times New Roman"/>
                <w:bCs/>
                <w:color w:val="000000"/>
                <w:sz w:val="16"/>
                <w:szCs w:val="16"/>
              </w:rPr>
            </w:pPr>
          </w:p>
        </w:tc>
        <w:tc>
          <w:tcPr>
            <w:tcW w:w="2541" w:type="dxa"/>
            <w:gridSpan w:val="3"/>
            <w:shd w:val="clear" w:color="auto" w:fill="008080"/>
            <w:vAlign w:val="bottom"/>
          </w:tcPr>
          <w:p w14:paraId="6320FAF4" w14:textId="40974067" w:rsidR="00F32433" w:rsidRPr="00F32433" w:rsidRDefault="00F32433" w:rsidP="00835279">
            <w:pPr>
              <w:jc w:val="center"/>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 xml:space="preserve">Atlikumi milj. </w:t>
            </w:r>
            <w:r w:rsidR="00835279" w:rsidRPr="00835279">
              <w:rPr>
                <w:rFonts w:ascii="Arial Narrow" w:eastAsia="Times New Roman" w:hAnsi="Arial Narrow" w:cs="Times New Roman"/>
                <w:b/>
                <w:bCs/>
                <w:i/>
                <w:color w:val="FFFFFF" w:themeColor="background1"/>
                <w:sz w:val="18"/>
                <w:szCs w:val="18"/>
                <w:lang w:eastAsia="lv-LV"/>
              </w:rPr>
              <w:t>euro</w:t>
            </w:r>
          </w:p>
        </w:tc>
        <w:tc>
          <w:tcPr>
            <w:tcW w:w="2562" w:type="dxa"/>
            <w:gridSpan w:val="3"/>
            <w:shd w:val="clear" w:color="auto" w:fill="008080"/>
            <w:vAlign w:val="bottom"/>
          </w:tcPr>
          <w:p w14:paraId="03483D62" w14:textId="77777777" w:rsidR="00F32433" w:rsidRPr="00F32433" w:rsidRDefault="00F32433" w:rsidP="00F32433">
            <w:pPr>
              <w:jc w:val="center"/>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 no kopējām ĀTI</w:t>
            </w:r>
          </w:p>
        </w:tc>
      </w:tr>
      <w:tr w:rsidR="00F32433" w:rsidRPr="00F32433" w14:paraId="4AE33BA8" w14:textId="77777777" w:rsidTr="00F32433">
        <w:trPr>
          <w:jc w:val="center"/>
        </w:trPr>
        <w:tc>
          <w:tcPr>
            <w:tcW w:w="4395" w:type="dxa"/>
            <w:shd w:val="clear" w:color="auto" w:fill="008080"/>
          </w:tcPr>
          <w:p w14:paraId="7044CF23" w14:textId="77777777" w:rsidR="00F32433" w:rsidRPr="00F32433" w:rsidRDefault="00F32433" w:rsidP="00F32433">
            <w:pPr>
              <w:autoSpaceDE w:val="0"/>
              <w:autoSpaceDN w:val="0"/>
              <w:adjustRightInd w:val="0"/>
              <w:jc w:val="center"/>
              <w:rPr>
                <w:rFonts w:ascii="Arial Narrow" w:eastAsia="Times New Roman" w:hAnsi="Arial Narrow" w:cs="Times New Roman"/>
                <w:bCs/>
                <w:color w:val="000000"/>
                <w:sz w:val="16"/>
                <w:szCs w:val="16"/>
              </w:rPr>
            </w:pPr>
          </w:p>
        </w:tc>
        <w:tc>
          <w:tcPr>
            <w:tcW w:w="840" w:type="dxa"/>
            <w:shd w:val="clear" w:color="auto" w:fill="008080"/>
            <w:vAlign w:val="bottom"/>
          </w:tcPr>
          <w:p w14:paraId="1ACB5B6F" w14:textId="77777777" w:rsidR="00F32433" w:rsidRPr="00F32433" w:rsidRDefault="00F32433" w:rsidP="00F32433">
            <w:pPr>
              <w:jc w:val="right"/>
              <w:rPr>
                <w:rFonts w:ascii="Arial Narrow" w:eastAsia="Times New Roman" w:hAnsi="Arial Narrow" w:cs="Times New Roman"/>
                <w:b/>
                <w:bCs/>
                <w:color w:val="FFFFFF" w:themeColor="background1"/>
                <w:szCs w:val="18"/>
                <w:lang w:eastAsia="lv-LV"/>
              </w:rPr>
            </w:pPr>
            <w:r w:rsidRPr="00F32433">
              <w:rPr>
                <w:rFonts w:ascii="Arial Narrow" w:eastAsia="Times New Roman" w:hAnsi="Arial Narrow" w:cs="Times New Roman"/>
                <w:b/>
                <w:bCs/>
                <w:color w:val="FFFFFF" w:themeColor="background1"/>
                <w:szCs w:val="18"/>
                <w:lang w:eastAsia="lv-LV"/>
              </w:rPr>
              <w:t>2013</w:t>
            </w:r>
          </w:p>
        </w:tc>
        <w:tc>
          <w:tcPr>
            <w:tcW w:w="851" w:type="dxa"/>
            <w:shd w:val="clear" w:color="auto" w:fill="008080"/>
            <w:vAlign w:val="bottom"/>
          </w:tcPr>
          <w:p w14:paraId="067F60E8" w14:textId="77777777" w:rsidR="00F32433" w:rsidRPr="00F32433" w:rsidRDefault="00F32433" w:rsidP="00F32433">
            <w:pPr>
              <w:jc w:val="right"/>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2014</w:t>
            </w:r>
          </w:p>
        </w:tc>
        <w:tc>
          <w:tcPr>
            <w:tcW w:w="850" w:type="dxa"/>
            <w:shd w:val="clear" w:color="auto" w:fill="008080"/>
            <w:vAlign w:val="bottom"/>
          </w:tcPr>
          <w:p w14:paraId="5FB564DE" w14:textId="77777777" w:rsidR="00F32433" w:rsidRPr="00F32433" w:rsidRDefault="00F32433" w:rsidP="00F32433">
            <w:pPr>
              <w:jc w:val="right"/>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2015</w:t>
            </w:r>
          </w:p>
        </w:tc>
        <w:tc>
          <w:tcPr>
            <w:tcW w:w="851" w:type="dxa"/>
            <w:shd w:val="clear" w:color="auto" w:fill="008080"/>
            <w:vAlign w:val="bottom"/>
          </w:tcPr>
          <w:p w14:paraId="4CEB8884" w14:textId="77777777" w:rsidR="00F32433" w:rsidRPr="00F32433" w:rsidRDefault="00F32433" w:rsidP="00F32433">
            <w:pPr>
              <w:jc w:val="right"/>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2013</w:t>
            </w:r>
          </w:p>
        </w:tc>
        <w:tc>
          <w:tcPr>
            <w:tcW w:w="861" w:type="dxa"/>
            <w:shd w:val="clear" w:color="auto" w:fill="008080"/>
            <w:vAlign w:val="bottom"/>
          </w:tcPr>
          <w:p w14:paraId="02E11110" w14:textId="77777777" w:rsidR="00F32433" w:rsidRPr="00F32433" w:rsidRDefault="00F32433" w:rsidP="00F32433">
            <w:pPr>
              <w:jc w:val="right"/>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2014</w:t>
            </w:r>
          </w:p>
        </w:tc>
        <w:tc>
          <w:tcPr>
            <w:tcW w:w="850" w:type="dxa"/>
            <w:shd w:val="clear" w:color="auto" w:fill="008080"/>
            <w:vAlign w:val="bottom"/>
          </w:tcPr>
          <w:p w14:paraId="0F5855E0" w14:textId="77777777" w:rsidR="00F32433" w:rsidRPr="00F32433" w:rsidRDefault="00F32433" w:rsidP="00F32433">
            <w:pPr>
              <w:jc w:val="right"/>
              <w:rPr>
                <w:rFonts w:ascii="Arial Narrow" w:eastAsia="Times New Roman" w:hAnsi="Arial Narrow" w:cs="Times New Roman"/>
                <w:b/>
                <w:bCs/>
                <w:color w:val="FFFFFF" w:themeColor="background1"/>
                <w:sz w:val="18"/>
                <w:szCs w:val="18"/>
                <w:lang w:eastAsia="lv-LV"/>
              </w:rPr>
            </w:pPr>
            <w:r w:rsidRPr="00F32433">
              <w:rPr>
                <w:rFonts w:ascii="Arial Narrow" w:eastAsia="Times New Roman" w:hAnsi="Arial Narrow" w:cs="Times New Roman"/>
                <w:b/>
                <w:bCs/>
                <w:color w:val="FFFFFF" w:themeColor="background1"/>
                <w:sz w:val="18"/>
                <w:szCs w:val="18"/>
                <w:lang w:eastAsia="lv-LV"/>
              </w:rPr>
              <w:t>2015</w:t>
            </w:r>
          </w:p>
        </w:tc>
      </w:tr>
      <w:tr w:rsidR="00F32433" w:rsidRPr="00F32433" w14:paraId="73051915" w14:textId="77777777" w:rsidTr="00F32433">
        <w:trPr>
          <w:trHeight w:val="173"/>
          <w:jc w:val="center"/>
        </w:trPr>
        <w:tc>
          <w:tcPr>
            <w:tcW w:w="4395" w:type="dxa"/>
            <w:shd w:val="clear" w:color="auto" w:fill="auto"/>
            <w:vAlign w:val="bottom"/>
          </w:tcPr>
          <w:p w14:paraId="0A747F3D" w14:textId="77777777" w:rsidR="00F32433" w:rsidRPr="00F32433" w:rsidRDefault="00F32433" w:rsidP="00F32433">
            <w:pPr>
              <w:jc w:val="right"/>
              <w:rPr>
                <w:rFonts w:ascii="Arial Narrow" w:eastAsia="Times New Roman" w:hAnsi="Arial Narrow" w:cs="Times New Roman"/>
                <w:b/>
                <w:color w:val="000000"/>
                <w:sz w:val="18"/>
                <w:szCs w:val="18"/>
                <w:lang w:eastAsia="lv-LV"/>
              </w:rPr>
            </w:pPr>
            <w:r w:rsidRPr="00F32433">
              <w:rPr>
                <w:rFonts w:ascii="Arial Narrow" w:eastAsia="Times New Roman" w:hAnsi="Arial Narrow" w:cs="Times New Roman"/>
                <w:b/>
                <w:color w:val="000000"/>
                <w:sz w:val="18"/>
                <w:szCs w:val="18"/>
                <w:lang w:eastAsia="lv-LV"/>
              </w:rPr>
              <w:t>Metālapstrāde un mašīnbūve (t.sk. elektronikas un optisko iekārtu ražošana)</w:t>
            </w:r>
          </w:p>
        </w:tc>
        <w:tc>
          <w:tcPr>
            <w:tcW w:w="840" w:type="dxa"/>
            <w:shd w:val="clear" w:color="auto" w:fill="auto"/>
            <w:vAlign w:val="bottom"/>
          </w:tcPr>
          <w:p w14:paraId="32420D8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192,01</w:t>
            </w:r>
          </w:p>
        </w:tc>
        <w:tc>
          <w:tcPr>
            <w:tcW w:w="851" w:type="dxa"/>
            <w:shd w:val="clear" w:color="auto" w:fill="auto"/>
            <w:vAlign w:val="bottom"/>
          </w:tcPr>
          <w:p w14:paraId="2B0D704C"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251,77</w:t>
            </w:r>
          </w:p>
        </w:tc>
        <w:tc>
          <w:tcPr>
            <w:tcW w:w="850" w:type="dxa"/>
            <w:shd w:val="clear" w:color="auto" w:fill="auto"/>
            <w:vAlign w:val="bottom"/>
          </w:tcPr>
          <w:p w14:paraId="3D99EA4D"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284,28</w:t>
            </w:r>
          </w:p>
        </w:tc>
        <w:tc>
          <w:tcPr>
            <w:tcW w:w="851" w:type="dxa"/>
            <w:shd w:val="clear" w:color="auto" w:fill="auto"/>
            <w:vAlign w:val="bottom"/>
          </w:tcPr>
          <w:p w14:paraId="54BE6BE1"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1,7</w:t>
            </w:r>
          </w:p>
        </w:tc>
        <w:tc>
          <w:tcPr>
            <w:tcW w:w="861" w:type="dxa"/>
            <w:shd w:val="clear" w:color="auto" w:fill="auto"/>
            <w:vAlign w:val="bottom"/>
          </w:tcPr>
          <w:p w14:paraId="283D83C3"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2,1</w:t>
            </w:r>
          </w:p>
        </w:tc>
        <w:tc>
          <w:tcPr>
            <w:tcW w:w="850" w:type="dxa"/>
            <w:shd w:val="clear" w:color="auto" w:fill="auto"/>
            <w:vAlign w:val="bottom"/>
          </w:tcPr>
          <w:p w14:paraId="5AF48E54"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2,1</w:t>
            </w:r>
          </w:p>
        </w:tc>
      </w:tr>
      <w:tr w:rsidR="00F32433" w:rsidRPr="00F32433" w14:paraId="06EBF51E" w14:textId="77777777" w:rsidTr="00F32433">
        <w:trPr>
          <w:jc w:val="center"/>
        </w:trPr>
        <w:tc>
          <w:tcPr>
            <w:tcW w:w="4395" w:type="dxa"/>
          </w:tcPr>
          <w:p w14:paraId="25A04267" w14:textId="77777777" w:rsidR="00F32433" w:rsidRPr="00F32433" w:rsidRDefault="00F32433" w:rsidP="00F32433">
            <w:pPr>
              <w:jc w:val="right"/>
              <w:rPr>
                <w:rFonts w:ascii="Arial Narrow" w:hAnsi="Arial Narrow"/>
                <w:b/>
                <w:sz w:val="18"/>
                <w:szCs w:val="18"/>
              </w:rPr>
            </w:pPr>
            <w:r w:rsidRPr="00F32433">
              <w:rPr>
                <w:rFonts w:ascii="Arial Narrow" w:eastAsia="Times New Roman" w:hAnsi="Arial Narrow" w:cs="Times New Roman"/>
                <w:b/>
                <w:color w:val="000000"/>
                <w:sz w:val="18"/>
                <w:szCs w:val="18"/>
                <w:lang w:eastAsia="lv-LV"/>
              </w:rPr>
              <w:t>Kokrūpniecība</w:t>
            </w:r>
          </w:p>
        </w:tc>
        <w:tc>
          <w:tcPr>
            <w:tcW w:w="840" w:type="dxa"/>
            <w:vAlign w:val="bottom"/>
          </w:tcPr>
          <w:p w14:paraId="102021FE"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350,76</w:t>
            </w:r>
          </w:p>
        </w:tc>
        <w:tc>
          <w:tcPr>
            <w:tcW w:w="851" w:type="dxa"/>
            <w:vAlign w:val="bottom"/>
          </w:tcPr>
          <w:p w14:paraId="3BC4C612"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383,17</w:t>
            </w:r>
          </w:p>
        </w:tc>
        <w:tc>
          <w:tcPr>
            <w:tcW w:w="850" w:type="dxa"/>
            <w:vAlign w:val="bottom"/>
          </w:tcPr>
          <w:p w14:paraId="06EF6E3E"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440,01</w:t>
            </w:r>
          </w:p>
        </w:tc>
        <w:tc>
          <w:tcPr>
            <w:tcW w:w="851" w:type="dxa"/>
            <w:vAlign w:val="bottom"/>
          </w:tcPr>
          <w:p w14:paraId="2A6501DD"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3,0</w:t>
            </w:r>
          </w:p>
        </w:tc>
        <w:tc>
          <w:tcPr>
            <w:tcW w:w="861" w:type="dxa"/>
            <w:vAlign w:val="bottom"/>
          </w:tcPr>
          <w:p w14:paraId="00053DC0"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3,2</w:t>
            </w:r>
          </w:p>
        </w:tc>
        <w:tc>
          <w:tcPr>
            <w:tcW w:w="850" w:type="dxa"/>
            <w:vAlign w:val="bottom"/>
          </w:tcPr>
          <w:p w14:paraId="641EA6A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3,3</w:t>
            </w:r>
          </w:p>
        </w:tc>
      </w:tr>
      <w:tr w:rsidR="00F32433" w:rsidRPr="00F32433" w14:paraId="5803C922" w14:textId="77777777" w:rsidTr="00F32433">
        <w:trPr>
          <w:jc w:val="center"/>
        </w:trPr>
        <w:tc>
          <w:tcPr>
            <w:tcW w:w="4395" w:type="dxa"/>
            <w:vAlign w:val="center"/>
          </w:tcPr>
          <w:p w14:paraId="252733D3" w14:textId="77777777" w:rsidR="00F32433" w:rsidRPr="00F32433" w:rsidRDefault="00F32433" w:rsidP="00F32433">
            <w:pPr>
              <w:jc w:val="right"/>
              <w:rPr>
                <w:rFonts w:ascii="Arial Narrow" w:eastAsia="Times New Roman" w:hAnsi="Arial Narrow" w:cs="Times New Roman"/>
                <w:b/>
                <w:bCs/>
                <w:color w:val="000000"/>
                <w:sz w:val="18"/>
                <w:szCs w:val="18"/>
                <w:lang w:eastAsia="lv-LV"/>
              </w:rPr>
            </w:pPr>
            <w:r w:rsidRPr="00F32433">
              <w:rPr>
                <w:rFonts w:ascii="Arial Narrow" w:eastAsia="Times New Roman" w:hAnsi="Arial Narrow" w:cs="Times New Roman"/>
                <w:b/>
                <w:bCs/>
                <w:color w:val="000000"/>
                <w:sz w:val="18"/>
                <w:szCs w:val="18"/>
                <w:lang w:eastAsia="lv-LV"/>
              </w:rPr>
              <w:t>Pārtikas rūpniecība</w:t>
            </w:r>
          </w:p>
        </w:tc>
        <w:tc>
          <w:tcPr>
            <w:tcW w:w="840" w:type="dxa"/>
            <w:vAlign w:val="bottom"/>
          </w:tcPr>
          <w:p w14:paraId="6BFBFAC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228,79</w:t>
            </w:r>
          </w:p>
        </w:tc>
        <w:tc>
          <w:tcPr>
            <w:tcW w:w="851" w:type="dxa"/>
            <w:vAlign w:val="bottom"/>
          </w:tcPr>
          <w:p w14:paraId="3CD03E98"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193,47</w:t>
            </w:r>
          </w:p>
        </w:tc>
        <w:tc>
          <w:tcPr>
            <w:tcW w:w="850" w:type="dxa"/>
            <w:vAlign w:val="bottom"/>
          </w:tcPr>
          <w:p w14:paraId="1BFE1DC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202,47</w:t>
            </w:r>
          </w:p>
        </w:tc>
        <w:tc>
          <w:tcPr>
            <w:tcW w:w="851" w:type="dxa"/>
            <w:vAlign w:val="bottom"/>
          </w:tcPr>
          <w:p w14:paraId="7EC8CC27"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2,0</w:t>
            </w:r>
          </w:p>
        </w:tc>
        <w:tc>
          <w:tcPr>
            <w:tcW w:w="861" w:type="dxa"/>
            <w:vAlign w:val="bottom"/>
          </w:tcPr>
          <w:p w14:paraId="784D003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1,6</w:t>
            </w:r>
          </w:p>
        </w:tc>
        <w:tc>
          <w:tcPr>
            <w:tcW w:w="850" w:type="dxa"/>
            <w:vAlign w:val="bottom"/>
          </w:tcPr>
          <w:p w14:paraId="3D0DDDD3"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1,5</w:t>
            </w:r>
          </w:p>
        </w:tc>
      </w:tr>
      <w:tr w:rsidR="00F32433" w:rsidRPr="00F32433" w14:paraId="3CBFE2A7" w14:textId="77777777" w:rsidTr="00F32433">
        <w:trPr>
          <w:jc w:val="center"/>
        </w:trPr>
        <w:tc>
          <w:tcPr>
            <w:tcW w:w="4395" w:type="dxa"/>
            <w:vAlign w:val="center"/>
          </w:tcPr>
          <w:p w14:paraId="24480342" w14:textId="77777777" w:rsidR="00F32433" w:rsidRPr="00F32433" w:rsidRDefault="00F32433" w:rsidP="00F32433">
            <w:pPr>
              <w:jc w:val="right"/>
              <w:rPr>
                <w:rFonts w:ascii="Arial Narrow" w:eastAsia="Times New Roman" w:hAnsi="Arial Narrow" w:cs="Times New Roman"/>
                <w:b/>
                <w:bCs/>
                <w:color w:val="000000"/>
                <w:sz w:val="18"/>
                <w:szCs w:val="18"/>
                <w:lang w:eastAsia="lv-LV"/>
              </w:rPr>
            </w:pPr>
            <w:r w:rsidRPr="00F32433">
              <w:rPr>
                <w:rFonts w:ascii="Arial Narrow" w:eastAsia="Times New Roman" w:hAnsi="Arial Narrow" w:cs="Times New Roman"/>
                <w:b/>
                <w:bCs/>
                <w:color w:val="000000"/>
                <w:sz w:val="18"/>
                <w:szCs w:val="18"/>
                <w:lang w:eastAsia="lv-LV"/>
              </w:rPr>
              <w:t>Transports un loģistika</w:t>
            </w:r>
          </w:p>
        </w:tc>
        <w:tc>
          <w:tcPr>
            <w:tcW w:w="840" w:type="dxa"/>
            <w:vAlign w:val="bottom"/>
          </w:tcPr>
          <w:p w14:paraId="79B1AFA6"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403,75</w:t>
            </w:r>
          </w:p>
        </w:tc>
        <w:tc>
          <w:tcPr>
            <w:tcW w:w="851" w:type="dxa"/>
            <w:vAlign w:val="bottom"/>
          </w:tcPr>
          <w:p w14:paraId="30AC67BF"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420,09</w:t>
            </w:r>
          </w:p>
        </w:tc>
        <w:tc>
          <w:tcPr>
            <w:tcW w:w="850" w:type="dxa"/>
            <w:vAlign w:val="bottom"/>
          </w:tcPr>
          <w:p w14:paraId="6114C85A"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455,87</w:t>
            </w:r>
          </w:p>
        </w:tc>
        <w:tc>
          <w:tcPr>
            <w:tcW w:w="851" w:type="dxa"/>
            <w:vAlign w:val="bottom"/>
          </w:tcPr>
          <w:p w14:paraId="755706D9"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3,5</w:t>
            </w:r>
          </w:p>
        </w:tc>
        <w:tc>
          <w:tcPr>
            <w:tcW w:w="861" w:type="dxa"/>
            <w:vAlign w:val="bottom"/>
          </w:tcPr>
          <w:p w14:paraId="26AEB117"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3,5</w:t>
            </w:r>
          </w:p>
        </w:tc>
        <w:tc>
          <w:tcPr>
            <w:tcW w:w="850" w:type="dxa"/>
            <w:vAlign w:val="bottom"/>
          </w:tcPr>
          <w:p w14:paraId="16CC7562"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3,4</w:t>
            </w:r>
          </w:p>
        </w:tc>
      </w:tr>
      <w:tr w:rsidR="00F32433" w:rsidRPr="00F32433" w14:paraId="733906D7" w14:textId="77777777" w:rsidTr="00F32433">
        <w:trPr>
          <w:jc w:val="center"/>
        </w:trPr>
        <w:tc>
          <w:tcPr>
            <w:tcW w:w="4395" w:type="dxa"/>
            <w:vAlign w:val="center"/>
          </w:tcPr>
          <w:p w14:paraId="28670765" w14:textId="77777777" w:rsidR="00F32433" w:rsidRPr="00F32433" w:rsidRDefault="00F32433" w:rsidP="00F32433">
            <w:pPr>
              <w:jc w:val="right"/>
              <w:rPr>
                <w:rFonts w:ascii="Arial Narrow" w:eastAsia="Times New Roman" w:hAnsi="Arial Narrow" w:cs="Times New Roman"/>
                <w:b/>
                <w:bCs/>
                <w:color w:val="000000"/>
                <w:sz w:val="18"/>
                <w:szCs w:val="18"/>
                <w:lang w:eastAsia="lv-LV"/>
              </w:rPr>
            </w:pPr>
            <w:r w:rsidRPr="00F32433">
              <w:rPr>
                <w:rFonts w:ascii="Arial Narrow" w:eastAsia="Times New Roman" w:hAnsi="Arial Narrow" w:cs="Times New Roman"/>
                <w:b/>
                <w:bCs/>
                <w:color w:val="000000"/>
                <w:sz w:val="18"/>
                <w:szCs w:val="18"/>
                <w:lang w:eastAsia="lv-LV"/>
              </w:rPr>
              <w:t>Informācijas tehnoloģijas un pakalpojumu biroji</w:t>
            </w:r>
          </w:p>
        </w:tc>
        <w:tc>
          <w:tcPr>
            <w:tcW w:w="840" w:type="dxa"/>
            <w:vAlign w:val="bottom"/>
          </w:tcPr>
          <w:p w14:paraId="139388A8"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187,18</w:t>
            </w:r>
          </w:p>
        </w:tc>
        <w:tc>
          <w:tcPr>
            <w:tcW w:w="851" w:type="dxa"/>
            <w:vAlign w:val="bottom"/>
          </w:tcPr>
          <w:p w14:paraId="1DEE5C24"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200,21</w:t>
            </w:r>
          </w:p>
        </w:tc>
        <w:tc>
          <w:tcPr>
            <w:tcW w:w="850" w:type="dxa"/>
            <w:vAlign w:val="bottom"/>
          </w:tcPr>
          <w:p w14:paraId="5C519303"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421,12</w:t>
            </w:r>
          </w:p>
        </w:tc>
        <w:tc>
          <w:tcPr>
            <w:tcW w:w="851" w:type="dxa"/>
            <w:vAlign w:val="bottom"/>
          </w:tcPr>
          <w:p w14:paraId="4081D44C"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1,6</w:t>
            </w:r>
          </w:p>
        </w:tc>
        <w:tc>
          <w:tcPr>
            <w:tcW w:w="861" w:type="dxa"/>
            <w:vAlign w:val="bottom"/>
          </w:tcPr>
          <w:p w14:paraId="4FBA4B43"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1,7</w:t>
            </w:r>
          </w:p>
        </w:tc>
        <w:tc>
          <w:tcPr>
            <w:tcW w:w="850" w:type="dxa"/>
            <w:vAlign w:val="bottom"/>
          </w:tcPr>
          <w:p w14:paraId="38E63982"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3,2</w:t>
            </w:r>
          </w:p>
        </w:tc>
      </w:tr>
      <w:tr w:rsidR="00F32433" w:rsidRPr="00F32433" w14:paraId="4031DADF" w14:textId="77777777" w:rsidTr="00F32433">
        <w:trPr>
          <w:jc w:val="center"/>
        </w:trPr>
        <w:tc>
          <w:tcPr>
            <w:tcW w:w="4395" w:type="dxa"/>
            <w:vAlign w:val="center"/>
          </w:tcPr>
          <w:p w14:paraId="6DC86568" w14:textId="77777777" w:rsidR="00F32433" w:rsidRPr="00F32433" w:rsidRDefault="00F32433" w:rsidP="00F32433">
            <w:pPr>
              <w:jc w:val="right"/>
              <w:rPr>
                <w:rFonts w:ascii="Arial Narrow" w:eastAsia="Times New Roman" w:hAnsi="Arial Narrow" w:cs="Times New Roman"/>
                <w:b/>
                <w:bCs/>
                <w:color w:val="000000"/>
                <w:sz w:val="18"/>
                <w:szCs w:val="18"/>
                <w:lang w:eastAsia="lv-LV"/>
              </w:rPr>
            </w:pPr>
            <w:r w:rsidRPr="00F32433">
              <w:rPr>
                <w:rFonts w:ascii="Arial Narrow" w:eastAsia="Times New Roman" w:hAnsi="Arial Narrow" w:cs="Times New Roman"/>
                <w:b/>
                <w:bCs/>
                <w:color w:val="000000"/>
                <w:sz w:val="18"/>
                <w:szCs w:val="18"/>
                <w:lang w:eastAsia="lv-LV"/>
              </w:rPr>
              <w:t>Dzīvības zinātnes un veselības aprūpe</w:t>
            </w:r>
          </w:p>
        </w:tc>
        <w:tc>
          <w:tcPr>
            <w:tcW w:w="840" w:type="dxa"/>
            <w:vAlign w:val="bottom"/>
          </w:tcPr>
          <w:p w14:paraId="3BE73800"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72,73</w:t>
            </w:r>
          </w:p>
        </w:tc>
        <w:tc>
          <w:tcPr>
            <w:tcW w:w="851" w:type="dxa"/>
            <w:vAlign w:val="bottom"/>
          </w:tcPr>
          <w:p w14:paraId="305C1D29"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69,48</w:t>
            </w:r>
          </w:p>
        </w:tc>
        <w:tc>
          <w:tcPr>
            <w:tcW w:w="850" w:type="dxa"/>
            <w:vAlign w:val="bottom"/>
          </w:tcPr>
          <w:p w14:paraId="58D77A78"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51,36</w:t>
            </w:r>
          </w:p>
        </w:tc>
        <w:tc>
          <w:tcPr>
            <w:tcW w:w="851" w:type="dxa"/>
            <w:vAlign w:val="bottom"/>
          </w:tcPr>
          <w:p w14:paraId="5D823FDC"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0,6</w:t>
            </w:r>
          </w:p>
        </w:tc>
        <w:tc>
          <w:tcPr>
            <w:tcW w:w="861" w:type="dxa"/>
            <w:vAlign w:val="bottom"/>
          </w:tcPr>
          <w:p w14:paraId="68D8B4D5"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0,6</w:t>
            </w:r>
          </w:p>
        </w:tc>
        <w:tc>
          <w:tcPr>
            <w:tcW w:w="850" w:type="dxa"/>
            <w:vAlign w:val="bottom"/>
          </w:tcPr>
          <w:p w14:paraId="5C9E4E62"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0,4</w:t>
            </w:r>
          </w:p>
        </w:tc>
      </w:tr>
      <w:tr w:rsidR="00F32433" w:rsidRPr="00F32433" w14:paraId="7115E0D2" w14:textId="77777777" w:rsidTr="00F32433">
        <w:trPr>
          <w:jc w:val="center"/>
        </w:trPr>
        <w:tc>
          <w:tcPr>
            <w:tcW w:w="4395" w:type="dxa"/>
            <w:vAlign w:val="center"/>
          </w:tcPr>
          <w:p w14:paraId="53A66B9C" w14:textId="77777777" w:rsidR="00F32433" w:rsidRPr="00F32433" w:rsidRDefault="00F32433" w:rsidP="00F32433">
            <w:pPr>
              <w:jc w:val="right"/>
              <w:rPr>
                <w:rFonts w:ascii="Arial Narrow" w:eastAsia="Times New Roman" w:hAnsi="Arial Narrow" w:cs="Times New Roman"/>
                <w:b/>
                <w:bCs/>
                <w:color w:val="000000"/>
                <w:sz w:val="18"/>
                <w:szCs w:val="18"/>
                <w:lang w:eastAsia="lv-LV"/>
              </w:rPr>
            </w:pPr>
            <w:r w:rsidRPr="00F32433">
              <w:rPr>
                <w:rFonts w:ascii="Arial Narrow" w:eastAsia="Times New Roman" w:hAnsi="Arial Narrow" w:cs="Times New Roman"/>
                <w:b/>
                <w:bCs/>
                <w:color w:val="000000"/>
                <w:sz w:val="18"/>
                <w:szCs w:val="18"/>
                <w:lang w:eastAsia="lv-LV"/>
              </w:rPr>
              <w:t>Zaļās tehnoloģijas</w:t>
            </w:r>
          </w:p>
        </w:tc>
        <w:tc>
          <w:tcPr>
            <w:tcW w:w="840" w:type="dxa"/>
            <w:vAlign w:val="bottom"/>
          </w:tcPr>
          <w:p w14:paraId="327B2E44"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519,39</w:t>
            </w:r>
          </w:p>
        </w:tc>
        <w:tc>
          <w:tcPr>
            <w:tcW w:w="851" w:type="dxa"/>
            <w:vAlign w:val="bottom"/>
          </w:tcPr>
          <w:p w14:paraId="3AAAC470"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502,06</w:t>
            </w:r>
          </w:p>
        </w:tc>
        <w:tc>
          <w:tcPr>
            <w:tcW w:w="850" w:type="dxa"/>
            <w:vAlign w:val="bottom"/>
          </w:tcPr>
          <w:p w14:paraId="443EDF71"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493,6</w:t>
            </w:r>
          </w:p>
        </w:tc>
        <w:tc>
          <w:tcPr>
            <w:tcW w:w="851" w:type="dxa"/>
            <w:vAlign w:val="bottom"/>
          </w:tcPr>
          <w:p w14:paraId="3B0EDB53"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4,5</w:t>
            </w:r>
          </w:p>
        </w:tc>
        <w:tc>
          <w:tcPr>
            <w:tcW w:w="861" w:type="dxa"/>
            <w:vAlign w:val="bottom"/>
          </w:tcPr>
          <w:p w14:paraId="4400E0DC"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4,2</w:t>
            </w:r>
          </w:p>
        </w:tc>
        <w:tc>
          <w:tcPr>
            <w:tcW w:w="850" w:type="dxa"/>
            <w:vAlign w:val="bottom"/>
          </w:tcPr>
          <w:p w14:paraId="70BF2C5D" w14:textId="77777777" w:rsidR="00F32433" w:rsidRPr="00F32433" w:rsidRDefault="00F32433" w:rsidP="00F32433">
            <w:pPr>
              <w:jc w:val="right"/>
              <w:rPr>
                <w:rFonts w:ascii="Arial Narrow" w:eastAsia="Times New Roman" w:hAnsi="Arial Narrow" w:cs="Times New Roman"/>
                <w:color w:val="000000"/>
                <w:sz w:val="18"/>
                <w:szCs w:val="18"/>
                <w:lang w:eastAsia="lv-LV"/>
              </w:rPr>
            </w:pPr>
            <w:r w:rsidRPr="00F32433">
              <w:rPr>
                <w:rFonts w:ascii="Arial Narrow" w:eastAsia="Times New Roman" w:hAnsi="Arial Narrow" w:cs="Times New Roman"/>
                <w:color w:val="000000"/>
                <w:sz w:val="18"/>
                <w:szCs w:val="18"/>
                <w:lang w:eastAsia="lv-LV"/>
              </w:rPr>
              <w:t>3,7</w:t>
            </w:r>
          </w:p>
        </w:tc>
      </w:tr>
    </w:tbl>
    <w:p w14:paraId="6F5ECE00" w14:textId="77777777" w:rsidR="00E9146D" w:rsidRPr="007A30C4" w:rsidRDefault="00E9146D" w:rsidP="00F32433">
      <w:pPr>
        <w:spacing w:after="240"/>
        <w:ind w:firstLine="720"/>
        <w:jc w:val="both"/>
        <w:rPr>
          <w:rFonts w:cs="Times New Roman"/>
          <w:i/>
          <w:color w:val="000000" w:themeColor="text1"/>
          <w:sz w:val="20"/>
          <w:szCs w:val="24"/>
        </w:rPr>
      </w:pPr>
      <w:r w:rsidRPr="007A30C4">
        <w:rPr>
          <w:rFonts w:cs="Times New Roman"/>
          <w:i/>
          <w:color w:val="000000" w:themeColor="text1"/>
          <w:sz w:val="20"/>
          <w:szCs w:val="24"/>
        </w:rPr>
        <w:t>Avots: Latvijas Banka</w:t>
      </w:r>
    </w:p>
    <w:p w14:paraId="2311BDA1" w14:textId="77777777" w:rsidR="00E9146D" w:rsidRPr="0095397B" w:rsidRDefault="00E9146D" w:rsidP="00F32433">
      <w:pPr>
        <w:spacing w:after="240"/>
        <w:ind w:firstLine="720"/>
        <w:jc w:val="both"/>
        <w:rPr>
          <w:rFonts w:cs="Times New Roman"/>
          <w:color w:val="000000" w:themeColor="text1"/>
          <w:sz w:val="24"/>
          <w:szCs w:val="24"/>
        </w:rPr>
      </w:pPr>
      <w:r w:rsidRPr="0095397B">
        <w:rPr>
          <w:rFonts w:cs="Times New Roman"/>
          <w:color w:val="000000" w:themeColor="text1"/>
          <w:sz w:val="24"/>
          <w:szCs w:val="24"/>
        </w:rPr>
        <w:t xml:space="preserve">Uzkrātās ĀTI Pamatnostādnēs </w:t>
      </w:r>
      <w:r w:rsidRPr="00550BB5">
        <w:rPr>
          <w:rFonts w:cs="Times New Roman"/>
          <w:color w:val="000000" w:themeColor="text1"/>
          <w:sz w:val="24"/>
          <w:szCs w:val="24"/>
        </w:rPr>
        <w:t>definētajos mērķa sektoros laika periodā no 2013. līdz 2015.gadam kopumā pieaugušas, savukārt pārtikas rūpniecība un zaļo tehnoloģiju nozaru grupas uzrāda kritumu uzkrāto ĀTI dinamikā.</w:t>
      </w:r>
      <w:r w:rsidRPr="0095397B">
        <w:rPr>
          <w:rFonts w:cs="Times New Roman"/>
          <w:color w:val="000000" w:themeColor="text1"/>
          <w:sz w:val="24"/>
          <w:szCs w:val="24"/>
        </w:rPr>
        <w:t xml:space="preserve"> Stabils pieaugums novērojams uzkrātajām ĀTI transporta un </w:t>
      </w:r>
      <w:r w:rsidRPr="0095397B">
        <w:rPr>
          <w:rFonts w:cs="Times New Roman"/>
          <w:color w:val="000000" w:themeColor="text1"/>
          <w:sz w:val="24"/>
          <w:szCs w:val="24"/>
        </w:rPr>
        <w:lastRenderedPageBreak/>
        <w:t>loģistikas sektorā – attiecīgi 4% un 8%, kā arī kokrūpniecības nozarēs – koksnes, koka izstrādājum</w:t>
      </w:r>
      <w:r>
        <w:rPr>
          <w:rFonts w:cs="Times New Roman"/>
          <w:color w:val="000000" w:themeColor="text1"/>
          <w:sz w:val="24"/>
          <w:szCs w:val="24"/>
        </w:rPr>
        <w:t>u</w:t>
      </w:r>
      <w:r w:rsidRPr="0095397B">
        <w:rPr>
          <w:rFonts w:cs="Times New Roman"/>
          <w:color w:val="000000" w:themeColor="text1"/>
          <w:sz w:val="24"/>
          <w:szCs w:val="24"/>
        </w:rPr>
        <w:t xml:space="preserve"> un mēbeļu ražošanas nozarēs – 9% un 14%. Uzkrātās ārvalstu tiešās investīcijas pieaugušas arī metālapstrādes un mašīnbūves sektorā, kas kopumā sastāda aptuveni 2% no kopējām ĀTI Latvijā. Salīdzinoši lēnāks investīciju pieaugums vērojams pārtikas rūpniecības sektorā, un arī šis sektors kopumā sastāda nelielu daļu no kopējām uzkrātajām ĀTI Latvijā – vidēji 1,7%. Būtiskākais kāpums uzkrāto ĀTI apjomā Latvijā vērojams IT un pakalpojumu biroju sektorā, kas, pieaudzis vairāk </w:t>
      </w:r>
      <w:r w:rsidR="00F32433">
        <w:rPr>
          <w:rFonts w:cs="Times New Roman"/>
          <w:color w:val="000000" w:themeColor="text1"/>
          <w:sz w:val="24"/>
          <w:szCs w:val="24"/>
        </w:rPr>
        <w:t>ne</w:t>
      </w:r>
      <w:r w:rsidRPr="0095397B">
        <w:rPr>
          <w:rFonts w:cs="Times New Roman"/>
          <w:color w:val="000000" w:themeColor="text1"/>
          <w:sz w:val="24"/>
          <w:szCs w:val="24"/>
        </w:rPr>
        <w:t xml:space="preserve">kā divas reizes </w:t>
      </w:r>
      <w:r w:rsidR="00F32433">
        <w:rPr>
          <w:rFonts w:cs="Times New Roman"/>
          <w:color w:val="000000" w:themeColor="text1"/>
          <w:sz w:val="24"/>
          <w:szCs w:val="24"/>
        </w:rPr>
        <w:t>kopš</w:t>
      </w:r>
      <w:r w:rsidRPr="0095397B">
        <w:rPr>
          <w:rFonts w:cs="Times New Roman"/>
          <w:color w:val="000000" w:themeColor="text1"/>
          <w:sz w:val="24"/>
          <w:szCs w:val="24"/>
        </w:rPr>
        <w:t xml:space="preserve"> 2013.gada.</w:t>
      </w:r>
      <w:r w:rsidR="00F32433">
        <w:rPr>
          <w:rFonts w:cs="Times New Roman"/>
          <w:color w:val="000000" w:themeColor="text1"/>
          <w:sz w:val="24"/>
          <w:szCs w:val="24"/>
        </w:rPr>
        <w:t xml:space="preserve"> </w:t>
      </w:r>
      <w:r w:rsidRPr="0095397B">
        <w:rPr>
          <w:rFonts w:cs="Times New Roman"/>
          <w:color w:val="000000" w:themeColor="text1"/>
          <w:sz w:val="24"/>
          <w:szCs w:val="24"/>
        </w:rPr>
        <w:t>Investīcijas dzīvības zinātņu</w:t>
      </w:r>
      <w:r w:rsidRPr="0095397B">
        <w:rPr>
          <w:rStyle w:val="FootnoteReference"/>
          <w:rFonts w:cs="Times New Roman"/>
          <w:color w:val="000000" w:themeColor="text1"/>
        </w:rPr>
        <w:footnoteReference w:id="3"/>
      </w:r>
      <w:r w:rsidRPr="0095397B">
        <w:rPr>
          <w:rFonts w:cs="Times New Roman"/>
          <w:color w:val="000000" w:themeColor="text1"/>
          <w:sz w:val="24"/>
          <w:szCs w:val="24"/>
        </w:rPr>
        <w:t xml:space="preserve"> un veselības aprūpes nozarēs veido vismazāko daļu no kopējām uzkrātajām ĀTI Pamatnostādņu prioritārajos sektoros, taču kopumā pārskata periodā ir samazinājušās. Līdzīgi uzkrātās ĀTI zaļo tehnoloģiju</w:t>
      </w:r>
      <w:r w:rsidRPr="0095397B">
        <w:rPr>
          <w:rStyle w:val="FootnoteReference"/>
          <w:rFonts w:cs="Times New Roman"/>
          <w:color w:val="000000" w:themeColor="text1"/>
        </w:rPr>
        <w:footnoteReference w:id="4"/>
      </w:r>
      <w:r w:rsidRPr="0095397B">
        <w:rPr>
          <w:rFonts w:cs="Times New Roman"/>
          <w:color w:val="000000" w:themeColor="text1"/>
          <w:sz w:val="24"/>
          <w:szCs w:val="24"/>
        </w:rPr>
        <w:t xml:space="preserve"> nozarēs samazinās pēdējo 3 gadu laikā, taču uzkrāto ĀTI īpatsvars ir lielākais no visiem 8 prioritārajiem sektoriem.</w:t>
      </w:r>
    </w:p>
    <w:p w14:paraId="7AA4850E" w14:textId="77777777" w:rsidR="008B71CF" w:rsidRPr="00DE0F41" w:rsidRDefault="00B44EF8" w:rsidP="00DE0F41">
      <w:pPr>
        <w:pStyle w:val="Heading2"/>
        <w:shd w:val="clear" w:color="auto" w:fill="009999"/>
        <w:rPr>
          <w:b/>
          <w:color w:val="FFFFFF" w:themeColor="background1"/>
        </w:rPr>
      </w:pPr>
      <w:bookmarkStart w:id="9" w:name="_Toc462740003"/>
      <w:r w:rsidRPr="00DE0F41">
        <w:rPr>
          <w:b/>
          <w:color w:val="FFFFFF" w:themeColor="background1"/>
        </w:rPr>
        <w:t xml:space="preserve">1.4. </w:t>
      </w:r>
      <w:r w:rsidR="008B71CF" w:rsidRPr="00DE0F41">
        <w:rPr>
          <w:b/>
          <w:color w:val="FFFFFF" w:themeColor="background1"/>
        </w:rPr>
        <w:t>Šķēršļi, kas kavē ārvalstu investīciju ienākšanu Latvijā</w:t>
      </w:r>
      <w:bookmarkEnd w:id="9"/>
    </w:p>
    <w:p w14:paraId="14915370" w14:textId="77777777" w:rsidR="00A0664A" w:rsidRPr="00396665" w:rsidRDefault="00A0664A" w:rsidP="008B71CF">
      <w:pPr>
        <w:spacing w:after="40"/>
        <w:jc w:val="both"/>
        <w:rPr>
          <w:rFonts w:cs="Times New Roman"/>
          <w:b/>
          <w:sz w:val="10"/>
          <w:szCs w:val="24"/>
        </w:rPr>
      </w:pPr>
    </w:p>
    <w:p w14:paraId="263AB227" w14:textId="77777777" w:rsidR="00CD2E57" w:rsidRDefault="0047485F" w:rsidP="00CD2E57">
      <w:pPr>
        <w:spacing w:after="40"/>
        <w:ind w:firstLine="284"/>
        <w:jc w:val="both"/>
        <w:rPr>
          <w:rFonts w:eastAsia="Times New Roman" w:cs="Times New Roman"/>
          <w:sz w:val="24"/>
          <w:szCs w:val="21"/>
        </w:rPr>
      </w:pPr>
      <w:r>
        <w:rPr>
          <w:rFonts w:eastAsia="Times New Roman" w:cs="Times New Roman"/>
          <w:sz w:val="24"/>
          <w:szCs w:val="21"/>
        </w:rPr>
        <w:t>Var tikt identificēti vairāki faktori, kas kavē ārvalstu ti</w:t>
      </w:r>
      <w:r w:rsidR="009764F9">
        <w:rPr>
          <w:rFonts w:eastAsia="Times New Roman" w:cs="Times New Roman"/>
          <w:sz w:val="24"/>
          <w:szCs w:val="21"/>
        </w:rPr>
        <w:t xml:space="preserve">ešo investīciju ieplūdi Latvijā – </w:t>
      </w:r>
      <w:r w:rsidR="00CD2E57">
        <w:rPr>
          <w:rFonts w:eastAsia="Times New Roman" w:cs="Times New Roman"/>
          <w:sz w:val="24"/>
          <w:szCs w:val="21"/>
        </w:rPr>
        <w:t xml:space="preserve">uzņēmējdarbības </w:t>
      </w:r>
      <w:r w:rsidR="009764F9">
        <w:rPr>
          <w:rFonts w:eastAsia="Times New Roman" w:cs="Times New Roman"/>
          <w:sz w:val="24"/>
          <w:szCs w:val="21"/>
        </w:rPr>
        <w:t>vide, darbaspēka pieejamība</w:t>
      </w:r>
      <w:r w:rsidR="00CD2E57">
        <w:rPr>
          <w:rFonts w:eastAsia="Times New Roman" w:cs="Times New Roman"/>
          <w:sz w:val="24"/>
          <w:szCs w:val="21"/>
        </w:rPr>
        <w:t xml:space="preserve">, </w:t>
      </w:r>
      <w:r w:rsidR="00CD2E57" w:rsidRPr="00CD2E57">
        <w:rPr>
          <w:rFonts w:eastAsia="Times New Roman" w:cs="Times New Roman"/>
          <w:sz w:val="24"/>
          <w:szCs w:val="21"/>
        </w:rPr>
        <w:t>augstais korupcijas un ēnu ekonomikas līmenis</w:t>
      </w:r>
      <w:r w:rsidR="00CD2E57">
        <w:rPr>
          <w:rFonts w:eastAsia="Times New Roman" w:cs="Times New Roman"/>
          <w:sz w:val="24"/>
          <w:szCs w:val="21"/>
        </w:rPr>
        <w:t xml:space="preserve">, kā arī </w:t>
      </w:r>
      <w:r w:rsidR="00CD2E57" w:rsidRPr="00CD2E57">
        <w:rPr>
          <w:rFonts w:eastAsia="Times New Roman" w:cs="Times New Roman"/>
          <w:sz w:val="24"/>
          <w:szCs w:val="21"/>
        </w:rPr>
        <w:t>ģeopolitiskaj</w:t>
      </w:r>
      <w:r w:rsidR="00CD2E57">
        <w:rPr>
          <w:rFonts w:eastAsia="Times New Roman" w:cs="Times New Roman"/>
          <w:sz w:val="24"/>
          <w:szCs w:val="21"/>
        </w:rPr>
        <w:t>ā</w:t>
      </w:r>
      <w:r w:rsidR="00CD2E57" w:rsidRPr="00CD2E57">
        <w:rPr>
          <w:rFonts w:eastAsia="Times New Roman" w:cs="Times New Roman"/>
          <w:sz w:val="24"/>
          <w:szCs w:val="21"/>
        </w:rPr>
        <w:t xml:space="preserve"> situācijai reģionā</w:t>
      </w:r>
      <w:r w:rsidR="00CD2E57">
        <w:rPr>
          <w:rFonts w:eastAsia="Times New Roman" w:cs="Times New Roman"/>
          <w:sz w:val="24"/>
          <w:szCs w:val="21"/>
        </w:rPr>
        <w:t>, kas citā starpā ietekmē investīciju plūsmas.</w:t>
      </w:r>
    </w:p>
    <w:p w14:paraId="34D13A11" w14:textId="77777777" w:rsidR="0064037A" w:rsidRDefault="0047485F" w:rsidP="0084141C">
      <w:pPr>
        <w:ind w:firstLine="284"/>
        <w:jc w:val="both"/>
        <w:rPr>
          <w:rFonts w:eastAsia="Times New Roman" w:cs="Times New Roman"/>
          <w:sz w:val="24"/>
          <w:szCs w:val="21"/>
        </w:rPr>
      </w:pPr>
      <w:r>
        <w:rPr>
          <w:rFonts w:eastAsia="Times New Roman" w:cs="Times New Roman"/>
          <w:sz w:val="24"/>
          <w:szCs w:val="21"/>
        </w:rPr>
        <w:t xml:space="preserve">  </w:t>
      </w:r>
      <w:r w:rsidR="0064037A" w:rsidRPr="008B71CF">
        <w:rPr>
          <w:rFonts w:eastAsia="Times New Roman" w:cs="Times New Roman"/>
          <w:sz w:val="24"/>
          <w:szCs w:val="21"/>
        </w:rPr>
        <w:t xml:space="preserve">Viens no priekšnosacījumiem investīciju piesaistē ir </w:t>
      </w:r>
      <w:r w:rsidR="0064037A" w:rsidRPr="00D7361F">
        <w:rPr>
          <w:rFonts w:eastAsia="Times New Roman" w:cs="Times New Roman"/>
          <w:b/>
          <w:sz w:val="24"/>
          <w:szCs w:val="21"/>
        </w:rPr>
        <w:t>stabila un investoriem labvēlīga uzņēmējdarbības vide</w:t>
      </w:r>
      <w:r w:rsidR="0064037A" w:rsidRPr="008B71CF">
        <w:rPr>
          <w:rFonts w:eastAsia="Times New Roman" w:cs="Times New Roman"/>
          <w:sz w:val="24"/>
          <w:szCs w:val="21"/>
        </w:rPr>
        <w:t xml:space="preserve">. </w:t>
      </w:r>
      <w:r w:rsidR="0064037A" w:rsidRPr="00D7361F">
        <w:rPr>
          <w:rFonts w:eastAsia="Times New Roman" w:cs="Times New Roman"/>
          <w:sz w:val="24"/>
          <w:szCs w:val="21"/>
        </w:rPr>
        <w:t>Lai sakārtotu uzņēmējdarbības normatīvo regulējumu, Latvijā kopš 1999.gada tiek veikts darbs pie mērķtiecīgu pasākumu izstrādes un īstenošanas, kā rezultātā Ekonomikas ministrija</w:t>
      </w:r>
      <w:r w:rsidR="0064037A">
        <w:rPr>
          <w:rFonts w:eastAsia="Times New Roman" w:cs="Times New Roman"/>
          <w:sz w:val="24"/>
          <w:szCs w:val="21"/>
        </w:rPr>
        <w:t>,</w:t>
      </w:r>
      <w:r w:rsidR="0064037A" w:rsidRPr="00D7361F">
        <w:rPr>
          <w:rFonts w:eastAsia="Times New Roman" w:cs="Times New Roman"/>
          <w:sz w:val="24"/>
          <w:szCs w:val="21"/>
        </w:rPr>
        <w:t xml:space="preserve"> sadarbojoties gan ar valsts iestāžu augstākajām amatpersonām, gan </w:t>
      </w:r>
      <w:r w:rsidR="0064037A">
        <w:rPr>
          <w:rFonts w:eastAsia="Times New Roman" w:cs="Times New Roman"/>
          <w:sz w:val="24"/>
          <w:szCs w:val="21"/>
        </w:rPr>
        <w:t>LDDK</w:t>
      </w:r>
      <w:r w:rsidR="0064037A" w:rsidRPr="00D7361F">
        <w:rPr>
          <w:rFonts w:eastAsia="Times New Roman" w:cs="Times New Roman"/>
          <w:sz w:val="24"/>
          <w:szCs w:val="21"/>
        </w:rPr>
        <w:t xml:space="preserve">, </w:t>
      </w:r>
      <w:r w:rsidR="0064037A">
        <w:rPr>
          <w:rFonts w:eastAsia="Times New Roman" w:cs="Times New Roman"/>
          <w:sz w:val="24"/>
          <w:szCs w:val="21"/>
        </w:rPr>
        <w:t>LTRK</w:t>
      </w:r>
      <w:r w:rsidR="0064037A" w:rsidRPr="00D7361F">
        <w:rPr>
          <w:rFonts w:eastAsia="Times New Roman" w:cs="Times New Roman"/>
          <w:sz w:val="24"/>
          <w:szCs w:val="21"/>
        </w:rPr>
        <w:t xml:space="preserve">, gan </w:t>
      </w:r>
      <w:r w:rsidR="0064037A">
        <w:rPr>
          <w:rFonts w:eastAsia="Times New Roman" w:cs="Times New Roman"/>
          <w:sz w:val="24"/>
          <w:szCs w:val="21"/>
        </w:rPr>
        <w:t>ĀIPL</w:t>
      </w:r>
      <w:r w:rsidR="0064037A" w:rsidRPr="00D7361F">
        <w:rPr>
          <w:rFonts w:eastAsia="Times New Roman" w:cs="Times New Roman"/>
          <w:sz w:val="24"/>
          <w:szCs w:val="21"/>
        </w:rPr>
        <w:t xml:space="preserve"> ekspertiem izstrādā Uzņēmējdarbības vides uzlabošanas pasākuma plānu</w:t>
      </w:r>
      <w:r w:rsidR="0064037A">
        <w:rPr>
          <w:rFonts w:eastAsia="Times New Roman" w:cs="Times New Roman"/>
          <w:sz w:val="24"/>
          <w:szCs w:val="21"/>
        </w:rPr>
        <w:t>.</w:t>
      </w:r>
      <w:r w:rsidR="0064037A" w:rsidRPr="00D7361F">
        <w:rPr>
          <w:rFonts w:eastAsia="Times New Roman" w:cs="Times New Roman"/>
          <w:sz w:val="24"/>
          <w:szCs w:val="21"/>
        </w:rPr>
        <w:t xml:space="preserve"> </w:t>
      </w:r>
      <w:r w:rsidR="0064037A">
        <w:rPr>
          <w:rFonts w:eastAsia="Times New Roman" w:cs="Times New Roman"/>
          <w:sz w:val="24"/>
          <w:szCs w:val="21"/>
        </w:rPr>
        <w:t>Uzņēmējdarbības vidi kā būtisku priekšnosacījumu ATI piesaistē norāda arī ĀIPL, īpaši uzsverot maksātnespējas procesa nesakārtotību</w:t>
      </w:r>
      <w:r w:rsidR="0064037A">
        <w:rPr>
          <w:rStyle w:val="FootnoteReference"/>
          <w:rFonts w:eastAsia="Times New Roman" w:cs="Times New Roman"/>
          <w:sz w:val="24"/>
          <w:szCs w:val="21"/>
        </w:rPr>
        <w:footnoteReference w:id="5"/>
      </w:r>
      <w:r w:rsidR="0064037A">
        <w:rPr>
          <w:rFonts w:eastAsia="Times New Roman" w:cs="Times New Roman"/>
          <w:sz w:val="24"/>
          <w:szCs w:val="21"/>
        </w:rPr>
        <w:t xml:space="preserve">, līgumsaistību izpildi, kā arī investoru aizsardzību.  </w:t>
      </w:r>
    </w:p>
    <w:p w14:paraId="59AD64FB" w14:textId="77777777" w:rsidR="0064037A" w:rsidRDefault="0064037A" w:rsidP="00B62C69">
      <w:pPr>
        <w:ind w:firstLine="720"/>
        <w:jc w:val="both"/>
        <w:rPr>
          <w:sz w:val="24"/>
          <w:szCs w:val="24"/>
        </w:rPr>
      </w:pPr>
      <w:r w:rsidRPr="008B71CF">
        <w:rPr>
          <w:sz w:val="24"/>
          <w:szCs w:val="24"/>
        </w:rPr>
        <w:t>Pamatnostādņu starpposma izvērtējuma periodā Ekonomikas ministrijas sadarbībā ar nozaru ministrijām Uzņēmējdarbības vides pasākumu plāna ietvaros kopš 2013.gada ir veikusi nozīmīgus pasākumus:</w:t>
      </w:r>
    </w:p>
    <w:tbl>
      <w:tblPr>
        <w:tblStyle w:val="TableGrid"/>
        <w:tblW w:w="5000" w:type="pct"/>
        <w:shd w:val="clear" w:color="auto" w:fill="D9D9D9" w:themeFill="background1" w:themeFillShade="D9"/>
        <w:tblLook w:val="04A0" w:firstRow="1" w:lastRow="0" w:firstColumn="1" w:lastColumn="0" w:noHBand="0" w:noVBand="1"/>
      </w:tblPr>
      <w:tblGrid>
        <w:gridCol w:w="9771"/>
      </w:tblGrid>
      <w:tr w:rsidR="0064037A" w:rsidRPr="009E69DC" w14:paraId="769F0882" w14:textId="77777777" w:rsidTr="0064037A">
        <w:tc>
          <w:tcPr>
            <w:tcW w:w="5000" w:type="pct"/>
            <w:shd w:val="clear" w:color="auto" w:fill="D9D9D9" w:themeFill="background1" w:themeFillShade="D9"/>
          </w:tcPr>
          <w:p w14:paraId="6C07E3F9" w14:textId="77777777" w:rsidR="0064037A" w:rsidRPr="00D024B4" w:rsidRDefault="0064037A" w:rsidP="0064037A">
            <w:pPr>
              <w:jc w:val="both"/>
              <w:rPr>
                <w:b/>
                <w:sz w:val="18"/>
                <w:szCs w:val="24"/>
              </w:rPr>
            </w:pPr>
            <w:r w:rsidRPr="00D024B4">
              <w:rPr>
                <w:b/>
                <w:sz w:val="18"/>
                <w:szCs w:val="24"/>
              </w:rPr>
              <w:t>Uzņēmējdarbības uzsākšanas jomā:</w:t>
            </w:r>
          </w:p>
          <w:p w14:paraId="05C1ABCA" w14:textId="77777777" w:rsidR="0064037A" w:rsidRPr="00D024B4" w:rsidRDefault="0064037A" w:rsidP="0064037A">
            <w:pPr>
              <w:jc w:val="both"/>
              <w:rPr>
                <w:sz w:val="18"/>
                <w:szCs w:val="24"/>
              </w:rPr>
            </w:pPr>
            <w:r>
              <w:rPr>
                <w:sz w:val="18"/>
                <w:szCs w:val="24"/>
              </w:rPr>
              <w:t xml:space="preserve">-  </w:t>
            </w:r>
            <w:r w:rsidRPr="00D024B4">
              <w:rPr>
                <w:sz w:val="18"/>
                <w:szCs w:val="24"/>
              </w:rPr>
              <w:t>samazinātas nodevas uzņēmumu reģistrācijai;</w:t>
            </w:r>
          </w:p>
          <w:p w14:paraId="71E8203F" w14:textId="77777777" w:rsidR="0064037A" w:rsidRPr="00D024B4" w:rsidRDefault="0064037A" w:rsidP="0064037A">
            <w:pPr>
              <w:jc w:val="both"/>
              <w:rPr>
                <w:sz w:val="18"/>
                <w:szCs w:val="24"/>
              </w:rPr>
            </w:pPr>
            <w:r w:rsidRPr="00D024B4">
              <w:rPr>
                <w:sz w:val="18"/>
                <w:szCs w:val="24"/>
              </w:rPr>
              <w:t>-</w:t>
            </w:r>
            <w:r>
              <w:rPr>
                <w:sz w:val="18"/>
                <w:szCs w:val="24"/>
              </w:rPr>
              <w:t xml:space="preserve"> mikro</w:t>
            </w:r>
            <w:r w:rsidRPr="009E69DC">
              <w:rPr>
                <w:sz w:val="18"/>
                <w:szCs w:val="24"/>
              </w:rPr>
              <w:t>uzņēmumu</w:t>
            </w:r>
            <w:r w:rsidRPr="00D024B4">
              <w:rPr>
                <w:sz w:val="18"/>
                <w:szCs w:val="24"/>
              </w:rPr>
              <w:t xml:space="preserve"> nodokļa maksātājam, reģistrējot uzņēmumu UR, vairs nevajag VID sniegt atsevišķi ziņas par darba ņēmēja statusa iegūšanu;</w:t>
            </w:r>
          </w:p>
          <w:p w14:paraId="712A161B"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atcelta uzņēmumu reģistrācijas apliecību izsniegšana u.c.</w:t>
            </w:r>
          </w:p>
        </w:tc>
      </w:tr>
      <w:tr w:rsidR="0064037A" w:rsidRPr="009E69DC" w14:paraId="427769AC" w14:textId="77777777" w:rsidTr="0064037A">
        <w:tc>
          <w:tcPr>
            <w:tcW w:w="5000" w:type="pct"/>
            <w:shd w:val="clear" w:color="auto" w:fill="D9D9D9" w:themeFill="background1" w:themeFillShade="D9"/>
          </w:tcPr>
          <w:p w14:paraId="4E16696C" w14:textId="77777777" w:rsidR="0064037A" w:rsidRPr="00D024B4" w:rsidRDefault="0064037A" w:rsidP="0064037A">
            <w:pPr>
              <w:jc w:val="both"/>
              <w:rPr>
                <w:b/>
                <w:sz w:val="18"/>
                <w:szCs w:val="24"/>
              </w:rPr>
            </w:pPr>
            <w:r w:rsidRPr="00D024B4">
              <w:rPr>
                <w:b/>
                <w:sz w:val="18"/>
                <w:szCs w:val="24"/>
              </w:rPr>
              <w:t>Būvatļauju saņemšana un nekustamā īpašuma reģistrēšana:</w:t>
            </w:r>
          </w:p>
          <w:p w14:paraId="4CD73A5C"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stājies spēkā Būvniecības likums un apstiprināti ar jauno būvniecības regulējumu saistītie MK noteikumi, kas būtiski maina līdzšinējo būvniecības kārtību;</w:t>
            </w:r>
          </w:p>
          <w:p w14:paraId="77E6CB5D"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pabeigta Būvniecības informācijas sistēmas izstrāde un uzsākta e – pakalpojuma konfigurācija;</w:t>
            </w:r>
          </w:p>
          <w:p w14:paraId="6C1496DC"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 xml:space="preserve">izveidots Būvniecības valsts kontroles birojs, uzsākta publisko ēku ekspluatācijas uzraudzība, būvdarbu kontrole un pieņemšana ekspluatācijā; </w:t>
            </w:r>
          </w:p>
          <w:p w14:paraId="6CEC5B4C"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ieviesta elektroniskā nekustamā īpašuma reģistrēšana un nodrošināta vienas pieturas aģentūras principa ieviešana nekustamā īpašuma reģistrēšanas procesā.</w:t>
            </w:r>
          </w:p>
        </w:tc>
      </w:tr>
      <w:tr w:rsidR="0064037A" w:rsidRPr="009E69DC" w14:paraId="7D86F459" w14:textId="77777777" w:rsidTr="0064037A">
        <w:tc>
          <w:tcPr>
            <w:tcW w:w="5000" w:type="pct"/>
            <w:shd w:val="clear" w:color="auto" w:fill="D9D9D9" w:themeFill="background1" w:themeFillShade="D9"/>
          </w:tcPr>
          <w:p w14:paraId="7A1DB715" w14:textId="77777777" w:rsidR="0064037A" w:rsidRPr="00D024B4" w:rsidRDefault="0064037A" w:rsidP="0064037A">
            <w:pPr>
              <w:jc w:val="both"/>
              <w:rPr>
                <w:b/>
                <w:sz w:val="18"/>
                <w:szCs w:val="24"/>
              </w:rPr>
            </w:pPr>
            <w:r w:rsidRPr="00D024B4">
              <w:rPr>
                <w:b/>
                <w:sz w:val="18"/>
                <w:szCs w:val="24"/>
              </w:rPr>
              <w:t>Nodokļu un grāmatvedības jomā:</w:t>
            </w:r>
          </w:p>
          <w:p w14:paraId="6105AB65"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ieviesta elektroniskās algas nodokļu grāmatiņa un nodrošināta vienkāršotu nodokļu deklarēšanas formu aizpildīšana elektroniskās deklarēšanas sistēmā;</w:t>
            </w:r>
          </w:p>
          <w:p w14:paraId="318D2AD1"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pieņemts jauns Gada pārskatu un konsolidēto gada pārskatu likums;</w:t>
            </w:r>
          </w:p>
          <w:p w14:paraId="0FB067B3"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pieņemts lēmums par nodokļu maksājumu ieviešanu pēc FIFO metodes un viena konta ieviešanu visiem nodokļu maksājumiem.</w:t>
            </w:r>
          </w:p>
        </w:tc>
      </w:tr>
      <w:tr w:rsidR="0064037A" w:rsidRPr="009E69DC" w14:paraId="528033E0" w14:textId="77777777" w:rsidTr="0064037A">
        <w:tc>
          <w:tcPr>
            <w:tcW w:w="5000" w:type="pct"/>
            <w:shd w:val="clear" w:color="auto" w:fill="D9D9D9" w:themeFill="background1" w:themeFillShade="D9"/>
          </w:tcPr>
          <w:p w14:paraId="3D58EE9F" w14:textId="77777777" w:rsidR="0064037A" w:rsidRPr="00D024B4" w:rsidRDefault="0064037A" w:rsidP="0064037A">
            <w:pPr>
              <w:jc w:val="both"/>
              <w:rPr>
                <w:b/>
                <w:sz w:val="18"/>
                <w:szCs w:val="24"/>
              </w:rPr>
            </w:pPr>
            <w:r w:rsidRPr="00D024B4">
              <w:rPr>
                <w:b/>
                <w:sz w:val="18"/>
                <w:szCs w:val="24"/>
              </w:rPr>
              <w:t>Līgumsaistību izpildē:</w:t>
            </w:r>
          </w:p>
          <w:p w14:paraId="17C72002"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nodrošināta iespēja personām iepazīties ar tiesvedības gaitas datiem un tiesu nolēmumiem tiešsaistē;</w:t>
            </w:r>
          </w:p>
          <w:p w14:paraId="4D23A2D3"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stājies spēkā Šķīrējtiesu likums, kas nosaka šķīrējtiesu izveidošanas kārtību un darbības pamatprincipus, lai nodrošinātu civiltiesisku strīdu efektīvu un taisnīgu izšķiršanu šķīrējtiesā;</w:t>
            </w:r>
          </w:p>
          <w:p w14:paraId="6B2A5809"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stājušies spēkā grozījumi Civilprocesa likumā, kas paredz ieviest vienotu elektronisko izsoļu modeli spriedumu izpildes un maksātnespējas procesā.</w:t>
            </w:r>
          </w:p>
        </w:tc>
      </w:tr>
      <w:tr w:rsidR="0064037A" w:rsidRPr="009E69DC" w14:paraId="6E509ADE" w14:textId="77777777" w:rsidTr="0064037A">
        <w:tc>
          <w:tcPr>
            <w:tcW w:w="5000" w:type="pct"/>
            <w:shd w:val="clear" w:color="auto" w:fill="D9D9D9" w:themeFill="background1" w:themeFillShade="D9"/>
          </w:tcPr>
          <w:p w14:paraId="1B52F3B7" w14:textId="77777777" w:rsidR="0064037A" w:rsidRPr="00D024B4" w:rsidRDefault="0064037A" w:rsidP="0064037A">
            <w:pPr>
              <w:jc w:val="both"/>
              <w:rPr>
                <w:b/>
                <w:sz w:val="18"/>
                <w:szCs w:val="24"/>
              </w:rPr>
            </w:pPr>
            <w:r w:rsidRPr="00D024B4">
              <w:rPr>
                <w:b/>
                <w:sz w:val="18"/>
                <w:szCs w:val="24"/>
              </w:rPr>
              <w:t>Uzņēmējdarbības izbeigšanā:</w:t>
            </w:r>
          </w:p>
          <w:p w14:paraId="585C7711" w14:textId="77777777" w:rsidR="0064037A" w:rsidRPr="00D024B4" w:rsidRDefault="0064037A" w:rsidP="0064037A">
            <w:pPr>
              <w:jc w:val="both"/>
              <w:rPr>
                <w:sz w:val="18"/>
                <w:szCs w:val="24"/>
              </w:rPr>
            </w:pPr>
            <w:r w:rsidRPr="00D024B4">
              <w:rPr>
                <w:sz w:val="18"/>
                <w:szCs w:val="24"/>
              </w:rPr>
              <w:t>-</w:t>
            </w:r>
            <w:r>
              <w:rPr>
                <w:sz w:val="18"/>
                <w:szCs w:val="24"/>
              </w:rPr>
              <w:t xml:space="preserve"> </w:t>
            </w:r>
            <w:r w:rsidRPr="00D024B4">
              <w:rPr>
                <w:sz w:val="18"/>
                <w:szCs w:val="24"/>
              </w:rPr>
              <w:t>stājušies spēkā grozījumi Maksātnespējas likumā, kas paredz tiesiskā regulējuma pilnveidošanu, lai novērstu praksē konstatētās problēmas, kas saistītas ar Maksātnespējas likuma piemērošanu.</w:t>
            </w:r>
          </w:p>
        </w:tc>
      </w:tr>
    </w:tbl>
    <w:p w14:paraId="255232BB" w14:textId="77777777" w:rsidR="0064037A" w:rsidRDefault="0064037A" w:rsidP="00617DFE">
      <w:pPr>
        <w:spacing w:before="240"/>
        <w:ind w:firstLine="720"/>
        <w:jc w:val="both"/>
        <w:rPr>
          <w:rFonts w:eastAsia="Times New Roman" w:cs="Times New Roman"/>
          <w:sz w:val="24"/>
          <w:szCs w:val="21"/>
        </w:rPr>
      </w:pPr>
      <w:r w:rsidRPr="00D7361F">
        <w:rPr>
          <w:rFonts w:eastAsia="Times New Roman" w:cs="Times New Roman"/>
          <w:sz w:val="24"/>
          <w:szCs w:val="21"/>
        </w:rPr>
        <w:lastRenderedPageBreak/>
        <w:t xml:space="preserve">Turpinot </w:t>
      </w:r>
      <w:r>
        <w:rPr>
          <w:rFonts w:eastAsia="Times New Roman" w:cs="Times New Roman"/>
          <w:sz w:val="24"/>
          <w:szCs w:val="21"/>
        </w:rPr>
        <w:t xml:space="preserve">īstenojamās </w:t>
      </w:r>
      <w:r w:rsidRPr="00D7361F">
        <w:rPr>
          <w:rFonts w:eastAsia="Times New Roman" w:cs="Times New Roman"/>
          <w:sz w:val="24"/>
          <w:szCs w:val="21"/>
        </w:rPr>
        <w:t>reform</w:t>
      </w:r>
      <w:r>
        <w:rPr>
          <w:rFonts w:eastAsia="Times New Roman" w:cs="Times New Roman"/>
          <w:sz w:val="24"/>
          <w:szCs w:val="21"/>
        </w:rPr>
        <w:t>as</w:t>
      </w:r>
      <w:r w:rsidRPr="00D7361F">
        <w:rPr>
          <w:rFonts w:eastAsia="Times New Roman" w:cs="Times New Roman"/>
          <w:sz w:val="24"/>
          <w:szCs w:val="21"/>
        </w:rPr>
        <w:t xml:space="preserve">, </w:t>
      </w:r>
      <w:r>
        <w:rPr>
          <w:rFonts w:eastAsia="Times New Roman" w:cs="Times New Roman"/>
          <w:sz w:val="24"/>
          <w:szCs w:val="21"/>
        </w:rPr>
        <w:t>EM</w:t>
      </w:r>
      <w:r w:rsidRPr="00D7361F">
        <w:rPr>
          <w:rFonts w:eastAsia="Times New Roman" w:cs="Times New Roman"/>
          <w:sz w:val="24"/>
          <w:szCs w:val="21"/>
        </w:rPr>
        <w:t xml:space="preserve"> </w:t>
      </w:r>
      <w:r>
        <w:rPr>
          <w:rFonts w:eastAsia="Times New Roman" w:cs="Times New Roman"/>
          <w:sz w:val="24"/>
          <w:szCs w:val="21"/>
        </w:rPr>
        <w:t>ir MK iesniegusi “</w:t>
      </w:r>
      <w:r w:rsidRPr="00D7361F">
        <w:rPr>
          <w:rFonts w:eastAsia="Times New Roman" w:cs="Times New Roman"/>
          <w:sz w:val="24"/>
          <w:szCs w:val="21"/>
        </w:rPr>
        <w:t>Uzņēmējdarbības</w:t>
      </w:r>
      <w:r>
        <w:rPr>
          <w:rFonts w:eastAsia="Times New Roman" w:cs="Times New Roman"/>
          <w:sz w:val="24"/>
          <w:szCs w:val="21"/>
        </w:rPr>
        <w:t xml:space="preserve"> vides uzlabošanas plānu </w:t>
      </w:r>
      <w:r w:rsidRPr="00D7361F">
        <w:rPr>
          <w:rFonts w:eastAsia="Times New Roman" w:cs="Times New Roman"/>
          <w:sz w:val="24"/>
          <w:szCs w:val="21"/>
        </w:rPr>
        <w:t>2016.-2018.gadam</w:t>
      </w:r>
      <w:r>
        <w:rPr>
          <w:rFonts w:eastAsia="Times New Roman" w:cs="Times New Roman"/>
          <w:sz w:val="24"/>
          <w:szCs w:val="21"/>
        </w:rPr>
        <w:t xml:space="preserve">”, kura </w:t>
      </w:r>
      <w:r w:rsidRPr="00D7361F">
        <w:rPr>
          <w:rFonts w:eastAsia="Times New Roman" w:cs="Times New Roman"/>
          <w:sz w:val="24"/>
          <w:szCs w:val="21"/>
        </w:rPr>
        <w:t xml:space="preserve">ir iekļauti 90 pasākumi, lai atbilstoši </w:t>
      </w:r>
      <w:r>
        <w:rPr>
          <w:rFonts w:eastAsia="Times New Roman" w:cs="Times New Roman"/>
          <w:sz w:val="24"/>
          <w:szCs w:val="21"/>
        </w:rPr>
        <w:t>D</w:t>
      </w:r>
      <w:r w:rsidRPr="00D7361F">
        <w:rPr>
          <w:rFonts w:eastAsia="Times New Roman" w:cs="Times New Roman"/>
          <w:sz w:val="24"/>
          <w:szCs w:val="21"/>
        </w:rPr>
        <w:t>eklarācijas par Māra Kučinska vadītā Ministru kabineta iecerēto darbību un Latvijas Nacionālās attīstības plānā 2014.-2020.gadam izvirzītajiem prioritātēm sasniegt</w:t>
      </w:r>
      <w:r>
        <w:rPr>
          <w:rFonts w:eastAsia="Times New Roman" w:cs="Times New Roman"/>
          <w:sz w:val="24"/>
          <w:szCs w:val="21"/>
        </w:rPr>
        <w:t xml:space="preserve">u izcilu uzņēmējdarbības vidi. Vienlaikus </w:t>
      </w:r>
      <w:r w:rsidRPr="00D7361F">
        <w:rPr>
          <w:rFonts w:eastAsia="Times New Roman" w:cs="Times New Roman"/>
          <w:sz w:val="24"/>
          <w:szCs w:val="21"/>
        </w:rPr>
        <w:t xml:space="preserve">2016.gada 6. septembrī Ministru kabinets atbalstīja Tieslietu ministrijas sagatavotās Maksātnespējas politikas attīstības pamatnostādnes 2016.-2020. gadam un to īstenošanas plānu, kas paredz </w:t>
      </w:r>
      <w:r>
        <w:rPr>
          <w:rFonts w:eastAsia="Times New Roman" w:cs="Times New Roman"/>
          <w:sz w:val="24"/>
          <w:szCs w:val="21"/>
        </w:rPr>
        <w:t>būtiskas reformas maksātnespējas procesa sakārtošanai.</w:t>
      </w:r>
    </w:p>
    <w:p w14:paraId="5365D00D" w14:textId="0BE2398F" w:rsidR="0064037A" w:rsidRPr="00C15182" w:rsidRDefault="0064037A" w:rsidP="007111B1">
      <w:pPr>
        <w:ind w:firstLine="720"/>
        <w:jc w:val="both"/>
        <w:rPr>
          <w:rFonts w:eastAsia="Times New Roman" w:cs="Times New Roman"/>
          <w:sz w:val="24"/>
          <w:szCs w:val="24"/>
        </w:rPr>
      </w:pPr>
      <w:r w:rsidRPr="00C15182">
        <w:rPr>
          <w:rFonts w:eastAsia="Times New Roman" w:cs="Times New Roman"/>
          <w:sz w:val="24"/>
          <w:szCs w:val="24"/>
        </w:rPr>
        <w:t>Uzņēmējdarbības vides uzlabošana kā viens no rīcības virzieniem identificēts arī informatīvā ziņojuma 2.pielikuma “Latvijas preču un pakalpojumu eksporta veicināšanas un ārvalstu investīciju piesaistes pamatnostādnēs paredzēto uzdevumu un pasākumu plāns 2016.-2019.gadam” (turpmāk – pasākumu plāns 2016.-2019.gadam) 3.1.1. punktā.</w:t>
      </w:r>
    </w:p>
    <w:tbl>
      <w:tblPr>
        <w:tblStyle w:val="TableGrid"/>
        <w:tblpPr w:leftFromText="180" w:rightFromText="180" w:vertAnchor="page" w:horzAnchor="margin" w:tblpXSpec="right" w:tblpY="4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5"/>
      </w:tblGrid>
      <w:tr w:rsidR="00617DFE" w:rsidRPr="00C15182" w14:paraId="78368760" w14:textId="77777777" w:rsidTr="00617DFE">
        <w:trPr>
          <w:trHeight w:val="471"/>
        </w:trPr>
        <w:tc>
          <w:tcPr>
            <w:tcW w:w="6585" w:type="dxa"/>
          </w:tcPr>
          <w:p w14:paraId="03EB62B6" w14:textId="6FA10BA6" w:rsidR="00617DFE" w:rsidRPr="00C15182" w:rsidRDefault="00617DFE" w:rsidP="007111B1">
            <w:pPr>
              <w:jc w:val="center"/>
              <w:rPr>
                <w:rFonts w:cs="Times New Roman"/>
                <w:sz w:val="20"/>
                <w:szCs w:val="20"/>
              </w:rPr>
            </w:pPr>
            <w:r w:rsidRPr="00C15182">
              <w:rPr>
                <w:rFonts w:ascii="Arial Narrow" w:hAnsi="Arial Narrow"/>
                <w:b/>
                <w:sz w:val="20"/>
                <w:szCs w:val="20"/>
              </w:rPr>
              <w:t xml:space="preserve">Latvijas un ES dalībvalstu vietas Pasaules Bankas pētījumā </w:t>
            </w:r>
            <w:r w:rsidRPr="00E72E68">
              <w:rPr>
                <w:rFonts w:ascii="Arial Narrow" w:hAnsi="Arial Narrow"/>
                <w:b/>
                <w:i/>
                <w:sz w:val="20"/>
                <w:szCs w:val="20"/>
              </w:rPr>
              <w:t>Doing Business</w:t>
            </w:r>
            <w:r w:rsidRPr="00C15182">
              <w:rPr>
                <w:rFonts w:ascii="Arial Narrow" w:hAnsi="Arial Narrow"/>
                <w:b/>
                <w:sz w:val="20"/>
                <w:szCs w:val="20"/>
              </w:rPr>
              <w:t xml:space="preserve"> 201</w:t>
            </w:r>
            <w:r w:rsidR="00E72E68">
              <w:rPr>
                <w:rFonts w:ascii="Arial Narrow" w:hAnsi="Arial Narrow"/>
                <w:b/>
                <w:sz w:val="20"/>
                <w:szCs w:val="20"/>
              </w:rPr>
              <w:t>7</w:t>
            </w:r>
            <w:r w:rsidRPr="00C15182">
              <w:rPr>
                <w:rFonts w:ascii="Arial Narrow" w:hAnsi="Arial Narrow"/>
                <w:b/>
                <w:sz w:val="20"/>
                <w:szCs w:val="20"/>
              </w:rPr>
              <w:t xml:space="preserve">, </w:t>
            </w:r>
            <w:r w:rsidRPr="00C15182">
              <w:rPr>
                <w:rFonts w:ascii="Arial Narrow" w:hAnsi="Arial Narrow"/>
                <w:sz w:val="20"/>
                <w:szCs w:val="20"/>
              </w:rPr>
              <w:t>uzņēmējdarbības vide kopumā</w:t>
            </w:r>
          </w:p>
        </w:tc>
      </w:tr>
      <w:tr w:rsidR="00617DFE" w:rsidRPr="00C15182" w14:paraId="63383B1D" w14:textId="77777777" w:rsidTr="00617DFE">
        <w:trPr>
          <w:trHeight w:val="2172"/>
        </w:trPr>
        <w:tc>
          <w:tcPr>
            <w:tcW w:w="6585" w:type="dxa"/>
          </w:tcPr>
          <w:p w14:paraId="5EF474F8" w14:textId="77777777" w:rsidR="00617DFE" w:rsidRPr="00C15182" w:rsidRDefault="00617DFE" w:rsidP="007111B1">
            <w:pPr>
              <w:jc w:val="both"/>
              <w:rPr>
                <w:rFonts w:cs="Times New Roman"/>
                <w:sz w:val="24"/>
                <w:szCs w:val="24"/>
              </w:rPr>
            </w:pPr>
            <w:r w:rsidRPr="00C15182">
              <w:rPr>
                <w:rFonts w:ascii="Candara" w:hAnsi="Candara"/>
                <w:noProof/>
                <w:color w:val="000000"/>
                <w:sz w:val="24"/>
                <w:szCs w:val="24"/>
                <w:lang w:eastAsia="lv-LV"/>
              </w:rPr>
              <w:drawing>
                <wp:inline distT="0" distB="0" distL="0" distR="0" wp14:anchorId="170F5518" wp14:editId="658DD866">
                  <wp:extent cx="4011283" cy="1423358"/>
                  <wp:effectExtent l="0" t="0" r="8890" b="0"/>
                  <wp:docPr id="1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17DFE" w:rsidRPr="00C15182" w14:paraId="0FC5EF41" w14:textId="77777777" w:rsidTr="00617DFE">
        <w:trPr>
          <w:trHeight w:val="414"/>
        </w:trPr>
        <w:tc>
          <w:tcPr>
            <w:tcW w:w="6585" w:type="dxa"/>
          </w:tcPr>
          <w:p w14:paraId="7F40AC63" w14:textId="77777777" w:rsidR="00617DFE" w:rsidRPr="00E72E68" w:rsidRDefault="00617DFE" w:rsidP="007111B1">
            <w:pPr>
              <w:jc w:val="both"/>
              <w:rPr>
                <w:rFonts w:ascii="Arial Narrow" w:hAnsi="Arial Narrow"/>
                <w:b/>
                <w:sz w:val="20"/>
                <w:szCs w:val="20"/>
              </w:rPr>
            </w:pPr>
          </w:p>
          <w:p w14:paraId="6F223E89" w14:textId="6D940C41" w:rsidR="00617DFE" w:rsidRPr="00E72E68" w:rsidRDefault="00617DFE" w:rsidP="007111B1">
            <w:pPr>
              <w:jc w:val="both"/>
              <w:rPr>
                <w:rFonts w:cs="Times New Roman"/>
                <w:sz w:val="20"/>
                <w:szCs w:val="20"/>
              </w:rPr>
            </w:pPr>
            <w:r w:rsidRPr="00E72E68">
              <w:rPr>
                <w:rFonts w:ascii="Arial Narrow" w:hAnsi="Arial Narrow"/>
                <w:b/>
                <w:sz w:val="20"/>
                <w:szCs w:val="20"/>
              </w:rPr>
              <w:t xml:space="preserve">Latvijas salīdzinošie rādītāji </w:t>
            </w:r>
            <w:r w:rsidRPr="00E72E68">
              <w:rPr>
                <w:rFonts w:ascii="Arial Narrow" w:hAnsi="Arial Narrow"/>
                <w:b/>
                <w:i/>
                <w:sz w:val="20"/>
                <w:szCs w:val="20"/>
              </w:rPr>
              <w:t>Doing Business</w:t>
            </w:r>
            <w:r w:rsidRPr="00E72E68">
              <w:rPr>
                <w:rFonts w:ascii="Arial Narrow" w:hAnsi="Arial Narrow"/>
                <w:b/>
                <w:sz w:val="20"/>
                <w:szCs w:val="20"/>
              </w:rPr>
              <w:t xml:space="preserve"> </w:t>
            </w:r>
            <w:r w:rsidRPr="00E72E68">
              <w:rPr>
                <w:rFonts w:ascii="Arial Narrow" w:hAnsi="Arial Narrow"/>
                <w:b/>
                <w:i/>
                <w:sz w:val="20"/>
                <w:szCs w:val="20"/>
              </w:rPr>
              <w:t>20</w:t>
            </w:r>
            <w:r w:rsidR="0029586D" w:rsidRPr="00E72E68">
              <w:rPr>
                <w:rFonts w:ascii="Arial Narrow" w:hAnsi="Arial Narrow"/>
                <w:b/>
                <w:i/>
                <w:sz w:val="20"/>
                <w:szCs w:val="20"/>
              </w:rPr>
              <w:t>16-2017</w:t>
            </w:r>
          </w:p>
        </w:tc>
      </w:tr>
      <w:tr w:rsidR="00617DFE" w:rsidRPr="00C15182" w14:paraId="35B820DB" w14:textId="77777777" w:rsidTr="00617DFE">
        <w:trPr>
          <w:trHeight w:val="3001"/>
        </w:trPr>
        <w:tc>
          <w:tcPr>
            <w:tcW w:w="6585" w:type="dxa"/>
          </w:tcPr>
          <w:tbl>
            <w:tblPr>
              <w:tblStyle w:val="ListTable5Dark-Accent11"/>
              <w:tblpPr w:leftFromText="180" w:rightFromText="180" w:vertAnchor="text" w:horzAnchor="page" w:tblpX="641" w:tblpY="98"/>
              <w:tblW w:w="0" w:type="auto"/>
              <w:tblBorders>
                <w:top w:val="none" w:sz="0" w:space="0" w:color="auto"/>
                <w:left w:val="none" w:sz="0" w:space="0" w:color="auto"/>
                <w:bottom w:val="none" w:sz="0" w:space="0" w:color="auto"/>
                <w:right w:val="none" w:sz="0" w:space="0" w:color="auto"/>
              </w:tblBorders>
              <w:tblLayout w:type="fixed"/>
              <w:tblLook w:val="0420" w:firstRow="1" w:lastRow="0" w:firstColumn="0" w:lastColumn="0" w:noHBand="0" w:noVBand="1"/>
            </w:tblPr>
            <w:tblGrid>
              <w:gridCol w:w="2942"/>
              <w:gridCol w:w="881"/>
              <w:gridCol w:w="881"/>
              <w:gridCol w:w="881"/>
            </w:tblGrid>
            <w:tr w:rsidR="00617DFE" w:rsidRPr="00E72E68" w14:paraId="35117041" w14:textId="77777777" w:rsidTr="003B02BC">
              <w:trPr>
                <w:cnfStyle w:val="100000000000" w:firstRow="1" w:lastRow="0" w:firstColumn="0" w:lastColumn="0" w:oddVBand="0" w:evenVBand="0" w:oddHBand="0" w:evenHBand="0" w:firstRowFirstColumn="0" w:firstRowLastColumn="0" w:lastRowFirstColumn="0" w:lastRowLastColumn="0"/>
                <w:trHeight w:val="271"/>
              </w:trPr>
              <w:tc>
                <w:tcPr>
                  <w:tcW w:w="2942" w:type="dxa"/>
                  <w:shd w:val="clear" w:color="auto" w:fill="2F5496" w:themeFill="accent5" w:themeFillShade="BF"/>
                </w:tcPr>
                <w:p w14:paraId="3778503A" w14:textId="77777777" w:rsidR="00617DFE" w:rsidRPr="00E72E68" w:rsidRDefault="00617DFE" w:rsidP="007111B1">
                  <w:pPr>
                    <w:spacing w:before="40"/>
                    <w:ind w:right="-57"/>
                    <w:rPr>
                      <w:rFonts w:ascii="Arial Narrow" w:hAnsi="Arial Narrow"/>
                      <w:b w:val="0"/>
                      <w:bCs w:val="0"/>
                      <w:color w:val="auto"/>
                      <w:sz w:val="16"/>
                      <w:szCs w:val="16"/>
                    </w:rPr>
                  </w:pPr>
                </w:p>
              </w:tc>
              <w:tc>
                <w:tcPr>
                  <w:tcW w:w="881" w:type="dxa"/>
                  <w:shd w:val="clear" w:color="auto" w:fill="2F5496" w:themeFill="accent5" w:themeFillShade="BF"/>
                </w:tcPr>
                <w:p w14:paraId="1DAAA314" w14:textId="302AFD54" w:rsidR="00617DFE" w:rsidRPr="00F1454F" w:rsidRDefault="00617DFE" w:rsidP="007111B1">
                  <w:pPr>
                    <w:spacing w:before="40"/>
                    <w:jc w:val="center"/>
                    <w:textAlignment w:val="bottom"/>
                    <w:rPr>
                      <w:rFonts w:ascii="Arial Narrow" w:eastAsia="Calibri" w:hAnsi="Arial Narrow" w:cs="Times New Roman"/>
                      <w:b w:val="0"/>
                      <w:bCs w:val="0"/>
                      <w:sz w:val="16"/>
                      <w:szCs w:val="16"/>
                      <w:lang w:eastAsia="lv-LV"/>
                    </w:rPr>
                  </w:pPr>
                  <w:r w:rsidRPr="00F1454F">
                    <w:rPr>
                      <w:rFonts w:ascii="Arial Narrow" w:eastAsia="Calibri" w:hAnsi="Arial Narrow" w:cs="Times New Roman"/>
                      <w:b w:val="0"/>
                      <w:bCs w:val="0"/>
                      <w:kern w:val="24"/>
                      <w:sz w:val="16"/>
                      <w:szCs w:val="16"/>
                      <w:lang w:val="en-US" w:eastAsia="lv-LV"/>
                    </w:rPr>
                    <w:t>201</w:t>
                  </w:r>
                  <w:r w:rsidR="00B06A70" w:rsidRPr="00F1454F">
                    <w:rPr>
                      <w:rFonts w:ascii="Arial Narrow" w:eastAsia="Calibri" w:hAnsi="Arial Narrow" w:cs="Times New Roman"/>
                      <w:b w:val="0"/>
                      <w:bCs w:val="0"/>
                      <w:kern w:val="24"/>
                      <w:sz w:val="16"/>
                      <w:szCs w:val="16"/>
                      <w:lang w:eastAsia="lv-LV"/>
                    </w:rPr>
                    <w:t>6</w:t>
                  </w:r>
                </w:p>
              </w:tc>
              <w:tc>
                <w:tcPr>
                  <w:tcW w:w="881" w:type="dxa"/>
                  <w:shd w:val="clear" w:color="auto" w:fill="2F5496" w:themeFill="accent5" w:themeFillShade="BF"/>
                </w:tcPr>
                <w:p w14:paraId="363F0039" w14:textId="11202307" w:rsidR="00617DFE" w:rsidRPr="00F1454F" w:rsidRDefault="0029586D" w:rsidP="007111B1">
                  <w:pPr>
                    <w:spacing w:before="40"/>
                    <w:jc w:val="center"/>
                    <w:textAlignment w:val="bottom"/>
                    <w:rPr>
                      <w:rFonts w:ascii="Arial Narrow" w:eastAsia="Calibri" w:hAnsi="Arial Narrow" w:cs="Times New Roman"/>
                      <w:b w:val="0"/>
                      <w:bCs w:val="0"/>
                      <w:sz w:val="16"/>
                      <w:szCs w:val="16"/>
                      <w:lang w:eastAsia="lv-LV"/>
                    </w:rPr>
                  </w:pPr>
                  <w:r w:rsidRPr="00F1454F">
                    <w:rPr>
                      <w:rFonts w:ascii="Arial Narrow" w:eastAsia="Calibri" w:hAnsi="Arial Narrow" w:cs="Times New Roman"/>
                      <w:b w:val="0"/>
                      <w:bCs w:val="0"/>
                      <w:sz w:val="16"/>
                      <w:szCs w:val="16"/>
                      <w:lang w:eastAsia="lv-LV"/>
                    </w:rPr>
                    <w:t>2017</w:t>
                  </w:r>
                </w:p>
              </w:tc>
              <w:tc>
                <w:tcPr>
                  <w:tcW w:w="881" w:type="dxa"/>
                  <w:shd w:val="clear" w:color="auto" w:fill="2F5496" w:themeFill="accent5" w:themeFillShade="BF"/>
                </w:tcPr>
                <w:p w14:paraId="29F848E6" w14:textId="77777777" w:rsidR="00617DFE" w:rsidRPr="00F1454F" w:rsidRDefault="00617DFE" w:rsidP="007111B1">
                  <w:pPr>
                    <w:spacing w:before="40"/>
                    <w:ind w:left="-57" w:right="-57"/>
                    <w:jc w:val="center"/>
                    <w:textAlignment w:val="bottom"/>
                    <w:rPr>
                      <w:rFonts w:ascii="Arial Narrow" w:eastAsia="Calibri" w:hAnsi="Arial Narrow" w:cs="Times New Roman"/>
                      <w:b w:val="0"/>
                      <w:bCs w:val="0"/>
                      <w:sz w:val="16"/>
                      <w:szCs w:val="16"/>
                      <w:lang w:eastAsia="lv-LV"/>
                    </w:rPr>
                  </w:pPr>
                  <w:r w:rsidRPr="00F1454F">
                    <w:rPr>
                      <w:rFonts w:ascii="Arial Narrow" w:eastAsia="Calibri" w:hAnsi="Arial Narrow" w:cs="Times New Roman"/>
                      <w:b w:val="0"/>
                      <w:bCs w:val="0"/>
                      <w:kern w:val="24"/>
                      <w:sz w:val="16"/>
                      <w:szCs w:val="16"/>
                      <w:lang w:eastAsia="lv-LV"/>
                    </w:rPr>
                    <w:t>Izmaiņas</w:t>
                  </w:r>
                </w:p>
              </w:tc>
            </w:tr>
            <w:tr w:rsidR="0029586D" w:rsidRPr="00E72E68" w14:paraId="68E00AD0" w14:textId="77777777" w:rsidTr="00C15182">
              <w:trPr>
                <w:cnfStyle w:val="000000100000" w:firstRow="0" w:lastRow="0" w:firstColumn="0" w:lastColumn="0" w:oddVBand="0" w:evenVBand="0" w:oddHBand="1" w:evenHBand="0" w:firstRowFirstColumn="0" w:firstRowLastColumn="0" w:lastRowFirstColumn="0" w:lastRowLastColumn="0"/>
                <w:trHeight w:val="242"/>
              </w:trPr>
              <w:tc>
                <w:tcPr>
                  <w:tcW w:w="2942" w:type="dxa"/>
                  <w:shd w:val="clear" w:color="auto" w:fill="F2F2F2" w:themeFill="background1" w:themeFillShade="F2"/>
                </w:tcPr>
                <w:p w14:paraId="790C3923"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Uzņēmējdarbības uzsākšana</w:t>
                  </w:r>
                </w:p>
              </w:tc>
              <w:tc>
                <w:tcPr>
                  <w:tcW w:w="881" w:type="dxa"/>
                </w:tcPr>
                <w:p w14:paraId="64F8F783" w14:textId="580507C2"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20</w:t>
                  </w:r>
                </w:p>
              </w:tc>
              <w:tc>
                <w:tcPr>
                  <w:tcW w:w="881" w:type="dxa"/>
                </w:tcPr>
                <w:p w14:paraId="3E3C49E9" w14:textId="02159E03"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22</w:t>
                  </w:r>
                </w:p>
              </w:tc>
              <w:tc>
                <w:tcPr>
                  <w:tcW w:w="881" w:type="dxa"/>
                </w:tcPr>
                <w:p w14:paraId="29EC4A02" w14:textId="06F9DF32"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lang w:val="en-US"/>
                    </w:rPr>
                    <w:t>-1</w:t>
                  </w:r>
                </w:p>
              </w:tc>
            </w:tr>
            <w:tr w:rsidR="0029586D" w:rsidRPr="00E72E68" w14:paraId="08DEA055" w14:textId="77777777" w:rsidTr="00C15182">
              <w:trPr>
                <w:trHeight w:val="242"/>
              </w:trPr>
              <w:tc>
                <w:tcPr>
                  <w:tcW w:w="2942" w:type="dxa"/>
                  <w:shd w:val="clear" w:color="auto" w:fill="F2F2F2" w:themeFill="background1" w:themeFillShade="F2"/>
                </w:tcPr>
                <w:p w14:paraId="760BB077"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Būvniecības atļaujas</w:t>
                  </w:r>
                </w:p>
              </w:tc>
              <w:tc>
                <w:tcPr>
                  <w:tcW w:w="881" w:type="dxa"/>
                </w:tcPr>
                <w:p w14:paraId="397DBC71" w14:textId="3E22C878"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27B31498" w14:textId="5B9CDA53"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1C29C105" w14:textId="46CABB48"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lang w:val="en-US"/>
                    </w:rPr>
                    <w:t>0</w:t>
                  </w:r>
                </w:p>
              </w:tc>
            </w:tr>
            <w:tr w:rsidR="0029586D" w:rsidRPr="00E72E68" w14:paraId="28DA4C29" w14:textId="77777777" w:rsidTr="00C15182">
              <w:trPr>
                <w:cnfStyle w:val="000000100000" w:firstRow="0" w:lastRow="0" w:firstColumn="0" w:lastColumn="0" w:oddVBand="0" w:evenVBand="0" w:oddHBand="1" w:evenHBand="0" w:firstRowFirstColumn="0" w:firstRowLastColumn="0" w:lastRowFirstColumn="0" w:lastRowLastColumn="0"/>
                <w:trHeight w:val="257"/>
              </w:trPr>
              <w:tc>
                <w:tcPr>
                  <w:tcW w:w="2942" w:type="dxa"/>
                  <w:shd w:val="clear" w:color="auto" w:fill="F2F2F2" w:themeFill="background1" w:themeFillShade="F2"/>
                </w:tcPr>
                <w:p w14:paraId="5FB9833E"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Elektroenerģijas pieslēgumi</w:t>
                  </w:r>
                </w:p>
              </w:tc>
              <w:tc>
                <w:tcPr>
                  <w:tcW w:w="881" w:type="dxa"/>
                </w:tcPr>
                <w:p w14:paraId="6AECBB5C" w14:textId="35E35425"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57</w:t>
                  </w:r>
                </w:p>
              </w:tc>
              <w:tc>
                <w:tcPr>
                  <w:tcW w:w="881" w:type="dxa"/>
                </w:tcPr>
                <w:p w14:paraId="16DCB076" w14:textId="184E2E8C"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42</w:t>
                  </w:r>
                </w:p>
              </w:tc>
              <w:tc>
                <w:tcPr>
                  <w:tcW w:w="881" w:type="dxa"/>
                </w:tcPr>
                <w:p w14:paraId="2B6A520B" w14:textId="3D7038B4"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rPr>
                    <w:t>+15</w:t>
                  </w:r>
                </w:p>
              </w:tc>
            </w:tr>
            <w:tr w:rsidR="0029586D" w:rsidRPr="00E72E68" w14:paraId="4781925F" w14:textId="77777777" w:rsidTr="00C15182">
              <w:trPr>
                <w:trHeight w:val="242"/>
              </w:trPr>
              <w:tc>
                <w:tcPr>
                  <w:tcW w:w="2942" w:type="dxa"/>
                  <w:shd w:val="clear" w:color="auto" w:fill="F2F2F2" w:themeFill="background1" w:themeFillShade="F2"/>
                </w:tcPr>
                <w:p w14:paraId="59A88467"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Nekustamā īpašuma reģistrācija</w:t>
                  </w:r>
                </w:p>
              </w:tc>
              <w:tc>
                <w:tcPr>
                  <w:tcW w:w="881" w:type="dxa"/>
                </w:tcPr>
                <w:p w14:paraId="30EC5682" w14:textId="7D845278"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75BF9310" w14:textId="17E36D80"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5179C4D9" w14:textId="3EB55ABB"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0</w:t>
                  </w:r>
                </w:p>
              </w:tc>
            </w:tr>
            <w:tr w:rsidR="0029586D" w:rsidRPr="00E72E68" w14:paraId="7356029C" w14:textId="77777777" w:rsidTr="00C15182">
              <w:trPr>
                <w:cnfStyle w:val="000000100000" w:firstRow="0" w:lastRow="0" w:firstColumn="0" w:lastColumn="0" w:oddVBand="0" w:evenVBand="0" w:oddHBand="1" w:evenHBand="0" w:firstRowFirstColumn="0" w:firstRowLastColumn="0" w:lastRowFirstColumn="0" w:lastRowLastColumn="0"/>
                <w:trHeight w:val="242"/>
              </w:trPr>
              <w:tc>
                <w:tcPr>
                  <w:tcW w:w="2942" w:type="dxa"/>
                  <w:shd w:val="clear" w:color="auto" w:fill="F2F2F2" w:themeFill="background1" w:themeFillShade="F2"/>
                </w:tcPr>
                <w:p w14:paraId="50D922AC"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Kredītu reģistrs</w:t>
                  </w:r>
                </w:p>
              </w:tc>
              <w:tc>
                <w:tcPr>
                  <w:tcW w:w="881" w:type="dxa"/>
                </w:tcPr>
                <w:p w14:paraId="35140A5C" w14:textId="7A7EB075"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19</w:t>
                  </w:r>
                </w:p>
              </w:tc>
              <w:tc>
                <w:tcPr>
                  <w:tcW w:w="881" w:type="dxa"/>
                </w:tcPr>
                <w:p w14:paraId="5CDE3826" w14:textId="2E72CC45"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7</w:t>
                  </w:r>
                </w:p>
              </w:tc>
              <w:tc>
                <w:tcPr>
                  <w:tcW w:w="881" w:type="dxa"/>
                </w:tcPr>
                <w:p w14:paraId="541CE3A5" w14:textId="4CD40E8E"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rPr>
                    <w:t>+12</w:t>
                  </w:r>
                </w:p>
              </w:tc>
            </w:tr>
            <w:tr w:rsidR="0029586D" w:rsidRPr="00E72E68" w14:paraId="1FA0A390" w14:textId="77777777" w:rsidTr="00C15182">
              <w:trPr>
                <w:trHeight w:val="242"/>
              </w:trPr>
              <w:tc>
                <w:tcPr>
                  <w:tcW w:w="2942" w:type="dxa"/>
                  <w:shd w:val="clear" w:color="auto" w:fill="F2F2F2" w:themeFill="background1" w:themeFillShade="F2"/>
                </w:tcPr>
                <w:p w14:paraId="45AF1A6D"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Investoru (mazākuma) tiesību aizsardzība</w:t>
                  </w:r>
                </w:p>
              </w:tc>
              <w:tc>
                <w:tcPr>
                  <w:tcW w:w="881" w:type="dxa"/>
                </w:tcPr>
                <w:p w14:paraId="699595E5" w14:textId="00118960"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40</w:t>
                  </w:r>
                </w:p>
              </w:tc>
              <w:tc>
                <w:tcPr>
                  <w:tcW w:w="881" w:type="dxa"/>
                </w:tcPr>
                <w:p w14:paraId="2AA46B47" w14:textId="4BB768C9"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42</w:t>
                  </w:r>
                </w:p>
              </w:tc>
              <w:tc>
                <w:tcPr>
                  <w:tcW w:w="881" w:type="dxa"/>
                </w:tcPr>
                <w:p w14:paraId="00B44AA7" w14:textId="5963AC19"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lang w:val="en-US"/>
                    </w:rPr>
                    <w:t>-1</w:t>
                  </w:r>
                </w:p>
              </w:tc>
            </w:tr>
            <w:tr w:rsidR="0029586D" w:rsidRPr="00E72E68" w14:paraId="0ECEDB12" w14:textId="77777777" w:rsidTr="00C15182">
              <w:trPr>
                <w:cnfStyle w:val="000000100000" w:firstRow="0" w:lastRow="0" w:firstColumn="0" w:lastColumn="0" w:oddVBand="0" w:evenVBand="0" w:oddHBand="1" w:evenHBand="0" w:firstRowFirstColumn="0" w:firstRowLastColumn="0" w:lastRowFirstColumn="0" w:lastRowLastColumn="0"/>
                <w:trHeight w:val="257"/>
              </w:trPr>
              <w:tc>
                <w:tcPr>
                  <w:tcW w:w="2942" w:type="dxa"/>
                  <w:shd w:val="clear" w:color="auto" w:fill="F2F2F2" w:themeFill="background1" w:themeFillShade="F2"/>
                </w:tcPr>
                <w:p w14:paraId="70AF9C4F"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Nodokļu maksāšana</w:t>
                  </w:r>
                </w:p>
              </w:tc>
              <w:tc>
                <w:tcPr>
                  <w:tcW w:w="881" w:type="dxa"/>
                </w:tcPr>
                <w:p w14:paraId="1C0C759B" w14:textId="2D5E9D0E"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16</w:t>
                  </w:r>
                </w:p>
              </w:tc>
              <w:tc>
                <w:tcPr>
                  <w:tcW w:w="881" w:type="dxa"/>
                </w:tcPr>
                <w:p w14:paraId="25087096" w14:textId="50762628"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15</w:t>
                  </w:r>
                </w:p>
              </w:tc>
              <w:tc>
                <w:tcPr>
                  <w:tcW w:w="881" w:type="dxa"/>
                </w:tcPr>
                <w:p w14:paraId="4FD3E396" w14:textId="00EB6910"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lang w:val="en-US"/>
                    </w:rPr>
                    <w:t>+1</w:t>
                  </w:r>
                </w:p>
              </w:tc>
            </w:tr>
            <w:tr w:rsidR="0029586D" w:rsidRPr="00E72E68" w14:paraId="1CCF40DE" w14:textId="77777777" w:rsidTr="00C15182">
              <w:trPr>
                <w:trHeight w:val="242"/>
              </w:trPr>
              <w:tc>
                <w:tcPr>
                  <w:tcW w:w="2942" w:type="dxa"/>
                  <w:shd w:val="clear" w:color="auto" w:fill="F2F2F2" w:themeFill="background1" w:themeFillShade="F2"/>
                </w:tcPr>
                <w:p w14:paraId="30B6F265"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Pārrobežu tirdzniecība</w:t>
                  </w:r>
                </w:p>
              </w:tc>
              <w:tc>
                <w:tcPr>
                  <w:tcW w:w="881" w:type="dxa"/>
                </w:tcPr>
                <w:p w14:paraId="757DD0A6" w14:textId="41CB3B25"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25</w:t>
                  </w:r>
                </w:p>
              </w:tc>
              <w:tc>
                <w:tcPr>
                  <w:tcW w:w="881" w:type="dxa"/>
                </w:tcPr>
                <w:p w14:paraId="76BA66D7" w14:textId="0105B776"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25</w:t>
                  </w:r>
                </w:p>
              </w:tc>
              <w:tc>
                <w:tcPr>
                  <w:tcW w:w="881" w:type="dxa"/>
                </w:tcPr>
                <w:p w14:paraId="68082DBB" w14:textId="0BE9146F"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rPr>
                    <w:t>0</w:t>
                  </w:r>
                </w:p>
              </w:tc>
            </w:tr>
            <w:tr w:rsidR="0029586D" w:rsidRPr="00E72E68" w14:paraId="1E9D2635" w14:textId="77777777" w:rsidTr="00C15182">
              <w:trPr>
                <w:cnfStyle w:val="000000100000" w:firstRow="0" w:lastRow="0" w:firstColumn="0" w:lastColumn="0" w:oddVBand="0" w:evenVBand="0" w:oddHBand="1" w:evenHBand="0" w:firstRowFirstColumn="0" w:firstRowLastColumn="0" w:lastRowFirstColumn="0" w:lastRowLastColumn="0"/>
                <w:trHeight w:val="242"/>
              </w:trPr>
              <w:tc>
                <w:tcPr>
                  <w:tcW w:w="2942" w:type="dxa"/>
                  <w:shd w:val="clear" w:color="auto" w:fill="F2F2F2" w:themeFill="background1" w:themeFillShade="F2"/>
                </w:tcPr>
                <w:p w14:paraId="55F847A2"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Līgumsaistību izpilde</w:t>
                  </w:r>
                </w:p>
              </w:tc>
              <w:tc>
                <w:tcPr>
                  <w:tcW w:w="881" w:type="dxa"/>
                </w:tcPr>
                <w:p w14:paraId="30E0FA87" w14:textId="616F1C26"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41F7DD5E" w14:textId="034AAD0C"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23</w:t>
                  </w:r>
                </w:p>
              </w:tc>
              <w:tc>
                <w:tcPr>
                  <w:tcW w:w="881" w:type="dxa"/>
                </w:tcPr>
                <w:p w14:paraId="5CF42E32" w14:textId="2C975838"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lang w:val="en-US"/>
                    </w:rPr>
                    <w:t>0</w:t>
                  </w:r>
                </w:p>
              </w:tc>
            </w:tr>
            <w:tr w:rsidR="0029586D" w:rsidRPr="00E72E68" w14:paraId="29C1F295" w14:textId="77777777" w:rsidTr="00C15182">
              <w:trPr>
                <w:trHeight w:val="242"/>
              </w:trPr>
              <w:tc>
                <w:tcPr>
                  <w:tcW w:w="2942" w:type="dxa"/>
                  <w:shd w:val="clear" w:color="auto" w:fill="F2F2F2" w:themeFill="background1" w:themeFillShade="F2"/>
                </w:tcPr>
                <w:p w14:paraId="0DCF8444" w14:textId="77777777" w:rsidR="0029586D" w:rsidRPr="00E72E68" w:rsidRDefault="0029586D" w:rsidP="007111B1">
                  <w:pPr>
                    <w:spacing w:before="40"/>
                    <w:ind w:right="-57"/>
                    <w:textAlignment w:val="bottom"/>
                    <w:rPr>
                      <w:rFonts w:ascii="Arial Narrow" w:eastAsia="Calibri" w:hAnsi="Arial Narrow" w:cs="Times New Roman"/>
                      <w:b/>
                      <w:color w:val="000000" w:themeColor="text1"/>
                      <w:sz w:val="16"/>
                      <w:szCs w:val="16"/>
                      <w:lang w:eastAsia="lv-LV"/>
                    </w:rPr>
                  </w:pPr>
                  <w:r w:rsidRPr="00E72E68">
                    <w:rPr>
                      <w:rFonts w:ascii="Arial Narrow" w:eastAsia="Calibri" w:hAnsi="Arial Narrow" w:cs="Times New Roman"/>
                      <w:color w:val="000000" w:themeColor="text1"/>
                      <w:kern w:val="24"/>
                      <w:sz w:val="16"/>
                      <w:szCs w:val="16"/>
                      <w:lang w:eastAsia="lv-LV"/>
                    </w:rPr>
                    <w:t>Uzņēmējdarbības izbeigšana</w:t>
                  </w:r>
                </w:p>
              </w:tc>
              <w:tc>
                <w:tcPr>
                  <w:tcW w:w="881" w:type="dxa"/>
                </w:tcPr>
                <w:p w14:paraId="6D11E357" w14:textId="2061049A"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43</w:t>
                  </w:r>
                </w:p>
              </w:tc>
              <w:tc>
                <w:tcPr>
                  <w:tcW w:w="881" w:type="dxa"/>
                </w:tcPr>
                <w:p w14:paraId="624B7B1D" w14:textId="5FD9C499"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sz w:val="16"/>
                      <w:szCs w:val="16"/>
                    </w:rPr>
                    <w:t>44</w:t>
                  </w:r>
                </w:p>
              </w:tc>
              <w:tc>
                <w:tcPr>
                  <w:tcW w:w="881" w:type="dxa"/>
                </w:tcPr>
                <w:p w14:paraId="04BEE0C7" w14:textId="7DCEB1A2" w:rsidR="0029586D" w:rsidRPr="00F1454F" w:rsidRDefault="0029586D" w:rsidP="007111B1">
                  <w:pPr>
                    <w:spacing w:before="40"/>
                    <w:jc w:val="center"/>
                    <w:textAlignment w:val="bottom"/>
                    <w:rPr>
                      <w:rFonts w:ascii="Arial Narrow" w:eastAsia="Calibri" w:hAnsi="Arial Narrow" w:cs="Times New Roman"/>
                      <w:sz w:val="16"/>
                      <w:szCs w:val="16"/>
                      <w:lang w:eastAsia="lv-LV"/>
                    </w:rPr>
                  </w:pPr>
                  <w:r w:rsidRPr="00F1454F">
                    <w:rPr>
                      <w:rFonts w:ascii="Arial Narrow" w:hAnsi="Arial Narrow"/>
                      <w:bCs/>
                      <w:kern w:val="24"/>
                      <w:sz w:val="16"/>
                      <w:szCs w:val="16"/>
                    </w:rPr>
                    <w:t>-1</w:t>
                  </w:r>
                </w:p>
              </w:tc>
            </w:tr>
          </w:tbl>
          <w:p w14:paraId="10841220" w14:textId="77777777" w:rsidR="00617DFE" w:rsidRPr="00C15182" w:rsidRDefault="00617DFE" w:rsidP="007111B1">
            <w:pPr>
              <w:jc w:val="both"/>
              <w:rPr>
                <w:rFonts w:cs="Times New Roman"/>
                <w:sz w:val="24"/>
                <w:szCs w:val="24"/>
              </w:rPr>
            </w:pPr>
          </w:p>
        </w:tc>
      </w:tr>
    </w:tbl>
    <w:p w14:paraId="6502C7AC" w14:textId="770E1A2A" w:rsidR="00B06A70" w:rsidRPr="00C15182" w:rsidRDefault="00B06A70" w:rsidP="007111B1">
      <w:pPr>
        <w:spacing w:before="120"/>
        <w:ind w:firstLine="567"/>
        <w:jc w:val="both"/>
        <w:rPr>
          <w:rFonts w:eastAsia="Calibri" w:cs="Times New Roman"/>
          <w:color w:val="000000"/>
          <w:sz w:val="24"/>
          <w:szCs w:val="24"/>
        </w:rPr>
      </w:pPr>
      <w:r w:rsidRPr="00C15182">
        <w:rPr>
          <w:rFonts w:eastAsia="Calibri" w:cs="Times New Roman"/>
          <w:color w:val="000000"/>
          <w:sz w:val="24"/>
          <w:szCs w:val="24"/>
        </w:rPr>
        <w:t xml:space="preserve">Pasaules Bankas </w:t>
      </w:r>
      <w:r w:rsidRPr="00C15182">
        <w:rPr>
          <w:rFonts w:eastAsia="Times New Roman" w:cs="Times New Roman"/>
          <w:i/>
          <w:iCs/>
          <w:color w:val="000000"/>
          <w:sz w:val="24"/>
          <w:szCs w:val="24"/>
          <w:lang w:eastAsia="lv-LV"/>
        </w:rPr>
        <w:t>Doing Business</w:t>
      </w:r>
      <w:r w:rsidRPr="00C15182">
        <w:rPr>
          <w:rFonts w:eastAsia="Calibri" w:cs="Times New Roman"/>
          <w:color w:val="000000"/>
          <w:sz w:val="24"/>
          <w:szCs w:val="24"/>
        </w:rPr>
        <w:t xml:space="preserve"> </w:t>
      </w:r>
      <w:bookmarkStart w:id="10" w:name="OLE_LINK2"/>
      <w:bookmarkStart w:id="11" w:name="OLE_LINK3"/>
      <w:r w:rsidRPr="00C15182">
        <w:rPr>
          <w:rFonts w:eastAsia="Calibri" w:cs="Times New Roman"/>
          <w:color w:val="000000"/>
          <w:sz w:val="24"/>
          <w:szCs w:val="24"/>
        </w:rPr>
        <w:t>pētījums</w:t>
      </w:r>
      <w:bookmarkEnd w:id="10"/>
      <w:bookmarkEnd w:id="11"/>
      <w:r w:rsidRPr="00C15182">
        <w:rPr>
          <w:rFonts w:eastAsia="Times New Roman" w:cs="Times New Roman"/>
          <w:i/>
          <w:iCs/>
          <w:color w:val="000000"/>
          <w:sz w:val="24"/>
          <w:szCs w:val="24"/>
          <w:lang w:eastAsia="lv-LV"/>
        </w:rPr>
        <w:t xml:space="preserve"> </w:t>
      </w:r>
      <w:r w:rsidRPr="00C15182">
        <w:rPr>
          <w:rFonts w:eastAsia="Calibri" w:cs="Times New Roman"/>
          <w:color w:val="000000"/>
          <w:sz w:val="24"/>
          <w:szCs w:val="24"/>
        </w:rPr>
        <w:t xml:space="preserve"> kvantitatīvi mēra un salīdzina 190 pasaules valstu regulējošos nosacījumus un procedūras – gan tās, kas veicina uzņēmējdarbības aktivitāti, gan tās, kas to ierobežo, 10 uzņēmuma „dzīves cikla” posmos. </w:t>
      </w:r>
      <w:r w:rsidRPr="00C15182">
        <w:rPr>
          <w:rFonts w:eastAsia="Calibri" w:cs="Times New Roman"/>
          <w:i/>
          <w:sz w:val="24"/>
          <w:szCs w:val="24"/>
        </w:rPr>
        <w:t xml:space="preserve">Doing Business </w:t>
      </w:r>
      <w:r w:rsidRPr="00C15182">
        <w:rPr>
          <w:rFonts w:eastAsia="Calibri" w:cs="Times New Roman"/>
          <w:sz w:val="24"/>
          <w:szCs w:val="24"/>
        </w:rPr>
        <w:t>pētījums kalpo ne tikai kā pasaules valstu salīdzinošs vērtējums noteiktās uzņēmējdarbības jomās, bet arī tiek izmantots globālu norišu atspoguļošanai pasaules tirgos, piemēram, vērtējot valstu globālo konkurētspēju un ekonomisko brīvību.</w:t>
      </w:r>
      <w:r w:rsidRPr="00C15182">
        <w:rPr>
          <w:rFonts w:eastAsia="Calibri" w:cs="Times New Roman"/>
          <w:i/>
          <w:sz w:val="24"/>
          <w:szCs w:val="24"/>
        </w:rPr>
        <w:t xml:space="preserve"> </w:t>
      </w:r>
    </w:p>
    <w:p w14:paraId="36B3094C" w14:textId="77777777" w:rsidR="00B06A70" w:rsidRPr="00C15182" w:rsidRDefault="00B06A70" w:rsidP="00C15182">
      <w:pPr>
        <w:ind w:firstLine="567"/>
        <w:jc w:val="both"/>
        <w:rPr>
          <w:rFonts w:eastAsia="Calibri" w:cs="Times New Roman"/>
          <w:sz w:val="24"/>
          <w:szCs w:val="24"/>
        </w:rPr>
      </w:pPr>
      <w:r w:rsidRPr="00C15182">
        <w:rPr>
          <w:rFonts w:eastAsia="Calibri" w:cs="Times New Roman"/>
          <w:sz w:val="24"/>
          <w:szCs w:val="24"/>
        </w:rPr>
        <w:t xml:space="preserve">Latvijā tiek pastāvīgi izmantots starptautiski atzītais </w:t>
      </w:r>
      <w:r w:rsidRPr="00C15182">
        <w:rPr>
          <w:rFonts w:eastAsia="Calibri" w:cs="Times New Roman"/>
          <w:i/>
          <w:sz w:val="24"/>
          <w:szCs w:val="24"/>
        </w:rPr>
        <w:t>Doing Business</w:t>
      </w:r>
      <w:r w:rsidRPr="00C15182">
        <w:rPr>
          <w:rFonts w:eastAsia="Calibri" w:cs="Times New Roman"/>
          <w:sz w:val="24"/>
          <w:szCs w:val="24"/>
        </w:rPr>
        <w:t xml:space="preserve"> pētījums kā reformu uzraudzības rīks, kas ļauj identificēt administratīvo slogu saturošas prasības, tādējādi novērtējot uzņēmējdarbības vidi kopumā. Jāatzīmē, ka Pasaules Bankas pieeja </w:t>
      </w:r>
      <w:r w:rsidRPr="00C15182">
        <w:rPr>
          <w:rFonts w:eastAsia="Calibri" w:cs="Times New Roman"/>
          <w:i/>
          <w:sz w:val="24"/>
          <w:szCs w:val="24"/>
        </w:rPr>
        <w:t>Doing Business</w:t>
      </w:r>
      <w:r w:rsidRPr="00C15182">
        <w:rPr>
          <w:rFonts w:eastAsia="Calibri" w:cs="Times New Roman"/>
          <w:sz w:val="24"/>
          <w:szCs w:val="24"/>
        </w:rPr>
        <w:t xml:space="preserve"> metodoloģijas piemērošanā neļauj salīdzināt Latvijas kopējās pozīcijas ilgāk par 2 gadiem, tomēr minētais rīks ļauj salīdzināt administratīvo procedūru skaitu un ilgumu to izpildei, kā arī saistītās izmaksas.</w:t>
      </w:r>
    </w:p>
    <w:p w14:paraId="0D786D19" w14:textId="18E5D9D7" w:rsidR="00B06A70" w:rsidRPr="00C15182" w:rsidRDefault="00B06A70" w:rsidP="00C15182">
      <w:pPr>
        <w:ind w:firstLine="567"/>
        <w:jc w:val="both"/>
        <w:rPr>
          <w:rFonts w:eastAsia="Calibri" w:cs="Times New Roman"/>
          <w:sz w:val="24"/>
          <w:szCs w:val="24"/>
        </w:rPr>
      </w:pPr>
      <w:r w:rsidRPr="00C15182">
        <w:rPr>
          <w:rFonts w:eastAsia="Calibri" w:cs="Times New Roman"/>
          <w:sz w:val="24"/>
          <w:szCs w:val="24"/>
        </w:rPr>
        <w:t xml:space="preserve">Pateicoties mērķtiecīgi īstenotām reformām uzņēmējdarbības vides sakārtošanā, Latvijā ir sasniegts augsts rezultāts – Pasaules Bankas </w:t>
      </w:r>
      <w:r w:rsidRPr="00C15182">
        <w:rPr>
          <w:rFonts w:eastAsia="Calibri" w:cs="Times New Roman"/>
          <w:b/>
          <w:i/>
          <w:iCs/>
          <w:sz w:val="24"/>
          <w:szCs w:val="24"/>
        </w:rPr>
        <w:t>Doing Business 2017</w:t>
      </w:r>
      <w:r w:rsidRPr="00C15182">
        <w:rPr>
          <w:rFonts w:eastAsia="Calibri" w:cs="Times New Roman"/>
          <w:b/>
          <w:sz w:val="24"/>
          <w:szCs w:val="24"/>
        </w:rPr>
        <w:t xml:space="preserve"> pētījumā </w:t>
      </w:r>
      <w:r w:rsidRPr="00C15182">
        <w:rPr>
          <w:rFonts w:eastAsia="Calibri" w:cs="Times New Roman"/>
          <w:b/>
          <w:bCs/>
          <w:sz w:val="24"/>
          <w:szCs w:val="24"/>
        </w:rPr>
        <w:t xml:space="preserve">190 valstu konkurencē Latvija ierindota augstajā 14.vietā, kas ir par </w:t>
      </w:r>
      <w:r w:rsidR="00E72E68">
        <w:rPr>
          <w:rFonts w:eastAsia="Calibri" w:cs="Times New Roman"/>
          <w:b/>
          <w:bCs/>
          <w:sz w:val="24"/>
          <w:szCs w:val="24"/>
        </w:rPr>
        <w:t>8</w:t>
      </w:r>
      <w:r w:rsidRPr="00C15182">
        <w:rPr>
          <w:rFonts w:eastAsia="Calibri" w:cs="Times New Roman"/>
          <w:b/>
          <w:bCs/>
          <w:sz w:val="24"/>
          <w:szCs w:val="24"/>
        </w:rPr>
        <w:t xml:space="preserve"> vietām augstāk, nekā iepriekšējā gadā. </w:t>
      </w:r>
      <w:r w:rsidRPr="00C15182">
        <w:rPr>
          <w:rFonts w:eastAsia="Calibri" w:cs="Times New Roman"/>
          <w:sz w:val="24"/>
          <w:szCs w:val="24"/>
        </w:rPr>
        <w:t xml:space="preserve">Uzņēmējiem labvēlīgas vides novērtējumā </w:t>
      </w:r>
      <w:r w:rsidRPr="00C15182">
        <w:rPr>
          <w:rFonts w:eastAsia="Calibri" w:cs="Times New Roman"/>
          <w:b/>
          <w:bCs/>
          <w:sz w:val="24"/>
          <w:szCs w:val="24"/>
        </w:rPr>
        <w:t>Latvija atrodas 6.vietā ES dalībvalstu vidū</w:t>
      </w:r>
      <w:r w:rsidRPr="00C15182">
        <w:rPr>
          <w:rFonts w:eastAsia="Calibri" w:cs="Times New Roman"/>
          <w:sz w:val="24"/>
          <w:szCs w:val="24"/>
        </w:rPr>
        <w:t>, novērtējumā piekāpjoties Dānijai (3.vieta), Apvienotajai Karalistei (7.vieta), Zviedrijai (9.vieta), Igaunijai (12.vieta) un Somijai (13.vieta).</w:t>
      </w:r>
    </w:p>
    <w:p w14:paraId="77CF0988" w14:textId="190C236E" w:rsidR="008B71CF" w:rsidRPr="008B71CF" w:rsidRDefault="008B71CF" w:rsidP="0084141C">
      <w:pPr>
        <w:ind w:firstLine="284"/>
        <w:jc w:val="both"/>
        <w:rPr>
          <w:rFonts w:cs="Times New Roman"/>
          <w:sz w:val="24"/>
          <w:szCs w:val="24"/>
        </w:rPr>
      </w:pPr>
      <w:r w:rsidRPr="008B71CF">
        <w:rPr>
          <w:rFonts w:cs="Times New Roman"/>
          <w:sz w:val="24"/>
          <w:szCs w:val="24"/>
        </w:rPr>
        <w:t xml:space="preserve">2015. gadā notikušajā Ārvalstu investoru padomes Latvijā ikgadējā tikšanās ar Latvijas valdību tika prezentēts </w:t>
      </w:r>
      <w:r w:rsidRPr="008B71CF">
        <w:rPr>
          <w:rFonts w:cs="Times New Roman"/>
          <w:i/>
          <w:sz w:val="24"/>
          <w:szCs w:val="24"/>
        </w:rPr>
        <w:t>Investors Sentiment Index</w:t>
      </w:r>
      <w:r w:rsidRPr="008B71CF">
        <w:rPr>
          <w:rFonts w:eastAsia="Calibri" w:cs="Times New Roman"/>
          <w:sz w:val="24"/>
          <w:szCs w:val="24"/>
          <w:vertAlign w:val="superscript"/>
        </w:rPr>
        <w:footnoteReference w:id="6"/>
      </w:r>
      <w:r w:rsidRPr="008B71CF">
        <w:rPr>
          <w:rFonts w:eastAsia="Calibri" w:cs="Times New Roman"/>
          <w:sz w:val="24"/>
          <w:szCs w:val="24"/>
        </w:rPr>
        <w:t xml:space="preserve"> </w:t>
      </w:r>
      <w:r w:rsidRPr="008B71CF">
        <w:rPr>
          <w:rFonts w:cs="Times New Roman"/>
          <w:sz w:val="24"/>
          <w:szCs w:val="24"/>
        </w:rPr>
        <w:t xml:space="preserve"> jeb Latvijā strādājošo ārvalstu investoru novērtējums Latvijas ekonomikas konkurētspējas potenciālam. Pētījumā, norādīts, ka viens no galvenajiem šķēršļiem investīciju piesaistē, kuru min gan esošie, gan potenciālie investori, ir </w:t>
      </w:r>
      <w:r w:rsidRPr="00CF44F1">
        <w:rPr>
          <w:rFonts w:cs="Times New Roman"/>
          <w:b/>
          <w:sz w:val="24"/>
          <w:szCs w:val="24"/>
        </w:rPr>
        <w:t>kvalificēta darbaspēka pieejamības nodrošinājums</w:t>
      </w:r>
      <w:r w:rsidRPr="008B71CF">
        <w:rPr>
          <w:rFonts w:cs="Times New Roman"/>
          <w:sz w:val="24"/>
          <w:szCs w:val="24"/>
        </w:rPr>
        <w:t xml:space="preserve"> šobrīd un paredzamā nākotnē. Arī </w:t>
      </w:r>
      <w:r w:rsidRPr="00CF2154">
        <w:rPr>
          <w:rFonts w:cs="Times New Roman"/>
          <w:i/>
          <w:sz w:val="24"/>
          <w:szCs w:val="24"/>
        </w:rPr>
        <w:t>Earnst and Young</w:t>
      </w:r>
      <w:r w:rsidRPr="008B71CF">
        <w:rPr>
          <w:rFonts w:cs="Times New Roman"/>
          <w:sz w:val="24"/>
          <w:szCs w:val="24"/>
        </w:rPr>
        <w:t xml:space="preserve"> (E&amp;Y) 2015.gada pētījumā par Eiropas</w:t>
      </w:r>
      <w:r w:rsidR="00724412">
        <w:rPr>
          <w:rFonts w:cs="Times New Roman"/>
          <w:sz w:val="24"/>
          <w:szCs w:val="24"/>
        </w:rPr>
        <w:t xml:space="preserve"> </w:t>
      </w:r>
      <w:r w:rsidR="0064037A">
        <w:rPr>
          <w:rFonts w:cs="Times New Roman"/>
          <w:sz w:val="24"/>
          <w:szCs w:val="24"/>
        </w:rPr>
        <w:t>Savienības</w:t>
      </w:r>
      <w:r w:rsidRPr="008B71CF">
        <w:rPr>
          <w:rFonts w:cs="Times New Roman"/>
          <w:sz w:val="24"/>
          <w:szCs w:val="24"/>
        </w:rPr>
        <w:t xml:space="preserve"> valstu pievilcīgumu ārvalstu investoriem, ir norādīts, ka Baltijas </w:t>
      </w:r>
      <w:r w:rsidRPr="008B71CF">
        <w:rPr>
          <w:rFonts w:cs="Times New Roman"/>
          <w:sz w:val="24"/>
          <w:szCs w:val="24"/>
        </w:rPr>
        <w:lastRenderedPageBreak/>
        <w:t>valstis, ierobežotā darbaspēka piedāvājuma rezultātā nespēj konkurēt ar citām ES dalībvalstīm lielu investīciju projektu piesaistīšanā</w:t>
      </w:r>
      <w:r w:rsidR="00CF2154">
        <w:rPr>
          <w:rFonts w:cs="Times New Roman"/>
          <w:sz w:val="24"/>
          <w:szCs w:val="24"/>
        </w:rPr>
        <w:t xml:space="preserve">. </w:t>
      </w:r>
      <w:r w:rsidR="00CF2154" w:rsidRPr="0095397B">
        <w:rPr>
          <w:rFonts w:cs="Times New Roman"/>
          <w:sz w:val="24"/>
          <w:szCs w:val="24"/>
        </w:rPr>
        <w:t>Lai gan ar Rietumeiropas valstīm ārvalstu investoru piesaistē ir grūti konkurēt, salīdzinot ar iepriekšējo gadu investīciju projektu skaits palielinājies par 9%, kā arī par 31% pieaudzis radīto darba vietu skaits</w:t>
      </w:r>
      <w:r w:rsidR="00CF2154" w:rsidRPr="00D024B4">
        <w:rPr>
          <w:rStyle w:val="FootnoteReference"/>
          <w:rFonts w:ascii="Arial" w:eastAsia="Times New Roman" w:hAnsi="Arial" w:cs="Arial"/>
          <w:sz w:val="24"/>
          <w:szCs w:val="24"/>
          <w:lang w:eastAsia="lv-LV"/>
        </w:rPr>
        <w:footnoteReference w:id="7"/>
      </w:r>
      <w:r w:rsidR="00CF2154" w:rsidRPr="008B71CF">
        <w:rPr>
          <w:rFonts w:cs="Times New Roman"/>
          <w:sz w:val="24"/>
          <w:szCs w:val="24"/>
        </w:rPr>
        <w:t>.</w:t>
      </w:r>
    </w:p>
    <w:p w14:paraId="5CADA2A3" w14:textId="77777777" w:rsidR="008B71CF" w:rsidRPr="008B71CF" w:rsidRDefault="008B71CF" w:rsidP="007111B1">
      <w:pPr>
        <w:ind w:firstLine="284"/>
        <w:jc w:val="both"/>
        <w:rPr>
          <w:rFonts w:cs="Times New Roman"/>
          <w:sz w:val="24"/>
          <w:szCs w:val="24"/>
        </w:rPr>
      </w:pPr>
      <w:r w:rsidRPr="008B71CF">
        <w:rPr>
          <w:rFonts w:cs="Times New Roman"/>
          <w:sz w:val="24"/>
          <w:szCs w:val="24"/>
        </w:rPr>
        <w:t>Ārvalstu investori atzīmē, ka darba tirgū trūkst kvalificētu speciālistu, turklāt darbaspēka kvalifikācijas celšana prasa lielus kapitālieguldījumus, lai kompensētu izglītības sistēmas kvalitātes trūkumu. Tas būtiski ierobežo ne tikai jaunu investīciju piesaisti, bet arī Latvijā jau esošo investīciju projektu iespējamo darbības paplašināšanos.</w:t>
      </w:r>
    </w:p>
    <w:p w14:paraId="0C45275A" w14:textId="77777777" w:rsidR="008B71CF" w:rsidRPr="008B71CF" w:rsidRDefault="008B71CF" w:rsidP="007111B1">
      <w:pPr>
        <w:ind w:firstLine="284"/>
        <w:jc w:val="both"/>
        <w:rPr>
          <w:rFonts w:cs="Times New Roman"/>
          <w:sz w:val="24"/>
          <w:szCs w:val="24"/>
        </w:rPr>
      </w:pPr>
      <w:r w:rsidRPr="008B71CF">
        <w:rPr>
          <w:rFonts w:cs="Times New Roman"/>
          <w:sz w:val="24"/>
          <w:szCs w:val="24"/>
        </w:rPr>
        <w:t>Saskaņā ar Ekonomikas ministrijas informatīvo ziņojumu par darba tirgus vidēja un ilgtermiņa prognozēm</w:t>
      </w:r>
      <w:r w:rsidRPr="008B71CF">
        <w:rPr>
          <w:rStyle w:val="FootnoteReference"/>
          <w:rFonts w:cs="Times New Roman"/>
          <w:sz w:val="24"/>
          <w:szCs w:val="24"/>
        </w:rPr>
        <w:footnoteReference w:id="8"/>
      </w:r>
      <w:r w:rsidRPr="008B71CF">
        <w:rPr>
          <w:rFonts w:cs="Times New Roman"/>
          <w:sz w:val="24"/>
          <w:szCs w:val="24"/>
        </w:rPr>
        <w:t xml:space="preserve">, nākamajos gados situācija darba tirgū pakāpeniski uzlabosies, tomēr vidējā termiņā saglabāsies jūtamas disproporcijas starp darbaspēka pieprasījumu un piedāvājumu. </w:t>
      </w:r>
      <w:r w:rsidR="00433E3D">
        <w:rPr>
          <w:rFonts w:cs="Times New Roman"/>
          <w:sz w:val="24"/>
          <w:szCs w:val="24"/>
        </w:rPr>
        <w:t>V</w:t>
      </w:r>
      <w:r w:rsidR="00433E3D" w:rsidRPr="00433E3D">
        <w:rPr>
          <w:rFonts w:cs="Times New Roman"/>
          <w:sz w:val="24"/>
          <w:szCs w:val="24"/>
        </w:rPr>
        <w:t>eidojas speciālistu pārpalikums humanitāro un sociālo zinātņu jomās, izteikti trūkst augstas kvalifikācijas dabaszinātņu, IKT un inženierzinātņu speciālistu un darbaspēka ar profesionālo izglītību, ievērojams skaits jauniešu nonāk darba tirgū bez profesijas un ir liels mazkvalificētā darbaspēka īpatsvars.</w:t>
      </w:r>
      <w:r w:rsidR="00433E3D">
        <w:rPr>
          <w:rFonts w:cs="Times New Roman"/>
          <w:sz w:val="24"/>
          <w:szCs w:val="24"/>
        </w:rPr>
        <w:t xml:space="preserve"> </w:t>
      </w:r>
      <w:r w:rsidRPr="008B71CF">
        <w:rPr>
          <w:rFonts w:cs="Times New Roman"/>
          <w:sz w:val="24"/>
          <w:szCs w:val="24"/>
        </w:rPr>
        <w:t>Pie šādas darba tirgus dinamikas investori, kas tomēr izvēlas ienākt Latvijā un attīstīt uzņēmējdarbību, ir spiesti “pārpirkt” darbiniekus no konkurentiem, tādējādi pārsātinot tirgus konkurenci par kvalificētiem darbiniekiem, kam seko neadekvāts atalgojuma līmenis un Latvijas kā izmaksu konkurētspējīgas valsts priekšrocību samazinājums.</w:t>
      </w:r>
      <w:r w:rsidR="00CF44F1" w:rsidRPr="00CF44F1">
        <w:t xml:space="preserve"> </w:t>
      </w:r>
      <w:r w:rsidR="00CF44F1" w:rsidRPr="00CF44F1">
        <w:rPr>
          <w:rFonts w:cs="Times New Roman"/>
          <w:sz w:val="24"/>
          <w:szCs w:val="24"/>
        </w:rPr>
        <w:t>Darbaspēka kvalifikācijas celšana investīciju piesaistes veicināšanai identificēta informatīvā ziņojuma 2.pielikuma, pasākumu plāna 2016.-2019.gadam, 3.1.2. punktā.</w:t>
      </w:r>
    </w:p>
    <w:p w14:paraId="54035CE5" w14:textId="77777777" w:rsidR="008B71CF" w:rsidRPr="008B71CF" w:rsidRDefault="008B71CF" w:rsidP="007111B1">
      <w:pPr>
        <w:ind w:firstLine="284"/>
        <w:jc w:val="both"/>
        <w:rPr>
          <w:rFonts w:cs="Times New Roman"/>
          <w:sz w:val="24"/>
          <w:szCs w:val="24"/>
        </w:rPr>
      </w:pPr>
      <w:r w:rsidRPr="008B71CF">
        <w:rPr>
          <w:rFonts w:cs="Times New Roman"/>
          <w:sz w:val="24"/>
          <w:szCs w:val="24"/>
        </w:rPr>
        <w:t xml:space="preserve">Būtisks ĀTI piesaistes ierobežojošais faktors ir </w:t>
      </w:r>
      <w:r w:rsidRPr="00CF44F1">
        <w:rPr>
          <w:rFonts w:cs="Times New Roman"/>
          <w:b/>
          <w:sz w:val="24"/>
          <w:szCs w:val="24"/>
        </w:rPr>
        <w:t>augstais korupcijas un ēnu ekonomikas līmenis</w:t>
      </w:r>
      <w:r w:rsidRPr="008B71CF">
        <w:rPr>
          <w:rFonts w:cs="Times New Roman"/>
          <w:sz w:val="24"/>
          <w:szCs w:val="24"/>
        </w:rPr>
        <w:t>. Saskaņā ar F.Šneidera (Schneider) pētījuma rezultātiem</w:t>
      </w:r>
      <w:r w:rsidRPr="008B71CF">
        <w:rPr>
          <w:rStyle w:val="FootnoteReference"/>
          <w:rFonts w:cs="Times New Roman"/>
          <w:sz w:val="24"/>
          <w:szCs w:val="24"/>
        </w:rPr>
        <w:footnoteReference w:id="9"/>
      </w:r>
      <w:r w:rsidRPr="008B71CF">
        <w:rPr>
          <w:rFonts w:cs="Times New Roman"/>
          <w:sz w:val="24"/>
          <w:szCs w:val="24"/>
        </w:rPr>
        <w:t xml:space="preserve">, prognozētais ēnu ekonomikas apmērs Latvijā 2015. gadā </w:t>
      </w:r>
      <w:r w:rsidR="009F4E96">
        <w:rPr>
          <w:rFonts w:cs="Times New Roman"/>
          <w:sz w:val="24"/>
          <w:szCs w:val="24"/>
        </w:rPr>
        <w:t>bija</w:t>
      </w:r>
      <w:r w:rsidRPr="008B71CF">
        <w:rPr>
          <w:rFonts w:cs="Times New Roman"/>
          <w:sz w:val="24"/>
          <w:szCs w:val="24"/>
        </w:rPr>
        <w:t xml:space="preserve"> 23,6% no IKP tikmēr abās mūsu kaimiņvalstīs, Lietuvā un Igaunijā, attiecīgi 25,8% un 26,2% no IKP, savukārt vidējais ēnu ekonomikas apmērs visā ES ir 18,3%. </w:t>
      </w:r>
      <w:r w:rsidR="0081417B" w:rsidRPr="00C56558">
        <w:rPr>
          <w:rFonts w:cs="Times New Roman"/>
          <w:i/>
          <w:sz w:val="24"/>
          <w:szCs w:val="24"/>
        </w:rPr>
        <w:t>SSE Riga</w:t>
      </w:r>
      <w:r w:rsidR="0081417B">
        <w:rPr>
          <w:rFonts w:cs="Times New Roman"/>
          <w:sz w:val="24"/>
          <w:szCs w:val="24"/>
        </w:rPr>
        <w:t xml:space="preserve"> veiktas ēnu ekonomikas pētījums, savukārt identificē, ka gada laikā samazinoties par 2,2% ēnu ekonomikas apjoms 2015.gadā sastādīja 21,3% no IKP. </w:t>
      </w:r>
      <w:r w:rsidRPr="008B71CF">
        <w:rPr>
          <w:rFonts w:cs="Times New Roman"/>
          <w:sz w:val="24"/>
          <w:szCs w:val="24"/>
        </w:rPr>
        <w:t xml:space="preserve">Jāatzīmē, ka ēnu ekonomikas apmērs Latvijā kopš 2010. gada pakāpeniski, bet konsekventi mazinās, ko būtiski ietekmē ikgadējā pasākumu plāna ēnu ekonomikas mazināšanai īstenošana. </w:t>
      </w:r>
    </w:p>
    <w:p w14:paraId="200F95AF" w14:textId="77777777" w:rsidR="008B71CF" w:rsidRPr="008B71CF" w:rsidRDefault="008B71CF" w:rsidP="007111B1">
      <w:pPr>
        <w:ind w:firstLine="284"/>
        <w:jc w:val="both"/>
        <w:rPr>
          <w:rFonts w:cs="Times New Roman"/>
          <w:sz w:val="24"/>
          <w:szCs w:val="24"/>
        </w:rPr>
      </w:pPr>
      <w:r w:rsidRPr="008B71CF">
        <w:rPr>
          <w:rFonts w:cs="Times New Roman"/>
          <w:sz w:val="24"/>
          <w:szCs w:val="24"/>
        </w:rPr>
        <w:t>Korupcijas uztveres indeksā</w:t>
      </w:r>
      <w:r w:rsidRPr="008B71CF">
        <w:rPr>
          <w:rStyle w:val="FootnoteReference"/>
          <w:rFonts w:cs="Times New Roman"/>
          <w:sz w:val="24"/>
          <w:szCs w:val="24"/>
        </w:rPr>
        <w:footnoteReference w:id="10"/>
      </w:r>
      <w:r w:rsidRPr="008B71CF">
        <w:rPr>
          <w:rFonts w:cs="Times New Roman"/>
          <w:sz w:val="24"/>
          <w:szCs w:val="24"/>
        </w:rPr>
        <w:t xml:space="preserve"> 2015.gadā Latvija otro gadu pēc</w:t>
      </w:r>
      <w:r w:rsidR="00A0664A">
        <w:rPr>
          <w:rFonts w:cs="Times New Roman"/>
          <w:sz w:val="24"/>
          <w:szCs w:val="24"/>
        </w:rPr>
        <w:t xml:space="preserve"> kārtas saņem 55 punktus no 100</w:t>
      </w:r>
      <w:r w:rsidRPr="008B71CF">
        <w:rPr>
          <w:rFonts w:cs="Times New Roman"/>
          <w:sz w:val="24"/>
          <w:szCs w:val="24"/>
        </w:rPr>
        <w:t xml:space="preserve">. Neskatoties uz to, Latvija pakāpjas par 3 vietām, ieņemot 40 vietu starp 167 valstīm, taču kaimiņvalstis Igaunija un Lietuva ieņem attiecīgi 23. un 32.vietu. </w:t>
      </w:r>
    </w:p>
    <w:p w14:paraId="10EE21E9" w14:textId="77777777" w:rsidR="008B71CF" w:rsidRDefault="008B71CF" w:rsidP="007111B1">
      <w:pPr>
        <w:ind w:firstLine="284"/>
        <w:jc w:val="both"/>
        <w:rPr>
          <w:rFonts w:cs="Times New Roman"/>
          <w:sz w:val="24"/>
          <w:szCs w:val="24"/>
        </w:rPr>
      </w:pPr>
      <w:r w:rsidRPr="008B71CF">
        <w:rPr>
          <w:rFonts w:cs="Times New Roman"/>
          <w:sz w:val="24"/>
          <w:szCs w:val="24"/>
        </w:rPr>
        <w:t xml:space="preserve">Nozīmīga loma investīciju piesaistes aktivitāšu īstenošanā ir </w:t>
      </w:r>
      <w:r w:rsidRPr="00CF44F1">
        <w:rPr>
          <w:rFonts w:cs="Times New Roman"/>
          <w:b/>
          <w:sz w:val="24"/>
          <w:szCs w:val="24"/>
        </w:rPr>
        <w:t>ģeopolitiskajai situācijai reģionā</w:t>
      </w:r>
      <w:r w:rsidRPr="008B71CF">
        <w:rPr>
          <w:rFonts w:cs="Times New Roman"/>
          <w:sz w:val="24"/>
          <w:szCs w:val="24"/>
        </w:rPr>
        <w:t xml:space="preserve">. Ukrainas krīze un tam sekojoša Krimas okupācija ir atstājusi iespaidu uz LIAA darbu ar potenciālajiem ārvalstu investoriem. Potenciāli ārvalstu investori, kā arī jau Latvijā esošie, ir pastiprināti interesējušies par ģeopolitiska rakstura jautājumiem un valdības rīcību. Latvijai konkurējot ar citu pasaules reģionu valstīm, ģeopolitiskais pamatojums ir bijis par būtisku iemeslu dažu potenciālo investīciju projektu nerealizēšanai. No otras puses, šī konkrēta situācija ir veicinājusi arī pozitīvu tendenču rašanos. Proti, vērojama pastiprināta starptautisko uzņēmumu interese par pārcelšanos no Krievijas uz ES valstīm, izvērtējot Latviju kā tuvāko kaimiņu Krievijai un stratēģiski novietotu Krievijas un citu NVS valstu tirgu apkalpošanai -  šāda interese novērota transporta un loģistikas, kā arī IT nozarēs. </w:t>
      </w:r>
    </w:p>
    <w:p w14:paraId="1A979820" w14:textId="77777777" w:rsidR="00CF44F1" w:rsidRDefault="00CF44F1" w:rsidP="007111B1">
      <w:pPr>
        <w:ind w:firstLine="720"/>
        <w:jc w:val="both"/>
        <w:rPr>
          <w:rFonts w:eastAsia="Times New Roman" w:cs="Times New Roman"/>
          <w:sz w:val="24"/>
          <w:szCs w:val="21"/>
        </w:rPr>
      </w:pPr>
      <w:r>
        <w:rPr>
          <w:rFonts w:eastAsia="Times New Roman" w:cs="Times New Roman"/>
          <w:sz w:val="24"/>
          <w:szCs w:val="21"/>
        </w:rPr>
        <w:t xml:space="preserve">Īstenojamie pasākumi investīciju vides uzlabošanai </w:t>
      </w:r>
      <w:r w:rsidRPr="007A2C09">
        <w:rPr>
          <w:rFonts w:eastAsia="Times New Roman" w:cs="Times New Roman"/>
          <w:sz w:val="24"/>
          <w:szCs w:val="21"/>
        </w:rPr>
        <w:t>2016.-2019.gadam</w:t>
      </w:r>
      <w:r>
        <w:rPr>
          <w:rFonts w:eastAsia="Times New Roman" w:cs="Times New Roman"/>
          <w:sz w:val="24"/>
          <w:szCs w:val="21"/>
        </w:rPr>
        <w:t xml:space="preserve"> identificēti informatīvā ziņojuma 2.pielikumā 3.1.punktā.</w:t>
      </w:r>
      <w:r w:rsidRPr="007A2C09">
        <w:rPr>
          <w:rFonts w:eastAsia="Times New Roman" w:cs="Times New Roman"/>
          <w:sz w:val="24"/>
          <w:szCs w:val="21"/>
        </w:rPr>
        <w:t xml:space="preserve"> </w:t>
      </w:r>
    </w:p>
    <w:p w14:paraId="1ACDC802" w14:textId="77777777" w:rsidR="007111B1" w:rsidRPr="007111B1" w:rsidRDefault="007111B1" w:rsidP="007111B1">
      <w:pPr>
        <w:ind w:firstLine="720"/>
        <w:jc w:val="both"/>
        <w:rPr>
          <w:rFonts w:eastAsia="Times New Roman" w:cs="Times New Roman"/>
          <w:sz w:val="8"/>
          <w:szCs w:val="8"/>
        </w:rPr>
      </w:pPr>
    </w:p>
    <w:p w14:paraId="44B3CB1B" w14:textId="77777777" w:rsidR="00DF336B" w:rsidRPr="009E53C0" w:rsidRDefault="00DF336B" w:rsidP="00CF44F1">
      <w:pPr>
        <w:pStyle w:val="Heading1"/>
        <w:shd w:val="clear" w:color="auto" w:fill="1DA0A7"/>
        <w:spacing w:before="0"/>
        <w:rPr>
          <w:color w:val="FFFFFF" w:themeColor="background1"/>
          <w:sz w:val="28"/>
        </w:rPr>
      </w:pPr>
      <w:bookmarkStart w:id="12" w:name="_Toc462739795"/>
      <w:bookmarkStart w:id="13" w:name="_Toc462740004"/>
      <w:bookmarkStart w:id="14" w:name="_Toc448154073"/>
      <w:bookmarkStart w:id="15" w:name="_Toc448154074"/>
      <w:r w:rsidRPr="009E53C0">
        <w:rPr>
          <w:color w:val="FFFFFF" w:themeColor="background1"/>
          <w:sz w:val="28"/>
        </w:rPr>
        <w:t xml:space="preserve">2. </w:t>
      </w:r>
      <w:r w:rsidR="009F76A1" w:rsidRPr="009E53C0">
        <w:rPr>
          <w:color w:val="FFFFFF" w:themeColor="background1"/>
          <w:sz w:val="28"/>
        </w:rPr>
        <w:t>Pamatnostādnēs noteikto rezultatīvo rādītāju izpildes novērtējums</w:t>
      </w:r>
      <w:bookmarkEnd w:id="12"/>
      <w:bookmarkEnd w:id="13"/>
      <w:r w:rsidR="009F76A1" w:rsidRPr="009E53C0">
        <w:rPr>
          <w:color w:val="FFFFFF" w:themeColor="background1"/>
          <w:sz w:val="28"/>
        </w:rPr>
        <w:t xml:space="preserve"> </w:t>
      </w:r>
      <w:bookmarkEnd w:id="14"/>
    </w:p>
    <w:p w14:paraId="4083AF96" w14:textId="09FE669C" w:rsidR="00DF336B" w:rsidRPr="00480559" w:rsidRDefault="00DF336B" w:rsidP="007111B1">
      <w:pPr>
        <w:spacing w:before="240"/>
        <w:ind w:firstLine="360"/>
        <w:jc w:val="both"/>
        <w:rPr>
          <w:sz w:val="24"/>
          <w:szCs w:val="24"/>
        </w:rPr>
      </w:pPr>
      <w:r w:rsidRPr="00480559">
        <w:rPr>
          <w:sz w:val="24"/>
          <w:szCs w:val="24"/>
        </w:rPr>
        <w:t xml:space="preserve">Saskaņā ar </w:t>
      </w:r>
      <w:r w:rsidR="00FC5BEB">
        <w:rPr>
          <w:sz w:val="24"/>
          <w:szCs w:val="24"/>
        </w:rPr>
        <w:t>M</w:t>
      </w:r>
      <w:r w:rsidR="00835279">
        <w:rPr>
          <w:sz w:val="24"/>
          <w:szCs w:val="24"/>
        </w:rPr>
        <w:t xml:space="preserve">inistru </w:t>
      </w:r>
      <w:r w:rsidR="00FC5BEB">
        <w:rPr>
          <w:sz w:val="24"/>
          <w:szCs w:val="24"/>
        </w:rPr>
        <w:t>K</w:t>
      </w:r>
      <w:r w:rsidR="00835279">
        <w:rPr>
          <w:sz w:val="24"/>
          <w:szCs w:val="24"/>
        </w:rPr>
        <w:t>abienta</w:t>
      </w:r>
      <w:r w:rsidR="00FC5BEB" w:rsidRPr="00480559">
        <w:rPr>
          <w:sz w:val="24"/>
          <w:szCs w:val="24"/>
        </w:rPr>
        <w:t xml:space="preserve"> </w:t>
      </w:r>
      <w:r w:rsidRPr="00480559">
        <w:rPr>
          <w:sz w:val="24"/>
          <w:szCs w:val="24"/>
        </w:rPr>
        <w:t>2014.gada 2.decembra noteikumu Nr.737 “</w:t>
      </w:r>
      <w:r w:rsidRPr="00354974">
        <w:rPr>
          <w:i/>
          <w:sz w:val="24"/>
          <w:szCs w:val="24"/>
        </w:rPr>
        <w:t xml:space="preserve">Attīstības plānošanas dokumentu izstrādes un ietekmes izvērtēšanas noteikumi“ </w:t>
      </w:r>
      <w:r w:rsidRPr="00480559">
        <w:rPr>
          <w:sz w:val="24"/>
          <w:szCs w:val="24"/>
        </w:rPr>
        <w:t xml:space="preserve">41.2 apakšpunktā noteikto kārtību, </w:t>
      </w:r>
      <w:r w:rsidRPr="00480559">
        <w:rPr>
          <w:sz w:val="24"/>
          <w:szCs w:val="24"/>
        </w:rPr>
        <w:lastRenderedPageBreak/>
        <w:t xml:space="preserve">Pamatnostādņu starpposma novērtējumā nepieciešams veikt Pamatnostādnēs </w:t>
      </w:r>
      <w:r w:rsidR="00433E3D">
        <w:rPr>
          <w:sz w:val="24"/>
          <w:szCs w:val="24"/>
        </w:rPr>
        <w:t>noteikto</w:t>
      </w:r>
      <w:r w:rsidRPr="00480559">
        <w:rPr>
          <w:sz w:val="24"/>
          <w:szCs w:val="24"/>
        </w:rPr>
        <w:t xml:space="preserve"> rezultatīvo rādītāju izpildes novērtējumu laikā no 201</w:t>
      </w:r>
      <w:r w:rsidR="008C2EBC">
        <w:rPr>
          <w:sz w:val="24"/>
          <w:szCs w:val="24"/>
        </w:rPr>
        <w:t>3</w:t>
      </w:r>
      <w:r w:rsidRPr="00480559">
        <w:rPr>
          <w:sz w:val="24"/>
          <w:szCs w:val="24"/>
        </w:rPr>
        <w:t xml:space="preserve"> līdz 2015.gadam.</w:t>
      </w:r>
    </w:p>
    <w:p w14:paraId="16F3F319" w14:textId="77777777" w:rsidR="00DF336B" w:rsidRDefault="00DF336B" w:rsidP="007111B1">
      <w:pPr>
        <w:spacing w:after="240"/>
        <w:ind w:firstLine="360"/>
        <w:jc w:val="both"/>
        <w:rPr>
          <w:sz w:val="24"/>
          <w:szCs w:val="24"/>
        </w:rPr>
      </w:pPr>
      <w:r w:rsidRPr="00480559">
        <w:rPr>
          <w:sz w:val="24"/>
          <w:szCs w:val="24"/>
        </w:rPr>
        <w:t>Pamatnostādnēs noteikti 4 rezultatīvie rādītāji, kas atspoguļo eksporta veicināšanas un investīciju piesaistes politikas mērķus – veicināt augsto un vidēji augsto tehnoloģiju produkcijas eksporta pieaugumu kopējā preču un pakalpojumu eksportā, kā arī sekmēt ārvalstu investīciju piesaisti uz ārējo pieprasījumu orientētajās nozarēs. Rezultatīvie rādītāji un to sasniedzamās vērtības atspoguļotas tabulā.</w:t>
      </w:r>
    </w:p>
    <w:tbl>
      <w:tblPr>
        <w:tblStyle w:val="ListTable3-Accent11"/>
        <w:tblW w:w="5000" w:type="pct"/>
        <w:tblLook w:val="04A0" w:firstRow="1" w:lastRow="0" w:firstColumn="1" w:lastColumn="0" w:noHBand="0" w:noVBand="1"/>
      </w:tblPr>
      <w:tblGrid>
        <w:gridCol w:w="4956"/>
        <w:gridCol w:w="1112"/>
        <w:gridCol w:w="1520"/>
        <w:gridCol w:w="2183"/>
      </w:tblGrid>
      <w:tr w:rsidR="000A0746" w:rsidRPr="00CF44F1" w14:paraId="1D4B7307" w14:textId="77777777" w:rsidTr="009E53C0">
        <w:trPr>
          <w:cnfStyle w:val="100000000000" w:firstRow="1" w:lastRow="0" w:firstColumn="0" w:lastColumn="0" w:oddVBand="0" w:evenVBand="0" w:oddHBand="0" w:evenHBand="0" w:firstRowFirstColumn="0" w:firstRowLastColumn="0" w:lastRowFirstColumn="0" w:lastRowLastColumn="0"/>
          <w:trHeight w:val="506"/>
        </w:trPr>
        <w:tc>
          <w:tcPr>
            <w:cnfStyle w:val="001000000100" w:firstRow="0" w:lastRow="0" w:firstColumn="1" w:lastColumn="0" w:oddVBand="0" w:evenVBand="0" w:oddHBand="0" w:evenHBand="0" w:firstRowFirstColumn="1" w:firstRowLastColumn="0" w:lastRowFirstColumn="0" w:lastRowLastColumn="0"/>
            <w:tcW w:w="2536" w:type="pct"/>
            <w:vMerge w:val="restart"/>
            <w:vAlign w:val="center"/>
          </w:tcPr>
          <w:p w14:paraId="27C1C540" w14:textId="77777777" w:rsidR="000A0746" w:rsidRPr="00CF44F1" w:rsidRDefault="000A0746" w:rsidP="009E53C0">
            <w:pPr>
              <w:jc w:val="center"/>
              <w:rPr>
                <w:sz w:val="18"/>
                <w:szCs w:val="24"/>
              </w:rPr>
            </w:pPr>
            <w:r w:rsidRPr="00CF44F1">
              <w:rPr>
                <w:sz w:val="18"/>
                <w:szCs w:val="24"/>
              </w:rPr>
              <w:t>Rezultatīvie rādītāji</w:t>
            </w:r>
          </w:p>
        </w:tc>
        <w:tc>
          <w:tcPr>
            <w:tcW w:w="1347" w:type="pct"/>
            <w:gridSpan w:val="2"/>
            <w:vAlign w:val="center"/>
          </w:tcPr>
          <w:p w14:paraId="4FB8E072" w14:textId="77777777" w:rsidR="000A0746" w:rsidRPr="00CF44F1" w:rsidRDefault="000A0746" w:rsidP="009E53C0">
            <w:pPr>
              <w:jc w:val="center"/>
              <w:cnfStyle w:val="100000000000" w:firstRow="1" w:lastRow="0" w:firstColumn="0" w:lastColumn="0" w:oddVBand="0" w:evenVBand="0" w:oddHBand="0" w:evenHBand="0" w:firstRowFirstColumn="0" w:firstRowLastColumn="0" w:lastRowFirstColumn="0" w:lastRowLastColumn="0"/>
              <w:rPr>
                <w:sz w:val="18"/>
                <w:szCs w:val="24"/>
              </w:rPr>
            </w:pPr>
            <w:r w:rsidRPr="00CF44F1">
              <w:rPr>
                <w:sz w:val="18"/>
                <w:szCs w:val="24"/>
              </w:rPr>
              <w:t>Mērķis</w:t>
            </w:r>
          </w:p>
        </w:tc>
        <w:tc>
          <w:tcPr>
            <w:tcW w:w="1117" w:type="pct"/>
            <w:vAlign w:val="center"/>
          </w:tcPr>
          <w:p w14:paraId="02875819" w14:textId="77777777" w:rsidR="000A0746" w:rsidRPr="00CF44F1" w:rsidRDefault="000A0746" w:rsidP="009E53C0">
            <w:pPr>
              <w:jc w:val="center"/>
              <w:cnfStyle w:val="100000000000" w:firstRow="1" w:lastRow="0" w:firstColumn="0" w:lastColumn="0" w:oddVBand="0" w:evenVBand="0" w:oddHBand="0" w:evenHBand="0" w:firstRowFirstColumn="0" w:firstRowLastColumn="0" w:lastRowFirstColumn="0" w:lastRowLastColumn="0"/>
              <w:rPr>
                <w:sz w:val="18"/>
                <w:szCs w:val="16"/>
              </w:rPr>
            </w:pPr>
            <w:r w:rsidRPr="00CF44F1">
              <w:rPr>
                <w:sz w:val="18"/>
                <w:szCs w:val="24"/>
              </w:rPr>
              <w:t>Izpildes novērtējums</w:t>
            </w:r>
          </w:p>
        </w:tc>
      </w:tr>
      <w:tr w:rsidR="0023663A" w:rsidRPr="00CF44F1" w14:paraId="72919FD4" w14:textId="77777777" w:rsidTr="005C69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36" w:type="pct"/>
            <w:vMerge/>
            <w:vAlign w:val="center"/>
          </w:tcPr>
          <w:p w14:paraId="72889302" w14:textId="77777777" w:rsidR="000A0746" w:rsidRPr="00CF44F1" w:rsidRDefault="000A0746" w:rsidP="009E53C0">
            <w:pPr>
              <w:jc w:val="center"/>
              <w:rPr>
                <w:sz w:val="18"/>
                <w:szCs w:val="24"/>
              </w:rPr>
            </w:pPr>
          </w:p>
        </w:tc>
        <w:tc>
          <w:tcPr>
            <w:tcW w:w="569" w:type="pct"/>
            <w:shd w:val="clear" w:color="auto" w:fill="5B9BD5" w:themeFill="accent1"/>
            <w:vAlign w:val="center"/>
          </w:tcPr>
          <w:p w14:paraId="7C7C9ECC" w14:textId="77777777" w:rsidR="000A0746" w:rsidRPr="00CF44F1" w:rsidRDefault="000A0746" w:rsidP="009E53C0">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4"/>
              </w:rPr>
            </w:pPr>
            <w:r w:rsidRPr="00CF44F1">
              <w:rPr>
                <w:b/>
                <w:color w:val="FFFFFF" w:themeColor="background1"/>
                <w:sz w:val="18"/>
                <w:szCs w:val="24"/>
              </w:rPr>
              <w:t>2015</w:t>
            </w:r>
          </w:p>
        </w:tc>
        <w:tc>
          <w:tcPr>
            <w:tcW w:w="778" w:type="pct"/>
            <w:shd w:val="clear" w:color="auto" w:fill="5B9BD5" w:themeFill="accent1"/>
            <w:vAlign w:val="center"/>
          </w:tcPr>
          <w:p w14:paraId="53E4E7AD" w14:textId="77777777" w:rsidR="000A0746" w:rsidRPr="00CF44F1" w:rsidRDefault="000A0746" w:rsidP="009E53C0">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4"/>
              </w:rPr>
            </w:pPr>
            <w:r w:rsidRPr="00CF44F1">
              <w:rPr>
                <w:b/>
                <w:color w:val="FFFFFF" w:themeColor="background1"/>
                <w:sz w:val="18"/>
                <w:szCs w:val="24"/>
              </w:rPr>
              <w:t>2019</w:t>
            </w:r>
          </w:p>
        </w:tc>
        <w:tc>
          <w:tcPr>
            <w:tcW w:w="1117" w:type="pct"/>
            <w:shd w:val="clear" w:color="auto" w:fill="5B9BD5" w:themeFill="accent1"/>
            <w:vAlign w:val="center"/>
          </w:tcPr>
          <w:p w14:paraId="0F98C386" w14:textId="77777777" w:rsidR="000A0746" w:rsidRPr="00CF44F1" w:rsidRDefault="000A0746" w:rsidP="009E53C0">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24"/>
              </w:rPr>
            </w:pPr>
            <w:r w:rsidRPr="00CF44F1">
              <w:rPr>
                <w:b/>
                <w:color w:val="FFFFFF" w:themeColor="background1"/>
                <w:sz w:val="18"/>
                <w:szCs w:val="24"/>
              </w:rPr>
              <w:t>2015</w:t>
            </w:r>
          </w:p>
        </w:tc>
      </w:tr>
      <w:tr w:rsidR="000A0746" w:rsidRPr="00CF44F1" w14:paraId="177FC2EB" w14:textId="77777777" w:rsidTr="009E53C0">
        <w:tc>
          <w:tcPr>
            <w:cnfStyle w:val="001000000000" w:firstRow="0" w:lastRow="0" w:firstColumn="1" w:lastColumn="0" w:oddVBand="0" w:evenVBand="0" w:oddHBand="0" w:evenHBand="0" w:firstRowFirstColumn="0" w:firstRowLastColumn="0" w:lastRowFirstColumn="0" w:lastRowLastColumn="0"/>
            <w:tcW w:w="2536" w:type="pct"/>
          </w:tcPr>
          <w:p w14:paraId="57AD720A" w14:textId="77777777" w:rsidR="000A0746" w:rsidRPr="007111B1" w:rsidRDefault="000A0746" w:rsidP="00386FBB">
            <w:pPr>
              <w:rPr>
                <w:sz w:val="20"/>
                <w:szCs w:val="24"/>
              </w:rPr>
            </w:pPr>
            <w:r w:rsidRPr="007111B1">
              <w:rPr>
                <w:sz w:val="20"/>
                <w:szCs w:val="24"/>
              </w:rPr>
              <w:t>Eksporta pieauguma temps (vidēji gadā salīdzināmās cenās, %)</w:t>
            </w:r>
          </w:p>
        </w:tc>
        <w:tc>
          <w:tcPr>
            <w:tcW w:w="1347" w:type="pct"/>
            <w:gridSpan w:val="2"/>
          </w:tcPr>
          <w:p w14:paraId="33FCC45F" w14:textId="77777777" w:rsidR="000F1BB1" w:rsidRPr="007111B1" w:rsidRDefault="000A0746" w:rsidP="00070054">
            <w:pPr>
              <w:jc w:val="center"/>
              <w:cnfStyle w:val="000000000000" w:firstRow="0" w:lastRow="0" w:firstColumn="0" w:lastColumn="0" w:oddVBand="0" w:evenVBand="0" w:oddHBand="0" w:evenHBand="0" w:firstRowFirstColumn="0" w:firstRowLastColumn="0" w:lastRowFirstColumn="0" w:lastRowLastColumn="0"/>
              <w:rPr>
                <w:sz w:val="18"/>
                <w:szCs w:val="24"/>
              </w:rPr>
            </w:pPr>
            <w:r w:rsidRPr="007111B1">
              <w:rPr>
                <w:sz w:val="18"/>
                <w:szCs w:val="24"/>
              </w:rPr>
              <w:t>4,5</w:t>
            </w:r>
            <w:r w:rsidR="000F1BB1" w:rsidRPr="007111B1">
              <w:rPr>
                <w:sz w:val="18"/>
                <w:szCs w:val="24"/>
              </w:rPr>
              <w:t xml:space="preserve"> </w:t>
            </w:r>
          </w:p>
          <w:p w14:paraId="03064915" w14:textId="77777777" w:rsidR="000A0746" w:rsidRPr="007111B1" w:rsidRDefault="000F1BB1" w:rsidP="000F1BB1">
            <w:pPr>
              <w:jc w:val="center"/>
              <w:cnfStyle w:val="000000000000" w:firstRow="0" w:lastRow="0" w:firstColumn="0" w:lastColumn="0" w:oddVBand="0" w:evenVBand="0" w:oddHBand="0" w:evenHBand="0" w:firstRowFirstColumn="0" w:firstRowLastColumn="0" w:lastRowFirstColumn="0" w:lastRowLastColumn="0"/>
              <w:rPr>
                <w:sz w:val="18"/>
                <w:szCs w:val="18"/>
              </w:rPr>
            </w:pPr>
            <w:r w:rsidRPr="007111B1">
              <w:rPr>
                <w:sz w:val="18"/>
                <w:szCs w:val="18"/>
              </w:rPr>
              <w:t>(2013.–2019., vidēji gadā)</w:t>
            </w:r>
          </w:p>
        </w:tc>
        <w:tc>
          <w:tcPr>
            <w:tcW w:w="1117" w:type="pct"/>
          </w:tcPr>
          <w:p w14:paraId="232E5291" w14:textId="77777777" w:rsidR="000A0746" w:rsidRPr="007111B1" w:rsidRDefault="000F1BB1" w:rsidP="00070054">
            <w:pPr>
              <w:jc w:val="center"/>
              <w:cnfStyle w:val="000000000000" w:firstRow="0" w:lastRow="0" w:firstColumn="0" w:lastColumn="0" w:oddVBand="0" w:evenVBand="0" w:oddHBand="0" w:evenHBand="0" w:firstRowFirstColumn="0" w:firstRowLastColumn="0" w:lastRowFirstColumn="0" w:lastRowLastColumn="0"/>
              <w:rPr>
                <w:sz w:val="18"/>
                <w:szCs w:val="24"/>
              </w:rPr>
            </w:pPr>
            <w:r w:rsidRPr="007111B1">
              <w:rPr>
                <w:sz w:val="18"/>
                <w:szCs w:val="24"/>
              </w:rPr>
              <w:t>2,0</w:t>
            </w:r>
          </w:p>
          <w:p w14:paraId="43225766" w14:textId="77777777" w:rsidR="000F1BB1" w:rsidRPr="007111B1" w:rsidRDefault="000F1BB1" w:rsidP="000F1BB1">
            <w:pPr>
              <w:jc w:val="center"/>
              <w:cnfStyle w:val="000000000000" w:firstRow="0" w:lastRow="0" w:firstColumn="0" w:lastColumn="0" w:oddVBand="0" w:evenVBand="0" w:oddHBand="0" w:evenHBand="0" w:firstRowFirstColumn="0" w:firstRowLastColumn="0" w:lastRowFirstColumn="0" w:lastRowLastColumn="0"/>
              <w:rPr>
                <w:sz w:val="18"/>
                <w:szCs w:val="24"/>
              </w:rPr>
            </w:pPr>
            <w:r w:rsidRPr="007111B1">
              <w:rPr>
                <w:sz w:val="18"/>
                <w:szCs w:val="18"/>
              </w:rPr>
              <w:t>(2013.–2015., vidēji gadā)</w:t>
            </w:r>
          </w:p>
        </w:tc>
      </w:tr>
      <w:tr w:rsidR="000A0746" w:rsidRPr="00CF44F1" w14:paraId="177C70BE" w14:textId="77777777" w:rsidTr="009E5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pct"/>
          </w:tcPr>
          <w:p w14:paraId="1B656333" w14:textId="77777777" w:rsidR="000A0746" w:rsidRPr="007111B1" w:rsidRDefault="000A0746" w:rsidP="00E33427">
            <w:pPr>
              <w:rPr>
                <w:sz w:val="20"/>
                <w:szCs w:val="24"/>
              </w:rPr>
            </w:pPr>
            <w:r w:rsidRPr="007111B1">
              <w:rPr>
                <w:sz w:val="20"/>
                <w:szCs w:val="24"/>
              </w:rPr>
              <w:t xml:space="preserve">Augsto un vidēji augsto tehnoloģiju nozaru </w:t>
            </w:r>
            <w:r w:rsidR="00FA30F5" w:rsidRPr="007111B1">
              <w:rPr>
                <w:sz w:val="20"/>
                <w:szCs w:val="24"/>
              </w:rPr>
              <w:t xml:space="preserve">produktu </w:t>
            </w:r>
            <w:r w:rsidRPr="007111B1">
              <w:rPr>
                <w:sz w:val="20"/>
                <w:szCs w:val="24"/>
              </w:rPr>
              <w:t>īpatsvars Latvijas preču eksportā (%)</w:t>
            </w:r>
          </w:p>
        </w:tc>
        <w:tc>
          <w:tcPr>
            <w:tcW w:w="569" w:type="pct"/>
          </w:tcPr>
          <w:p w14:paraId="1B9B6D5A" w14:textId="77777777" w:rsidR="000A0746" w:rsidRPr="007111B1" w:rsidRDefault="000A0746"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27,5</w:t>
            </w:r>
          </w:p>
        </w:tc>
        <w:tc>
          <w:tcPr>
            <w:tcW w:w="778" w:type="pct"/>
          </w:tcPr>
          <w:p w14:paraId="34BED6A9" w14:textId="77777777" w:rsidR="000A0746" w:rsidRPr="007111B1" w:rsidRDefault="000A0746"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31</w:t>
            </w:r>
          </w:p>
        </w:tc>
        <w:tc>
          <w:tcPr>
            <w:tcW w:w="1117" w:type="pct"/>
          </w:tcPr>
          <w:p w14:paraId="183DD761" w14:textId="77777777" w:rsidR="000A0746" w:rsidRPr="007111B1" w:rsidRDefault="000F1BB1"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31,1</w:t>
            </w:r>
          </w:p>
        </w:tc>
      </w:tr>
      <w:tr w:rsidR="000A0746" w:rsidRPr="00CF44F1" w14:paraId="76B697EA" w14:textId="77777777" w:rsidTr="009E53C0">
        <w:tc>
          <w:tcPr>
            <w:cnfStyle w:val="001000000000" w:firstRow="0" w:lastRow="0" w:firstColumn="1" w:lastColumn="0" w:oddVBand="0" w:evenVBand="0" w:oddHBand="0" w:evenHBand="0" w:firstRowFirstColumn="0" w:firstRowLastColumn="0" w:lastRowFirstColumn="0" w:lastRowLastColumn="0"/>
            <w:tcW w:w="2536" w:type="pct"/>
          </w:tcPr>
          <w:p w14:paraId="1BFDEDF6" w14:textId="77777777" w:rsidR="000A0746" w:rsidRPr="007111B1" w:rsidRDefault="000A0746" w:rsidP="0023663A">
            <w:pPr>
              <w:rPr>
                <w:sz w:val="20"/>
                <w:szCs w:val="24"/>
              </w:rPr>
            </w:pPr>
            <w:r w:rsidRPr="007111B1">
              <w:rPr>
                <w:sz w:val="20"/>
                <w:szCs w:val="24"/>
              </w:rPr>
              <w:t xml:space="preserve">Ārvalstu tiešās investīcijas uz ārējo pieprasījumu orientētajās nozarēs (% no </w:t>
            </w:r>
            <w:r w:rsidR="0023663A" w:rsidRPr="007111B1">
              <w:rPr>
                <w:sz w:val="20"/>
                <w:szCs w:val="24"/>
              </w:rPr>
              <w:t xml:space="preserve">piesaistītām </w:t>
            </w:r>
            <w:r w:rsidRPr="007111B1">
              <w:rPr>
                <w:sz w:val="20"/>
                <w:szCs w:val="24"/>
              </w:rPr>
              <w:t xml:space="preserve">ĀTI </w:t>
            </w:r>
            <w:r w:rsidR="0023663A" w:rsidRPr="007111B1">
              <w:rPr>
                <w:sz w:val="20"/>
                <w:szCs w:val="24"/>
              </w:rPr>
              <w:t>plūsmām</w:t>
            </w:r>
            <w:r w:rsidRPr="007111B1">
              <w:rPr>
                <w:sz w:val="20"/>
                <w:szCs w:val="24"/>
              </w:rPr>
              <w:t>)</w:t>
            </w:r>
          </w:p>
        </w:tc>
        <w:tc>
          <w:tcPr>
            <w:tcW w:w="569" w:type="pct"/>
          </w:tcPr>
          <w:p w14:paraId="779EAE09" w14:textId="77777777" w:rsidR="000A0746" w:rsidRPr="007111B1" w:rsidRDefault="000A0746" w:rsidP="00070054">
            <w:pPr>
              <w:jc w:val="center"/>
              <w:cnfStyle w:val="000000000000" w:firstRow="0" w:lastRow="0" w:firstColumn="0" w:lastColumn="0" w:oddVBand="0" w:evenVBand="0" w:oddHBand="0" w:evenHBand="0" w:firstRowFirstColumn="0" w:firstRowLastColumn="0" w:lastRowFirstColumn="0" w:lastRowLastColumn="0"/>
              <w:rPr>
                <w:sz w:val="20"/>
                <w:szCs w:val="24"/>
              </w:rPr>
            </w:pPr>
            <w:r w:rsidRPr="007111B1">
              <w:rPr>
                <w:sz w:val="20"/>
                <w:szCs w:val="24"/>
              </w:rPr>
              <w:t>20,0</w:t>
            </w:r>
          </w:p>
        </w:tc>
        <w:tc>
          <w:tcPr>
            <w:tcW w:w="778" w:type="pct"/>
          </w:tcPr>
          <w:p w14:paraId="1D878DE7" w14:textId="77777777" w:rsidR="000A0746" w:rsidRPr="007111B1" w:rsidRDefault="000A0746" w:rsidP="00070054">
            <w:pPr>
              <w:jc w:val="center"/>
              <w:cnfStyle w:val="000000000000" w:firstRow="0" w:lastRow="0" w:firstColumn="0" w:lastColumn="0" w:oddVBand="0" w:evenVBand="0" w:oddHBand="0" w:evenHBand="0" w:firstRowFirstColumn="0" w:firstRowLastColumn="0" w:lastRowFirstColumn="0" w:lastRowLastColumn="0"/>
              <w:rPr>
                <w:sz w:val="20"/>
                <w:szCs w:val="24"/>
              </w:rPr>
            </w:pPr>
            <w:r w:rsidRPr="007111B1">
              <w:rPr>
                <w:sz w:val="20"/>
                <w:szCs w:val="24"/>
              </w:rPr>
              <w:t>22,0</w:t>
            </w:r>
          </w:p>
        </w:tc>
        <w:tc>
          <w:tcPr>
            <w:tcW w:w="1117" w:type="pct"/>
          </w:tcPr>
          <w:p w14:paraId="745B897E" w14:textId="77777777" w:rsidR="000A0746" w:rsidRPr="007111B1" w:rsidRDefault="0023663A" w:rsidP="00070054">
            <w:pPr>
              <w:jc w:val="center"/>
              <w:cnfStyle w:val="000000000000" w:firstRow="0" w:lastRow="0" w:firstColumn="0" w:lastColumn="0" w:oddVBand="0" w:evenVBand="0" w:oddHBand="0" w:evenHBand="0" w:firstRowFirstColumn="0" w:firstRowLastColumn="0" w:lastRowFirstColumn="0" w:lastRowLastColumn="0"/>
              <w:rPr>
                <w:sz w:val="20"/>
                <w:szCs w:val="24"/>
              </w:rPr>
            </w:pPr>
            <w:r w:rsidRPr="007111B1">
              <w:rPr>
                <w:sz w:val="20"/>
                <w:szCs w:val="24"/>
              </w:rPr>
              <w:t>6,6</w:t>
            </w:r>
          </w:p>
        </w:tc>
      </w:tr>
      <w:tr w:rsidR="000A0746" w:rsidRPr="00CF44F1" w14:paraId="17439946" w14:textId="77777777" w:rsidTr="00CF44F1">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36" w:type="pct"/>
          </w:tcPr>
          <w:p w14:paraId="55EED0A3" w14:textId="77777777" w:rsidR="000A0746" w:rsidRPr="007111B1" w:rsidRDefault="000A0746" w:rsidP="00E33427">
            <w:pPr>
              <w:rPr>
                <w:sz w:val="20"/>
                <w:szCs w:val="24"/>
              </w:rPr>
            </w:pPr>
            <w:r w:rsidRPr="007111B1">
              <w:rPr>
                <w:sz w:val="20"/>
                <w:szCs w:val="24"/>
              </w:rPr>
              <w:t>Ārvalstu tiešo investīciju plūsmas Latvijā uz ārējo pieprasījumu orientētajās nozarēs (% pret IKP, 3 gadu vidējais rādītājs)</w:t>
            </w:r>
          </w:p>
        </w:tc>
        <w:tc>
          <w:tcPr>
            <w:tcW w:w="569" w:type="pct"/>
          </w:tcPr>
          <w:p w14:paraId="45C6D4F5" w14:textId="77777777" w:rsidR="000A0746" w:rsidRPr="007111B1" w:rsidRDefault="000A0746"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1,5</w:t>
            </w:r>
          </w:p>
        </w:tc>
        <w:tc>
          <w:tcPr>
            <w:tcW w:w="778" w:type="pct"/>
          </w:tcPr>
          <w:p w14:paraId="77E48960" w14:textId="77777777" w:rsidR="000A0746" w:rsidRPr="007111B1" w:rsidRDefault="000A0746"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1,5</w:t>
            </w:r>
          </w:p>
        </w:tc>
        <w:tc>
          <w:tcPr>
            <w:tcW w:w="1117" w:type="pct"/>
          </w:tcPr>
          <w:p w14:paraId="157727EE" w14:textId="77777777" w:rsidR="000A0746" w:rsidRPr="007111B1" w:rsidRDefault="0023663A" w:rsidP="00070054">
            <w:pPr>
              <w:jc w:val="center"/>
              <w:cnfStyle w:val="000000100000" w:firstRow="0" w:lastRow="0" w:firstColumn="0" w:lastColumn="0" w:oddVBand="0" w:evenVBand="0" w:oddHBand="1" w:evenHBand="0" w:firstRowFirstColumn="0" w:firstRowLastColumn="0" w:lastRowFirstColumn="0" w:lastRowLastColumn="0"/>
              <w:rPr>
                <w:sz w:val="20"/>
                <w:szCs w:val="24"/>
              </w:rPr>
            </w:pPr>
            <w:r w:rsidRPr="007111B1">
              <w:rPr>
                <w:sz w:val="20"/>
                <w:szCs w:val="24"/>
              </w:rPr>
              <w:t>0,27</w:t>
            </w:r>
          </w:p>
        </w:tc>
      </w:tr>
    </w:tbl>
    <w:p w14:paraId="175BD4AB" w14:textId="65692925" w:rsidR="00DF336B" w:rsidRPr="004B7E4F" w:rsidRDefault="00845712" w:rsidP="007111B1">
      <w:pPr>
        <w:spacing w:before="240"/>
        <w:ind w:firstLine="360"/>
        <w:jc w:val="both"/>
        <w:rPr>
          <w:sz w:val="24"/>
          <w:szCs w:val="24"/>
        </w:rPr>
      </w:pPr>
      <w:r>
        <w:rPr>
          <w:sz w:val="24"/>
          <w:szCs w:val="24"/>
        </w:rPr>
        <w:t>Izvērtējot pamatnostādnēs definēto mērķa rādītāju izpildi</w:t>
      </w:r>
      <w:r w:rsidR="00FC5BEB">
        <w:rPr>
          <w:sz w:val="24"/>
          <w:szCs w:val="24"/>
        </w:rPr>
        <w:t>,</w:t>
      </w:r>
      <w:r>
        <w:rPr>
          <w:sz w:val="24"/>
          <w:szCs w:val="24"/>
        </w:rPr>
        <w:t xml:space="preserve"> jāsecina, ka p</w:t>
      </w:r>
      <w:r w:rsidR="00DF336B" w:rsidRPr="004B7E4F">
        <w:rPr>
          <w:sz w:val="24"/>
          <w:szCs w:val="24"/>
        </w:rPr>
        <w:t>ārskata periodā sasniegts tikai viens no četriem nospraustajiem mērķiem, kamēr pārējo trīs rezultatīvo rādītāju faktiskā izpilde atpaliek no plānotās. Faktisko rezultātu atpalicību no mērķ</w:t>
      </w:r>
      <w:r w:rsidR="00DF336B">
        <w:rPr>
          <w:sz w:val="24"/>
          <w:szCs w:val="24"/>
        </w:rPr>
        <w:t>a rādītājiem</w:t>
      </w:r>
      <w:r w:rsidR="00DF336B" w:rsidRPr="004B7E4F">
        <w:rPr>
          <w:sz w:val="24"/>
          <w:szCs w:val="24"/>
        </w:rPr>
        <w:t xml:space="preserve"> galvenokārt </w:t>
      </w:r>
      <w:r w:rsidR="00DF336B">
        <w:rPr>
          <w:sz w:val="24"/>
          <w:szCs w:val="24"/>
        </w:rPr>
        <w:t>ietekmēja</w:t>
      </w:r>
      <w:r w:rsidR="00DF336B" w:rsidRPr="004B7E4F">
        <w:rPr>
          <w:sz w:val="24"/>
          <w:szCs w:val="24"/>
        </w:rPr>
        <w:t xml:space="preserve"> ārējie faktori un ar tiem saistīt</w:t>
      </w:r>
      <w:r w:rsidR="00DF336B">
        <w:rPr>
          <w:sz w:val="24"/>
          <w:szCs w:val="24"/>
        </w:rPr>
        <w:t>u</w:t>
      </w:r>
      <w:r w:rsidR="00DF336B" w:rsidRPr="004B7E4F">
        <w:rPr>
          <w:sz w:val="24"/>
          <w:szCs w:val="24"/>
        </w:rPr>
        <w:t xml:space="preserve"> negatīvo risku īstenošanās nepietiekama novērtēšana makroekonomiskās attīstības prognozēs uz kā pamata tika balstīta mērķa rādītāju noteikšana. </w:t>
      </w:r>
      <w:r w:rsidR="00B76768">
        <w:rPr>
          <w:sz w:val="24"/>
          <w:szCs w:val="24"/>
        </w:rPr>
        <w:t xml:space="preserve">Vienlaikus nepieciešams norādīt, ka ĀTI rādītāju neizpilde nav viennozīmīgi interpretējama, ņemot vērā, ka sākotnēji izvēlēts metodoloģiski nekorekts rezultatīvais rādītājs. </w:t>
      </w:r>
    </w:p>
    <w:p w14:paraId="38FA6D7A" w14:textId="77777777" w:rsidR="00DF336B" w:rsidRPr="009E53C0" w:rsidRDefault="009E53C0" w:rsidP="009E53C0">
      <w:pPr>
        <w:pStyle w:val="Heading2"/>
        <w:shd w:val="clear" w:color="auto" w:fill="1DA0A7"/>
        <w:rPr>
          <w:rFonts w:ascii="Calibri" w:hAnsi="Calibri"/>
          <w:b/>
          <w:color w:val="FFFFFF" w:themeColor="background1"/>
        </w:rPr>
      </w:pPr>
      <w:bookmarkStart w:id="16" w:name="_Toc462740005"/>
      <w:r w:rsidRPr="009E53C0">
        <w:rPr>
          <w:b/>
          <w:color w:val="FFFFFF" w:themeColor="background1"/>
        </w:rPr>
        <w:t xml:space="preserve">2.1. </w:t>
      </w:r>
      <w:r w:rsidR="000A0746" w:rsidRPr="009E53C0">
        <w:rPr>
          <w:b/>
          <w:color w:val="FFFFFF" w:themeColor="background1"/>
        </w:rPr>
        <w:t>E</w:t>
      </w:r>
      <w:r w:rsidR="00DF336B" w:rsidRPr="009E53C0">
        <w:rPr>
          <w:b/>
          <w:color w:val="FFFFFF" w:themeColor="background1"/>
        </w:rPr>
        <w:t xml:space="preserve">ksporta </w:t>
      </w:r>
      <w:r w:rsidR="000A0746" w:rsidRPr="009E53C0">
        <w:rPr>
          <w:b/>
          <w:color w:val="FFFFFF" w:themeColor="background1"/>
        </w:rPr>
        <w:t>dinamika</w:t>
      </w:r>
      <w:r w:rsidR="00F84B0F">
        <w:rPr>
          <w:b/>
          <w:color w:val="FFFFFF" w:themeColor="background1"/>
        </w:rPr>
        <w:t>s</w:t>
      </w:r>
      <w:r w:rsidR="000A0746" w:rsidRPr="009E53C0">
        <w:rPr>
          <w:b/>
          <w:color w:val="FFFFFF" w:themeColor="background1"/>
        </w:rPr>
        <w:t xml:space="preserve"> un struktūra</w:t>
      </w:r>
      <w:r w:rsidR="00F84B0F">
        <w:rPr>
          <w:b/>
          <w:color w:val="FFFFFF" w:themeColor="background1"/>
        </w:rPr>
        <w:t>s rādītāji</w:t>
      </w:r>
      <w:bookmarkEnd w:id="16"/>
    </w:p>
    <w:p w14:paraId="7A46B47D" w14:textId="77777777" w:rsidR="009E53C0" w:rsidRPr="009E53C0" w:rsidRDefault="009E53C0" w:rsidP="00DF336B">
      <w:pPr>
        <w:ind w:firstLine="360"/>
        <w:jc w:val="both"/>
        <w:rPr>
          <w:sz w:val="14"/>
          <w:szCs w:val="24"/>
        </w:rPr>
      </w:pPr>
    </w:p>
    <w:p w14:paraId="05871115" w14:textId="77777777" w:rsidR="00DF336B" w:rsidRDefault="00DF336B" w:rsidP="00DF336B">
      <w:pPr>
        <w:ind w:firstLine="360"/>
        <w:jc w:val="both"/>
        <w:rPr>
          <w:sz w:val="24"/>
          <w:szCs w:val="24"/>
        </w:rPr>
      </w:pPr>
      <w:r>
        <w:rPr>
          <w:sz w:val="24"/>
          <w:szCs w:val="24"/>
        </w:rPr>
        <w:t>Laika periodā no 201</w:t>
      </w:r>
      <w:r w:rsidR="00160E8F">
        <w:rPr>
          <w:sz w:val="24"/>
          <w:szCs w:val="24"/>
        </w:rPr>
        <w:t>3</w:t>
      </w:r>
      <w:r>
        <w:rPr>
          <w:sz w:val="24"/>
          <w:szCs w:val="24"/>
        </w:rPr>
        <w:t xml:space="preserve">. līdz 2015.gadam Latvijas </w:t>
      </w:r>
      <w:r w:rsidR="00F84B0F" w:rsidRPr="00EF043F">
        <w:rPr>
          <w:b/>
          <w:sz w:val="24"/>
          <w:szCs w:val="24"/>
        </w:rPr>
        <w:t>eksporta izaugsme</w:t>
      </w:r>
      <w:r w:rsidR="00F84B0F">
        <w:rPr>
          <w:sz w:val="24"/>
          <w:szCs w:val="24"/>
        </w:rPr>
        <w:t xml:space="preserve"> </w:t>
      </w:r>
      <w:r>
        <w:rPr>
          <w:sz w:val="24"/>
          <w:szCs w:val="24"/>
        </w:rPr>
        <w:t xml:space="preserve">atpalika no Pamatnostādnēs nospraustā mērķa (vidēji gadā </w:t>
      </w:r>
      <w:r w:rsidR="00357147">
        <w:rPr>
          <w:sz w:val="24"/>
          <w:szCs w:val="24"/>
        </w:rPr>
        <w:t xml:space="preserve">4,5%), </w:t>
      </w:r>
      <w:r w:rsidR="00D023AB">
        <w:rPr>
          <w:sz w:val="24"/>
          <w:szCs w:val="24"/>
        </w:rPr>
        <w:t>ko galvenokārt ietekmēja ārējie faktori un konkurētspēja, kas</w:t>
      </w:r>
      <w:r w:rsidR="00357147">
        <w:rPr>
          <w:sz w:val="24"/>
          <w:szCs w:val="24"/>
        </w:rPr>
        <w:t xml:space="preserve"> sīkāk </w:t>
      </w:r>
      <w:r w:rsidR="00EF043F">
        <w:rPr>
          <w:sz w:val="24"/>
          <w:szCs w:val="24"/>
        </w:rPr>
        <w:t>analizēts</w:t>
      </w:r>
      <w:r w:rsidR="00357147">
        <w:rPr>
          <w:sz w:val="24"/>
          <w:szCs w:val="24"/>
        </w:rPr>
        <w:t xml:space="preserve"> informatīvā ziņojuma 1.1.sadaļā. </w:t>
      </w:r>
    </w:p>
    <w:p w14:paraId="29A6F4DF" w14:textId="77777777" w:rsidR="00354974" w:rsidRPr="00354974" w:rsidRDefault="00354974" w:rsidP="009D7CC4">
      <w:pPr>
        <w:ind w:firstLine="360"/>
        <w:jc w:val="center"/>
        <w:rPr>
          <w:b/>
          <w:sz w:val="16"/>
          <w:szCs w:val="24"/>
        </w:rPr>
      </w:pPr>
    </w:p>
    <w:p w14:paraId="050CE93B" w14:textId="77777777" w:rsidR="009D7CC4" w:rsidRPr="00CF44F1" w:rsidRDefault="009D7CC4" w:rsidP="009D7CC4">
      <w:pPr>
        <w:ind w:firstLine="360"/>
        <w:jc w:val="center"/>
        <w:rPr>
          <w:b/>
          <w:sz w:val="20"/>
          <w:szCs w:val="24"/>
        </w:rPr>
      </w:pPr>
      <w:r w:rsidRPr="00CF44F1">
        <w:rPr>
          <w:b/>
          <w:sz w:val="20"/>
          <w:szCs w:val="24"/>
        </w:rPr>
        <w:t>Eksporta pieaugums</w:t>
      </w:r>
      <w:r w:rsidR="00354974" w:rsidRPr="00CF44F1">
        <w:rPr>
          <w:b/>
          <w:sz w:val="20"/>
          <w:szCs w:val="24"/>
        </w:rPr>
        <w:t>,</w:t>
      </w:r>
      <w:r w:rsidRPr="00CF44F1">
        <w:rPr>
          <w:b/>
          <w:sz w:val="20"/>
          <w:szCs w:val="24"/>
        </w:rPr>
        <w:t xml:space="preserve"> </w:t>
      </w:r>
      <w:r w:rsidR="00354974" w:rsidRPr="00CF44F1">
        <w:rPr>
          <w:sz w:val="20"/>
          <w:szCs w:val="24"/>
        </w:rPr>
        <w:t>2010.gada salīdzināmās cenās, %</w:t>
      </w:r>
    </w:p>
    <w:p w14:paraId="5B5C2438" w14:textId="77777777" w:rsidR="009D7CC4" w:rsidRPr="00354974" w:rsidRDefault="009D7CC4" w:rsidP="009D7CC4">
      <w:pPr>
        <w:ind w:firstLine="360"/>
        <w:jc w:val="center"/>
        <w:rPr>
          <w:b/>
          <w:sz w:val="10"/>
          <w:szCs w:val="24"/>
        </w:rPr>
      </w:pPr>
    </w:p>
    <w:tbl>
      <w:tblPr>
        <w:tblStyle w:val="PlainTable41"/>
        <w:tblW w:w="0" w:type="auto"/>
        <w:tblLook w:val="04A0" w:firstRow="1" w:lastRow="0" w:firstColumn="1" w:lastColumn="0" w:noHBand="0" w:noVBand="1"/>
      </w:tblPr>
      <w:tblGrid>
        <w:gridCol w:w="4672"/>
        <w:gridCol w:w="4672"/>
      </w:tblGrid>
      <w:tr w:rsidR="0023663A" w14:paraId="0AF25399" w14:textId="77777777" w:rsidTr="00354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78E6637D" w14:textId="77777777" w:rsidR="0023663A" w:rsidRPr="00CF44F1" w:rsidRDefault="009D7CC4" w:rsidP="00354974">
            <w:pPr>
              <w:jc w:val="center"/>
              <w:rPr>
                <w:sz w:val="20"/>
              </w:rPr>
            </w:pPr>
            <w:r w:rsidRPr="00CF44F1">
              <w:rPr>
                <w:b w:val="0"/>
                <w:sz w:val="20"/>
              </w:rPr>
              <w:t>2012</w:t>
            </w:r>
            <w:r w:rsidR="00354974" w:rsidRPr="00CF44F1">
              <w:rPr>
                <w:b w:val="0"/>
                <w:sz w:val="20"/>
              </w:rPr>
              <w:t>.gads</w:t>
            </w:r>
            <w:r w:rsidRPr="00CF44F1">
              <w:rPr>
                <w:b w:val="0"/>
                <w:sz w:val="20"/>
              </w:rPr>
              <w:t xml:space="preserve"> = 100</w:t>
            </w:r>
          </w:p>
        </w:tc>
        <w:tc>
          <w:tcPr>
            <w:tcW w:w="4672" w:type="dxa"/>
          </w:tcPr>
          <w:p w14:paraId="3983A8DF" w14:textId="77777777" w:rsidR="0023663A" w:rsidRPr="00CF44F1" w:rsidRDefault="009D7CC4" w:rsidP="00354974">
            <w:pPr>
              <w:jc w:val="center"/>
              <w:cnfStyle w:val="100000000000" w:firstRow="1" w:lastRow="0" w:firstColumn="0" w:lastColumn="0" w:oddVBand="0" w:evenVBand="0" w:oddHBand="0" w:evenHBand="0" w:firstRowFirstColumn="0" w:firstRowLastColumn="0" w:lastRowFirstColumn="0" w:lastRowLastColumn="0"/>
              <w:rPr>
                <w:sz w:val="20"/>
              </w:rPr>
            </w:pPr>
            <w:r w:rsidRPr="00CF44F1">
              <w:rPr>
                <w:b w:val="0"/>
                <w:sz w:val="20"/>
              </w:rPr>
              <w:t>% pret iepriekšējo gadu</w:t>
            </w:r>
          </w:p>
        </w:tc>
      </w:tr>
      <w:tr w:rsidR="0023663A" w14:paraId="11753E1C" w14:textId="77777777" w:rsidTr="00354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shd w:val="clear" w:color="auto" w:fill="auto"/>
          </w:tcPr>
          <w:p w14:paraId="0D7DCD3B" w14:textId="77777777" w:rsidR="0023663A" w:rsidRDefault="009D7CC4" w:rsidP="00DF336B">
            <w:pPr>
              <w:jc w:val="both"/>
              <w:rPr>
                <w:sz w:val="24"/>
                <w:szCs w:val="24"/>
              </w:rPr>
            </w:pPr>
            <w:r w:rsidRPr="000E4B3B">
              <w:rPr>
                <w:rFonts w:cs="Times New Roman"/>
                <w:noProof/>
                <w:lang w:eastAsia="lv-LV"/>
              </w:rPr>
              <w:drawing>
                <wp:inline distT="0" distB="0" distL="0" distR="0" wp14:anchorId="77E9C102" wp14:editId="5D9E6701">
                  <wp:extent cx="2820838" cy="1362974"/>
                  <wp:effectExtent l="0" t="0" r="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672" w:type="dxa"/>
            <w:shd w:val="clear" w:color="auto" w:fill="auto"/>
          </w:tcPr>
          <w:p w14:paraId="2E371033" w14:textId="77777777" w:rsidR="0023663A" w:rsidRDefault="009D7CC4" w:rsidP="00DF336B">
            <w:pPr>
              <w:jc w:val="both"/>
              <w:cnfStyle w:val="000000100000" w:firstRow="0" w:lastRow="0" w:firstColumn="0" w:lastColumn="0" w:oddVBand="0" w:evenVBand="0" w:oddHBand="1" w:evenHBand="0" w:firstRowFirstColumn="0" w:firstRowLastColumn="0" w:lastRowFirstColumn="0" w:lastRowLastColumn="0"/>
              <w:rPr>
                <w:sz w:val="24"/>
                <w:szCs w:val="24"/>
              </w:rPr>
            </w:pPr>
            <w:r w:rsidRPr="00210E56">
              <w:rPr>
                <w:rFonts w:ascii="Arial Narrow" w:hAnsi="Arial Narrow"/>
                <w:noProof/>
                <w:color w:val="000000"/>
                <w:sz w:val="20"/>
                <w:szCs w:val="20"/>
                <w:lang w:eastAsia="lv-LV"/>
              </w:rPr>
              <w:drawing>
                <wp:anchor distT="0" distB="0" distL="114300" distR="114300" simplePos="0" relativeHeight="251660288" behindDoc="0" locked="0" layoutInCell="1" allowOverlap="1" wp14:anchorId="20E2862E" wp14:editId="2D424D02">
                  <wp:simplePos x="0" y="0"/>
                  <wp:positionH relativeFrom="column">
                    <wp:posOffset>-2516</wp:posOffset>
                  </wp:positionH>
                  <wp:positionV relativeFrom="paragraph">
                    <wp:posOffset>11825</wp:posOffset>
                  </wp:positionV>
                  <wp:extent cx="2907102" cy="1354348"/>
                  <wp:effectExtent l="0" t="0" r="0" b="0"/>
                  <wp:wrapNone/>
                  <wp:docPr id="15"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bl>
    <w:p w14:paraId="59DC79E2" w14:textId="77777777" w:rsidR="00354974" w:rsidRDefault="00354974" w:rsidP="00DF336B">
      <w:pPr>
        <w:ind w:firstLine="360"/>
        <w:jc w:val="both"/>
        <w:rPr>
          <w:rFonts w:cs="Times New Roman"/>
          <w:sz w:val="24"/>
          <w:szCs w:val="24"/>
        </w:rPr>
      </w:pPr>
    </w:p>
    <w:p w14:paraId="7A3CB867" w14:textId="77777777" w:rsidR="00DF336B" w:rsidRDefault="00DF336B" w:rsidP="00DF336B">
      <w:pPr>
        <w:ind w:firstLine="360"/>
        <w:jc w:val="both"/>
        <w:rPr>
          <w:rFonts w:cs="Times New Roman"/>
          <w:sz w:val="24"/>
          <w:szCs w:val="24"/>
        </w:rPr>
      </w:pPr>
      <w:r>
        <w:rPr>
          <w:rFonts w:cs="Times New Roman"/>
          <w:sz w:val="24"/>
          <w:szCs w:val="24"/>
        </w:rPr>
        <w:t xml:space="preserve">Ņemot vērā eksporta apjomu dinamiku pēdējos trīs gados, </w:t>
      </w:r>
      <w:r w:rsidRPr="00EF043F">
        <w:rPr>
          <w:rFonts w:cs="Times New Roman"/>
          <w:sz w:val="24"/>
          <w:szCs w:val="24"/>
        </w:rPr>
        <w:t>lai sasniegtu Pamatnostādnēs noteikto mērķi</w:t>
      </w:r>
      <w:r w:rsidR="00D023AB">
        <w:rPr>
          <w:rFonts w:cs="Times New Roman"/>
          <w:sz w:val="24"/>
          <w:szCs w:val="24"/>
        </w:rPr>
        <w:t xml:space="preserve"> </w:t>
      </w:r>
      <w:r>
        <w:rPr>
          <w:rFonts w:cs="Times New Roman"/>
          <w:sz w:val="24"/>
          <w:szCs w:val="24"/>
        </w:rPr>
        <w:t xml:space="preserve">(eksporta pieaugums </w:t>
      </w:r>
      <w:r w:rsidRPr="00E14B0B">
        <w:rPr>
          <w:rFonts w:cs="Times New Roman"/>
          <w:sz w:val="24"/>
          <w:szCs w:val="24"/>
        </w:rPr>
        <w:t xml:space="preserve">2013.-2019.gadā ik gadu </w:t>
      </w:r>
      <w:r>
        <w:rPr>
          <w:rFonts w:cs="Times New Roman"/>
          <w:sz w:val="24"/>
          <w:szCs w:val="24"/>
        </w:rPr>
        <w:t>vidēji par 4,5%), eksporta apjomam līdz 2019.gadam ik gadu jāpieaug par 6,5</w:t>
      </w:r>
      <w:r w:rsidR="00160E8F">
        <w:rPr>
          <w:rFonts w:cs="Times New Roman"/>
          <w:sz w:val="24"/>
          <w:szCs w:val="24"/>
        </w:rPr>
        <w:t>%</w:t>
      </w:r>
      <w:r>
        <w:rPr>
          <w:rFonts w:cs="Times New Roman"/>
          <w:sz w:val="24"/>
          <w:szCs w:val="24"/>
        </w:rPr>
        <w:t>. Savukārt, s</w:t>
      </w:r>
      <w:r>
        <w:rPr>
          <w:sz w:val="24"/>
          <w:szCs w:val="24"/>
        </w:rPr>
        <w:t>aglabājoties patreizējām pasaules ekonomikas attīstības tendencēm, ārējās vides nenoteiktībai, kā arī ņemot vērā ekonomiskās izaugsmes jaunākās prognozes</w:t>
      </w:r>
      <w:r>
        <w:rPr>
          <w:rFonts w:cs="Times New Roman"/>
          <w:sz w:val="24"/>
          <w:szCs w:val="24"/>
        </w:rPr>
        <w:t xml:space="preserve">, tuvākajos gados Latvijas eksporta pieaugums visdrīzāk saglabāsies mērens. </w:t>
      </w:r>
    </w:p>
    <w:p w14:paraId="067B3771" w14:textId="77777777" w:rsidR="00DF336B" w:rsidRDefault="00DF336B" w:rsidP="00DF336B">
      <w:pPr>
        <w:ind w:firstLine="720"/>
        <w:jc w:val="both"/>
        <w:rPr>
          <w:sz w:val="24"/>
          <w:szCs w:val="24"/>
        </w:rPr>
      </w:pPr>
      <w:r w:rsidRPr="000F638A">
        <w:rPr>
          <w:sz w:val="24"/>
          <w:szCs w:val="24"/>
        </w:rPr>
        <w:t xml:space="preserve">Kaut arī eksporta dinamika pēdējos gados ir </w:t>
      </w:r>
      <w:r w:rsidR="00354974">
        <w:rPr>
          <w:sz w:val="24"/>
          <w:szCs w:val="24"/>
        </w:rPr>
        <w:t>lēna</w:t>
      </w:r>
      <w:r w:rsidRPr="000F638A">
        <w:rPr>
          <w:sz w:val="24"/>
          <w:szCs w:val="24"/>
        </w:rPr>
        <w:t xml:space="preserve">, </w:t>
      </w:r>
      <w:r>
        <w:rPr>
          <w:sz w:val="24"/>
          <w:szCs w:val="24"/>
        </w:rPr>
        <w:t xml:space="preserve">jāatzīmē, ka </w:t>
      </w:r>
      <w:r w:rsidR="00C76B5D">
        <w:rPr>
          <w:sz w:val="24"/>
          <w:szCs w:val="24"/>
        </w:rPr>
        <w:t>ir uzlabojusies</w:t>
      </w:r>
      <w:r w:rsidR="00415D1D" w:rsidRPr="00415D1D">
        <w:rPr>
          <w:sz w:val="24"/>
          <w:szCs w:val="24"/>
        </w:rPr>
        <w:t xml:space="preserve"> </w:t>
      </w:r>
      <w:r w:rsidR="00415D1D">
        <w:rPr>
          <w:sz w:val="24"/>
          <w:szCs w:val="24"/>
        </w:rPr>
        <w:t>eksporta struktūra</w:t>
      </w:r>
      <w:r>
        <w:rPr>
          <w:sz w:val="24"/>
          <w:szCs w:val="24"/>
        </w:rPr>
        <w:t xml:space="preserve">. Laika periodā no 2012. līdz 2015.gadam </w:t>
      </w:r>
      <w:r w:rsidRPr="00920EAC">
        <w:rPr>
          <w:b/>
          <w:sz w:val="24"/>
          <w:szCs w:val="24"/>
        </w:rPr>
        <w:t>augsto un vidēji augsto tehnoloģiju nozaru produktu eksports</w:t>
      </w:r>
      <w:r>
        <w:rPr>
          <w:sz w:val="24"/>
          <w:szCs w:val="24"/>
        </w:rPr>
        <w:t xml:space="preserve"> (faktiskajās cenās) pieauga par 7,3% un to daļa kopējā eksporta vērtībā 2015.gadā sasniedza 31,1%, pārsniedzot Pamatnostādnēs definēto mērķi (2015.gadā – 23,8% un 2019.gadā – 31%).  </w:t>
      </w:r>
    </w:p>
    <w:p w14:paraId="4DA0B198" w14:textId="77777777" w:rsidR="007111B1" w:rsidRDefault="007111B1" w:rsidP="007111B1">
      <w:pPr>
        <w:ind w:firstLine="720"/>
        <w:jc w:val="both"/>
        <w:rPr>
          <w:sz w:val="24"/>
          <w:szCs w:val="24"/>
        </w:rPr>
      </w:pPr>
      <w:r>
        <w:rPr>
          <w:sz w:val="24"/>
          <w:szCs w:val="24"/>
        </w:rPr>
        <w:lastRenderedPageBreak/>
        <w:t xml:space="preserve">Par pozitīvām izmaiņām eksporta struktūrā liecina arī </w:t>
      </w:r>
      <w:r w:rsidRPr="00920EAC">
        <w:rPr>
          <w:sz w:val="24"/>
          <w:szCs w:val="24"/>
        </w:rPr>
        <w:t>augsto tehnoloģiju (</w:t>
      </w:r>
      <w:r w:rsidRPr="00920EAC">
        <w:rPr>
          <w:i/>
          <w:sz w:val="24"/>
          <w:szCs w:val="24"/>
        </w:rPr>
        <w:t>high- tech</w:t>
      </w:r>
      <w:r w:rsidRPr="00920EAC">
        <w:rPr>
          <w:sz w:val="24"/>
          <w:szCs w:val="24"/>
        </w:rPr>
        <w:t>)</w:t>
      </w:r>
      <w:r w:rsidRPr="00920EAC">
        <w:t xml:space="preserve"> </w:t>
      </w:r>
      <w:r w:rsidRPr="00920EAC">
        <w:rPr>
          <w:sz w:val="24"/>
          <w:szCs w:val="24"/>
        </w:rPr>
        <w:t>produktu</w:t>
      </w:r>
      <w:r w:rsidRPr="00920EAC">
        <w:rPr>
          <w:rStyle w:val="FootnoteReference"/>
          <w:sz w:val="24"/>
          <w:szCs w:val="24"/>
        </w:rPr>
        <w:footnoteReference w:id="11"/>
      </w:r>
      <w:r w:rsidRPr="00920EAC">
        <w:rPr>
          <w:sz w:val="24"/>
          <w:szCs w:val="24"/>
        </w:rPr>
        <w:t xml:space="preserve"> īpatsvara pieaugums. </w:t>
      </w:r>
      <w:r>
        <w:rPr>
          <w:sz w:val="24"/>
          <w:szCs w:val="24"/>
        </w:rPr>
        <w:t xml:space="preserve">Lai gan </w:t>
      </w:r>
      <w:r w:rsidRPr="00190D56">
        <w:rPr>
          <w:sz w:val="24"/>
          <w:szCs w:val="24"/>
        </w:rPr>
        <w:t>augsto tehnoloģiju</w:t>
      </w:r>
      <w:r w:rsidRPr="005F17E4">
        <w:rPr>
          <w:sz w:val="24"/>
          <w:szCs w:val="24"/>
        </w:rPr>
        <w:t xml:space="preserve"> produktu </w:t>
      </w:r>
      <w:r>
        <w:rPr>
          <w:sz w:val="24"/>
          <w:szCs w:val="24"/>
        </w:rPr>
        <w:t xml:space="preserve">īpatsvars </w:t>
      </w:r>
      <w:r w:rsidRPr="00E424D1">
        <w:rPr>
          <w:sz w:val="24"/>
          <w:szCs w:val="24"/>
        </w:rPr>
        <w:t>kopējā eksporta</w:t>
      </w:r>
      <w:r w:rsidRPr="000805C5">
        <w:rPr>
          <w:sz w:val="24"/>
          <w:szCs w:val="24"/>
        </w:rPr>
        <w:t xml:space="preserve"> </w:t>
      </w:r>
      <w:r w:rsidRPr="00E424D1">
        <w:rPr>
          <w:sz w:val="24"/>
          <w:szCs w:val="24"/>
        </w:rPr>
        <w:t>apjomā</w:t>
      </w:r>
      <w:r>
        <w:rPr>
          <w:sz w:val="24"/>
          <w:szCs w:val="18"/>
        </w:rPr>
        <w:t xml:space="preserve"> </w:t>
      </w:r>
      <w:r>
        <w:rPr>
          <w:sz w:val="24"/>
          <w:szCs w:val="24"/>
        </w:rPr>
        <w:t xml:space="preserve">joprojām ir zemāks nekā vidēji ES, tomēr kopš 2012.gada </w:t>
      </w:r>
      <w:r w:rsidRPr="005F17E4">
        <w:rPr>
          <w:sz w:val="24"/>
          <w:szCs w:val="24"/>
        </w:rPr>
        <w:t xml:space="preserve"> </w:t>
      </w:r>
      <w:r>
        <w:rPr>
          <w:sz w:val="24"/>
          <w:szCs w:val="24"/>
        </w:rPr>
        <w:t>tas ir palielinājies gandrīz pusotras reizes. 2015.gadā</w:t>
      </w:r>
      <w:r w:rsidRPr="00E424D1">
        <w:rPr>
          <w:sz w:val="24"/>
          <w:szCs w:val="24"/>
        </w:rPr>
        <w:t xml:space="preserve"> </w:t>
      </w:r>
      <w:r w:rsidRPr="005F17E4">
        <w:rPr>
          <w:sz w:val="24"/>
          <w:szCs w:val="24"/>
        </w:rPr>
        <w:t xml:space="preserve">augsto tehnoloģiju </w:t>
      </w:r>
      <w:r>
        <w:rPr>
          <w:sz w:val="24"/>
          <w:szCs w:val="24"/>
        </w:rPr>
        <w:t>produktu daļa</w:t>
      </w:r>
      <w:r w:rsidRPr="005F17E4">
        <w:rPr>
          <w:sz w:val="24"/>
          <w:szCs w:val="24"/>
        </w:rPr>
        <w:t xml:space="preserve"> </w:t>
      </w:r>
      <w:r>
        <w:rPr>
          <w:sz w:val="24"/>
          <w:szCs w:val="24"/>
        </w:rPr>
        <w:t xml:space="preserve">Latvijas </w:t>
      </w:r>
      <w:r w:rsidRPr="005F17E4">
        <w:rPr>
          <w:sz w:val="24"/>
          <w:szCs w:val="24"/>
        </w:rPr>
        <w:t>kopējā eksportā</w:t>
      </w:r>
      <w:r w:rsidRPr="00D847C3">
        <w:rPr>
          <w:sz w:val="24"/>
          <w:szCs w:val="24"/>
        </w:rPr>
        <w:t xml:space="preserve"> </w:t>
      </w:r>
      <w:r>
        <w:rPr>
          <w:sz w:val="24"/>
          <w:szCs w:val="24"/>
        </w:rPr>
        <w:t xml:space="preserve">veidoja 9,8%, kas ir augstāks līmenis nekā Lietuvā, tomēr gandrīz divreiz zemāks nekā </w:t>
      </w:r>
      <w:r w:rsidRPr="00D847C3">
        <w:rPr>
          <w:sz w:val="24"/>
          <w:szCs w:val="24"/>
        </w:rPr>
        <w:t>Igaunijā</w:t>
      </w:r>
      <w:r>
        <w:rPr>
          <w:sz w:val="24"/>
          <w:szCs w:val="24"/>
        </w:rPr>
        <w:t>.</w:t>
      </w:r>
    </w:p>
    <w:p w14:paraId="1FE5CAC5" w14:textId="77777777" w:rsidR="007111B1" w:rsidRDefault="007111B1" w:rsidP="00DF336B">
      <w:pPr>
        <w:ind w:firstLine="720"/>
        <w:jc w:val="both"/>
        <w:rPr>
          <w:sz w:val="24"/>
          <w:szCs w:val="24"/>
        </w:rPr>
      </w:pPr>
    </w:p>
    <w:p w14:paraId="400A8C71" w14:textId="77777777" w:rsidR="00FA30F5" w:rsidRPr="00CF44F1" w:rsidRDefault="00FA30F5" w:rsidP="00FA30F5">
      <w:pPr>
        <w:ind w:firstLine="720"/>
        <w:jc w:val="center"/>
        <w:rPr>
          <w:b/>
          <w:sz w:val="20"/>
          <w:szCs w:val="24"/>
        </w:rPr>
      </w:pPr>
      <w:r w:rsidRPr="00CF44F1">
        <w:rPr>
          <w:b/>
          <w:sz w:val="20"/>
          <w:szCs w:val="24"/>
        </w:rPr>
        <w:t>Eksporta struktūra</w:t>
      </w:r>
    </w:p>
    <w:p w14:paraId="6FBAB333" w14:textId="77777777" w:rsidR="00FA30F5" w:rsidRPr="009E53C0" w:rsidRDefault="00FA30F5" w:rsidP="00FA30F5">
      <w:pPr>
        <w:ind w:firstLine="720"/>
        <w:jc w:val="center"/>
        <w:rPr>
          <w:b/>
          <w:sz w:val="10"/>
          <w:szCs w:val="24"/>
        </w:rPr>
      </w:pPr>
    </w:p>
    <w:tbl>
      <w:tblPr>
        <w:tblStyle w:val="PlainTable41"/>
        <w:tblW w:w="0" w:type="auto"/>
        <w:tblLook w:val="04A0" w:firstRow="1" w:lastRow="0" w:firstColumn="1" w:lastColumn="0" w:noHBand="0" w:noVBand="1"/>
      </w:tblPr>
      <w:tblGrid>
        <w:gridCol w:w="4672"/>
        <w:gridCol w:w="4672"/>
      </w:tblGrid>
      <w:tr w:rsidR="00FA30F5" w14:paraId="63834AA7" w14:textId="77777777" w:rsidTr="00354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687997CC" w14:textId="77777777" w:rsidR="00FA30F5" w:rsidRPr="00CF44F1" w:rsidRDefault="00FA30F5" w:rsidP="00354974">
            <w:pPr>
              <w:jc w:val="center"/>
              <w:rPr>
                <w:b w:val="0"/>
                <w:sz w:val="20"/>
              </w:rPr>
            </w:pPr>
            <w:r w:rsidRPr="00CF44F1">
              <w:rPr>
                <w:b w:val="0"/>
                <w:sz w:val="20"/>
              </w:rPr>
              <w:t>Augsto un vidēji augsto tehnoloģiju nozaru īpatsvars Latvijas preču eksportā (%)</w:t>
            </w:r>
          </w:p>
        </w:tc>
        <w:tc>
          <w:tcPr>
            <w:tcW w:w="4672" w:type="dxa"/>
          </w:tcPr>
          <w:p w14:paraId="1BC15915" w14:textId="77777777" w:rsidR="00FA30F5" w:rsidRPr="00CF44F1" w:rsidRDefault="00FA30F5" w:rsidP="00354974">
            <w:pPr>
              <w:jc w:val="center"/>
              <w:cnfStyle w:val="100000000000" w:firstRow="1" w:lastRow="0" w:firstColumn="0" w:lastColumn="0" w:oddVBand="0" w:evenVBand="0" w:oddHBand="0" w:evenHBand="0" w:firstRowFirstColumn="0" w:firstRowLastColumn="0" w:lastRowFirstColumn="0" w:lastRowLastColumn="0"/>
              <w:rPr>
                <w:b w:val="0"/>
                <w:sz w:val="20"/>
              </w:rPr>
            </w:pPr>
            <w:r w:rsidRPr="00CF44F1">
              <w:rPr>
                <w:b w:val="0"/>
                <w:sz w:val="20"/>
              </w:rPr>
              <w:t>Augsto tehnoloģiju produktu eksporta īpatsvars kopējā eksportā Baltijas valstīs un vidēji ES,</w:t>
            </w:r>
            <w:r w:rsidR="00EF043F">
              <w:rPr>
                <w:b w:val="0"/>
                <w:sz w:val="20"/>
              </w:rPr>
              <w:t xml:space="preserve"> </w:t>
            </w:r>
            <w:r w:rsidRPr="00CF44F1">
              <w:rPr>
                <w:b w:val="0"/>
                <w:sz w:val="20"/>
              </w:rPr>
              <w:t>(%)</w:t>
            </w:r>
          </w:p>
        </w:tc>
      </w:tr>
      <w:tr w:rsidR="00FA30F5" w14:paraId="207FBADE" w14:textId="77777777" w:rsidTr="00354974">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4672" w:type="dxa"/>
            <w:shd w:val="clear" w:color="auto" w:fill="auto"/>
          </w:tcPr>
          <w:p w14:paraId="3ED3C235" w14:textId="77777777" w:rsidR="00FA30F5" w:rsidRDefault="00FA30F5" w:rsidP="00DF336B">
            <w:pPr>
              <w:jc w:val="both"/>
              <w:rPr>
                <w:sz w:val="24"/>
                <w:szCs w:val="24"/>
              </w:rPr>
            </w:pPr>
            <w:r w:rsidRPr="000E4B3B">
              <w:rPr>
                <w:rFonts w:cs="Times New Roman"/>
                <w:noProof/>
                <w:lang w:eastAsia="lv-LV"/>
              </w:rPr>
              <w:drawing>
                <wp:inline distT="0" distB="0" distL="0" distR="0" wp14:anchorId="63910557" wp14:editId="4D86BC9C">
                  <wp:extent cx="2760453" cy="1414732"/>
                  <wp:effectExtent l="0" t="0" r="19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672" w:type="dxa"/>
            <w:shd w:val="clear" w:color="auto" w:fill="auto"/>
          </w:tcPr>
          <w:tbl>
            <w:tblPr>
              <w:tblpPr w:leftFromText="180" w:rightFromText="180" w:vertAnchor="text" w:horzAnchor="margin" w:tblpY="192"/>
              <w:tblOverlap w:val="never"/>
              <w:tblW w:w="4390" w:type="dxa"/>
              <w:tblLook w:val="04A0" w:firstRow="1" w:lastRow="0" w:firstColumn="1" w:lastColumn="0" w:noHBand="0" w:noVBand="1"/>
            </w:tblPr>
            <w:tblGrid>
              <w:gridCol w:w="958"/>
              <w:gridCol w:w="628"/>
              <w:gridCol w:w="723"/>
              <w:gridCol w:w="723"/>
              <w:gridCol w:w="730"/>
              <w:gridCol w:w="628"/>
            </w:tblGrid>
            <w:tr w:rsidR="00354974" w:rsidRPr="00332ADA" w14:paraId="41168C61" w14:textId="77777777" w:rsidTr="00354974">
              <w:trPr>
                <w:trHeight w:val="375"/>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CCE476A" w14:textId="77777777" w:rsidR="00354974" w:rsidRPr="00F55FA9" w:rsidRDefault="00354974" w:rsidP="00354974">
                  <w:pPr>
                    <w:jc w:val="right"/>
                    <w:rPr>
                      <w:rFonts w:ascii="Arial Narrow" w:eastAsia="Times New Roman" w:hAnsi="Arial Narrow" w:cs="Times New Roman"/>
                      <w:color w:val="000000"/>
                      <w:sz w:val="20"/>
                      <w:szCs w:val="20"/>
                      <w:lang w:eastAsia="lv-LV"/>
                    </w:rPr>
                  </w:pPr>
                </w:p>
              </w:tc>
              <w:tc>
                <w:tcPr>
                  <w:tcW w:w="62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0969761" w14:textId="77777777" w:rsidR="00354974" w:rsidRPr="00F55FA9" w:rsidRDefault="00354974" w:rsidP="00354974">
                  <w:pPr>
                    <w:jc w:val="right"/>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2011</w:t>
                  </w:r>
                </w:p>
              </w:tc>
              <w:tc>
                <w:tcPr>
                  <w:tcW w:w="72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C3A5754" w14:textId="77777777" w:rsidR="00354974" w:rsidRPr="00F55FA9" w:rsidRDefault="00354974" w:rsidP="00354974">
                  <w:pPr>
                    <w:jc w:val="right"/>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2012</w:t>
                  </w:r>
                </w:p>
              </w:tc>
              <w:tc>
                <w:tcPr>
                  <w:tcW w:w="72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5350B5B" w14:textId="77777777" w:rsidR="00354974" w:rsidRPr="00F55FA9" w:rsidRDefault="00354974" w:rsidP="00354974">
                  <w:pPr>
                    <w:jc w:val="right"/>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2013</w:t>
                  </w:r>
                </w:p>
              </w:tc>
              <w:tc>
                <w:tcPr>
                  <w:tcW w:w="73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F0173BC" w14:textId="77777777" w:rsidR="00354974" w:rsidRPr="00F55FA9" w:rsidRDefault="00354974" w:rsidP="00354974">
                  <w:pPr>
                    <w:jc w:val="right"/>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2014</w:t>
                  </w:r>
                </w:p>
              </w:tc>
              <w:tc>
                <w:tcPr>
                  <w:tcW w:w="628"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5C1A653" w14:textId="77777777" w:rsidR="00354974" w:rsidRPr="00F55FA9" w:rsidRDefault="00354974" w:rsidP="00354974">
                  <w:pPr>
                    <w:jc w:val="center"/>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2015</w:t>
                  </w:r>
                </w:p>
              </w:tc>
            </w:tr>
            <w:tr w:rsidR="00354974" w:rsidRPr="00332ADA" w14:paraId="64345429" w14:textId="77777777" w:rsidTr="00354974">
              <w:trPr>
                <w:trHeight w:val="375"/>
              </w:trPr>
              <w:tc>
                <w:tcPr>
                  <w:tcW w:w="958" w:type="dxa"/>
                  <w:tcBorders>
                    <w:top w:val="nil"/>
                    <w:left w:val="single" w:sz="4" w:space="0" w:color="auto"/>
                    <w:bottom w:val="single" w:sz="4" w:space="0" w:color="auto"/>
                    <w:right w:val="single" w:sz="4" w:space="0" w:color="auto"/>
                  </w:tcBorders>
                  <w:vAlign w:val="center"/>
                </w:tcPr>
                <w:p w14:paraId="191430FE" w14:textId="77777777" w:rsidR="00354974" w:rsidRPr="00F55FA9" w:rsidRDefault="00354974" w:rsidP="00354974">
                  <w:pPr>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Latvija</w:t>
                  </w:r>
                </w:p>
              </w:tc>
              <w:tc>
                <w:tcPr>
                  <w:tcW w:w="628" w:type="dxa"/>
                  <w:tcBorders>
                    <w:top w:val="nil"/>
                    <w:left w:val="nil"/>
                    <w:bottom w:val="single" w:sz="4" w:space="0" w:color="auto"/>
                    <w:right w:val="single" w:sz="4" w:space="0" w:color="auto"/>
                  </w:tcBorders>
                  <w:shd w:val="clear" w:color="auto" w:fill="auto"/>
                  <w:noWrap/>
                  <w:vAlign w:val="center"/>
                  <w:hideMark/>
                </w:tcPr>
                <w:p w14:paraId="36A84C40"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6,7</w:t>
                  </w:r>
                </w:p>
              </w:tc>
              <w:tc>
                <w:tcPr>
                  <w:tcW w:w="723" w:type="dxa"/>
                  <w:tcBorders>
                    <w:top w:val="nil"/>
                    <w:left w:val="nil"/>
                    <w:bottom w:val="single" w:sz="4" w:space="0" w:color="auto"/>
                    <w:right w:val="single" w:sz="4" w:space="0" w:color="auto"/>
                  </w:tcBorders>
                  <w:shd w:val="clear" w:color="auto" w:fill="auto"/>
                  <w:noWrap/>
                  <w:vAlign w:val="center"/>
                  <w:hideMark/>
                </w:tcPr>
                <w:p w14:paraId="71821421"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6,4</w:t>
                  </w:r>
                </w:p>
              </w:tc>
              <w:tc>
                <w:tcPr>
                  <w:tcW w:w="723" w:type="dxa"/>
                  <w:tcBorders>
                    <w:top w:val="nil"/>
                    <w:left w:val="nil"/>
                    <w:bottom w:val="single" w:sz="4" w:space="0" w:color="auto"/>
                    <w:right w:val="single" w:sz="4" w:space="0" w:color="auto"/>
                  </w:tcBorders>
                  <w:shd w:val="clear" w:color="auto" w:fill="auto"/>
                  <w:noWrap/>
                  <w:vAlign w:val="center"/>
                  <w:hideMark/>
                </w:tcPr>
                <w:p w14:paraId="264B30DF"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8,0</w:t>
                  </w:r>
                </w:p>
              </w:tc>
              <w:tc>
                <w:tcPr>
                  <w:tcW w:w="730" w:type="dxa"/>
                  <w:tcBorders>
                    <w:top w:val="nil"/>
                    <w:left w:val="nil"/>
                    <w:bottom w:val="single" w:sz="4" w:space="0" w:color="auto"/>
                    <w:right w:val="single" w:sz="4" w:space="0" w:color="auto"/>
                  </w:tcBorders>
                  <w:shd w:val="clear" w:color="auto" w:fill="auto"/>
                  <w:noWrap/>
                  <w:vAlign w:val="center"/>
                  <w:hideMark/>
                </w:tcPr>
                <w:p w14:paraId="2D9EB0A8"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9,7</w:t>
                  </w:r>
                </w:p>
              </w:tc>
              <w:tc>
                <w:tcPr>
                  <w:tcW w:w="628" w:type="dxa"/>
                  <w:tcBorders>
                    <w:top w:val="nil"/>
                    <w:left w:val="nil"/>
                    <w:bottom w:val="single" w:sz="4" w:space="0" w:color="auto"/>
                    <w:right w:val="single" w:sz="4" w:space="0" w:color="auto"/>
                  </w:tcBorders>
                  <w:vAlign w:val="center"/>
                </w:tcPr>
                <w:p w14:paraId="3BEBE81C"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9,8</w:t>
                  </w:r>
                </w:p>
              </w:tc>
            </w:tr>
            <w:tr w:rsidR="00354974" w:rsidRPr="00332ADA" w14:paraId="4AC75893" w14:textId="77777777" w:rsidTr="00354974">
              <w:trPr>
                <w:trHeight w:val="375"/>
              </w:trPr>
              <w:tc>
                <w:tcPr>
                  <w:tcW w:w="958" w:type="dxa"/>
                  <w:tcBorders>
                    <w:top w:val="single" w:sz="4" w:space="0" w:color="auto"/>
                    <w:left w:val="single" w:sz="4" w:space="0" w:color="auto"/>
                    <w:bottom w:val="single" w:sz="4" w:space="0" w:color="auto"/>
                    <w:right w:val="single" w:sz="4" w:space="0" w:color="auto"/>
                  </w:tcBorders>
                  <w:vAlign w:val="center"/>
                </w:tcPr>
                <w:p w14:paraId="468D8881" w14:textId="77777777" w:rsidR="00354974" w:rsidRPr="00F55FA9" w:rsidRDefault="00354974" w:rsidP="00354974">
                  <w:pPr>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Lietuva</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3EBA8E03"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5,6</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5E6D811"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5,8</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3FBC8E2"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5,8</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7D567597"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6,6</w:t>
                  </w:r>
                </w:p>
              </w:tc>
              <w:tc>
                <w:tcPr>
                  <w:tcW w:w="628" w:type="dxa"/>
                  <w:tcBorders>
                    <w:top w:val="single" w:sz="4" w:space="0" w:color="auto"/>
                    <w:left w:val="nil"/>
                    <w:bottom w:val="single" w:sz="4" w:space="0" w:color="auto"/>
                    <w:right w:val="single" w:sz="4" w:space="0" w:color="auto"/>
                  </w:tcBorders>
                  <w:vAlign w:val="center"/>
                </w:tcPr>
                <w:p w14:paraId="78EA2CD8" w14:textId="77777777" w:rsidR="00354974" w:rsidRPr="00F55FA9" w:rsidRDefault="00354974" w:rsidP="00354974">
                  <w:pPr>
                    <w:tabs>
                      <w:tab w:val="left" w:pos="335"/>
                      <w:tab w:val="right" w:pos="500"/>
                    </w:tabs>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7,5</w:t>
                  </w:r>
                </w:p>
              </w:tc>
            </w:tr>
            <w:tr w:rsidR="00354974" w:rsidRPr="00332ADA" w14:paraId="28A667B2" w14:textId="77777777" w:rsidTr="00354974">
              <w:trPr>
                <w:trHeight w:val="375"/>
              </w:trPr>
              <w:tc>
                <w:tcPr>
                  <w:tcW w:w="958" w:type="dxa"/>
                  <w:tcBorders>
                    <w:top w:val="single" w:sz="4" w:space="0" w:color="auto"/>
                    <w:left w:val="single" w:sz="4" w:space="0" w:color="auto"/>
                    <w:bottom w:val="single" w:sz="4" w:space="0" w:color="auto"/>
                    <w:right w:val="single" w:sz="4" w:space="0" w:color="auto"/>
                  </w:tcBorders>
                  <w:vAlign w:val="center"/>
                </w:tcPr>
                <w:p w14:paraId="5C9DCDDA" w14:textId="77777777" w:rsidR="00354974" w:rsidRPr="00F55FA9" w:rsidRDefault="00354974" w:rsidP="00354974">
                  <w:pPr>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Igaunija</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2CEF04DB"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14,8</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89A052C"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14,1</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7C54AFD"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15,0</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66DABC3A"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16,3</w:t>
                  </w:r>
                </w:p>
              </w:tc>
              <w:tc>
                <w:tcPr>
                  <w:tcW w:w="628" w:type="dxa"/>
                  <w:tcBorders>
                    <w:top w:val="single" w:sz="4" w:space="0" w:color="auto"/>
                    <w:left w:val="nil"/>
                    <w:bottom w:val="single" w:sz="4" w:space="0" w:color="auto"/>
                    <w:right w:val="single" w:sz="4" w:space="0" w:color="auto"/>
                  </w:tcBorders>
                  <w:vAlign w:val="center"/>
                </w:tcPr>
                <w:p w14:paraId="7073E1B2"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15,4</w:t>
                  </w:r>
                </w:p>
              </w:tc>
            </w:tr>
            <w:tr w:rsidR="00354974" w:rsidRPr="00332ADA" w14:paraId="7FF1985B" w14:textId="77777777" w:rsidTr="00354974">
              <w:trPr>
                <w:trHeight w:val="426"/>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E4DF39" w14:textId="77777777" w:rsidR="00354974" w:rsidRPr="00F55FA9" w:rsidRDefault="00354974" w:rsidP="00354974">
                  <w:pPr>
                    <w:rPr>
                      <w:rFonts w:ascii="Arial Narrow" w:eastAsia="Times New Roman" w:hAnsi="Arial Narrow" w:cs="Times New Roman"/>
                      <w:b/>
                      <w:color w:val="000000"/>
                      <w:sz w:val="20"/>
                      <w:szCs w:val="20"/>
                      <w:lang w:eastAsia="lv-LV"/>
                    </w:rPr>
                  </w:pPr>
                  <w:r w:rsidRPr="00F55FA9">
                    <w:rPr>
                      <w:rFonts w:ascii="Arial Narrow" w:eastAsia="Times New Roman" w:hAnsi="Arial Narrow" w:cs="Times New Roman"/>
                      <w:b/>
                      <w:color w:val="000000"/>
                      <w:sz w:val="20"/>
                      <w:szCs w:val="20"/>
                      <w:lang w:eastAsia="lv-LV"/>
                    </w:rPr>
                    <w:t>ES-28</w:t>
                  </w:r>
                </w:p>
              </w:tc>
              <w:tc>
                <w:tcPr>
                  <w:tcW w:w="628"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14:paraId="71545317"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15,4</w:t>
                  </w:r>
                </w:p>
              </w:tc>
              <w:tc>
                <w:tcPr>
                  <w:tcW w:w="723"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14:paraId="4B047AD6"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15,7</w:t>
                  </w:r>
                </w:p>
              </w:tc>
              <w:tc>
                <w:tcPr>
                  <w:tcW w:w="723"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14:paraId="05E949B9"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15,3</w:t>
                  </w:r>
                </w:p>
              </w:tc>
              <w:tc>
                <w:tcPr>
                  <w:tcW w:w="730"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14:paraId="61BDF9D9"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15,7</w:t>
                  </w:r>
                </w:p>
              </w:tc>
              <w:tc>
                <w:tcPr>
                  <w:tcW w:w="628"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026EA26" w14:textId="77777777" w:rsidR="00354974" w:rsidRPr="00F55FA9" w:rsidRDefault="00354974" w:rsidP="00354974">
                  <w:pPr>
                    <w:jc w:val="right"/>
                    <w:rPr>
                      <w:rFonts w:ascii="Arial Narrow" w:eastAsia="Times New Roman" w:hAnsi="Arial Narrow" w:cs="Times New Roman"/>
                      <w:color w:val="000000"/>
                      <w:sz w:val="20"/>
                      <w:szCs w:val="20"/>
                      <w:lang w:eastAsia="lv-LV"/>
                    </w:rPr>
                  </w:pPr>
                  <w:r w:rsidRPr="00F55FA9">
                    <w:rPr>
                      <w:rFonts w:ascii="Arial Narrow" w:eastAsia="Times New Roman" w:hAnsi="Arial Narrow" w:cs="Times New Roman"/>
                      <w:color w:val="000000"/>
                      <w:sz w:val="20"/>
                      <w:szCs w:val="20"/>
                      <w:lang w:eastAsia="lv-LV"/>
                    </w:rPr>
                    <w:t>17,0</w:t>
                  </w:r>
                </w:p>
              </w:tc>
            </w:tr>
          </w:tbl>
          <w:p w14:paraId="726ED21E" w14:textId="77777777" w:rsidR="00FA30F5" w:rsidRPr="00354974" w:rsidRDefault="00FA30F5" w:rsidP="00DF336B">
            <w:pPr>
              <w:jc w:val="both"/>
              <w:cnfStyle w:val="000000100000" w:firstRow="0" w:lastRow="0" w:firstColumn="0" w:lastColumn="0" w:oddVBand="0" w:evenVBand="0" w:oddHBand="1" w:evenHBand="0" w:firstRowFirstColumn="0" w:firstRowLastColumn="0" w:lastRowFirstColumn="0" w:lastRowLastColumn="0"/>
              <w:rPr>
                <w:sz w:val="10"/>
                <w:szCs w:val="24"/>
              </w:rPr>
            </w:pPr>
          </w:p>
        </w:tc>
      </w:tr>
    </w:tbl>
    <w:p w14:paraId="65C7ECEE" w14:textId="77777777" w:rsidR="00DF336B" w:rsidRDefault="00DF336B" w:rsidP="00DF336B">
      <w:pPr>
        <w:ind w:firstLine="720"/>
        <w:jc w:val="both"/>
        <w:rPr>
          <w:sz w:val="24"/>
          <w:szCs w:val="24"/>
        </w:rPr>
      </w:pPr>
      <w:r w:rsidRPr="005F17E4">
        <w:rPr>
          <w:sz w:val="24"/>
          <w:szCs w:val="24"/>
        </w:rPr>
        <w:t xml:space="preserve">Saskaņā ar </w:t>
      </w:r>
      <w:r w:rsidR="009E53C0">
        <w:rPr>
          <w:sz w:val="24"/>
          <w:szCs w:val="24"/>
        </w:rPr>
        <w:t>CSP</w:t>
      </w:r>
      <w:r w:rsidRPr="005F17E4">
        <w:rPr>
          <w:sz w:val="24"/>
          <w:szCs w:val="24"/>
        </w:rPr>
        <w:t xml:space="preserve"> lietoto metodoloģiju</w:t>
      </w:r>
      <w:r>
        <w:rPr>
          <w:sz w:val="24"/>
          <w:szCs w:val="24"/>
        </w:rPr>
        <w:t>, kas izmantota Pamatnostādnēs definēto rezultatīvo rādītāju aprēķināšanā,</w:t>
      </w:r>
      <w:r w:rsidRPr="005F17E4">
        <w:rPr>
          <w:sz w:val="24"/>
          <w:szCs w:val="24"/>
        </w:rPr>
        <w:t xml:space="preserve"> augsto tehnoloģiju nozarēm atbilst farmācijas produktu, datoru, elektronisko, optisko iekārtu, lidaparātu un to iekārtu ražošana</w:t>
      </w:r>
      <w:r w:rsidRPr="00D847C3">
        <w:rPr>
          <w:rStyle w:val="FootnoteReference"/>
          <w:sz w:val="24"/>
          <w:szCs w:val="24"/>
        </w:rPr>
        <w:footnoteReference w:id="12"/>
      </w:r>
      <w:r w:rsidRPr="00D847C3">
        <w:rPr>
          <w:sz w:val="24"/>
          <w:szCs w:val="24"/>
        </w:rPr>
        <w:t>, savukārt vidēji augsto tehnoloģiju nozarēm atbilst ķīmis</w:t>
      </w:r>
      <w:r w:rsidRPr="00E424D1">
        <w:rPr>
          <w:sz w:val="24"/>
          <w:szCs w:val="24"/>
        </w:rPr>
        <w:t>ko vielu, ieroču, elektrisko iekārtu, mehānismu un darba mašīnu, automo</w:t>
      </w:r>
      <w:r w:rsidRPr="005F17E4">
        <w:rPr>
          <w:sz w:val="24"/>
          <w:szCs w:val="24"/>
        </w:rPr>
        <w:t>biļu, citu transportlīdzekļu (bez kuģiem, laivām un lidaparātiem) ražošana un medicīnas instrumentu ražošana</w:t>
      </w:r>
      <w:r w:rsidRPr="00D847C3">
        <w:rPr>
          <w:rStyle w:val="FootnoteReference"/>
          <w:sz w:val="24"/>
          <w:szCs w:val="24"/>
        </w:rPr>
        <w:footnoteReference w:id="13"/>
      </w:r>
      <w:r>
        <w:rPr>
          <w:sz w:val="24"/>
          <w:szCs w:val="24"/>
        </w:rPr>
        <w:t>. Augsto un vidēji augsto tehnoloģiju eksportu atbilstoši CSP lietotajai metodoloģijai vērtē p</w:t>
      </w:r>
      <w:r w:rsidRPr="004C47C6">
        <w:rPr>
          <w:sz w:val="24"/>
          <w:szCs w:val="24"/>
        </w:rPr>
        <w:t>a preču sadaļām pēc uzņēmuma darbības veida</w:t>
      </w:r>
      <w:r>
        <w:rPr>
          <w:sz w:val="24"/>
          <w:szCs w:val="24"/>
        </w:rPr>
        <w:t xml:space="preserve"> (NACE 2.redakcijas divu zīmju līmenī), kas ne vienmēr precīzi atspoguļo faktisko preču eksportu produktu grupas un nav saistīts ar ražošanu, līdz ar to nesniedz objektīvu priekšstatu par augsto tehnoloģiju produktu eksportu. </w:t>
      </w:r>
    </w:p>
    <w:p w14:paraId="41D95C79" w14:textId="77777777" w:rsidR="00DF336B" w:rsidRDefault="00DF336B" w:rsidP="00DF336B">
      <w:pPr>
        <w:tabs>
          <w:tab w:val="left" w:pos="7755"/>
        </w:tabs>
        <w:ind w:firstLine="720"/>
        <w:jc w:val="both"/>
        <w:rPr>
          <w:sz w:val="24"/>
          <w:szCs w:val="24"/>
        </w:rPr>
      </w:pPr>
      <w:r w:rsidRPr="00EF043F">
        <w:rPr>
          <w:b/>
          <w:sz w:val="24"/>
          <w:szCs w:val="24"/>
        </w:rPr>
        <w:t xml:space="preserve">Lai </w:t>
      </w:r>
      <w:r w:rsidR="00223A6D" w:rsidRPr="00EF043F">
        <w:rPr>
          <w:b/>
          <w:sz w:val="24"/>
          <w:szCs w:val="24"/>
        </w:rPr>
        <w:t xml:space="preserve">identificētu </w:t>
      </w:r>
      <w:r w:rsidR="003C3FBD" w:rsidRPr="00EF043F">
        <w:rPr>
          <w:b/>
          <w:sz w:val="24"/>
          <w:szCs w:val="24"/>
        </w:rPr>
        <w:t xml:space="preserve">eksporta struktūras izmaiņu </w:t>
      </w:r>
      <w:r w:rsidRPr="00EF043F">
        <w:rPr>
          <w:b/>
          <w:sz w:val="24"/>
          <w:szCs w:val="24"/>
        </w:rPr>
        <w:t>novērtēšanu</w:t>
      </w:r>
      <w:r w:rsidR="005733EF" w:rsidRPr="00EF043F">
        <w:rPr>
          <w:b/>
          <w:sz w:val="24"/>
          <w:szCs w:val="24"/>
        </w:rPr>
        <w:t xml:space="preserve"> </w:t>
      </w:r>
      <w:r w:rsidR="005733EF">
        <w:rPr>
          <w:sz w:val="24"/>
          <w:szCs w:val="24"/>
        </w:rPr>
        <w:t>un</w:t>
      </w:r>
      <w:r>
        <w:rPr>
          <w:sz w:val="24"/>
          <w:szCs w:val="24"/>
        </w:rPr>
        <w:t xml:space="preserve"> </w:t>
      </w:r>
      <w:r w:rsidR="00223A6D" w:rsidRPr="00EF043F">
        <w:rPr>
          <w:b/>
          <w:sz w:val="24"/>
          <w:szCs w:val="24"/>
        </w:rPr>
        <w:t xml:space="preserve">nodrošinātu </w:t>
      </w:r>
      <w:r w:rsidRPr="00EF043F">
        <w:rPr>
          <w:b/>
          <w:sz w:val="24"/>
          <w:szCs w:val="24"/>
        </w:rPr>
        <w:t>datu starptautisku salīdzināmību</w:t>
      </w:r>
      <w:r>
        <w:rPr>
          <w:sz w:val="24"/>
          <w:szCs w:val="24"/>
        </w:rPr>
        <w:t xml:space="preserve">, </w:t>
      </w:r>
      <w:r w:rsidRPr="00EF043F">
        <w:rPr>
          <w:b/>
          <w:sz w:val="24"/>
          <w:szCs w:val="24"/>
        </w:rPr>
        <w:t>nepieciešams veikt korekcijas rezultatīvā rādītāja definēšanā</w:t>
      </w:r>
      <w:r>
        <w:rPr>
          <w:sz w:val="24"/>
          <w:szCs w:val="24"/>
        </w:rPr>
        <w:t xml:space="preserve"> un turpmāk izmantot </w:t>
      </w:r>
      <w:r w:rsidRPr="00354974">
        <w:rPr>
          <w:i/>
          <w:sz w:val="24"/>
          <w:szCs w:val="24"/>
        </w:rPr>
        <w:t>Eurostat</w:t>
      </w:r>
      <w:r>
        <w:rPr>
          <w:sz w:val="24"/>
          <w:szCs w:val="24"/>
        </w:rPr>
        <w:t xml:space="preserve"> metodoloģiju, kas ir balstīta uz augsto tehnoloģiju eksporta uzskaiti pa produktu grupām, nevis pēc uzņēmumu darbības veida. </w:t>
      </w:r>
    </w:p>
    <w:p w14:paraId="4ABD6B05" w14:textId="77777777" w:rsidR="00DF336B" w:rsidRDefault="00DF336B" w:rsidP="007111B1">
      <w:pPr>
        <w:spacing w:after="240"/>
        <w:ind w:firstLine="720"/>
        <w:jc w:val="both"/>
        <w:rPr>
          <w:sz w:val="24"/>
          <w:szCs w:val="24"/>
        </w:rPr>
      </w:pPr>
      <w:r>
        <w:rPr>
          <w:sz w:val="24"/>
          <w:szCs w:val="24"/>
        </w:rPr>
        <w:t xml:space="preserve">Ņemot vērā, ka </w:t>
      </w:r>
      <w:r w:rsidR="005733EF">
        <w:rPr>
          <w:sz w:val="24"/>
          <w:szCs w:val="24"/>
        </w:rPr>
        <w:t xml:space="preserve">saskaņā ar šo </w:t>
      </w:r>
      <w:r>
        <w:rPr>
          <w:sz w:val="24"/>
          <w:szCs w:val="24"/>
        </w:rPr>
        <w:t>pieej</w:t>
      </w:r>
      <w:r w:rsidR="005733EF">
        <w:rPr>
          <w:sz w:val="24"/>
          <w:szCs w:val="24"/>
        </w:rPr>
        <w:t>u</w:t>
      </w:r>
      <w:r>
        <w:rPr>
          <w:sz w:val="24"/>
          <w:szCs w:val="24"/>
        </w:rPr>
        <w:t xml:space="preserve"> </w:t>
      </w:r>
      <w:r>
        <w:rPr>
          <w:i/>
          <w:sz w:val="24"/>
          <w:szCs w:val="24"/>
        </w:rPr>
        <w:t>high-tech</w:t>
      </w:r>
      <w:r>
        <w:rPr>
          <w:i/>
          <w:sz w:val="24"/>
          <w:szCs w:val="24"/>
        </w:rPr>
        <w:softHyphen/>
        <w:t xml:space="preserve"> </w:t>
      </w:r>
      <w:r>
        <w:rPr>
          <w:sz w:val="24"/>
          <w:szCs w:val="24"/>
        </w:rPr>
        <w:t xml:space="preserve">produktu grupā ietilpst gan augsto, gan vidēji augsto tehnoloģiju nozares atbilstoši CSP metodoloģijai, </w:t>
      </w:r>
      <w:r w:rsidR="005733EF">
        <w:rPr>
          <w:sz w:val="24"/>
          <w:szCs w:val="24"/>
        </w:rPr>
        <w:t>tas nav pretrunā</w:t>
      </w:r>
      <w:r>
        <w:rPr>
          <w:sz w:val="24"/>
          <w:szCs w:val="24"/>
        </w:rPr>
        <w:t xml:space="preserve"> ar </w:t>
      </w:r>
      <w:r w:rsidR="001E23A1">
        <w:rPr>
          <w:sz w:val="24"/>
          <w:szCs w:val="24"/>
        </w:rPr>
        <w:t>Pamatnostād</w:t>
      </w:r>
      <w:r w:rsidR="00354974">
        <w:rPr>
          <w:sz w:val="24"/>
          <w:szCs w:val="24"/>
        </w:rPr>
        <w:t>n</w:t>
      </w:r>
      <w:r w:rsidR="001E23A1">
        <w:rPr>
          <w:sz w:val="24"/>
          <w:szCs w:val="24"/>
        </w:rPr>
        <w:t xml:space="preserve">ēs </w:t>
      </w:r>
      <w:r w:rsidR="005733EF">
        <w:rPr>
          <w:sz w:val="24"/>
          <w:szCs w:val="24"/>
        </w:rPr>
        <w:t xml:space="preserve">iepriekš </w:t>
      </w:r>
      <w:r>
        <w:rPr>
          <w:sz w:val="24"/>
          <w:szCs w:val="24"/>
        </w:rPr>
        <w:t>noteikto mērķi</w:t>
      </w:r>
      <w:r w:rsidR="005733EF">
        <w:rPr>
          <w:sz w:val="24"/>
          <w:szCs w:val="24"/>
        </w:rPr>
        <w:t xml:space="preserve">. </w:t>
      </w:r>
    </w:p>
    <w:p w14:paraId="5FBF6938" w14:textId="77777777" w:rsidR="00DF336B" w:rsidRPr="00DE0F41" w:rsidRDefault="009E53C0" w:rsidP="00DE0F41">
      <w:pPr>
        <w:pStyle w:val="Heading2"/>
        <w:shd w:val="clear" w:color="auto" w:fill="009999"/>
        <w:rPr>
          <w:b/>
          <w:color w:val="FFFFFF" w:themeColor="background1"/>
        </w:rPr>
      </w:pPr>
      <w:bookmarkStart w:id="17" w:name="_Toc462740006"/>
      <w:r w:rsidRPr="00DE0F41">
        <w:rPr>
          <w:b/>
          <w:color w:val="FFFFFF" w:themeColor="background1"/>
        </w:rPr>
        <w:t xml:space="preserve">2.2. </w:t>
      </w:r>
      <w:r w:rsidR="005733EF" w:rsidRPr="00DE0F41">
        <w:rPr>
          <w:b/>
          <w:color w:val="FFFFFF" w:themeColor="background1"/>
        </w:rPr>
        <w:t>ĀTI piesaiste</w:t>
      </w:r>
      <w:r w:rsidR="00DF336B" w:rsidRPr="00DE0F41">
        <w:rPr>
          <w:b/>
          <w:color w:val="FFFFFF" w:themeColor="background1"/>
        </w:rPr>
        <w:t xml:space="preserve"> uz ārējo pieprasījumu orientētajās nozarēs</w:t>
      </w:r>
      <w:bookmarkEnd w:id="17"/>
    </w:p>
    <w:p w14:paraId="4D347158" w14:textId="77777777" w:rsidR="00DE0F41" w:rsidRDefault="00DE0F41" w:rsidP="00DE0F41">
      <w:pPr>
        <w:ind w:firstLine="426"/>
        <w:jc w:val="both"/>
        <w:rPr>
          <w:sz w:val="8"/>
          <w:szCs w:val="8"/>
        </w:rPr>
      </w:pPr>
    </w:p>
    <w:p w14:paraId="092DE7D9" w14:textId="77777777" w:rsidR="007111B1" w:rsidRPr="00324BE4" w:rsidRDefault="007111B1" w:rsidP="007111B1">
      <w:pPr>
        <w:ind w:firstLine="426"/>
        <w:jc w:val="both"/>
        <w:rPr>
          <w:sz w:val="24"/>
          <w:szCs w:val="24"/>
        </w:rPr>
      </w:pPr>
      <w:bookmarkStart w:id="18" w:name="_Toc462740007"/>
      <w:r>
        <w:rPr>
          <w:sz w:val="24"/>
          <w:szCs w:val="24"/>
        </w:rPr>
        <w:t>Saskaņā ar Pamatnostādnēs noteikto plānots palielināt ārvalstu tiešo investīciju daļu uz ārējo pieprasījumu orientētajās nozarēs</w:t>
      </w:r>
      <w:r>
        <w:rPr>
          <w:rStyle w:val="FootnoteReference"/>
          <w:sz w:val="24"/>
          <w:szCs w:val="24"/>
        </w:rPr>
        <w:footnoteReference w:id="14"/>
      </w:r>
      <w:r>
        <w:rPr>
          <w:sz w:val="24"/>
          <w:szCs w:val="24"/>
        </w:rPr>
        <w:t xml:space="preserve"> piesaistīto ĀTI plūsmu struktūrā </w:t>
      </w:r>
      <w:r w:rsidRPr="000805C5">
        <w:rPr>
          <w:sz w:val="24"/>
          <w:szCs w:val="24"/>
        </w:rPr>
        <w:t xml:space="preserve">2015.gadā </w:t>
      </w:r>
      <w:r>
        <w:rPr>
          <w:sz w:val="24"/>
          <w:szCs w:val="24"/>
        </w:rPr>
        <w:t>līdz 20</w:t>
      </w:r>
      <w:r w:rsidRPr="000805C5">
        <w:rPr>
          <w:sz w:val="24"/>
          <w:szCs w:val="24"/>
        </w:rPr>
        <w:t>%</w:t>
      </w:r>
      <w:r>
        <w:rPr>
          <w:sz w:val="24"/>
          <w:szCs w:val="24"/>
        </w:rPr>
        <w:t xml:space="preserve"> un</w:t>
      </w:r>
      <w:r w:rsidRPr="000805C5">
        <w:rPr>
          <w:sz w:val="24"/>
          <w:szCs w:val="24"/>
        </w:rPr>
        <w:t xml:space="preserve"> 2019.gadā </w:t>
      </w:r>
      <w:r>
        <w:rPr>
          <w:sz w:val="24"/>
          <w:szCs w:val="24"/>
        </w:rPr>
        <w:t xml:space="preserve">līdz 22 procentiem,  </w:t>
      </w:r>
      <w:r w:rsidRPr="00324BE4">
        <w:rPr>
          <w:sz w:val="24"/>
          <w:szCs w:val="24"/>
        </w:rPr>
        <w:t xml:space="preserve">kā arī </w:t>
      </w:r>
      <w:r>
        <w:rPr>
          <w:sz w:val="24"/>
          <w:szCs w:val="24"/>
        </w:rPr>
        <w:t xml:space="preserve">līdz 2019.gadam sasniegt </w:t>
      </w:r>
      <w:r w:rsidRPr="00324BE4">
        <w:rPr>
          <w:sz w:val="24"/>
          <w:szCs w:val="24"/>
        </w:rPr>
        <w:t>piesaistīto ĀTI līmeni uz ārējo pieprasījumu orientētajās nozarēs 1,5% no IKP, vērtējot vidējo rādītāju 3 gadu periodā.</w:t>
      </w:r>
    </w:p>
    <w:p w14:paraId="412412AD" w14:textId="77777777" w:rsidR="007111B1" w:rsidRDefault="007111B1" w:rsidP="007111B1">
      <w:pPr>
        <w:ind w:firstLine="720"/>
        <w:jc w:val="both"/>
        <w:rPr>
          <w:sz w:val="24"/>
          <w:szCs w:val="24"/>
        </w:rPr>
      </w:pPr>
      <w:r>
        <w:rPr>
          <w:sz w:val="24"/>
          <w:szCs w:val="24"/>
        </w:rPr>
        <w:t xml:space="preserve">Pārskata periodā (2013.-2015.gadā) ĀTI plūsmas uz ārējo pieprasījumu vērstās nozarēs vidēji bija 0,5% no IKP līmenī. Savukārt piesaistīto ĀTI apjoms uz ārējo pieprasījumu orientētajās nozarēs 2015.gadā veidoja 6,6% no kopējām ĀTI plūsmām un bija gandrīz trīs reizes zemākā līmenī nekā Pamatnostādnēs noteiktais mērķis (2015.gadā – 20%). </w:t>
      </w:r>
    </w:p>
    <w:p w14:paraId="5DB0DF4D" w14:textId="77777777" w:rsidR="007111B1" w:rsidRDefault="007111B1" w:rsidP="007111B1">
      <w:pPr>
        <w:ind w:firstLine="720"/>
        <w:jc w:val="both"/>
        <w:rPr>
          <w:sz w:val="24"/>
          <w:szCs w:val="24"/>
        </w:rPr>
      </w:pPr>
    </w:p>
    <w:p w14:paraId="1FED3C15" w14:textId="77777777" w:rsidR="007111B1" w:rsidRPr="00383A5A" w:rsidRDefault="007111B1" w:rsidP="007111B1">
      <w:pPr>
        <w:spacing w:before="240" w:after="240"/>
        <w:ind w:firstLine="720"/>
        <w:jc w:val="center"/>
        <w:rPr>
          <w:b/>
          <w:sz w:val="20"/>
          <w:szCs w:val="24"/>
        </w:rPr>
      </w:pPr>
      <w:r w:rsidRPr="00383A5A">
        <w:rPr>
          <w:b/>
          <w:sz w:val="20"/>
          <w:szCs w:val="24"/>
        </w:rPr>
        <w:lastRenderedPageBreak/>
        <w:t>Ārvalstu tiešas investīcijas uz ārējo pieprasījumu orientētajās nozarēs</w:t>
      </w:r>
    </w:p>
    <w:tbl>
      <w:tblPr>
        <w:tblStyle w:val="PlainTable41"/>
        <w:tblW w:w="5000" w:type="pct"/>
        <w:jc w:val="center"/>
        <w:tblLook w:val="04A0" w:firstRow="1" w:lastRow="0" w:firstColumn="1" w:lastColumn="0" w:noHBand="0" w:noVBand="1"/>
      </w:tblPr>
      <w:tblGrid>
        <w:gridCol w:w="4914"/>
        <w:gridCol w:w="4867"/>
      </w:tblGrid>
      <w:tr w:rsidR="007111B1" w:rsidRPr="00B93CF6" w14:paraId="7BC863A6" w14:textId="77777777" w:rsidTr="007111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2" w:type="pct"/>
            <w:shd w:val="clear" w:color="auto" w:fill="auto"/>
          </w:tcPr>
          <w:p w14:paraId="6B26C52C" w14:textId="77777777" w:rsidR="007111B1" w:rsidRPr="00617DFE" w:rsidRDefault="007111B1" w:rsidP="007111B1">
            <w:pPr>
              <w:jc w:val="center"/>
              <w:rPr>
                <w:b w:val="0"/>
                <w:sz w:val="18"/>
              </w:rPr>
            </w:pPr>
            <w:r w:rsidRPr="00617DFE">
              <w:rPr>
                <w:b w:val="0"/>
                <w:sz w:val="18"/>
              </w:rPr>
              <w:t>ĀTI uz ārējo pieprasījumu orientētajās nozarēs</w:t>
            </w:r>
          </w:p>
          <w:p w14:paraId="49671721" w14:textId="77777777" w:rsidR="007111B1" w:rsidRPr="00617DFE" w:rsidRDefault="007111B1" w:rsidP="007111B1">
            <w:pPr>
              <w:jc w:val="center"/>
              <w:rPr>
                <w:b w:val="0"/>
                <w:sz w:val="18"/>
              </w:rPr>
            </w:pPr>
            <w:r w:rsidRPr="00617DFE">
              <w:rPr>
                <w:b w:val="0"/>
                <w:sz w:val="18"/>
              </w:rPr>
              <w:t>(% no piesaistītām ĀTI plūsmām)</w:t>
            </w:r>
          </w:p>
        </w:tc>
        <w:tc>
          <w:tcPr>
            <w:tcW w:w="2488" w:type="pct"/>
            <w:shd w:val="clear" w:color="auto" w:fill="auto"/>
          </w:tcPr>
          <w:p w14:paraId="12EF276E" w14:textId="77777777" w:rsidR="007111B1" w:rsidRPr="00617DFE" w:rsidRDefault="007111B1" w:rsidP="007111B1">
            <w:pPr>
              <w:ind w:left="-60" w:right="-142"/>
              <w:jc w:val="center"/>
              <w:cnfStyle w:val="100000000000" w:firstRow="1" w:lastRow="0" w:firstColumn="0" w:lastColumn="0" w:oddVBand="0" w:evenVBand="0" w:oddHBand="0" w:evenHBand="0" w:firstRowFirstColumn="0" w:firstRowLastColumn="0" w:lastRowFirstColumn="0" w:lastRowLastColumn="0"/>
              <w:rPr>
                <w:b w:val="0"/>
                <w:sz w:val="18"/>
              </w:rPr>
            </w:pPr>
            <w:r w:rsidRPr="00617DFE">
              <w:rPr>
                <w:b w:val="0"/>
                <w:sz w:val="18"/>
              </w:rPr>
              <w:t>ĀTI plūsmas Latvijā uz ārējo pieprasījumu orientētajās nozarēs (%  pret IKP; trīs gadu vidējais rādītājs)</w:t>
            </w:r>
          </w:p>
        </w:tc>
      </w:tr>
      <w:tr w:rsidR="007111B1" w14:paraId="27BBE89A" w14:textId="77777777" w:rsidTr="007111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2" w:type="pct"/>
            <w:shd w:val="clear" w:color="auto" w:fill="auto"/>
          </w:tcPr>
          <w:p w14:paraId="51A3DC74" w14:textId="77777777" w:rsidR="007111B1" w:rsidRPr="009207C2" w:rsidRDefault="007111B1" w:rsidP="007111B1">
            <w:pPr>
              <w:jc w:val="both"/>
              <w:rPr>
                <w:b w:val="0"/>
                <w:bCs w:val="0"/>
                <w:sz w:val="20"/>
                <w:szCs w:val="24"/>
              </w:rPr>
            </w:pPr>
            <w:r>
              <w:rPr>
                <w:noProof/>
                <w:lang w:eastAsia="lv-LV"/>
              </w:rPr>
              <w:drawing>
                <wp:inline distT="0" distB="0" distL="0" distR="0" wp14:anchorId="6B9A334F" wp14:editId="15AF4C39">
                  <wp:extent cx="2838450" cy="1371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488" w:type="pct"/>
            <w:shd w:val="clear" w:color="auto" w:fill="auto"/>
          </w:tcPr>
          <w:p w14:paraId="164D1F71" w14:textId="77777777" w:rsidR="007111B1" w:rsidRDefault="007111B1" w:rsidP="007111B1">
            <w:pPr>
              <w:jc w:val="both"/>
              <w:cnfStyle w:val="000000100000" w:firstRow="0" w:lastRow="0" w:firstColumn="0" w:lastColumn="0" w:oddVBand="0" w:evenVBand="0" w:oddHBand="1" w:evenHBand="0" w:firstRowFirstColumn="0" w:firstRowLastColumn="0" w:lastRowFirstColumn="0" w:lastRowLastColumn="0"/>
              <w:rPr>
                <w:b/>
                <w:sz w:val="20"/>
                <w:szCs w:val="24"/>
              </w:rPr>
            </w:pPr>
            <w:r w:rsidRPr="000E4B3B">
              <w:rPr>
                <w:rFonts w:cs="Times New Roman"/>
                <w:noProof/>
                <w:lang w:eastAsia="lv-LV"/>
              </w:rPr>
              <w:drawing>
                <wp:inline distT="0" distB="0" distL="0" distR="0" wp14:anchorId="010BD731" wp14:editId="3E4B13EB">
                  <wp:extent cx="2786332" cy="1440611"/>
                  <wp:effectExtent l="0" t="0" r="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71A807B3" w14:textId="463D2066" w:rsidR="007111B1" w:rsidRDefault="007111B1" w:rsidP="00987A04">
      <w:pPr>
        <w:spacing w:after="240"/>
        <w:ind w:firstLine="720"/>
        <w:jc w:val="both"/>
        <w:rPr>
          <w:sz w:val="24"/>
          <w:szCs w:val="24"/>
        </w:rPr>
      </w:pPr>
      <w:r w:rsidRPr="00C64593">
        <w:rPr>
          <w:sz w:val="24"/>
          <w:szCs w:val="24"/>
        </w:rPr>
        <w:t>Minēto rādītāju atpalicīb</w:t>
      </w:r>
      <w:r>
        <w:rPr>
          <w:sz w:val="24"/>
          <w:szCs w:val="24"/>
        </w:rPr>
        <w:t>a</w:t>
      </w:r>
      <w:r w:rsidRPr="00C64593">
        <w:rPr>
          <w:sz w:val="24"/>
          <w:szCs w:val="24"/>
        </w:rPr>
        <w:t xml:space="preserve"> no Pamatnostādnēs noteiktajiem mērķiem galvenokārt  skaidrojama ar nelabvēlīgiem ārējiem faktoriem.</w:t>
      </w:r>
      <w:r>
        <w:t xml:space="preserve"> </w:t>
      </w:r>
      <w:r w:rsidRPr="00324BE4">
        <w:rPr>
          <w:sz w:val="24"/>
          <w:szCs w:val="24"/>
        </w:rPr>
        <w:t xml:space="preserve">Kā aplūkots 1.2. sadaļā, Latvijas tautsaimniecībā kopumā piesaistīto ārvalstu tiešo investīciju plūsmu intensitāte pēdējos gados bija visai mērena. Laika periodā no 2013. līdz 2015.gadam </w:t>
      </w:r>
      <w:r>
        <w:rPr>
          <w:sz w:val="24"/>
          <w:szCs w:val="24"/>
        </w:rPr>
        <w:t xml:space="preserve">Latvijā </w:t>
      </w:r>
      <w:r w:rsidRPr="00324BE4">
        <w:rPr>
          <w:sz w:val="24"/>
          <w:szCs w:val="24"/>
        </w:rPr>
        <w:t>piesaistīto ĀTI apjoms vidēji gadā bija 2,4% no IKP līmenī, t.i. gandrīz uz pusi mazāks nekā ekonomikas straujās izaugsmes gados</w:t>
      </w:r>
      <w:r>
        <w:rPr>
          <w:sz w:val="24"/>
          <w:szCs w:val="24"/>
        </w:rPr>
        <w:t xml:space="preserve">. Jāatzīmē, ka </w:t>
      </w:r>
      <w:r w:rsidRPr="00324BE4">
        <w:rPr>
          <w:sz w:val="24"/>
          <w:szCs w:val="24"/>
        </w:rPr>
        <w:t>līdzīga situācija vērojama arī pārējās Baltijas valstīs.</w:t>
      </w:r>
    </w:p>
    <w:p w14:paraId="563C40C8" w14:textId="77777777" w:rsidR="007111B1" w:rsidRPr="00CA3C4B" w:rsidRDefault="007111B1" w:rsidP="007111B1">
      <w:pPr>
        <w:jc w:val="center"/>
        <w:rPr>
          <w:b/>
          <w:sz w:val="20"/>
        </w:rPr>
      </w:pPr>
      <w:r w:rsidRPr="00CA3C4B">
        <w:rPr>
          <w:b/>
          <w:sz w:val="20"/>
        </w:rPr>
        <w:t>Ārvalstu tiešās investīcijas Baltijas valstīs (plūsmas, % no IKP)</w:t>
      </w:r>
    </w:p>
    <w:p w14:paraId="608E2214" w14:textId="77777777" w:rsidR="007111B1" w:rsidRDefault="007111B1" w:rsidP="007111B1">
      <w:pPr>
        <w:jc w:val="both"/>
        <w:rPr>
          <w:sz w:val="24"/>
          <w:szCs w:val="24"/>
        </w:rPr>
      </w:pPr>
    </w:p>
    <w:tbl>
      <w:tblPr>
        <w:tblpPr w:leftFromText="180" w:rightFromText="180" w:vertAnchor="text" w:horzAnchor="margin" w:tblpXSpec="center" w:tblpY="-31"/>
        <w:tblW w:w="6153" w:type="dxa"/>
        <w:tblLook w:val="04A0" w:firstRow="1" w:lastRow="0" w:firstColumn="1" w:lastColumn="0" w:noHBand="0" w:noVBand="1"/>
      </w:tblPr>
      <w:tblGrid>
        <w:gridCol w:w="939"/>
        <w:gridCol w:w="616"/>
        <w:gridCol w:w="616"/>
        <w:gridCol w:w="616"/>
        <w:gridCol w:w="616"/>
        <w:gridCol w:w="709"/>
        <w:gridCol w:w="709"/>
        <w:gridCol w:w="716"/>
        <w:gridCol w:w="616"/>
      </w:tblGrid>
      <w:tr w:rsidR="007111B1" w:rsidRPr="00332ADA" w14:paraId="7DD96DF0" w14:textId="77777777" w:rsidTr="007111B1">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BE48E9" w14:textId="77777777" w:rsidR="007111B1" w:rsidRPr="00D024B4" w:rsidRDefault="007111B1" w:rsidP="007111B1">
            <w:pPr>
              <w:jc w:val="right"/>
              <w:rPr>
                <w:rFonts w:eastAsia="Times New Roman" w:cs="Times New Roman"/>
                <w:color w:val="000000"/>
                <w:sz w:val="20"/>
                <w:szCs w:val="20"/>
                <w:lang w:eastAsia="lv-LV"/>
              </w:rPr>
            </w:pPr>
          </w:p>
        </w:tc>
        <w:tc>
          <w:tcPr>
            <w:tcW w:w="61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FFDED8" w14:textId="77777777" w:rsidR="007111B1" w:rsidRDefault="007111B1" w:rsidP="007111B1">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2008</w:t>
            </w:r>
          </w:p>
        </w:tc>
        <w:tc>
          <w:tcPr>
            <w:tcW w:w="61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814FA42" w14:textId="77777777" w:rsidR="007111B1" w:rsidRDefault="007111B1" w:rsidP="007111B1">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2009</w:t>
            </w:r>
          </w:p>
        </w:tc>
        <w:tc>
          <w:tcPr>
            <w:tcW w:w="61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D17E21" w14:textId="77777777" w:rsidR="007111B1" w:rsidRPr="00D024B4" w:rsidRDefault="007111B1" w:rsidP="007111B1">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2010</w:t>
            </w:r>
          </w:p>
        </w:tc>
        <w:tc>
          <w:tcPr>
            <w:tcW w:w="61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AE0B51F" w14:textId="77777777" w:rsidR="007111B1" w:rsidRPr="00D024B4" w:rsidRDefault="007111B1" w:rsidP="007111B1">
            <w:pPr>
              <w:jc w:val="center"/>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2011</w:t>
            </w:r>
          </w:p>
        </w:tc>
        <w:tc>
          <w:tcPr>
            <w:tcW w:w="70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99126EC" w14:textId="77777777" w:rsidR="007111B1" w:rsidRPr="00D024B4" w:rsidRDefault="007111B1" w:rsidP="007111B1">
            <w:pPr>
              <w:jc w:val="center"/>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2012</w:t>
            </w:r>
          </w:p>
        </w:tc>
        <w:tc>
          <w:tcPr>
            <w:tcW w:w="70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08F2292" w14:textId="77777777" w:rsidR="007111B1" w:rsidRPr="00D024B4" w:rsidRDefault="007111B1" w:rsidP="007111B1">
            <w:pPr>
              <w:jc w:val="center"/>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2013</w:t>
            </w:r>
          </w:p>
        </w:tc>
        <w:tc>
          <w:tcPr>
            <w:tcW w:w="716"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E2E1806" w14:textId="77777777" w:rsidR="007111B1" w:rsidRPr="00D024B4" w:rsidRDefault="007111B1" w:rsidP="007111B1">
            <w:pPr>
              <w:jc w:val="right"/>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2014</w:t>
            </w:r>
          </w:p>
        </w:tc>
        <w:tc>
          <w:tcPr>
            <w:tcW w:w="616" w:type="dxa"/>
            <w:tcBorders>
              <w:top w:val="single" w:sz="4" w:space="0" w:color="auto"/>
              <w:left w:val="nil"/>
              <w:bottom w:val="single" w:sz="4" w:space="0" w:color="auto"/>
              <w:right w:val="single" w:sz="4" w:space="0" w:color="auto"/>
            </w:tcBorders>
            <w:shd w:val="clear" w:color="auto" w:fill="9CC2E5" w:themeFill="accent1" w:themeFillTint="99"/>
          </w:tcPr>
          <w:p w14:paraId="495C87FA" w14:textId="77777777" w:rsidR="007111B1" w:rsidRPr="00D024B4" w:rsidRDefault="007111B1" w:rsidP="007111B1">
            <w:pPr>
              <w:jc w:val="right"/>
              <w:rPr>
                <w:rFonts w:eastAsia="Times New Roman" w:cs="Times New Roman"/>
                <w:b/>
                <w:color w:val="000000"/>
                <w:sz w:val="20"/>
                <w:szCs w:val="20"/>
                <w:lang w:eastAsia="lv-LV"/>
              </w:rPr>
            </w:pPr>
            <w:r>
              <w:rPr>
                <w:rFonts w:eastAsia="Times New Roman" w:cs="Times New Roman"/>
                <w:b/>
                <w:color w:val="000000"/>
                <w:sz w:val="20"/>
                <w:szCs w:val="20"/>
                <w:lang w:eastAsia="lv-LV"/>
              </w:rPr>
              <w:t>2015</w:t>
            </w:r>
          </w:p>
        </w:tc>
      </w:tr>
      <w:tr w:rsidR="007111B1" w:rsidRPr="00332ADA" w14:paraId="15CDEF40" w14:textId="77777777" w:rsidTr="007111B1">
        <w:trPr>
          <w:trHeight w:val="300"/>
        </w:trPr>
        <w:tc>
          <w:tcPr>
            <w:tcW w:w="939" w:type="dxa"/>
            <w:tcBorders>
              <w:top w:val="nil"/>
              <w:left w:val="single" w:sz="4" w:space="0" w:color="auto"/>
              <w:bottom w:val="single" w:sz="4" w:space="0" w:color="auto"/>
              <w:right w:val="single" w:sz="4" w:space="0" w:color="auto"/>
            </w:tcBorders>
          </w:tcPr>
          <w:p w14:paraId="195B9483" w14:textId="77777777" w:rsidR="007111B1" w:rsidRPr="00D024B4" w:rsidRDefault="007111B1" w:rsidP="007111B1">
            <w:pPr>
              <w:jc w:val="right"/>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Latvija</w:t>
            </w:r>
          </w:p>
        </w:tc>
        <w:tc>
          <w:tcPr>
            <w:tcW w:w="616" w:type="dxa"/>
            <w:tcBorders>
              <w:top w:val="single" w:sz="4" w:space="0" w:color="auto"/>
              <w:left w:val="single" w:sz="4" w:space="0" w:color="auto"/>
              <w:bottom w:val="single" w:sz="4" w:space="0" w:color="auto"/>
              <w:right w:val="single" w:sz="4" w:space="0" w:color="auto"/>
            </w:tcBorders>
          </w:tcPr>
          <w:p w14:paraId="695D3709"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3,5</w:t>
            </w:r>
          </w:p>
        </w:tc>
        <w:tc>
          <w:tcPr>
            <w:tcW w:w="616" w:type="dxa"/>
            <w:tcBorders>
              <w:top w:val="single" w:sz="4" w:space="0" w:color="auto"/>
              <w:left w:val="single" w:sz="4" w:space="0" w:color="auto"/>
              <w:bottom w:val="single" w:sz="4" w:space="0" w:color="auto"/>
              <w:right w:val="single" w:sz="4" w:space="0" w:color="auto"/>
            </w:tcBorders>
          </w:tcPr>
          <w:p w14:paraId="38153F1E"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0,4</w:t>
            </w:r>
          </w:p>
        </w:tc>
        <w:tc>
          <w:tcPr>
            <w:tcW w:w="616" w:type="dxa"/>
            <w:tcBorders>
              <w:top w:val="single" w:sz="4" w:space="0" w:color="auto"/>
              <w:left w:val="single" w:sz="4" w:space="0" w:color="auto"/>
              <w:bottom w:val="single" w:sz="4" w:space="0" w:color="auto"/>
              <w:right w:val="single" w:sz="4" w:space="0" w:color="auto"/>
            </w:tcBorders>
          </w:tcPr>
          <w:p w14:paraId="22233C7D"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1,6</w:t>
            </w:r>
          </w:p>
        </w:tc>
        <w:tc>
          <w:tcPr>
            <w:tcW w:w="616" w:type="dxa"/>
            <w:tcBorders>
              <w:top w:val="nil"/>
              <w:left w:val="single" w:sz="4" w:space="0" w:color="auto"/>
              <w:bottom w:val="single" w:sz="4" w:space="0" w:color="auto"/>
              <w:right w:val="single" w:sz="4" w:space="0" w:color="auto"/>
            </w:tcBorders>
            <w:shd w:val="clear" w:color="auto" w:fill="auto"/>
            <w:noWrap/>
            <w:hideMark/>
          </w:tcPr>
          <w:p w14:paraId="3CD4520A"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5,2</w:t>
            </w:r>
          </w:p>
        </w:tc>
        <w:tc>
          <w:tcPr>
            <w:tcW w:w="709" w:type="dxa"/>
            <w:tcBorders>
              <w:top w:val="nil"/>
              <w:left w:val="nil"/>
              <w:bottom w:val="single" w:sz="4" w:space="0" w:color="auto"/>
              <w:right w:val="single" w:sz="4" w:space="0" w:color="auto"/>
            </w:tcBorders>
            <w:shd w:val="clear" w:color="auto" w:fill="auto"/>
            <w:noWrap/>
            <w:hideMark/>
          </w:tcPr>
          <w:p w14:paraId="385C202D"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4,0</w:t>
            </w:r>
          </w:p>
        </w:tc>
        <w:tc>
          <w:tcPr>
            <w:tcW w:w="709" w:type="dxa"/>
            <w:tcBorders>
              <w:top w:val="nil"/>
              <w:left w:val="nil"/>
              <w:bottom w:val="single" w:sz="4" w:space="0" w:color="auto"/>
              <w:right w:val="single" w:sz="4" w:space="0" w:color="auto"/>
            </w:tcBorders>
            <w:shd w:val="clear" w:color="auto" w:fill="auto"/>
            <w:noWrap/>
            <w:hideMark/>
          </w:tcPr>
          <w:p w14:paraId="414B3052"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3,0</w:t>
            </w:r>
          </w:p>
        </w:tc>
        <w:tc>
          <w:tcPr>
            <w:tcW w:w="716" w:type="dxa"/>
            <w:tcBorders>
              <w:top w:val="nil"/>
              <w:left w:val="nil"/>
              <w:bottom w:val="single" w:sz="4" w:space="0" w:color="auto"/>
              <w:right w:val="single" w:sz="4" w:space="0" w:color="auto"/>
            </w:tcBorders>
            <w:shd w:val="clear" w:color="auto" w:fill="auto"/>
            <w:noWrap/>
            <w:hideMark/>
          </w:tcPr>
          <w:p w14:paraId="7C8988AF"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1,9</w:t>
            </w:r>
          </w:p>
        </w:tc>
        <w:tc>
          <w:tcPr>
            <w:tcW w:w="616" w:type="dxa"/>
            <w:tcBorders>
              <w:top w:val="nil"/>
              <w:left w:val="nil"/>
              <w:bottom w:val="single" w:sz="4" w:space="0" w:color="auto"/>
              <w:right w:val="single" w:sz="4" w:space="0" w:color="auto"/>
            </w:tcBorders>
          </w:tcPr>
          <w:p w14:paraId="434DAC0B"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2,4</w:t>
            </w:r>
          </w:p>
        </w:tc>
      </w:tr>
      <w:tr w:rsidR="007111B1" w:rsidRPr="00332ADA" w14:paraId="1B894EBB" w14:textId="77777777" w:rsidTr="007111B1">
        <w:trPr>
          <w:trHeight w:val="300"/>
        </w:trPr>
        <w:tc>
          <w:tcPr>
            <w:tcW w:w="939" w:type="dxa"/>
            <w:tcBorders>
              <w:top w:val="single" w:sz="4" w:space="0" w:color="auto"/>
              <w:left w:val="single" w:sz="4" w:space="0" w:color="auto"/>
              <w:bottom w:val="single" w:sz="4" w:space="0" w:color="auto"/>
              <w:right w:val="single" w:sz="4" w:space="0" w:color="auto"/>
            </w:tcBorders>
          </w:tcPr>
          <w:p w14:paraId="18602825" w14:textId="77777777" w:rsidR="007111B1" w:rsidRPr="00D024B4" w:rsidRDefault="007111B1" w:rsidP="007111B1">
            <w:pPr>
              <w:jc w:val="right"/>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Lietuva</w:t>
            </w:r>
          </w:p>
        </w:tc>
        <w:tc>
          <w:tcPr>
            <w:tcW w:w="616" w:type="dxa"/>
            <w:tcBorders>
              <w:top w:val="single" w:sz="4" w:space="0" w:color="auto"/>
              <w:left w:val="single" w:sz="4" w:space="0" w:color="auto"/>
              <w:bottom w:val="single" w:sz="4" w:space="0" w:color="auto"/>
              <w:right w:val="single" w:sz="4" w:space="0" w:color="auto"/>
            </w:tcBorders>
          </w:tcPr>
          <w:p w14:paraId="3BF0C844"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4,1</w:t>
            </w:r>
          </w:p>
        </w:tc>
        <w:tc>
          <w:tcPr>
            <w:tcW w:w="616" w:type="dxa"/>
            <w:tcBorders>
              <w:top w:val="single" w:sz="4" w:space="0" w:color="auto"/>
              <w:left w:val="single" w:sz="4" w:space="0" w:color="auto"/>
              <w:bottom w:val="single" w:sz="4" w:space="0" w:color="auto"/>
              <w:right w:val="single" w:sz="4" w:space="0" w:color="auto"/>
            </w:tcBorders>
          </w:tcPr>
          <w:p w14:paraId="1F3FB4B8"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0,0</w:t>
            </w:r>
          </w:p>
        </w:tc>
        <w:tc>
          <w:tcPr>
            <w:tcW w:w="616" w:type="dxa"/>
            <w:tcBorders>
              <w:top w:val="single" w:sz="4" w:space="0" w:color="auto"/>
              <w:left w:val="single" w:sz="4" w:space="0" w:color="auto"/>
              <w:bottom w:val="single" w:sz="4" w:space="0" w:color="auto"/>
              <w:right w:val="single" w:sz="4" w:space="0" w:color="auto"/>
            </w:tcBorders>
          </w:tcPr>
          <w:p w14:paraId="6A04AC6A"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2,2</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505759D7"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3,3</w:t>
            </w:r>
          </w:p>
        </w:tc>
        <w:tc>
          <w:tcPr>
            <w:tcW w:w="709" w:type="dxa"/>
            <w:tcBorders>
              <w:top w:val="single" w:sz="4" w:space="0" w:color="auto"/>
              <w:left w:val="nil"/>
              <w:bottom w:val="single" w:sz="4" w:space="0" w:color="auto"/>
              <w:right w:val="single" w:sz="4" w:space="0" w:color="auto"/>
            </w:tcBorders>
            <w:shd w:val="clear" w:color="auto" w:fill="auto"/>
            <w:noWrap/>
          </w:tcPr>
          <w:p w14:paraId="421E6632"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1,6</w:t>
            </w:r>
          </w:p>
        </w:tc>
        <w:tc>
          <w:tcPr>
            <w:tcW w:w="709" w:type="dxa"/>
            <w:tcBorders>
              <w:top w:val="single" w:sz="4" w:space="0" w:color="auto"/>
              <w:left w:val="nil"/>
              <w:bottom w:val="single" w:sz="4" w:space="0" w:color="auto"/>
              <w:right w:val="single" w:sz="4" w:space="0" w:color="auto"/>
            </w:tcBorders>
            <w:shd w:val="clear" w:color="auto" w:fill="auto"/>
            <w:noWrap/>
          </w:tcPr>
          <w:p w14:paraId="234364E2"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1,0</w:t>
            </w:r>
          </w:p>
        </w:tc>
        <w:tc>
          <w:tcPr>
            <w:tcW w:w="716" w:type="dxa"/>
            <w:tcBorders>
              <w:top w:val="single" w:sz="4" w:space="0" w:color="auto"/>
              <w:left w:val="nil"/>
              <w:bottom w:val="single" w:sz="4" w:space="0" w:color="auto"/>
              <w:right w:val="single" w:sz="4" w:space="0" w:color="auto"/>
            </w:tcBorders>
            <w:shd w:val="clear" w:color="auto" w:fill="auto"/>
            <w:noWrap/>
          </w:tcPr>
          <w:p w14:paraId="6B81E7F9"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0,0</w:t>
            </w:r>
          </w:p>
        </w:tc>
        <w:tc>
          <w:tcPr>
            <w:tcW w:w="616" w:type="dxa"/>
            <w:tcBorders>
              <w:top w:val="single" w:sz="4" w:space="0" w:color="auto"/>
              <w:left w:val="nil"/>
              <w:bottom w:val="single" w:sz="4" w:space="0" w:color="auto"/>
              <w:right w:val="single" w:sz="4" w:space="0" w:color="auto"/>
            </w:tcBorders>
          </w:tcPr>
          <w:p w14:paraId="71AD2C4C" w14:textId="77777777" w:rsidR="007111B1" w:rsidRPr="00B27949" w:rsidRDefault="007111B1" w:rsidP="007111B1">
            <w:pPr>
              <w:jc w:val="right"/>
              <w:rPr>
                <w:rFonts w:eastAsia="Times New Roman" w:cs="Times New Roman"/>
                <w:color w:val="000000"/>
                <w:sz w:val="20"/>
                <w:szCs w:val="20"/>
                <w:lang w:eastAsia="lv-LV"/>
              </w:rPr>
            </w:pPr>
            <w:r w:rsidRPr="00C64593">
              <w:rPr>
                <w:rFonts w:eastAsia="Times New Roman" w:cs="Times New Roman"/>
                <w:color w:val="000000"/>
                <w:sz w:val="20"/>
                <w:szCs w:val="20"/>
                <w:lang w:eastAsia="lv-LV"/>
              </w:rPr>
              <w:t>2,1</w:t>
            </w:r>
          </w:p>
        </w:tc>
      </w:tr>
      <w:tr w:rsidR="007111B1" w:rsidRPr="00332ADA" w14:paraId="71ADE811" w14:textId="77777777" w:rsidTr="007111B1">
        <w:trPr>
          <w:trHeight w:val="300"/>
        </w:trPr>
        <w:tc>
          <w:tcPr>
            <w:tcW w:w="939" w:type="dxa"/>
            <w:tcBorders>
              <w:top w:val="single" w:sz="4" w:space="0" w:color="auto"/>
              <w:left w:val="single" w:sz="4" w:space="0" w:color="auto"/>
              <w:bottom w:val="single" w:sz="4" w:space="0" w:color="auto"/>
              <w:right w:val="single" w:sz="4" w:space="0" w:color="auto"/>
            </w:tcBorders>
          </w:tcPr>
          <w:p w14:paraId="7D9E1DCB" w14:textId="77777777" w:rsidR="007111B1" w:rsidRPr="00D024B4" w:rsidRDefault="007111B1" w:rsidP="007111B1">
            <w:pPr>
              <w:jc w:val="right"/>
              <w:rPr>
                <w:rFonts w:eastAsia="Times New Roman" w:cs="Times New Roman"/>
                <w:b/>
                <w:color w:val="000000"/>
                <w:sz w:val="20"/>
                <w:szCs w:val="20"/>
                <w:lang w:eastAsia="lv-LV"/>
              </w:rPr>
            </w:pPr>
            <w:r w:rsidRPr="00D024B4">
              <w:rPr>
                <w:rFonts w:eastAsia="Times New Roman" w:cs="Times New Roman"/>
                <w:b/>
                <w:color w:val="000000"/>
                <w:sz w:val="20"/>
                <w:szCs w:val="20"/>
                <w:lang w:eastAsia="lv-LV"/>
              </w:rPr>
              <w:t>Igaunija</w:t>
            </w:r>
          </w:p>
        </w:tc>
        <w:tc>
          <w:tcPr>
            <w:tcW w:w="616" w:type="dxa"/>
            <w:tcBorders>
              <w:top w:val="single" w:sz="4" w:space="0" w:color="auto"/>
              <w:left w:val="single" w:sz="4" w:space="0" w:color="auto"/>
              <w:bottom w:val="single" w:sz="4" w:space="0" w:color="auto"/>
              <w:right w:val="single" w:sz="4" w:space="0" w:color="auto"/>
            </w:tcBorders>
          </w:tcPr>
          <w:p w14:paraId="35E9E7FD"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7,6</w:t>
            </w:r>
          </w:p>
        </w:tc>
        <w:tc>
          <w:tcPr>
            <w:tcW w:w="616" w:type="dxa"/>
            <w:tcBorders>
              <w:top w:val="single" w:sz="4" w:space="0" w:color="auto"/>
              <w:left w:val="single" w:sz="4" w:space="0" w:color="auto"/>
              <w:bottom w:val="single" w:sz="4" w:space="0" w:color="auto"/>
              <w:right w:val="single" w:sz="4" w:space="0" w:color="auto"/>
            </w:tcBorders>
          </w:tcPr>
          <w:p w14:paraId="69759678"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9,4</w:t>
            </w:r>
          </w:p>
        </w:tc>
        <w:tc>
          <w:tcPr>
            <w:tcW w:w="616" w:type="dxa"/>
            <w:tcBorders>
              <w:top w:val="single" w:sz="4" w:space="0" w:color="auto"/>
              <w:left w:val="single" w:sz="4" w:space="0" w:color="auto"/>
              <w:bottom w:val="single" w:sz="4" w:space="0" w:color="auto"/>
              <w:right w:val="single" w:sz="4" w:space="0" w:color="auto"/>
            </w:tcBorders>
          </w:tcPr>
          <w:p w14:paraId="5F1A7752" w14:textId="77777777" w:rsidR="007111B1" w:rsidRPr="00B27949" w:rsidRDefault="007111B1" w:rsidP="007111B1">
            <w:pPr>
              <w:jc w:val="right"/>
              <w:rPr>
                <w:rFonts w:eastAsia="Times New Roman" w:cs="Times New Roman"/>
                <w:color w:val="000000"/>
                <w:sz w:val="20"/>
                <w:szCs w:val="20"/>
                <w:lang w:eastAsia="lv-LV"/>
              </w:rPr>
            </w:pPr>
            <w:r>
              <w:rPr>
                <w:rFonts w:eastAsia="Times New Roman" w:cs="Times New Roman"/>
                <w:color w:val="000000"/>
                <w:sz w:val="20"/>
                <w:szCs w:val="20"/>
                <w:lang w:eastAsia="lv-LV"/>
              </w:rPr>
              <w:t>7,7</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15607D0D"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4,3</w:t>
            </w:r>
          </w:p>
        </w:tc>
        <w:tc>
          <w:tcPr>
            <w:tcW w:w="709" w:type="dxa"/>
            <w:tcBorders>
              <w:top w:val="single" w:sz="4" w:space="0" w:color="auto"/>
              <w:left w:val="nil"/>
              <w:bottom w:val="single" w:sz="4" w:space="0" w:color="auto"/>
              <w:right w:val="single" w:sz="4" w:space="0" w:color="auto"/>
            </w:tcBorders>
            <w:shd w:val="clear" w:color="auto" w:fill="auto"/>
            <w:noWrap/>
          </w:tcPr>
          <w:p w14:paraId="31AA23A8"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6,8</w:t>
            </w:r>
          </w:p>
        </w:tc>
        <w:tc>
          <w:tcPr>
            <w:tcW w:w="709" w:type="dxa"/>
            <w:tcBorders>
              <w:top w:val="single" w:sz="4" w:space="0" w:color="auto"/>
              <w:left w:val="nil"/>
              <w:bottom w:val="single" w:sz="4" w:space="0" w:color="auto"/>
              <w:right w:val="single" w:sz="4" w:space="0" w:color="auto"/>
            </w:tcBorders>
            <w:shd w:val="clear" w:color="auto" w:fill="auto"/>
            <w:noWrap/>
          </w:tcPr>
          <w:p w14:paraId="6726A5E4"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2,2</w:t>
            </w:r>
          </w:p>
        </w:tc>
        <w:tc>
          <w:tcPr>
            <w:tcW w:w="716" w:type="dxa"/>
            <w:tcBorders>
              <w:top w:val="single" w:sz="4" w:space="0" w:color="auto"/>
              <w:left w:val="nil"/>
              <w:bottom w:val="single" w:sz="4" w:space="0" w:color="auto"/>
              <w:right w:val="single" w:sz="4" w:space="0" w:color="auto"/>
            </w:tcBorders>
            <w:shd w:val="clear" w:color="auto" w:fill="auto"/>
            <w:noWrap/>
          </w:tcPr>
          <w:p w14:paraId="50B70F11"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1,9</w:t>
            </w:r>
          </w:p>
        </w:tc>
        <w:tc>
          <w:tcPr>
            <w:tcW w:w="616" w:type="dxa"/>
            <w:tcBorders>
              <w:top w:val="single" w:sz="4" w:space="0" w:color="auto"/>
              <w:left w:val="nil"/>
              <w:bottom w:val="single" w:sz="4" w:space="0" w:color="auto"/>
              <w:right w:val="single" w:sz="4" w:space="0" w:color="auto"/>
            </w:tcBorders>
          </w:tcPr>
          <w:p w14:paraId="19C9E6F4" w14:textId="77777777" w:rsidR="007111B1" w:rsidRPr="00B27949" w:rsidRDefault="007111B1" w:rsidP="007111B1">
            <w:pPr>
              <w:jc w:val="right"/>
              <w:rPr>
                <w:rFonts w:eastAsia="Times New Roman" w:cs="Times New Roman"/>
                <w:color w:val="000000"/>
                <w:sz w:val="20"/>
                <w:szCs w:val="20"/>
                <w:lang w:eastAsia="lv-LV"/>
              </w:rPr>
            </w:pPr>
            <w:r w:rsidRPr="00B27949">
              <w:rPr>
                <w:rFonts w:eastAsia="Times New Roman" w:cs="Times New Roman"/>
                <w:color w:val="000000"/>
                <w:sz w:val="20"/>
                <w:szCs w:val="20"/>
                <w:lang w:eastAsia="lv-LV"/>
              </w:rPr>
              <w:t>0,9</w:t>
            </w:r>
          </w:p>
        </w:tc>
      </w:tr>
    </w:tbl>
    <w:p w14:paraId="37ACD4AE" w14:textId="77777777" w:rsidR="007111B1" w:rsidRDefault="007111B1" w:rsidP="007111B1">
      <w:pPr>
        <w:ind w:firstLine="720"/>
        <w:jc w:val="both"/>
        <w:rPr>
          <w:rFonts w:cs="Times New Roman"/>
          <w:sz w:val="24"/>
          <w:szCs w:val="24"/>
        </w:rPr>
      </w:pPr>
    </w:p>
    <w:p w14:paraId="7C67DE77" w14:textId="77777777" w:rsidR="007111B1" w:rsidRDefault="007111B1" w:rsidP="007111B1">
      <w:pPr>
        <w:pStyle w:val="NormalWeb"/>
        <w:jc w:val="both"/>
      </w:pPr>
    </w:p>
    <w:p w14:paraId="54088595" w14:textId="77777777" w:rsidR="007111B1" w:rsidRDefault="007111B1" w:rsidP="007111B1">
      <w:pPr>
        <w:ind w:firstLine="720"/>
        <w:jc w:val="both"/>
        <w:rPr>
          <w:sz w:val="24"/>
          <w:szCs w:val="24"/>
        </w:rPr>
      </w:pPr>
    </w:p>
    <w:p w14:paraId="65F979A5" w14:textId="77777777" w:rsidR="007111B1" w:rsidRDefault="007111B1" w:rsidP="007111B1">
      <w:pPr>
        <w:ind w:firstLine="720"/>
        <w:jc w:val="both"/>
        <w:rPr>
          <w:rFonts w:cs="Times New Roman"/>
          <w:sz w:val="24"/>
          <w:szCs w:val="24"/>
        </w:rPr>
      </w:pPr>
      <w:r w:rsidRPr="00324BE4">
        <w:rPr>
          <w:sz w:val="24"/>
          <w:szCs w:val="24"/>
        </w:rPr>
        <w:t xml:space="preserve"> </w:t>
      </w:r>
      <w:r>
        <w:rPr>
          <w:sz w:val="24"/>
          <w:szCs w:val="24"/>
        </w:rPr>
        <w:t xml:space="preserve">ĀTI plūsmu samazināšanos lielā mērā ietekmēja ekonomisko aktivitāšu samazināšanās globālajā pasaule, kas atspoguļojās investīciju pārrobežu plūsmu pavājināšanās. </w:t>
      </w:r>
      <w:r w:rsidRPr="00324BE4">
        <w:rPr>
          <w:rFonts w:cs="Times New Roman"/>
          <w:sz w:val="24"/>
          <w:szCs w:val="24"/>
        </w:rPr>
        <w:t>S</w:t>
      </w:r>
      <w:r w:rsidRPr="00324BE4">
        <w:rPr>
          <w:sz w:val="24"/>
          <w:szCs w:val="24"/>
        </w:rPr>
        <w:t>aglabājoties pašreizējām pasaules ekonomikas attīstības tendencēm, investīciju</w:t>
      </w:r>
      <w:r>
        <w:rPr>
          <w:sz w:val="24"/>
          <w:szCs w:val="24"/>
        </w:rPr>
        <w:t xml:space="preserve"> pārrobežu plūsmu dinamikai, kā arī ņemot vērā Latvijas ekonomiskās izaugsmes jaunākās prognozes</w:t>
      </w:r>
      <w:r>
        <w:rPr>
          <w:rFonts w:cs="Times New Roman"/>
          <w:sz w:val="24"/>
          <w:szCs w:val="24"/>
        </w:rPr>
        <w:t>, tuvākajos gados ĀTI plūsmu intensitāte visdrīzāk būs mērena.</w:t>
      </w:r>
    </w:p>
    <w:p w14:paraId="2EBCAAF3" w14:textId="77777777" w:rsidR="007111B1" w:rsidRDefault="007111B1" w:rsidP="007111B1">
      <w:pPr>
        <w:pStyle w:val="NormalWeb"/>
        <w:spacing w:before="0" w:beforeAutospacing="0" w:after="0" w:afterAutospacing="0"/>
        <w:ind w:firstLine="720"/>
        <w:jc w:val="both"/>
      </w:pPr>
      <w:r>
        <w:t>Vienlaikus jānorāda uz būtiskām metodoloģiskām nepilnībām Pamatnostādnēs noteikto ĀTI piesaistes mērķa rādītāju izvēlē.</w:t>
      </w:r>
    </w:p>
    <w:p w14:paraId="16F6F75C" w14:textId="77777777" w:rsidR="007111B1" w:rsidRPr="00C64593" w:rsidRDefault="007111B1" w:rsidP="007111B1">
      <w:pPr>
        <w:pStyle w:val="NormalWeb"/>
        <w:spacing w:before="0" w:beforeAutospacing="0" w:after="0" w:afterAutospacing="0"/>
        <w:ind w:firstLine="720"/>
        <w:jc w:val="both"/>
      </w:pPr>
      <w:r>
        <w:t>Pirmkārt, Pamatnostādnēs noteiktie ĀTI piesaistes mērķa rādītāji pēc būtības neatspoguļo īstenotas ĀTI piesaistes politikas efektivitāti un ĀTI sniegumu.  V</w:t>
      </w:r>
      <w:r w:rsidRPr="004C6791">
        <w:rPr>
          <w:b/>
        </w:rPr>
        <w:t>ērtējot ĀTI piesaistes politikas efektivitāti nav lietderīgi izmantot ĀTI plūsmu struktūras rādītāju (</w:t>
      </w:r>
      <w:r w:rsidRPr="00FE5FAE">
        <w:rPr>
          <w:i/>
        </w:rPr>
        <w:t>ĀTI uz ārējo pieprasījumu orientētajās nozarēs % no piesaistītām ĀTI plūsmām</w:t>
      </w:r>
      <w:r w:rsidRPr="004C6791">
        <w:rPr>
          <w:b/>
        </w:rPr>
        <w:t>)</w:t>
      </w:r>
      <w:r>
        <w:rPr>
          <w:b/>
        </w:rPr>
        <w:t>, jo</w:t>
      </w:r>
    </w:p>
    <w:p w14:paraId="1B7C380D" w14:textId="0F458C0E" w:rsidR="007111B1" w:rsidRDefault="007111B1" w:rsidP="007111B1">
      <w:pPr>
        <w:pStyle w:val="NormalWeb"/>
        <w:numPr>
          <w:ilvl w:val="0"/>
          <w:numId w:val="9"/>
        </w:numPr>
        <w:spacing w:before="0" w:beforeAutospacing="0" w:after="0" w:afterAutospacing="0"/>
        <w:ind w:left="851" w:hanging="196"/>
        <w:jc w:val="both"/>
      </w:pPr>
      <w:r>
        <w:t>I</w:t>
      </w:r>
      <w:r w:rsidRPr="00806E3E">
        <w:t>kgadējām ĀTI plūsmām ir raksturīga nenoturīga dinamika un liels svārstību diapazons</w:t>
      </w:r>
      <w:r w:rsidR="00F1454F">
        <w:t>. Turklāt vienreizējs</w:t>
      </w:r>
      <w:r>
        <w:t xml:space="preserve"> darījums mazā atvērtā ekonomikā, var radīt būtisku ietekmi uz ikgadējām ĀTI plūsmām </w:t>
      </w:r>
      <w:r w:rsidR="00F1454F">
        <w:t>un to struktūras izmaiņām, kas bez padziļinātās analīzes</w:t>
      </w:r>
      <w:r>
        <w:t xml:space="preserve"> var </w:t>
      </w:r>
      <w:r w:rsidR="00F1454F">
        <w:t>tikt</w:t>
      </w:r>
      <w:r w:rsidRPr="00844B72">
        <w:t xml:space="preserve"> nepare</w:t>
      </w:r>
      <w:r>
        <w:t xml:space="preserve">izi interpretējams. </w:t>
      </w:r>
    </w:p>
    <w:p w14:paraId="077F03F9" w14:textId="77777777" w:rsidR="007111B1" w:rsidRPr="003E5242" w:rsidRDefault="007111B1" w:rsidP="007111B1">
      <w:pPr>
        <w:pStyle w:val="NormalWeb"/>
        <w:numPr>
          <w:ilvl w:val="0"/>
          <w:numId w:val="9"/>
        </w:numPr>
        <w:spacing w:before="0" w:beforeAutospacing="0" w:after="0" w:afterAutospacing="0"/>
        <w:ind w:left="851" w:hanging="196"/>
        <w:jc w:val="both"/>
      </w:pPr>
      <w:r w:rsidRPr="003E5242">
        <w:t>ĀTI plūsm</w:t>
      </w:r>
      <w:r>
        <w:t>u daļas</w:t>
      </w:r>
      <w:r w:rsidRPr="003E5242">
        <w:t xml:space="preserve"> </w:t>
      </w:r>
      <w:r>
        <w:t xml:space="preserve">tirgojamās </w:t>
      </w:r>
      <w:r w:rsidRPr="003E5242">
        <w:t>nozar</w:t>
      </w:r>
      <w:r>
        <w:t>ēs</w:t>
      </w:r>
      <w:r w:rsidRPr="003E5242">
        <w:t xml:space="preserve"> </w:t>
      </w:r>
      <w:r>
        <w:t xml:space="preserve">pieaugumu var ietekmēt ne plūsmu pieaugums šajās nozarēs, bet arī ĀTI plūsmu samazinājums citās nozarēs, līdz ar to var tikt </w:t>
      </w:r>
      <w:r w:rsidRPr="003E5242">
        <w:t>radīt</w:t>
      </w:r>
      <w:r>
        <w:t>s</w:t>
      </w:r>
      <w:r w:rsidRPr="003E5242">
        <w:t xml:space="preserve"> maldīg</w:t>
      </w:r>
      <w:r>
        <w:t>s</w:t>
      </w:r>
      <w:r w:rsidRPr="003E5242">
        <w:t xml:space="preserve"> priekštat</w:t>
      </w:r>
      <w:r>
        <w:t>s</w:t>
      </w:r>
      <w:r w:rsidRPr="003E5242">
        <w:t xml:space="preserve"> par </w:t>
      </w:r>
      <w:r>
        <w:t>ĀTI piesaistes tendencēm tirgojamās nozarēs.</w:t>
      </w:r>
    </w:p>
    <w:p w14:paraId="2EC8123E" w14:textId="77777777" w:rsidR="007111B1" w:rsidRPr="00844B72" w:rsidRDefault="007111B1" w:rsidP="007111B1">
      <w:pPr>
        <w:pStyle w:val="NormalWeb"/>
        <w:numPr>
          <w:ilvl w:val="0"/>
          <w:numId w:val="9"/>
        </w:numPr>
        <w:spacing w:before="0" w:beforeAutospacing="0" w:after="0" w:afterAutospacing="0"/>
        <w:ind w:left="851" w:hanging="196"/>
        <w:jc w:val="both"/>
      </w:pPr>
      <w:r w:rsidRPr="00806E3E">
        <w:t xml:space="preserve">ĀTI plūsmu apjoms un dinamika ir </w:t>
      </w:r>
      <w:r w:rsidRPr="00844B72">
        <w:rPr>
          <w:b/>
        </w:rPr>
        <w:t>atkarīgi no ārējiem apstākļiem</w:t>
      </w:r>
      <w:r>
        <w:t xml:space="preserve">, kurus nevar ietekmēt un kas </w:t>
      </w:r>
      <w:r w:rsidRPr="00844B72">
        <w:rPr>
          <w:b/>
        </w:rPr>
        <w:t xml:space="preserve">nav ietekmējami ar </w:t>
      </w:r>
      <w:r w:rsidRPr="00844B72">
        <w:rPr>
          <w:b/>
          <w:color w:val="000000"/>
        </w:rPr>
        <w:t>politikas instrumentiem</w:t>
      </w:r>
      <w:r>
        <w:rPr>
          <w:color w:val="000000"/>
        </w:rPr>
        <w:t>;</w:t>
      </w:r>
    </w:p>
    <w:p w14:paraId="4C70A37F" w14:textId="77777777" w:rsidR="007111B1" w:rsidRDefault="007111B1" w:rsidP="007111B1">
      <w:pPr>
        <w:pStyle w:val="NormalWeb"/>
        <w:numPr>
          <w:ilvl w:val="0"/>
          <w:numId w:val="9"/>
        </w:numPr>
        <w:spacing w:before="0" w:beforeAutospacing="0" w:after="0" w:afterAutospacing="0"/>
        <w:ind w:left="851" w:hanging="196"/>
        <w:jc w:val="both"/>
      </w:pPr>
      <w:r>
        <w:t xml:space="preserve">Kaut arī </w:t>
      </w:r>
      <w:r w:rsidRPr="00143A01">
        <w:t xml:space="preserve"> </w:t>
      </w:r>
      <w:r>
        <w:t>rādītājs “</w:t>
      </w:r>
      <w:r w:rsidRPr="00C64593">
        <w:rPr>
          <w:i/>
        </w:rPr>
        <w:t>ĀTI plūsmas Latvijā uz ārējo pieprasījumu orientētajās nozarēs  %</w:t>
      </w:r>
      <w:r w:rsidRPr="00C64593">
        <w:rPr>
          <w:i/>
          <w:sz w:val="18"/>
        </w:rPr>
        <w:t xml:space="preserve"> </w:t>
      </w:r>
      <w:r w:rsidRPr="00C64593">
        <w:rPr>
          <w:i/>
        </w:rPr>
        <w:t>pret IKP</w:t>
      </w:r>
      <w:r>
        <w:t xml:space="preserve">”, </w:t>
      </w:r>
      <w:r w:rsidRPr="00324BE4">
        <w:t>vērtējot vidējo rādītāju 3 gadu periodā</w:t>
      </w:r>
      <w:r>
        <w:t>, ir piemērotāks ĀTI piesaistes procesu novērtēšanai</w:t>
      </w:r>
      <w:r w:rsidRPr="00143A01">
        <w:t xml:space="preserve">, </w:t>
      </w:r>
      <w:r>
        <w:t xml:space="preserve">tomēr </w:t>
      </w:r>
      <w:r w:rsidRPr="00143A01">
        <w:t>laika rindu analīze</w:t>
      </w:r>
      <w:r>
        <w:t xml:space="preserve"> liecina</w:t>
      </w:r>
      <w:r w:rsidRPr="00143A01">
        <w:t>,</w:t>
      </w:r>
      <w:r w:rsidRPr="00695F04">
        <w:rPr>
          <w:b/>
        </w:rPr>
        <w:t xml:space="preserve"> </w:t>
      </w:r>
      <w:r w:rsidRPr="00143A01">
        <w:t xml:space="preserve">ka arī šajā gadījumā saglabājas būtiskas svārstības, kas neļauj viennozīmīgi </w:t>
      </w:r>
      <w:r>
        <w:t xml:space="preserve">novērtēt tendences, noteikt </w:t>
      </w:r>
      <w:r w:rsidRPr="00143A01">
        <w:t xml:space="preserve">mērķa rādītāju </w:t>
      </w:r>
      <w:r>
        <w:t>un</w:t>
      </w:r>
      <w:r w:rsidRPr="00143A01">
        <w:t xml:space="preserve"> objektīvi novērtēt ĀTI sniegumu.</w:t>
      </w:r>
    </w:p>
    <w:p w14:paraId="183D2A36" w14:textId="77777777" w:rsidR="007111B1" w:rsidRDefault="007111B1" w:rsidP="007111B1">
      <w:pPr>
        <w:pStyle w:val="NormalWeb"/>
        <w:numPr>
          <w:ilvl w:val="0"/>
          <w:numId w:val="9"/>
        </w:numPr>
        <w:spacing w:before="0" w:beforeAutospacing="0" w:after="0" w:afterAutospacing="0"/>
        <w:ind w:left="851" w:hanging="196"/>
        <w:jc w:val="both"/>
      </w:pPr>
      <w:r w:rsidRPr="00695F04">
        <w:t xml:space="preserve">Visbeidzot, piesaistīto </w:t>
      </w:r>
      <w:r w:rsidRPr="00695F04">
        <w:rPr>
          <w:b/>
        </w:rPr>
        <w:t xml:space="preserve">ĀTI apjoms </w:t>
      </w:r>
      <w:r>
        <w:rPr>
          <w:b/>
        </w:rPr>
        <w:t xml:space="preserve">tirgojamās nozarēs </w:t>
      </w:r>
      <w:r w:rsidRPr="00695F04">
        <w:rPr>
          <w:b/>
        </w:rPr>
        <w:t>nav pašmērķis, bet tikai viens no līdzekļiem, kā stiprināt produktīvo kapacitāti,</w:t>
      </w:r>
      <w:r w:rsidRPr="00695F04">
        <w:t xml:space="preserve"> sekmēt eksporta pieaugumu, augstās </w:t>
      </w:r>
      <w:r w:rsidRPr="00695F04">
        <w:lastRenderedPageBreak/>
        <w:t>pievienotās vērtības produktu ražošanu, t.i. uzlabot Latvijas tautsaimniecības konkurētspēju atvērtos produktu tirgos, kas arī ir eksporta veicināšanas un ārvalstu investīciju piesaistes politikas mērķis.</w:t>
      </w:r>
    </w:p>
    <w:p w14:paraId="7D8922BE" w14:textId="77777777" w:rsidR="007111B1" w:rsidRDefault="007111B1" w:rsidP="007111B1">
      <w:pPr>
        <w:pStyle w:val="NormalWeb"/>
        <w:spacing w:before="0" w:beforeAutospacing="0" w:after="0" w:afterAutospacing="0"/>
        <w:ind w:firstLine="567"/>
        <w:jc w:val="both"/>
      </w:pPr>
      <w:r>
        <w:rPr>
          <w:rFonts w:eastAsia="Times New Roman"/>
          <w:lang w:eastAsia="ru-RU"/>
        </w:rPr>
        <w:t xml:space="preserve">Otrkārt, </w:t>
      </w:r>
      <w:r>
        <w:rPr>
          <w:b/>
        </w:rPr>
        <w:t xml:space="preserve">var tikt identificētas būtiskas problēmas datu konfidencialitātē, kas neļauj turpmāk izmantot definētos mērķa rādītājus. </w:t>
      </w:r>
      <w:r>
        <w:rPr>
          <w:rFonts w:eastAsia="Times New Roman"/>
          <w:lang w:eastAsia="ru-RU"/>
        </w:rPr>
        <w:t>J</w:t>
      </w:r>
      <w:r w:rsidRPr="006B3816">
        <w:rPr>
          <w:rFonts w:eastAsia="Times New Roman"/>
          <w:lang w:eastAsia="ru-RU"/>
        </w:rPr>
        <w:t xml:space="preserve">āņem vērā, ka </w:t>
      </w:r>
      <w:r w:rsidRPr="00383A5A">
        <w:rPr>
          <w:rFonts w:eastAsia="Times New Roman"/>
          <w:b/>
          <w:lang w:eastAsia="ru-RU"/>
        </w:rPr>
        <w:t>pastāv problēmas statistisko datu apkopošanā un salīdzināšanā</w:t>
      </w:r>
      <w:r>
        <w:rPr>
          <w:rFonts w:eastAsia="Times New Roman"/>
          <w:b/>
          <w:lang w:eastAsia="ru-RU"/>
        </w:rPr>
        <w:t xml:space="preserve"> </w:t>
      </w:r>
      <w:r>
        <w:rPr>
          <w:rFonts w:eastAsia="Times New Roman"/>
          <w:lang w:eastAsia="ru-RU"/>
        </w:rPr>
        <w:t xml:space="preserve">attiecībā uz </w:t>
      </w:r>
      <w:r w:rsidRPr="00383A5A">
        <w:rPr>
          <w:rFonts w:eastAsia="Times New Roman"/>
          <w:b/>
          <w:lang w:eastAsia="ru-RU"/>
        </w:rPr>
        <w:t>informācijas pieejamību par ĀTI plūsmām</w:t>
      </w:r>
      <w:r>
        <w:rPr>
          <w:rFonts w:eastAsia="Times New Roman"/>
          <w:lang w:eastAsia="ru-RU"/>
        </w:rPr>
        <w:t xml:space="preserve"> Latvijas Bankas sagatavotā maksājumu bilances statistikā, kas nav publiski pieejama, bet ir Igaunijas un Lietuvas publikācijās. </w:t>
      </w:r>
      <w:r>
        <w:t>Jāatzīmē, ka kopš 2015.gada dati par piesaistītām ĀTI plūsmām nozaru griezumā (uz kā tika balstīti Pamatnostādnēs noteiktie ĀTI piesaistes mērķa rādītāji, nav publiski pieejami).</w:t>
      </w:r>
      <w:r>
        <w:rPr>
          <w:rStyle w:val="FootnoteReference"/>
        </w:rPr>
        <w:footnoteReference w:id="15"/>
      </w:r>
      <w:r>
        <w:t xml:space="preserve"> </w:t>
      </w:r>
    </w:p>
    <w:p w14:paraId="1106DE05" w14:textId="77777777" w:rsidR="007111B1" w:rsidRDefault="007111B1" w:rsidP="007111B1">
      <w:pPr>
        <w:spacing w:after="240"/>
        <w:ind w:firstLine="567"/>
        <w:jc w:val="both"/>
        <w:rPr>
          <w:rFonts w:cs="Times New Roman"/>
          <w:sz w:val="24"/>
          <w:szCs w:val="24"/>
        </w:rPr>
      </w:pPr>
      <w:r>
        <w:rPr>
          <w:sz w:val="24"/>
          <w:szCs w:val="24"/>
        </w:rPr>
        <w:t>Tāpēc, i</w:t>
      </w:r>
      <w:r>
        <w:rPr>
          <w:rFonts w:cs="Times New Roman"/>
          <w:sz w:val="24"/>
          <w:szCs w:val="24"/>
        </w:rPr>
        <w:t>evērojot iepriekšminēto, turpmāk ĀTI sniegums tiks vērtēts izmantojot ĀTI snieguma indeksu atbilstoši UNCTAD (</w:t>
      </w:r>
      <w:r w:rsidRPr="002966EA">
        <w:rPr>
          <w:rFonts w:cs="Times New Roman"/>
          <w:i/>
          <w:sz w:val="24"/>
          <w:szCs w:val="24"/>
        </w:rPr>
        <w:t>United Nations Conference on Trade and Development</w:t>
      </w:r>
      <w:r>
        <w:rPr>
          <w:rFonts w:cs="Times New Roman"/>
          <w:sz w:val="24"/>
          <w:szCs w:val="24"/>
        </w:rPr>
        <w:t>) izstrādātajai metodoloģijai. ĀTI snieguma rādītājs vērtē, Latvijas sniegumu ĀTI piesaistē, pamatojoties uz ĀTI piesaistes potenciālu atbilstoši ekonomikas lielumam. Turklāt, lai tiktu novērstas sezonālas svārstības, tiek izmantots 3 gadu vidējais rādītājs.</w:t>
      </w:r>
    </w:p>
    <w:p w14:paraId="4F801732" w14:textId="77777777" w:rsidR="007111B1" w:rsidRDefault="007111B1" w:rsidP="007111B1">
      <w:pPr>
        <w:spacing w:after="240"/>
        <w:jc w:val="center"/>
        <w:rPr>
          <w:rFonts w:eastAsiaTheme="minorEastAsia"/>
          <w:sz w:val="24"/>
          <w:szCs w:val="24"/>
        </w:rPr>
      </w:pPr>
      <m:oMath>
        <m:r>
          <w:rPr>
            <w:rFonts w:ascii="Cambria Math" w:hAnsi="Cambria Math"/>
            <w:sz w:val="24"/>
            <w:szCs w:val="24"/>
          </w:rPr>
          <m:t>Ind.=</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valsī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reģionā</m:t>
                </m:r>
              </m:sub>
            </m:sSub>
          </m:num>
          <m:den>
            <m:sSub>
              <m:sSubPr>
                <m:ctrlPr>
                  <w:rPr>
                    <w:rFonts w:ascii="Cambria Math" w:hAnsi="Cambria Math"/>
                    <w:i/>
                    <w:sz w:val="24"/>
                    <w:szCs w:val="24"/>
                  </w:rPr>
                </m:ctrlPr>
              </m:sSubPr>
              <m:e>
                <m:r>
                  <w:rPr>
                    <w:rFonts w:ascii="Cambria Math" w:hAnsi="Cambria Math"/>
                    <w:sz w:val="24"/>
                    <w:szCs w:val="24"/>
                  </w:rPr>
                  <m:t>IKP</m:t>
                </m:r>
              </m:e>
              <m:sub>
                <m:r>
                  <w:rPr>
                    <w:rFonts w:ascii="Cambria Math" w:hAnsi="Cambria Math"/>
                    <w:sz w:val="24"/>
                    <w:szCs w:val="24"/>
                  </w:rPr>
                  <m:t>valstī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IKP</m:t>
                </m:r>
              </m:e>
              <m:sub>
                <m:r>
                  <w:rPr>
                    <w:rFonts w:ascii="Cambria Math" w:hAnsi="Cambria Math"/>
                    <w:sz w:val="24"/>
                    <w:szCs w:val="24"/>
                  </w:rPr>
                  <m:t>reģionā</m:t>
                </m:r>
              </m:sub>
            </m:sSub>
          </m:den>
        </m:f>
      </m:oMath>
      <w:r>
        <w:rPr>
          <w:rFonts w:eastAsiaTheme="minorEastAsia"/>
          <w:sz w:val="24"/>
          <w:szCs w:val="24"/>
        </w:rPr>
        <w:t xml:space="preserve">, kur </w:t>
      </w:r>
    </w:p>
    <w:p w14:paraId="0006A78B" w14:textId="77777777" w:rsidR="007111B1" w:rsidRPr="00322090" w:rsidRDefault="007111B1" w:rsidP="007111B1">
      <w:pPr>
        <w:ind w:left="414" w:firstLine="720"/>
        <w:rPr>
          <w:rFonts w:eastAsiaTheme="minorEastAsia"/>
          <w:sz w:val="22"/>
          <w:szCs w:val="24"/>
        </w:rPr>
      </w:pPr>
      <w:r w:rsidRPr="00322090">
        <w:rPr>
          <w:rFonts w:eastAsiaTheme="minorEastAsia"/>
          <w:sz w:val="22"/>
          <w:szCs w:val="24"/>
        </w:rPr>
        <w:t>FDI</w:t>
      </w:r>
      <w:r w:rsidRPr="00322090">
        <w:rPr>
          <w:rFonts w:eastAsiaTheme="minorEastAsia"/>
          <w:sz w:val="22"/>
          <w:szCs w:val="24"/>
          <w:vertAlign w:val="subscript"/>
        </w:rPr>
        <w:t>valstī</w:t>
      </w:r>
      <w:r w:rsidRPr="00322090">
        <w:rPr>
          <w:rFonts w:eastAsiaTheme="minorEastAsia"/>
          <w:sz w:val="22"/>
          <w:szCs w:val="24"/>
        </w:rPr>
        <w:t xml:space="preserve"> atspoguļo ĀTI plūsmas attiecīgajā valstī; </w:t>
      </w:r>
    </w:p>
    <w:p w14:paraId="1A5632D3" w14:textId="77777777" w:rsidR="007111B1" w:rsidRPr="00322090" w:rsidRDefault="007111B1" w:rsidP="007111B1">
      <w:pPr>
        <w:spacing w:line="276" w:lineRule="auto"/>
        <w:ind w:left="567" w:firstLine="567"/>
        <w:jc w:val="both"/>
        <w:rPr>
          <w:rFonts w:eastAsiaTheme="minorEastAsia"/>
          <w:sz w:val="22"/>
          <w:szCs w:val="24"/>
        </w:rPr>
      </w:pPr>
      <w:r w:rsidRPr="00322090">
        <w:rPr>
          <w:rFonts w:eastAsiaTheme="minorEastAsia"/>
          <w:sz w:val="22"/>
          <w:szCs w:val="24"/>
        </w:rPr>
        <w:t>FDI</w:t>
      </w:r>
      <w:r w:rsidRPr="00322090">
        <w:rPr>
          <w:rFonts w:eastAsiaTheme="minorEastAsia"/>
          <w:sz w:val="22"/>
          <w:szCs w:val="24"/>
          <w:vertAlign w:val="subscript"/>
        </w:rPr>
        <w:t>reģionā</w:t>
      </w:r>
      <w:r w:rsidRPr="00322090">
        <w:rPr>
          <w:rFonts w:eastAsiaTheme="minorEastAsia"/>
          <w:sz w:val="22"/>
          <w:szCs w:val="24"/>
        </w:rPr>
        <w:t xml:space="preserve"> atspoguļo kopējās ĀTI plūsmas attiecīgajā reģionā (Baltijā);</w:t>
      </w:r>
    </w:p>
    <w:p w14:paraId="77E88C63" w14:textId="77777777" w:rsidR="007111B1" w:rsidRPr="00322090" w:rsidRDefault="007111B1" w:rsidP="007111B1">
      <w:pPr>
        <w:spacing w:line="276" w:lineRule="auto"/>
        <w:ind w:left="567" w:firstLine="567"/>
        <w:jc w:val="both"/>
        <w:rPr>
          <w:rFonts w:eastAsiaTheme="minorEastAsia"/>
          <w:sz w:val="22"/>
          <w:szCs w:val="24"/>
        </w:rPr>
      </w:pPr>
      <w:r w:rsidRPr="00322090">
        <w:rPr>
          <w:rFonts w:eastAsiaTheme="minorEastAsia"/>
          <w:sz w:val="22"/>
          <w:szCs w:val="24"/>
        </w:rPr>
        <w:t>IKP</w:t>
      </w:r>
      <w:r w:rsidRPr="00322090">
        <w:rPr>
          <w:rFonts w:eastAsiaTheme="minorEastAsia"/>
          <w:sz w:val="22"/>
          <w:szCs w:val="24"/>
          <w:vertAlign w:val="subscript"/>
        </w:rPr>
        <w:t xml:space="preserve">valstī </w:t>
      </w:r>
      <w:r w:rsidRPr="00322090">
        <w:rPr>
          <w:rFonts w:eastAsiaTheme="minorEastAsia"/>
          <w:sz w:val="22"/>
          <w:szCs w:val="24"/>
        </w:rPr>
        <w:t>atspoguļo IKP (faktiskajās cenās) attiecīgajā valstī;</w:t>
      </w:r>
    </w:p>
    <w:p w14:paraId="2F5EA141" w14:textId="77777777" w:rsidR="007111B1" w:rsidRPr="00322090" w:rsidRDefault="007111B1" w:rsidP="007111B1">
      <w:pPr>
        <w:spacing w:after="240" w:line="276" w:lineRule="auto"/>
        <w:ind w:left="567" w:firstLine="567"/>
        <w:jc w:val="both"/>
        <w:rPr>
          <w:rFonts w:eastAsiaTheme="minorEastAsia"/>
          <w:sz w:val="22"/>
          <w:szCs w:val="24"/>
        </w:rPr>
      </w:pPr>
      <w:r w:rsidRPr="00322090">
        <w:rPr>
          <w:rFonts w:eastAsiaTheme="minorEastAsia"/>
          <w:sz w:val="22"/>
          <w:szCs w:val="24"/>
        </w:rPr>
        <w:t>IKP</w:t>
      </w:r>
      <w:r w:rsidRPr="00322090">
        <w:rPr>
          <w:rFonts w:eastAsiaTheme="minorEastAsia"/>
          <w:sz w:val="22"/>
          <w:szCs w:val="24"/>
          <w:vertAlign w:val="subscript"/>
        </w:rPr>
        <w:t xml:space="preserve">reģionā </w:t>
      </w:r>
      <w:r w:rsidRPr="00322090">
        <w:rPr>
          <w:rFonts w:eastAsiaTheme="minorEastAsia"/>
          <w:sz w:val="22"/>
          <w:szCs w:val="24"/>
        </w:rPr>
        <w:t>atspoguļo kopējo IKP (faktiskajās cenās) attiecīgajā reģionā (Baltijā).</w:t>
      </w:r>
    </w:p>
    <w:p w14:paraId="5C5D029E" w14:textId="77777777" w:rsidR="007111B1" w:rsidRPr="002966EA" w:rsidRDefault="007111B1" w:rsidP="007111B1">
      <w:pPr>
        <w:spacing w:line="276" w:lineRule="auto"/>
        <w:ind w:firstLine="567"/>
        <w:jc w:val="both"/>
        <w:rPr>
          <w:rFonts w:eastAsiaTheme="minorEastAsia"/>
          <w:sz w:val="24"/>
          <w:szCs w:val="24"/>
        </w:rPr>
      </w:pPr>
      <w:r>
        <w:rPr>
          <w:rFonts w:eastAsiaTheme="minorEastAsia"/>
          <w:sz w:val="24"/>
          <w:szCs w:val="24"/>
        </w:rPr>
        <w:t xml:space="preserve">Rādītāja izmantošana ļauj salīdzināt ĀTI sniegumu reģionālā kontekstā, vienlaikus pieņemot, ka valstis ir homogēni pakļautas ārējiem šokiem, kā arī var tikt izmantotas viendabīgas valstu ekonomikas ar salīdzinoši līdzīgiem ekonomikas izmēriem, sociālajiem un politiskajiem apstākļiem, kā arī līdzīgām ģeogrāfiskajām īpašībām un atrašanās vietu globālā mērogā. </w:t>
      </w:r>
    </w:p>
    <w:p w14:paraId="773A5697" w14:textId="77777777" w:rsidR="007111B1" w:rsidRPr="00322090" w:rsidRDefault="007111B1" w:rsidP="007111B1">
      <w:pPr>
        <w:spacing w:line="276" w:lineRule="auto"/>
        <w:jc w:val="both"/>
        <w:rPr>
          <w:rFonts w:eastAsiaTheme="minorEastAsia"/>
          <w:sz w:val="24"/>
          <w:szCs w:val="24"/>
        </w:rPr>
      </w:pPr>
      <w:r>
        <w:rPr>
          <w:rFonts w:eastAsiaTheme="minorEastAsia"/>
          <w:sz w:val="24"/>
          <w:szCs w:val="24"/>
        </w:rPr>
        <w:tab/>
        <w:t>Analizējot datus par Latvijas sniegumu ĀTI piesaistē Baltijas reģiona kontekstā, vērtējot trīs gadu vidējo rādītāju, jāsecina, kā kopš 2013.gada Latvijā vidēji ieplūst vairāk ĀTI, salīdzinot ar Lietuvu un Igauniju, lai gan ekonomikas lielums ir mazāks kā abām kaimiņvalstīm. Turklāt iegūtais snieguma indekss Latvijas gadījumā ir stabils un nav novērotas būtiskas svārstības.</w:t>
      </w:r>
    </w:p>
    <w:p w14:paraId="16A2B1AF" w14:textId="61222C90" w:rsidR="007111B1" w:rsidRDefault="007111B1" w:rsidP="007111B1">
      <w:pPr>
        <w:spacing w:line="276" w:lineRule="auto"/>
        <w:jc w:val="both"/>
        <w:rPr>
          <w:rFonts w:eastAsiaTheme="minorEastAsia"/>
          <w:sz w:val="24"/>
          <w:szCs w:val="24"/>
        </w:rPr>
      </w:pPr>
      <w:r>
        <w:rPr>
          <w:rFonts w:eastAsiaTheme="minorEastAsia"/>
          <w:sz w:val="24"/>
          <w:szCs w:val="24"/>
        </w:rPr>
        <w:tab/>
      </w:r>
    </w:p>
    <w:p w14:paraId="7A875373" w14:textId="77777777" w:rsidR="007111B1" w:rsidRDefault="007111B1" w:rsidP="007111B1">
      <w:pPr>
        <w:spacing w:line="276" w:lineRule="auto"/>
        <w:jc w:val="both"/>
        <w:rPr>
          <w:rFonts w:eastAsiaTheme="minorEastAsia"/>
          <w:sz w:val="24"/>
          <w:szCs w:val="24"/>
        </w:rPr>
      </w:pPr>
      <w:r>
        <w:rPr>
          <w:noProof/>
          <w:lang w:eastAsia="lv-LV"/>
        </w:rPr>
        <w:drawing>
          <wp:anchor distT="0" distB="0" distL="114300" distR="114300" simplePos="0" relativeHeight="251674624" behindDoc="0" locked="0" layoutInCell="1" allowOverlap="1" wp14:anchorId="61480326" wp14:editId="50E76490">
            <wp:simplePos x="0" y="0"/>
            <wp:positionH relativeFrom="column">
              <wp:posOffset>3120390</wp:posOffset>
            </wp:positionH>
            <wp:positionV relativeFrom="paragraph">
              <wp:posOffset>88265</wp:posOffset>
            </wp:positionV>
            <wp:extent cx="3162300" cy="21621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noProof/>
          <w:lang w:eastAsia="lv-LV"/>
        </w:rPr>
        <w:drawing>
          <wp:inline distT="0" distB="0" distL="0" distR="0" wp14:anchorId="7DC07D85" wp14:editId="30C5792E">
            <wp:extent cx="3238500" cy="2362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B109F4">
        <w:rPr>
          <w:noProof/>
          <w:lang w:eastAsia="lv-LV"/>
        </w:rPr>
        <w:t xml:space="preserve"> </w:t>
      </w:r>
    </w:p>
    <w:p w14:paraId="34994A8E" w14:textId="77777777" w:rsidR="007111B1" w:rsidRDefault="007111B1" w:rsidP="007111B1">
      <w:pPr>
        <w:spacing w:line="276" w:lineRule="auto"/>
        <w:jc w:val="both"/>
        <w:rPr>
          <w:rFonts w:eastAsiaTheme="minorEastAsia"/>
          <w:sz w:val="24"/>
          <w:szCs w:val="24"/>
        </w:rPr>
      </w:pPr>
    </w:p>
    <w:p w14:paraId="77CDF316" w14:textId="77777777" w:rsidR="007111B1" w:rsidRDefault="007111B1" w:rsidP="007111B1">
      <w:pPr>
        <w:ind w:firstLine="567"/>
        <w:jc w:val="both"/>
        <w:rPr>
          <w:sz w:val="24"/>
          <w:szCs w:val="24"/>
        </w:rPr>
      </w:pPr>
      <w:r>
        <w:rPr>
          <w:rFonts w:eastAsiaTheme="minorEastAsia"/>
          <w:sz w:val="24"/>
          <w:szCs w:val="24"/>
        </w:rPr>
        <w:lastRenderedPageBreak/>
        <w:t xml:space="preserve">Vienlaikus ĀTI snieguma indekss nevar būt piemērots kā ĀTI piesaistes mērķa rādītājs attiecībā uz tirgojamām nozarēm, jo, </w:t>
      </w:r>
      <w:r>
        <w:rPr>
          <w:sz w:val="24"/>
          <w:szCs w:val="24"/>
        </w:rPr>
        <w:t xml:space="preserve">pirmkārt,  rādītājam raksturīgs ievērojams svārstību diapazons, un, otrkārt, ir iespējama situācija, kad daļai valstu  ĀTI plūsmas ir negatīvas, kā arī kopējās ĀTI plūsmas reģionā arī ir negatīvas (kā tas ir bijis Baltijas valstīs 2013. un 2014.gada). Šādos apstākļos snieguma indekss būs negatīvs, kas nav interpretējams. </w:t>
      </w:r>
    </w:p>
    <w:p w14:paraId="32F39A77" w14:textId="77777777" w:rsidR="007111B1" w:rsidRDefault="007111B1" w:rsidP="007111B1">
      <w:pPr>
        <w:rPr>
          <w:sz w:val="24"/>
          <w:szCs w:val="24"/>
        </w:rPr>
      </w:pPr>
      <w:r w:rsidRPr="00591D96">
        <w:rPr>
          <w:rFonts w:eastAsiaTheme="minorEastAsia"/>
          <w:noProof/>
          <w:sz w:val="22"/>
          <w:szCs w:val="24"/>
          <w:lang w:eastAsia="lv-LV"/>
        </w:rPr>
        <mc:AlternateContent>
          <mc:Choice Requires="wps">
            <w:drawing>
              <wp:anchor distT="45720" distB="45720" distL="114300" distR="114300" simplePos="0" relativeHeight="251675648" behindDoc="0" locked="0" layoutInCell="1" allowOverlap="1" wp14:anchorId="730A6FC1" wp14:editId="726E26A9">
                <wp:simplePos x="0" y="0"/>
                <wp:positionH relativeFrom="column">
                  <wp:posOffset>3072765</wp:posOffset>
                </wp:positionH>
                <wp:positionV relativeFrom="paragraph">
                  <wp:posOffset>95885</wp:posOffset>
                </wp:positionV>
                <wp:extent cx="2962275" cy="17621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762125"/>
                        </a:xfrm>
                        <a:prstGeom prst="rect">
                          <a:avLst/>
                        </a:prstGeom>
                        <a:solidFill>
                          <a:srgbClr val="FFFFFF"/>
                        </a:solidFill>
                        <a:ln w="9525">
                          <a:noFill/>
                          <a:miter lim="800000"/>
                          <a:headEnd/>
                          <a:tailEnd/>
                        </a:ln>
                      </wps:spPr>
                      <wps:txbx>
                        <w:txbxContent>
                          <w:p w14:paraId="6F9D8AA4" w14:textId="77777777" w:rsidR="009B6AB6" w:rsidRPr="00BB1C2E" w:rsidRDefault="009B6AB6" w:rsidP="007111B1">
                            <w:pPr>
                              <w:spacing w:after="240"/>
                              <w:jc w:val="center"/>
                              <w:rPr>
                                <w:rFonts w:eastAsiaTheme="minorEastAsia"/>
                                <w:sz w:val="24"/>
                                <w:szCs w:val="24"/>
                              </w:rPr>
                            </w:pPr>
                            <m:oMath>
                              <m:r>
                                <w:rPr>
                                  <w:rFonts w:ascii="Cambria Math" w:hAnsi="Cambria Math"/>
                                  <w:sz w:val="24"/>
                                  <w:szCs w:val="24"/>
                                </w:rPr>
                                <m:t>Ind.=</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tirg.noz. valstī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tirg.noz. reģionā</m:t>
                                      </m:r>
                                    </m:sub>
                                  </m:sSub>
                                </m:num>
                                <m:den>
                                  <m:sSub>
                                    <m:sSubPr>
                                      <m:ctrlPr>
                                        <w:rPr>
                                          <w:rFonts w:ascii="Cambria Math" w:hAnsi="Cambria Math"/>
                                          <w:i/>
                                          <w:sz w:val="24"/>
                                          <w:szCs w:val="24"/>
                                        </w:rPr>
                                      </m:ctrlPr>
                                    </m:sSubPr>
                                    <m:e>
                                      <m:r>
                                        <w:rPr>
                                          <w:rFonts w:ascii="Cambria Math" w:hAnsi="Cambria Math"/>
                                          <w:sz w:val="24"/>
                                          <w:szCs w:val="24"/>
                                        </w:rPr>
                                        <m:t>PV</m:t>
                                      </m:r>
                                    </m:e>
                                    <m:sub>
                                      <m:r>
                                        <w:rPr>
                                          <w:rFonts w:ascii="Cambria Math" w:hAnsi="Cambria Math"/>
                                          <w:sz w:val="24"/>
                                          <w:szCs w:val="24"/>
                                        </w:rPr>
                                        <m:t>tirg.noz. valstī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PV</m:t>
                                      </m:r>
                                    </m:e>
                                    <m:sub>
                                      <m:r>
                                        <w:rPr>
                                          <w:rFonts w:ascii="Cambria Math" w:hAnsi="Cambria Math"/>
                                          <w:sz w:val="24"/>
                                          <w:szCs w:val="24"/>
                                        </w:rPr>
                                        <m:t>tirg.noz. reģionā</m:t>
                                      </m:r>
                                    </m:sub>
                                  </m:sSub>
                                </m:den>
                              </m:f>
                            </m:oMath>
                            <w:r w:rsidRPr="00BB1C2E">
                              <w:rPr>
                                <w:rFonts w:eastAsiaTheme="minorEastAsia"/>
                                <w:sz w:val="24"/>
                                <w:szCs w:val="24"/>
                              </w:rPr>
                              <w:t xml:space="preserve">, </w:t>
                            </w:r>
                            <w:r w:rsidRPr="00BB1C2E">
                              <w:rPr>
                                <w:rFonts w:eastAsiaTheme="minorEastAsia"/>
                                <w:sz w:val="22"/>
                                <w:szCs w:val="24"/>
                              </w:rPr>
                              <w:t>kur</w:t>
                            </w:r>
                            <w:r w:rsidRPr="00BB1C2E">
                              <w:rPr>
                                <w:rFonts w:eastAsiaTheme="minorEastAsia"/>
                                <w:sz w:val="24"/>
                                <w:szCs w:val="24"/>
                              </w:rPr>
                              <w:t xml:space="preserve"> </w:t>
                            </w:r>
                          </w:p>
                          <w:p w14:paraId="09DCAE11" w14:textId="77777777" w:rsidR="009B6AB6" w:rsidRPr="00BB1C2E" w:rsidRDefault="009B6AB6" w:rsidP="007111B1">
                            <w:pPr>
                              <w:rPr>
                                <w:rFonts w:eastAsiaTheme="minorEastAsia"/>
                                <w:sz w:val="18"/>
                                <w:szCs w:val="24"/>
                              </w:rPr>
                            </w:pPr>
                            <w:r w:rsidRPr="00BB1C2E">
                              <w:rPr>
                                <w:rFonts w:eastAsiaTheme="minorEastAsia"/>
                                <w:sz w:val="18"/>
                                <w:szCs w:val="24"/>
                              </w:rPr>
                              <w:t xml:space="preserve">FDI </w:t>
                            </w:r>
                            <w:r w:rsidRPr="00BB1C2E">
                              <w:rPr>
                                <w:rFonts w:eastAsiaTheme="minorEastAsia"/>
                                <w:sz w:val="18"/>
                                <w:szCs w:val="24"/>
                                <w:vertAlign w:val="subscript"/>
                              </w:rPr>
                              <w:t>tirg.noz. valstī</w:t>
                            </w:r>
                            <w:r w:rsidRPr="00BB1C2E">
                              <w:rPr>
                                <w:rFonts w:eastAsiaTheme="minorEastAsia"/>
                                <w:sz w:val="18"/>
                                <w:szCs w:val="24"/>
                              </w:rPr>
                              <w:t xml:space="preserve"> atspoguļo ĀTI plūsmas tirgojamās nozarēs attiecīgajā valstī; </w:t>
                            </w:r>
                          </w:p>
                          <w:p w14:paraId="720E78A5" w14:textId="77777777" w:rsidR="009B6AB6" w:rsidRPr="00BB1C2E" w:rsidRDefault="009B6AB6" w:rsidP="007111B1">
                            <w:pPr>
                              <w:spacing w:line="276" w:lineRule="auto"/>
                              <w:jc w:val="both"/>
                              <w:rPr>
                                <w:rFonts w:eastAsiaTheme="minorEastAsia"/>
                                <w:sz w:val="18"/>
                                <w:szCs w:val="24"/>
                              </w:rPr>
                            </w:pPr>
                            <w:r w:rsidRPr="00BB1C2E">
                              <w:rPr>
                                <w:rFonts w:eastAsiaTheme="minorEastAsia"/>
                                <w:sz w:val="18"/>
                                <w:szCs w:val="24"/>
                              </w:rPr>
                              <w:t xml:space="preserve">FDI </w:t>
                            </w:r>
                            <w:r w:rsidRPr="00BB1C2E">
                              <w:rPr>
                                <w:rFonts w:eastAsiaTheme="minorEastAsia"/>
                                <w:sz w:val="18"/>
                                <w:szCs w:val="24"/>
                                <w:vertAlign w:val="subscript"/>
                              </w:rPr>
                              <w:t>tirg.noz.reģionā</w:t>
                            </w:r>
                            <w:r w:rsidRPr="00BB1C2E">
                              <w:rPr>
                                <w:rFonts w:eastAsiaTheme="minorEastAsia"/>
                                <w:sz w:val="18"/>
                                <w:szCs w:val="24"/>
                              </w:rPr>
                              <w:t xml:space="preserve"> atspoguļo kopējās ĀTI plūsmas tirgojamās  attiecīgajā reģionā (Baltijā);</w:t>
                            </w:r>
                          </w:p>
                          <w:p w14:paraId="3037542B" w14:textId="77777777" w:rsidR="009B6AB6" w:rsidRPr="00BB1C2E" w:rsidRDefault="009B6AB6" w:rsidP="007111B1">
                            <w:pPr>
                              <w:spacing w:line="276" w:lineRule="auto"/>
                              <w:jc w:val="both"/>
                              <w:rPr>
                                <w:rFonts w:eastAsiaTheme="minorEastAsia"/>
                                <w:sz w:val="18"/>
                                <w:szCs w:val="24"/>
                              </w:rPr>
                            </w:pPr>
                            <w:r w:rsidRPr="00BB1C2E">
                              <w:rPr>
                                <w:rFonts w:eastAsiaTheme="minorEastAsia"/>
                                <w:sz w:val="18"/>
                                <w:szCs w:val="24"/>
                              </w:rPr>
                              <w:t>PV</w:t>
                            </w:r>
                            <w:r w:rsidRPr="00BB1C2E">
                              <w:rPr>
                                <w:rFonts w:eastAsiaTheme="minorEastAsia"/>
                                <w:sz w:val="18"/>
                                <w:szCs w:val="24"/>
                                <w:vertAlign w:val="subscript"/>
                              </w:rPr>
                              <w:t xml:space="preserve">valstī </w:t>
                            </w:r>
                            <w:r w:rsidRPr="00BB1C2E">
                              <w:rPr>
                                <w:rFonts w:eastAsiaTheme="minorEastAsia"/>
                                <w:sz w:val="18"/>
                                <w:szCs w:val="24"/>
                              </w:rPr>
                              <w:t>atspoguļo pievienoto vērtību attiecīgajā valstī tirgojamās nozarēs;</w:t>
                            </w:r>
                          </w:p>
                          <w:p w14:paraId="55A4C3C5" w14:textId="77777777" w:rsidR="009B6AB6" w:rsidRPr="00BB1C2E" w:rsidRDefault="009B6AB6" w:rsidP="007111B1">
                            <w:pPr>
                              <w:spacing w:after="240" w:line="276" w:lineRule="auto"/>
                              <w:jc w:val="both"/>
                              <w:rPr>
                                <w:rFonts w:eastAsiaTheme="minorEastAsia"/>
                                <w:sz w:val="18"/>
                                <w:szCs w:val="24"/>
                              </w:rPr>
                            </w:pPr>
                            <w:r w:rsidRPr="00BB1C2E">
                              <w:rPr>
                                <w:rFonts w:eastAsiaTheme="minorEastAsia"/>
                                <w:sz w:val="18"/>
                                <w:szCs w:val="24"/>
                              </w:rPr>
                              <w:t>PV</w:t>
                            </w:r>
                            <w:r w:rsidRPr="00BB1C2E">
                              <w:rPr>
                                <w:rFonts w:eastAsiaTheme="minorEastAsia"/>
                                <w:sz w:val="18"/>
                                <w:szCs w:val="24"/>
                                <w:vertAlign w:val="subscript"/>
                              </w:rPr>
                              <w:t xml:space="preserve">reģionā </w:t>
                            </w:r>
                            <w:r w:rsidRPr="00BB1C2E">
                              <w:rPr>
                                <w:rFonts w:eastAsiaTheme="minorEastAsia"/>
                                <w:sz w:val="18"/>
                                <w:szCs w:val="24"/>
                              </w:rPr>
                              <w:t>atspoguļo kopējo pievienoto vērtību attiecīgajā reģionā (Baltijā) tirgojamās nozarēs.</w:t>
                            </w:r>
                          </w:p>
                          <w:p w14:paraId="2CF747B7" w14:textId="77777777" w:rsidR="009B6AB6" w:rsidRPr="00BB1C2E" w:rsidRDefault="009B6AB6" w:rsidP="00711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A6FC1" id="_x0000_s1027" type="#_x0000_t202" style="position:absolute;margin-left:241.95pt;margin-top:7.55pt;width:233.25pt;height:13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" stroked="f">
                <v:textbox>
                  <w:txbxContent>
                    <w:p w14:paraId="6F9D8AA4" w14:textId="77777777" w:rsidR="009B6AB6" w:rsidRPr="00BB1C2E" w:rsidRDefault="009B6AB6" w:rsidP="007111B1">
                      <w:pPr>
                        <w:spacing w:after="240"/>
                        <w:jc w:val="center"/>
                        <w:rPr>
                          <w:rFonts w:eastAsiaTheme="minorEastAsia"/>
                          <w:sz w:val="24"/>
                          <w:szCs w:val="24"/>
                        </w:rPr>
                      </w:pPr>
                      <m:oMath>
                        <m:r>
                          <w:rPr>
                            <w:rFonts w:ascii="Cambria Math" w:hAnsi="Cambria Math"/>
                            <w:sz w:val="24"/>
                            <w:szCs w:val="24"/>
                          </w:rPr>
                          <m:t>Ind.=</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tirg.noz. valstī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FDI</m:t>
                                </m:r>
                              </m:e>
                              <m:sub>
                                <m:r>
                                  <w:rPr>
                                    <w:rFonts w:ascii="Cambria Math" w:hAnsi="Cambria Math"/>
                                    <w:sz w:val="24"/>
                                    <w:szCs w:val="24"/>
                                  </w:rPr>
                                  <m:t>tirg.noz. reģionā</m:t>
                                </m:r>
                              </m:sub>
                            </m:sSub>
                          </m:num>
                          <m:den>
                            <m:sSub>
                              <m:sSubPr>
                                <m:ctrlPr>
                                  <w:rPr>
                                    <w:rFonts w:ascii="Cambria Math" w:hAnsi="Cambria Math"/>
                                    <w:i/>
                                    <w:sz w:val="24"/>
                                    <w:szCs w:val="24"/>
                                  </w:rPr>
                                </m:ctrlPr>
                              </m:sSubPr>
                              <m:e>
                                <m:r>
                                  <w:rPr>
                                    <w:rFonts w:ascii="Cambria Math" w:hAnsi="Cambria Math"/>
                                    <w:sz w:val="24"/>
                                    <w:szCs w:val="24"/>
                                  </w:rPr>
                                  <m:t>PV</m:t>
                                </m:r>
                              </m:e>
                              <m:sub>
                                <m:r>
                                  <w:rPr>
                                    <w:rFonts w:ascii="Cambria Math" w:hAnsi="Cambria Math"/>
                                    <w:sz w:val="24"/>
                                    <w:szCs w:val="24"/>
                                  </w:rPr>
                                  <m:t>tirg.noz. valstī</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PV</m:t>
                                </m:r>
                              </m:e>
                              <m:sub>
                                <m:r>
                                  <w:rPr>
                                    <w:rFonts w:ascii="Cambria Math" w:hAnsi="Cambria Math"/>
                                    <w:sz w:val="24"/>
                                    <w:szCs w:val="24"/>
                                  </w:rPr>
                                  <m:t>tirg.noz. reģionā</m:t>
                                </m:r>
                              </m:sub>
                            </m:sSub>
                          </m:den>
                        </m:f>
                      </m:oMath>
                      <w:r w:rsidRPr="00BB1C2E">
                        <w:rPr>
                          <w:rFonts w:eastAsiaTheme="minorEastAsia"/>
                          <w:sz w:val="24"/>
                          <w:szCs w:val="24"/>
                        </w:rPr>
                        <w:t xml:space="preserve">, </w:t>
                      </w:r>
                      <w:r w:rsidRPr="00BB1C2E">
                        <w:rPr>
                          <w:rFonts w:eastAsiaTheme="minorEastAsia"/>
                          <w:sz w:val="22"/>
                          <w:szCs w:val="24"/>
                        </w:rPr>
                        <w:t>kur</w:t>
                      </w:r>
                      <w:r w:rsidRPr="00BB1C2E">
                        <w:rPr>
                          <w:rFonts w:eastAsiaTheme="minorEastAsia"/>
                          <w:sz w:val="24"/>
                          <w:szCs w:val="24"/>
                        </w:rPr>
                        <w:t xml:space="preserve"> </w:t>
                      </w:r>
                    </w:p>
                    <w:p w14:paraId="09DCAE11" w14:textId="77777777" w:rsidR="009B6AB6" w:rsidRPr="00BB1C2E" w:rsidRDefault="009B6AB6" w:rsidP="007111B1">
                      <w:pPr>
                        <w:rPr>
                          <w:rFonts w:eastAsiaTheme="minorEastAsia"/>
                          <w:sz w:val="18"/>
                          <w:szCs w:val="24"/>
                        </w:rPr>
                      </w:pPr>
                      <w:r w:rsidRPr="00BB1C2E">
                        <w:rPr>
                          <w:rFonts w:eastAsiaTheme="minorEastAsia"/>
                          <w:sz w:val="18"/>
                          <w:szCs w:val="24"/>
                        </w:rPr>
                        <w:t xml:space="preserve">FDI </w:t>
                      </w:r>
                      <w:proofErr w:type="spellStart"/>
                      <w:r w:rsidRPr="00BB1C2E">
                        <w:rPr>
                          <w:rFonts w:eastAsiaTheme="minorEastAsia"/>
                          <w:sz w:val="18"/>
                          <w:szCs w:val="24"/>
                          <w:vertAlign w:val="subscript"/>
                        </w:rPr>
                        <w:t>tirg.noz</w:t>
                      </w:r>
                      <w:proofErr w:type="spellEnd"/>
                      <w:r w:rsidRPr="00BB1C2E">
                        <w:rPr>
                          <w:rFonts w:eastAsiaTheme="minorEastAsia"/>
                          <w:sz w:val="18"/>
                          <w:szCs w:val="24"/>
                          <w:vertAlign w:val="subscript"/>
                        </w:rPr>
                        <w:t>. valstī</w:t>
                      </w:r>
                      <w:r w:rsidRPr="00BB1C2E">
                        <w:rPr>
                          <w:rFonts w:eastAsiaTheme="minorEastAsia"/>
                          <w:sz w:val="18"/>
                          <w:szCs w:val="24"/>
                        </w:rPr>
                        <w:t xml:space="preserve"> atspoguļo ĀTI plūsmas tirgojamās nozarēs attiecīgajā valstī; </w:t>
                      </w:r>
                    </w:p>
                    <w:p w14:paraId="720E78A5" w14:textId="77777777" w:rsidR="009B6AB6" w:rsidRPr="00BB1C2E" w:rsidRDefault="009B6AB6" w:rsidP="007111B1">
                      <w:pPr>
                        <w:spacing w:line="276" w:lineRule="auto"/>
                        <w:jc w:val="both"/>
                        <w:rPr>
                          <w:rFonts w:eastAsiaTheme="minorEastAsia"/>
                          <w:sz w:val="18"/>
                          <w:szCs w:val="24"/>
                        </w:rPr>
                      </w:pPr>
                      <w:r w:rsidRPr="00BB1C2E">
                        <w:rPr>
                          <w:rFonts w:eastAsiaTheme="minorEastAsia"/>
                          <w:sz w:val="18"/>
                          <w:szCs w:val="24"/>
                        </w:rPr>
                        <w:t xml:space="preserve">FDI </w:t>
                      </w:r>
                      <w:proofErr w:type="spellStart"/>
                      <w:r w:rsidRPr="00BB1C2E">
                        <w:rPr>
                          <w:rFonts w:eastAsiaTheme="minorEastAsia"/>
                          <w:sz w:val="18"/>
                          <w:szCs w:val="24"/>
                          <w:vertAlign w:val="subscript"/>
                        </w:rPr>
                        <w:t>tirg.noz.reģionā</w:t>
                      </w:r>
                      <w:proofErr w:type="spellEnd"/>
                      <w:r w:rsidRPr="00BB1C2E">
                        <w:rPr>
                          <w:rFonts w:eastAsiaTheme="minorEastAsia"/>
                          <w:sz w:val="18"/>
                          <w:szCs w:val="24"/>
                        </w:rPr>
                        <w:t xml:space="preserve"> atspoguļo kopējās ĀTI plūsmas tirgojamās  attiecīgajā reģionā (Baltijā);</w:t>
                      </w:r>
                    </w:p>
                    <w:p w14:paraId="3037542B" w14:textId="77777777" w:rsidR="009B6AB6" w:rsidRPr="00BB1C2E" w:rsidRDefault="009B6AB6" w:rsidP="007111B1">
                      <w:pPr>
                        <w:spacing w:line="276" w:lineRule="auto"/>
                        <w:jc w:val="both"/>
                        <w:rPr>
                          <w:rFonts w:eastAsiaTheme="minorEastAsia"/>
                          <w:sz w:val="18"/>
                          <w:szCs w:val="24"/>
                        </w:rPr>
                      </w:pPr>
                      <w:proofErr w:type="spellStart"/>
                      <w:r w:rsidRPr="00BB1C2E">
                        <w:rPr>
                          <w:rFonts w:eastAsiaTheme="minorEastAsia"/>
                          <w:sz w:val="18"/>
                          <w:szCs w:val="24"/>
                        </w:rPr>
                        <w:t>PV</w:t>
                      </w:r>
                      <w:r w:rsidRPr="00BB1C2E">
                        <w:rPr>
                          <w:rFonts w:eastAsiaTheme="minorEastAsia"/>
                          <w:sz w:val="18"/>
                          <w:szCs w:val="24"/>
                          <w:vertAlign w:val="subscript"/>
                        </w:rPr>
                        <w:t>valstī</w:t>
                      </w:r>
                      <w:proofErr w:type="spellEnd"/>
                      <w:r w:rsidRPr="00BB1C2E">
                        <w:rPr>
                          <w:rFonts w:eastAsiaTheme="minorEastAsia"/>
                          <w:sz w:val="18"/>
                          <w:szCs w:val="24"/>
                          <w:vertAlign w:val="subscript"/>
                        </w:rPr>
                        <w:t xml:space="preserve"> </w:t>
                      </w:r>
                      <w:r w:rsidRPr="00BB1C2E">
                        <w:rPr>
                          <w:rFonts w:eastAsiaTheme="minorEastAsia"/>
                          <w:sz w:val="18"/>
                          <w:szCs w:val="24"/>
                        </w:rPr>
                        <w:t>atspoguļo pievienoto vērtību attiecīgajā valstī tirgojamās nozarēs;</w:t>
                      </w:r>
                    </w:p>
                    <w:p w14:paraId="55A4C3C5" w14:textId="77777777" w:rsidR="009B6AB6" w:rsidRPr="00BB1C2E" w:rsidRDefault="009B6AB6" w:rsidP="007111B1">
                      <w:pPr>
                        <w:spacing w:after="240" w:line="276" w:lineRule="auto"/>
                        <w:jc w:val="both"/>
                        <w:rPr>
                          <w:rFonts w:eastAsiaTheme="minorEastAsia"/>
                          <w:sz w:val="18"/>
                          <w:szCs w:val="24"/>
                        </w:rPr>
                      </w:pPr>
                      <w:proofErr w:type="spellStart"/>
                      <w:r w:rsidRPr="00BB1C2E">
                        <w:rPr>
                          <w:rFonts w:eastAsiaTheme="minorEastAsia"/>
                          <w:sz w:val="18"/>
                          <w:szCs w:val="24"/>
                        </w:rPr>
                        <w:t>PV</w:t>
                      </w:r>
                      <w:r w:rsidRPr="00BB1C2E">
                        <w:rPr>
                          <w:rFonts w:eastAsiaTheme="minorEastAsia"/>
                          <w:sz w:val="18"/>
                          <w:szCs w:val="24"/>
                          <w:vertAlign w:val="subscript"/>
                        </w:rPr>
                        <w:t>reģionā</w:t>
                      </w:r>
                      <w:proofErr w:type="spellEnd"/>
                      <w:r w:rsidRPr="00BB1C2E">
                        <w:rPr>
                          <w:rFonts w:eastAsiaTheme="minorEastAsia"/>
                          <w:sz w:val="18"/>
                          <w:szCs w:val="24"/>
                          <w:vertAlign w:val="subscript"/>
                        </w:rPr>
                        <w:t xml:space="preserve"> </w:t>
                      </w:r>
                      <w:r w:rsidRPr="00BB1C2E">
                        <w:rPr>
                          <w:rFonts w:eastAsiaTheme="minorEastAsia"/>
                          <w:sz w:val="18"/>
                          <w:szCs w:val="24"/>
                        </w:rPr>
                        <w:t>atspoguļo kopējo pievienoto vērtību attiecīgajā reģionā (Baltijā) tirgojamās nozarēs.</w:t>
                      </w:r>
                    </w:p>
                    <w:p w14:paraId="2CF747B7" w14:textId="77777777" w:rsidR="009B6AB6" w:rsidRPr="00BB1C2E" w:rsidRDefault="009B6AB6" w:rsidP="007111B1"/>
                  </w:txbxContent>
                </v:textbox>
                <w10:wrap type="square"/>
              </v:shape>
            </w:pict>
          </mc:Fallback>
        </mc:AlternateContent>
      </w:r>
    </w:p>
    <w:p w14:paraId="46798A4B" w14:textId="77777777" w:rsidR="007111B1" w:rsidRDefault="007111B1" w:rsidP="007111B1">
      <w:pPr>
        <w:rPr>
          <w:sz w:val="24"/>
          <w:szCs w:val="24"/>
        </w:rPr>
      </w:pPr>
      <w:r>
        <w:rPr>
          <w:noProof/>
          <w:lang w:eastAsia="lv-LV"/>
        </w:rPr>
        <w:drawing>
          <wp:inline distT="0" distB="0" distL="0" distR="0" wp14:anchorId="06CE22CD" wp14:editId="07F75487">
            <wp:extent cx="2933700" cy="16859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FBB2887" w14:textId="77777777" w:rsidR="007111B1" w:rsidRDefault="007111B1" w:rsidP="007111B1">
      <w:pPr>
        <w:rPr>
          <w:sz w:val="24"/>
          <w:szCs w:val="24"/>
        </w:rPr>
      </w:pPr>
    </w:p>
    <w:p w14:paraId="0A0E8F40" w14:textId="6166591A" w:rsidR="007111B1" w:rsidRDefault="007111B1" w:rsidP="007111B1">
      <w:pPr>
        <w:ind w:firstLine="720"/>
        <w:jc w:val="both"/>
        <w:rPr>
          <w:sz w:val="24"/>
          <w:szCs w:val="24"/>
        </w:rPr>
      </w:pPr>
      <w:r>
        <w:rPr>
          <w:sz w:val="24"/>
          <w:szCs w:val="24"/>
        </w:rPr>
        <w:t xml:space="preserve">Ievērojot iepriekšminēto, </w:t>
      </w:r>
      <w:r w:rsidRPr="007111B1">
        <w:rPr>
          <w:b/>
          <w:sz w:val="24"/>
          <w:szCs w:val="24"/>
        </w:rPr>
        <w:t xml:space="preserve">turpmākā Pamatnostādņu īstenošanas periodā ĀTI politikas rezultātu mērīšanai tiks izmantots ĀTI snieguma indekss, nosakot sasniedzamo rezultatīvo radītāju ne mazāk kā 1,2 </w:t>
      </w:r>
      <w:r w:rsidR="00F1454F">
        <w:rPr>
          <w:b/>
          <w:sz w:val="24"/>
          <w:szCs w:val="24"/>
        </w:rPr>
        <w:t>2018.-2020</w:t>
      </w:r>
      <w:r w:rsidRPr="007111B1">
        <w:rPr>
          <w:b/>
          <w:sz w:val="24"/>
          <w:szCs w:val="24"/>
        </w:rPr>
        <w:t>.gadā</w:t>
      </w:r>
      <w:r w:rsidRPr="00C64593">
        <w:rPr>
          <w:sz w:val="24"/>
          <w:szCs w:val="24"/>
        </w:rPr>
        <w:t>.</w:t>
      </w:r>
    </w:p>
    <w:p w14:paraId="0CE6F698" w14:textId="77777777" w:rsidR="00DF336B" w:rsidRPr="009E53C0" w:rsidRDefault="009E53C0" w:rsidP="009E53C0">
      <w:pPr>
        <w:pStyle w:val="Heading2"/>
        <w:shd w:val="clear" w:color="auto" w:fill="1DA0A7"/>
        <w:rPr>
          <w:b/>
          <w:color w:val="FFFFFF" w:themeColor="background1"/>
        </w:rPr>
      </w:pPr>
      <w:r w:rsidRPr="009E53C0">
        <w:rPr>
          <w:b/>
          <w:color w:val="FFFFFF" w:themeColor="background1"/>
        </w:rPr>
        <w:t xml:space="preserve">2.3. </w:t>
      </w:r>
      <w:r w:rsidR="00DF336B" w:rsidRPr="009E53C0">
        <w:rPr>
          <w:b/>
          <w:color w:val="FFFFFF" w:themeColor="background1"/>
        </w:rPr>
        <w:t>Koriģētie sasniedzamie rezultatīvie rādītāji un to skaitliskās vērtības</w:t>
      </w:r>
      <w:bookmarkEnd w:id="18"/>
    </w:p>
    <w:p w14:paraId="138EE7C2" w14:textId="77777777" w:rsidR="00B93CF6" w:rsidRDefault="00B93CF6" w:rsidP="00B93CF6">
      <w:pPr>
        <w:ind w:firstLine="360"/>
        <w:jc w:val="both"/>
        <w:rPr>
          <w:sz w:val="24"/>
          <w:szCs w:val="24"/>
        </w:rPr>
      </w:pPr>
      <w:r w:rsidRPr="009629C8">
        <w:rPr>
          <w:sz w:val="24"/>
          <w:szCs w:val="24"/>
        </w:rPr>
        <w:t>Lai pilnvērtīgāk atspoguļotu Pamatnostādnēs definēto mērķu sasniegšanas progresu, kā arī nodrošinātu korektu rādītāju salīdzināmību, turpmākajā politikas plānošanas dokumenta īstenošanas periodā paredzēts veikt rezultatīvo rādītāju un to sasniegšanas kvantitatīvo mērķu korekcijas:</w:t>
      </w:r>
    </w:p>
    <w:p w14:paraId="6C5DBC57" w14:textId="77777777" w:rsidR="00B93CF6" w:rsidRPr="00DF336B" w:rsidRDefault="00B93CF6" w:rsidP="008C684D">
      <w:pPr>
        <w:pStyle w:val="ListParagraph"/>
        <w:numPr>
          <w:ilvl w:val="0"/>
          <w:numId w:val="8"/>
        </w:numPr>
        <w:spacing w:line="240" w:lineRule="auto"/>
        <w:ind w:left="851"/>
        <w:jc w:val="both"/>
        <w:rPr>
          <w:rFonts w:ascii="Times New Roman" w:hAnsi="Times New Roman"/>
          <w:sz w:val="24"/>
          <w:szCs w:val="24"/>
        </w:rPr>
      </w:pPr>
      <w:r w:rsidRPr="00DF336B">
        <w:rPr>
          <w:rFonts w:ascii="Times New Roman" w:hAnsi="Times New Roman"/>
          <w:sz w:val="24"/>
          <w:szCs w:val="24"/>
        </w:rPr>
        <w:t xml:space="preserve">Vērtējot </w:t>
      </w:r>
      <w:r w:rsidRPr="00A83DD2">
        <w:rPr>
          <w:rFonts w:ascii="Times New Roman" w:hAnsi="Times New Roman"/>
          <w:b/>
          <w:sz w:val="24"/>
          <w:szCs w:val="24"/>
        </w:rPr>
        <w:t>preču un</w:t>
      </w:r>
      <w:r w:rsidRPr="00DF336B">
        <w:rPr>
          <w:rFonts w:ascii="Times New Roman" w:hAnsi="Times New Roman"/>
          <w:sz w:val="24"/>
          <w:szCs w:val="24"/>
        </w:rPr>
        <w:t xml:space="preserve"> </w:t>
      </w:r>
      <w:r w:rsidRPr="00383A5A">
        <w:rPr>
          <w:rFonts w:ascii="Times New Roman" w:hAnsi="Times New Roman"/>
          <w:b/>
          <w:sz w:val="24"/>
          <w:szCs w:val="24"/>
        </w:rPr>
        <w:t>pakalpojumu eksporta pieaugumu salīdzināmajās cenās</w:t>
      </w:r>
      <w:r w:rsidRPr="00DF336B">
        <w:rPr>
          <w:rFonts w:ascii="Times New Roman" w:hAnsi="Times New Roman"/>
          <w:sz w:val="24"/>
          <w:szCs w:val="24"/>
        </w:rPr>
        <w:t xml:space="preserve"> laika posmā no 2016. līdz 2019.gadam tiek koriģēta rezultatīvā rādītāja skaitliskā vērtība – attiecīgi paredzot 1% kritumu 2016.gadā, 2,4% pieaugumu 2017.gadā, kā arī plānojot vidēji 5% eksporta pieaugumu laika posmā no 2018.-2020.gadam.</w:t>
      </w:r>
    </w:p>
    <w:p w14:paraId="630F3EA7" w14:textId="77777777" w:rsidR="00B93CF6" w:rsidRPr="009629C8" w:rsidRDefault="00B93CF6" w:rsidP="008C684D">
      <w:pPr>
        <w:pStyle w:val="ListParagraph"/>
        <w:numPr>
          <w:ilvl w:val="0"/>
          <w:numId w:val="8"/>
        </w:numPr>
        <w:spacing w:line="240" w:lineRule="auto"/>
        <w:ind w:left="851"/>
        <w:jc w:val="both"/>
        <w:rPr>
          <w:rFonts w:ascii="Times New Roman" w:hAnsi="Times New Roman"/>
          <w:sz w:val="24"/>
          <w:szCs w:val="24"/>
        </w:rPr>
      </w:pPr>
      <w:r w:rsidRPr="00383A5A">
        <w:rPr>
          <w:rFonts w:ascii="Times New Roman" w:hAnsi="Times New Roman"/>
          <w:b/>
          <w:sz w:val="24"/>
          <w:szCs w:val="24"/>
        </w:rPr>
        <w:t>Augsto tehnoloģiju produktu eksporta īpatsvara</w:t>
      </w:r>
      <w:r w:rsidRPr="00DF336B">
        <w:rPr>
          <w:rFonts w:ascii="Times New Roman" w:hAnsi="Times New Roman"/>
          <w:sz w:val="24"/>
          <w:szCs w:val="24"/>
        </w:rPr>
        <w:t xml:space="preserve"> novērtēšanai kopējā eksportā turpmāk tiks izmantota EUROSTAT metodoloģija, kas </w:t>
      </w:r>
      <w:r w:rsidRPr="00DF336B">
        <w:rPr>
          <w:rFonts w:ascii="Times New Roman" w:hAnsi="Times New Roman"/>
          <w:i/>
          <w:sz w:val="24"/>
          <w:szCs w:val="24"/>
        </w:rPr>
        <w:t>high-tech</w:t>
      </w:r>
      <w:r w:rsidRPr="00DF336B">
        <w:rPr>
          <w:rFonts w:ascii="Times New Roman" w:hAnsi="Times New Roman"/>
          <w:sz w:val="24"/>
          <w:szCs w:val="24"/>
        </w:rPr>
        <w:t xml:space="preserve"> produktu eksportu vērtē pēc produktu grupām, nevis uzņēmumu pamatdarbības veidiem, tādejādi objektīvāk atspoguļojot faktiskā augsto tehnoloģiju produktu daļu kopējā eksportā.</w:t>
      </w:r>
    </w:p>
    <w:p w14:paraId="5AE37FFB" w14:textId="5C704F4D" w:rsidR="00B93CF6" w:rsidRDefault="00987A04" w:rsidP="00987A04">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  </w:t>
      </w:r>
      <w:r w:rsidRPr="00987A04">
        <w:rPr>
          <w:rFonts w:ascii="Times New Roman" w:hAnsi="Times New Roman"/>
          <w:b/>
          <w:sz w:val="24"/>
          <w:szCs w:val="24"/>
        </w:rPr>
        <w:t>ĀTI politikas rezultātu mērīšanai</w:t>
      </w:r>
      <w:r w:rsidRPr="00987A04">
        <w:rPr>
          <w:rFonts w:ascii="Times New Roman" w:hAnsi="Times New Roman"/>
          <w:sz w:val="24"/>
          <w:szCs w:val="24"/>
        </w:rPr>
        <w:t xml:space="preserve"> tiks izmantots </w:t>
      </w:r>
      <w:r w:rsidRPr="00987A04">
        <w:rPr>
          <w:rFonts w:ascii="Times New Roman" w:hAnsi="Times New Roman"/>
          <w:b/>
          <w:sz w:val="24"/>
          <w:szCs w:val="24"/>
        </w:rPr>
        <w:t>ĀTI snieguma indekss</w:t>
      </w:r>
      <w:r w:rsidRPr="00987A04">
        <w:rPr>
          <w:rFonts w:ascii="Times New Roman" w:hAnsi="Times New Roman"/>
          <w:sz w:val="24"/>
          <w:szCs w:val="24"/>
        </w:rPr>
        <w:t>,</w:t>
      </w:r>
      <w:r w:rsidRPr="00987A04">
        <w:t xml:space="preserve"> </w:t>
      </w:r>
      <w:r>
        <w:rPr>
          <w:rFonts w:ascii="Times New Roman" w:hAnsi="Times New Roman"/>
          <w:sz w:val="24"/>
          <w:szCs w:val="24"/>
        </w:rPr>
        <w:t>kas sniegumu ĀTI piesaistē vērtē,</w:t>
      </w:r>
      <w:r w:rsidRPr="00987A04">
        <w:rPr>
          <w:rFonts w:ascii="Times New Roman" w:hAnsi="Times New Roman"/>
          <w:sz w:val="24"/>
          <w:szCs w:val="24"/>
        </w:rPr>
        <w:t xml:space="preserve"> pamatojoties uz ĀTI piesaistes potenciālu atbilstoši ekonomikas lielumam </w:t>
      </w:r>
      <w:r>
        <w:rPr>
          <w:rFonts w:ascii="Times New Roman" w:hAnsi="Times New Roman"/>
          <w:sz w:val="24"/>
          <w:szCs w:val="24"/>
        </w:rPr>
        <w:t xml:space="preserve">attiecīgajā reģionā, attiecīgi </w:t>
      </w:r>
      <w:r w:rsidRPr="00987A04">
        <w:rPr>
          <w:rFonts w:ascii="Times New Roman" w:hAnsi="Times New Roman"/>
          <w:sz w:val="24"/>
          <w:szCs w:val="24"/>
        </w:rPr>
        <w:t xml:space="preserve">nosakot </w:t>
      </w:r>
      <w:r w:rsidRPr="00987A04">
        <w:rPr>
          <w:rFonts w:ascii="Times New Roman" w:hAnsi="Times New Roman"/>
          <w:b/>
          <w:sz w:val="24"/>
          <w:szCs w:val="24"/>
        </w:rPr>
        <w:t>sasniedzamo rezultatīvo radītāju</w:t>
      </w:r>
      <w:r w:rsidRPr="00987A04">
        <w:rPr>
          <w:rFonts w:ascii="Times New Roman" w:hAnsi="Times New Roman"/>
          <w:sz w:val="24"/>
          <w:szCs w:val="24"/>
        </w:rPr>
        <w:t xml:space="preserve"> </w:t>
      </w:r>
      <w:r w:rsidRPr="00987A04">
        <w:rPr>
          <w:rFonts w:ascii="Times New Roman" w:hAnsi="Times New Roman"/>
          <w:b/>
          <w:sz w:val="24"/>
          <w:szCs w:val="24"/>
        </w:rPr>
        <w:t>ne mazāk kā 1,2</w:t>
      </w:r>
      <w:r>
        <w:rPr>
          <w:rFonts w:ascii="Times New Roman" w:hAnsi="Times New Roman"/>
          <w:b/>
          <w:sz w:val="24"/>
          <w:szCs w:val="24"/>
        </w:rPr>
        <w:t xml:space="preserve"> laika posmā no </w:t>
      </w:r>
      <w:r w:rsidRPr="00987A04">
        <w:rPr>
          <w:rFonts w:ascii="Times New Roman" w:hAnsi="Times New Roman"/>
          <w:b/>
          <w:sz w:val="24"/>
          <w:szCs w:val="24"/>
        </w:rPr>
        <w:t xml:space="preserve"> </w:t>
      </w:r>
      <w:r>
        <w:rPr>
          <w:rFonts w:ascii="Times New Roman" w:hAnsi="Times New Roman"/>
          <w:b/>
          <w:sz w:val="24"/>
          <w:szCs w:val="24"/>
        </w:rPr>
        <w:t xml:space="preserve">2018. līdz </w:t>
      </w:r>
      <w:r w:rsidRPr="00987A04">
        <w:rPr>
          <w:rFonts w:ascii="Times New Roman" w:hAnsi="Times New Roman"/>
          <w:b/>
          <w:sz w:val="24"/>
          <w:szCs w:val="24"/>
        </w:rPr>
        <w:t>20</w:t>
      </w:r>
      <w:r>
        <w:rPr>
          <w:rFonts w:ascii="Times New Roman" w:hAnsi="Times New Roman"/>
          <w:b/>
          <w:sz w:val="24"/>
          <w:szCs w:val="24"/>
        </w:rPr>
        <w:t>20</w:t>
      </w:r>
      <w:r w:rsidRPr="00987A04">
        <w:rPr>
          <w:rFonts w:ascii="Times New Roman" w:hAnsi="Times New Roman"/>
          <w:b/>
          <w:sz w:val="24"/>
          <w:szCs w:val="24"/>
        </w:rPr>
        <w:t>.gad</w:t>
      </w:r>
      <w:r>
        <w:rPr>
          <w:rFonts w:ascii="Times New Roman" w:hAnsi="Times New Roman"/>
          <w:b/>
          <w:sz w:val="24"/>
          <w:szCs w:val="24"/>
        </w:rPr>
        <w:t>am</w:t>
      </w:r>
      <w:r w:rsidR="00B93CF6">
        <w:rPr>
          <w:rFonts w:ascii="Times New Roman" w:hAnsi="Times New Roman"/>
          <w:sz w:val="24"/>
          <w:szCs w:val="24"/>
        </w:rPr>
        <w:t>.</w:t>
      </w:r>
    </w:p>
    <w:p w14:paraId="64B1AEED" w14:textId="77777777" w:rsidR="00DF336B" w:rsidRDefault="00DF336B" w:rsidP="00920EAC">
      <w:pPr>
        <w:spacing w:after="240"/>
        <w:ind w:firstLine="360"/>
        <w:jc w:val="both"/>
        <w:rPr>
          <w:sz w:val="24"/>
          <w:szCs w:val="24"/>
        </w:rPr>
      </w:pPr>
      <w:r>
        <w:rPr>
          <w:sz w:val="24"/>
          <w:szCs w:val="24"/>
        </w:rPr>
        <w:t>Rezultatīvie rādītāji un to sasniedzamās rezultatīvās vērtības atspoguļotas tabulā.</w:t>
      </w:r>
    </w:p>
    <w:tbl>
      <w:tblPr>
        <w:tblStyle w:val="ListTable3-Accent11"/>
        <w:tblW w:w="934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0"/>
        <w:gridCol w:w="1324"/>
        <w:gridCol w:w="1701"/>
        <w:gridCol w:w="2119"/>
      </w:tblGrid>
      <w:tr w:rsidR="00155E78" w:rsidRPr="00383A5A" w14:paraId="57562F8C" w14:textId="77777777" w:rsidTr="004D19E8">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100" w:firstRow="0" w:lastRow="0" w:firstColumn="1" w:lastColumn="0" w:oddVBand="0" w:evenVBand="0" w:oddHBand="0" w:evenHBand="0" w:firstRowFirstColumn="1" w:firstRowLastColumn="0" w:lastRowFirstColumn="0" w:lastRowLastColumn="0"/>
            <w:tcW w:w="4200" w:type="dxa"/>
            <w:vMerge w:val="restart"/>
            <w:tcBorders>
              <w:bottom w:val="none" w:sz="0" w:space="0" w:color="auto"/>
              <w:right w:val="none" w:sz="0" w:space="0" w:color="auto"/>
            </w:tcBorders>
          </w:tcPr>
          <w:p w14:paraId="0F90A5C6" w14:textId="77777777" w:rsidR="00155E78" w:rsidRPr="004D19E8" w:rsidRDefault="00155E78" w:rsidP="004D19E8">
            <w:pPr>
              <w:jc w:val="center"/>
              <w:rPr>
                <w:bCs w:val="0"/>
                <w:sz w:val="18"/>
                <w:szCs w:val="24"/>
              </w:rPr>
            </w:pPr>
            <w:r w:rsidRPr="00383A5A">
              <w:rPr>
                <w:b w:val="0"/>
                <w:sz w:val="18"/>
                <w:szCs w:val="24"/>
              </w:rPr>
              <w:t>Rezultatīvie rādītāji</w:t>
            </w:r>
          </w:p>
        </w:tc>
        <w:tc>
          <w:tcPr>
            <w:tcW w:w="1324" w:type="dxa"/>
          </w:tcPr>
          <w:p w14:paraId="3B345115" w14:textId="77777777" w:rsidR="00155E78" w:rsidRPr="00383A5A" w:rsidRDefault="00155E78" w:rsidP="00FA718D">
            <w:pPr>
              <w:jc w:val="center"/>
              <w:cnfStyle w:val="100000000000" w:firstRow="1" w:lastRow="0" w:firstColumn="0" w:lastColumn="0" w:oddVBand="0" w:evenVBand="0" w:oddHBand="0" w:evenHBand="0" w:firstRowFirstColumn="0" w:firstRowLastColumn="0" w:lastRowFirstColumn="0" w:lastRowLastColumn="0"/>
              <w:rPr>
                <w:b w:val="0"/>
                <w:sz w:val="18"/>
                <w:szCs w:val="24"/>
              </w:rPr>
            </w:pPr>
          </w:p>
        </w:tc>
        <w:tc>
          <w:tcPr>
            <w:tcW w:w="3820" w:type="dxa"/>
            <w:gridSpan w:val="2"/>
          </w:tcPr>
          <w:p w14:paraId="6117564A" w14:textId="77777777" w:rsidR="00155E78" w:rsidRPr="00383A5A" w:rsidRDefault="00155E78" w:rsidP="00FA718D">
            <w:pPr>
              <w:jc w:val="center"/>
              <w:cnfStyle w:val="100000000000" w:firstRow="1" w:lastRow="0" w:firstColumn="0" w:lastColumn="0" w:oddVBand="0" w:evenVBand="0" w:oddHBand="0" w:evenHBand="0" w:firstRowFirstColumn="0" w:firstRowLastColumn="0" w:lastRowFirstColumn="0" w:lastRowLastColumn="0"/>
              <w:rPr>
                <w:b w:val="0"/>
                <w:sz w:val="18"/>
                <w:szCs w:val="24"/>
              </w:rPr>
            </w:pPr>
            <w:r w:rsidRPr="00383A5A">
              <w:rPr>
                <w:b w:val="0"/>
                <w:sz w:val="18"/>
                <w:szCs w:val="24"/>
              </w:rPr>
              <w:t>Mērķis</w:t>
            </w:r>
          </w:p>
        </w:tc>
      </w:tr>
      <w:tr w:rsidR="00155E78" w:rsidRPr="00383A5A" w14:paraId="5997F23E" w14:textId="77777777" w:rsidTr="004D19E8">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4200" w:type="dxa"/>
            <w:vMerge/>
            <w:tcBorders>
              <w:top w:val="none" w:sz="0" w:space="0" w:color="auto"/>
              <w:bottom w:val="none" w:sz="0" w:space="0" w:color="auto"/>
              <w:right w:val="none" w:sz="0" w:space="0" w:color="auto"/>
            </w:tcBorders>
          </w:tcPr>
          <w:p w14:paraId="206ADF75" w14:textId="77777777" w:rsidR="00155E78" w:rsidRPr="00383A5A" w:rsidRDefault="00155E78" w:rsidP="00FA718D">
            <w:pPr>
              <w:rPr>
                <w:b w:val="0"/>
                <w:sz w:val="18"/>
                <w:szCs w:val="24"/>
              </w:rPr>
            </w:pPr>
          </w:p>
        </w:tc>
        <w:tc>
          <w:tcPr>
            <w:tcW w:w="1324" w:type="dxa"/>
            <w:tcBorders>
              <w:top w:val="none" w:sz="0" w:space="0" w:color="auto"/>
              <w:bottom w:val="none" w:sz="0" w:space="0" w:color="auto"/>
            </w:tcBorders>
            <w:shd w:val="clear" w:color="auto" w:fill="5B9BD5" w:themeFill="accent1"/>
          </w:tcPr>
          <w:p w14:paraId="3F0B5DED" w14:textId="77777777" w:rsidR="00155E78" w:rsidRPr="00383A5A" w:rsidRDefault="00155E78" w:rsidP="00155E78">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24"/>
              </w:rPr>
            </w:pPr>
            <w:r w:rsidRPr="00383A5A">
              <w:rPr>
                <w:color w:val="FFFFFF" w:themeColor="background1"/>
                <w:sz w:val="18"/>
                <w:szCs w:val="24"/>
              </w:rPr>
              <w:t>2015</w:t>
            </w:r>
          </w:p>
        </w:tc>
        <w:tc>
          <w:tcPr>
            <w:tcW w:w="1701" w:type="dxa"/>
            <w:tcBorders>
              <w:top w:val="none" w:sz="0" w:space="0" w:color="auto"/>
              <w:bottom w:val="none" w:sz="0" w:space="0" w:color="auto"/>
            </w:tcBorders>
            <w:shd w:val="clear" w:color="auto" w:fill="5B9BD5" w:themeFill="accent1"/>
          </w:tcPr>
          <w:p w14:paraId="321F1F72" w14:textId="77777777" w:rsidR="00155E78" w:rsidRPr="00383A5A" w:rsidRDefault="00155E78" w:rsidP="00155E78">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24"/>
              </w:rPr>
            </w:pPr>
            <w:r w:rsidRPr="00383A5A">
              <w:rPr>
                <w:color w:val="FFFFFF" w:themeColor="background1"/>
                <w:sz w:val="18"/>
                <w:szCs w:val="24"/>
              </w:rPr>
              <w:t>2018</w:t>
            </w:r>
          </w:p>
        </w:tc>
        <w:tc>
          <w:tcPr>
            <w:tcW w:w="2119" w:type="dxa"/>
            <w:tcBorders>
              <w:top w:val="none" w:sz="0" w:space="0" w:color="auto"/>
              <w:bottom w:val="none" w:sz="0" w:space="0" w:color="auto"/>
            </w:tcBorders>
            <w:shd w:val="clear" w:color="auto" w:fill="5B9BD5" w:themeFill="accent1"/>
          </w:tcPr>
          <w:p w14:paraId="6F0623CA" w14:textId="77777777" w:rsidR="00155E78" w:rsidRPr="00383A5A" w:rsidRDefault="00155E78" w:rsidP="00155E78">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szCs w:val="24"/>
              </w:rPr>
            </w:pPr>
            <w:r w:rsidRPr="00383A5A">
              <w:rPr>
                <w:color w:val="FFFFFF" w:themeColor="background1"/>
                <w:sz w:val="18"/>
                <w:szCs w:val="24"/>
              </w:rPr>
              <w:t>2020</w:t>
            </w:r>
          </w:p>
        </w:tc>
      </w:tr>
      <w:tr w:rsidR="00155E78" w:rsidRPr="00383A5A" w14:paraId="4A621671" w14:textId="77777777" w:rsidTr="004D19E8">
        <w:trPr>
          <w:jc w:val="center"/>
        </w:trPr>
        <w:tc>
          <w:tcPr>
            <w:cnfStyle w:val="001000000000" w:firstRow="0" w:lastRow="0" w:firstColumn="1" w:lastColumn="0" w:oddVBand="0" w:evenVBand="0" w:oddHBand="0" w:evenHBand="0" w:firstRowFirstColumn="0" w:firstRowLastColumn="0" w:lastRowFirstColumn="0" w:lastRowLastColumn="0"/>
            <w:tcW w:w="4200" w:type="dxa"/>
            <w:tcBorders>
              <w:right w:val="none" w:sz="0" w:space="0" w:color="auto"/>
            </w:tcBorders>
          </w:tcPr>
          <w:p w14:paraId="35352A16" w14:textId="77777777" w:rsidR="00155E78" w:rsidRPr="00383A5A" w:rsidRDefault="00155E78" w:rsidP="00155E78">
            <w:pPr>
              <w:rPr>
                <w:b w:val="0"/>
                <w:sz w:val="18"/>
                <w:szCs w:val="24"/>
              </w:rPr>
            </w:pPr>
            <w:r w:rsidRPr="00383A5A">
              <w:rPr>
                <w:b w:val="0"/>
                <w:sz w:val="18"/>
                <w:szCs w:val="24"/>
              </w:rPr>
              <w:t>Eksporta pieaugums (vidēji gadā salīdzināmās cenās, %)</w:t>
            </w:r>
          </w:p>
        </w:tc>
        <w:tc>
          <w:tcPr>
            <w:tcW w:w="1324" w:type="dxa"/>
            <w:vAlign w:val="center"/>
          </w:tcPr>
          <w:p w14:paraId="539C679B" w14:textId="77777777" w:rsidR="00155E78" w:rsidRPr="00383A5A" w:rsidRDefault="00155E78" w:rsidP="009E53C0">
            <w:pPr>
              <w:jc w:val="center"/>
              <w:cnfStyle w:val="000000000000" w:firstRow="0" w:lastRow="0" w:firstColumn="0" w:lastColumn="0" w:oddVBand="0" w:evenVBand="0" w:oddHBand="0" w:evenHBand="0" w:firstRowFirstColumn="0" w:firstRowLastColumn="0" w:lastRowFirstColumn="0" w:lastRowLastColumn="0"/>
              <w:rPr>
                <w:sz w:val="18"/>
                <w:szCs w:val="24"/>
              </w:rPr>
            </w:pPr>
            <w:r w:rsidRPr="00383A5A">
              <w:rPr>
                <w:sz w:val="18"/>
                <w:szCs w:val="24"/>
              </w:rPr>
              <w:t>1,4</w:t>
            </w:r>
            <w:r w:rsidR="00265643" w:rsidRPr="00383A5A">
              <w:rPr>
                <w:sz w:val="18"/>
                <w:szCs w:val="24"/>
              </w:rPr>
              <w:t>%</w:t>
            </w:r>
          </w:p>
        </w:tc>
        <w:tc>
          <w:tcPr>
            <w:tcW w:w="3820" w:type="dxa"/>
            <w:gridSpan w:val="2"/>
            <w:vAlign w:val="center"/>
          </w:tcPr>
          <w:p w14:paraId="323F8871" w14:textId="15EA17B5" w:rsidR="00155E78" w:rsidRPr="00383A5A" w:rsidRDefault="00155E78" w:rsidP="009E53C0">
            <w:pPr>
              <w:jc w:val="center"/>
              <w:cnfStyle w:val="000000000000" w:firstRow="0" w:lastRow="0" w:firstColumn="0" w:lastColumn="0" w:oddVBand="0" w:evenVBand="0" w:oddHBand="0" w:evenHBand="0" w:firstRowFirstColumn="0" w:firstRowLastColumn="0" w:lastRowFirstColumn="0" w:lastRowLastColumn="0"/>
              <w:rPr>
                <w:sz w:val="18"/>
                <w:szCs w:val="18"/>
              </w:rPr>
            </w:pPr>
            <w:r w:rsidRPr="00383A5A">
              <w:rPr>
                <w:sz w:val="18"/>
                <w:szCs w:val="24"/>
              </w:rPr>
              <w:t xml:space="preserve">5% </w:t>
            </w:r>
            <w:r w:rsidRPr="00383A5A">
              <w:rPr>
                <w:sz w:val="18"/>
                <w:szCs w:val="18"/>
              </w:rPr>
              <w:t>(2018.–2020.</w:t>
            </w:r>
            <w:r w:rsidR="00835279">
              <w:rPr>
                <w:sz w:val="18"/>
                <w:szCs w:val="18"/>
              </w:rPr>
              <w:t>g.</w:t>
            </w:r>
            <w:r w:rsidRPr="00383A5A">
              <w:rPr>
                <w:sz w:val="18"/>
                <w:szCs w:val="18"/>
              </w:rPr>
              <w:t>, vidēji gadā)</w:t>
            </w:r>
          </w:p>
        </w:tc>
      </w:tr>
      <w:tr w:rsidR="00155E78" w:rsidRPr="00383A5A" w14:paraId="20206643" w14:textId="77777777" w:rsidTr="004D1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00" w:type="dxa"/>
            <w:tcBorders>
              <w:top w:val="none" w:sz="0" w:space="0" w:color="auto"/>
              <w:bottom w:val="none" w:sz="0" w:space="0" w:color="auto"/>
              <w:right w:val="none" w:sz="0" w:space="0" w:color="auto"/>
            </w:tcBorders>
          </w:tcPr>
          <w:p w14:paraId="3003BA27" w14:textId="656A86B7" w:rsidR="00987A04" w:rsidRPr="00383A5A" w:rsidRDefault="00155E78" w:rsidP="00987A04">
            <w:pPr>
              <w:spacing w:line="276" w:lineRule="auto"/>
              <w:rPr>
                <w:b w:val="0"/>
                <w:sz w:val="18"/>
                <w:szCs w:val="24"/>
              </w:rPr>
            </w:pPr>
            <w:r w:rsidRPr="00383A5A">
              <w:rPr>
                <w:b w:val="0"/>
                <w:sz w:val="18"/>
                <w:szCs w:val="24"/>
              </w:rPr>
              <w:t xml:space="preserve">Augsto tehnoloģiju produktu īpatsvars Latvijas </w:t>
            </w:r>
            <w:r w:rsidR="00265643" w:rsidRPr="00383A5A">
              <w:rPr>
                <w:b w:val="0"/>
                <w:sz w:val="18"/>
                <w:szCs w:val="24"/>
              </w:rPr>
              <w:t>kopējā</w:t>
            </w:r>
            <w:r w:rsidRPr="00383A5A">
              <w:rPr>
                <w:b w:val="0"/>
                <w:sz w:val="18"/>
                <w:szCs w:val="24"/>
              </w:rPr>
              <w:t xml:space="preserve"> eksportā (%)</w:t>
            </w:r>
          </w:p>
        </w:tc>
        <w:tc>
          <w:tcPr>
            <w:tcW w:w="1324" w:type="dxa"/>
            <w:tcBorders>
              <w:top w:val="none" w:sz="0" w:space="0" w:color="auto"/>
              <w:bottom w:val="none" w:sz="0" w:space="0" w:color="auto"/>
            </w:tcBorders>
            <w:vAlign w:val="center"/>
          </w:tcPr>
          <w:p w14:paraId="1A09407D" w14:textId="77777777" w:rsidR="00155E78" w:rsidRPr="00383A5A" w:rsidRDefault="00155E78" w:rsidP="009E53C0">
            <w:pPr>
              <w:jc w:val="center"/>
              <w:cnfStyle w:val="000000100000" w:firstRow="0" w:lastRow="0" w:firstColumn="0" w:lastColumn="0" w:oddVBand="0" w:evenVBand="0" w:oddHBand="1" w:evenHBand="0" w:firstRowFirstColumn="0" w:firstRowLastColumn="0" w:lastRowFirstColumn="0" w:lastRowLastColumn="0"/>
              <w:rPr>
                <w:sz w:val="18"/>
                <w:szCs w:val="24"/>
              </w:rPr>
            </w:pPr>
            <w:r w:rsidRPr="00383A5A">
              <w:rPr>
                <w:sz w:val="18"/>
                <w:szCs w:val="24"/>
              </w:rPr>
              <w:t>9,8</w:t>
            </w:r>
            <w:r w:rsidR="00265643" w:rsidRPr="00383A5A">
              <w:rPr>
                <w:sz w:val="18"/>
                <w:szCs w:val="24"/>
              </w:rPr>
              <w:t>%</w:t>
            </w:r>
          </w:p>
        </w:tc>
        <w:tc>
          <w:tcPr>
            <w:tcW w:w="1701" w:type="dxa"/>
            <w:tcBorders>
              <w:top w:val="none" w:sz="0" w:space="0" w:color="auto"/>
              <w:bottom w:val="none" w:sz="0" w:space="0" w:color="auto"/>
            </w:tcBorders>
            <w:vAlign w:val="center"/>
          </w:tcPr>
          <w:p w14:paraId="6FFBB879" w14:textId="77777777" w:rsidR="00155E78" w:rsidRPr="00383A5A" w:rsidRDefault="00265643" w:rsidP="009E53C0">
            <w:pPr>
              <w:jc w:val="center"/>
              <w:cnfStyle w:val="000000100000" w:firstRow="0" w:lastRow="0" w:firstColumn="0" w:lastColumn="0" w:oddVBand="0" w:evenVBand="0" w:oddHBand="1" w:evenHBand="0" w:firstRowFirstColumn="0" w:firstRowLastColumn="0" w:lastRowFirstColumn="0" w:lastRowLastColumn="0"/>
              <w:rPr>
                <w:sz w:val="18"/>
                <w:szCs w:val="24"/>
              </w:rPr>
            </w:pPr>
            <w:r w:rsidRPr="00383A5A">
              <w:rPr>
                <w:sz w:val="18"/>
                <w:szCs w:val="24"/>
              </w:rPr>
              <w:t>10,5%</w:t>
            </w:r>
          </w:p>
        </w:tc>
        <w:tc>
          <w:tcPr>
            <w:tcW w:w="2119" w:type="dxa"/>
            <w:tcBorders>
              <w:top w:val="none" w:sz="0" w:space="0" w:color="auto"/>
              <w:bottom w:val="none" w:sz="0" w:space="0" w:color="auto"/>
            </w:tcBorders>
            <w:vAlign w:val="center"/>
          </w:tcPr>
          <w:p w14:paraId="26E0FB96" w14:textId="77777777" w:rsidR="00155E78" w:rsidRPr="00383A5A" w:rsidRDefault="00265643" w:rsidP="009E53C0">
            <w:pPr>
              <w:jc w:val="center"/>
              <w:cnfStyle w:val="000000100000" w:firstRow="0" w:lastRow="0" w:firstColumn="0" w:lastColumn="0" w:oddVBand="0" w:evenVBand="0" w:oddHBand="1" w:evenHBand="0" w:firstRowFirstColumn="0" w:firstRowLastColumn="0" w:lastRowFirstColumn="0" w:lastRowLastColumn="0"/>
              <w:rPr>
                <w:sz w:val="18"/>
                <w:szCs w:val="24"/>
              </w:rPr>
            </w:pPr>
            <w:r w:rsidRPr="00383A5A">
              <w:rPr>
                <w:sz w:val="18"/>
                <w:szCs w:val="24"/>
              </w:rPr>
              <w:t>11%</w:t>
            </w:r>
          </w:p>
        </w:tc>
      </w:tr>
      <w:tr w:rsidR="00987A04" w:rsidRPr="00383A5A" w14:paraId="2337181E" w14:textId="77777777" w:rsidTr="00CE0218">
        <w:trPr>
          <w:jc w:val="center"/>
        </w:trPr>
        <w:tc>
          <w:tcPr>
            <w:cnfStyle w:val="001000000000" w:firstRow="0" w:lastRow="0" w:firstColumn="1" w:lastColumn="0" w:oddVBand="0" w:evenVBand="0" w:oddHBand="0" w:evenHBand="0" w:firstRowFirstColumn="0" w:firstRowLastColumn="0" w:lastRowFirstColumn="0" w:lastRowLastColumn="0"/>
            <w:tcW w:w="4200" w:type="dxa"/>
          </w:tcPr>
          <w:p w14:paraId="1F54DA22" w14:textId="1108D565" w:rsidR="00987A04" w:rsidRPr="00987A04" w:rsidRDefault="00987A04" w:rsidP="00987A04">
            <w:pPr>
              <w:spacing w:after="240" w:line="360" w:lineRule="auto"/>
              <w:rPr>
                <w:b w:val="0"/>
                <w:sz w:val="18"/>
                <w:szCs w:val="24"/>
              </w:rPr>
            </w:pPr>
            <w:r w:rsidRPr="00987A04">
              <w:rPr>
                <w:b w:val="0"/>
                <w:sz w:val="18"/>
                <w:szCs w:val="24"/>
              </w:rPr>
              <w:t>ĀTI snieguma indekss (Baltijas reģionā)</w:t>
            </w:r>
          </w:p>
        </w:tc>
        <w:tc>
          <w:tcPr>
            <w:tcW w:w="1324" w:type="dxa"/>
            <w:vAlign w:val="center"/>
          </w:tcPr>
          <w:p w14:paraId="15410087" w14:textId="1AEF4C39" w:rsidR="00987A04" w:rsidRPr="00383A5A" w:rsidRDefault="00987A04" w:rsidP="009E53C0">
            <w:pPr>
              <w:jc w:val="center"/>
              <w:cnfStyle w:val="000000000000" w:firstRow="0" w:lastRow="0" w:firstColumn="0" w:lastColumn="0" w:oddVBand="0" w:evenVBand="0" w:oddHBand="0" w:evenHBand="0" w:firstRowFirstColumn="0" w:firstRowLastColumn="0" w:lastRowFirstColumn="0" w:lastRowLastColumn="0"/>
              <w:rPr>
                <w:sz w:val="18"/>
                <w:szCs w:val="24"/>
              </w:rPr>
            </w:pPr>
            <w:r>
              <w:rPr>
                <w:sz w:val="18"/>
                <w:szCs w:val="24"/>
              </w:rPr>
              <w:t>1,5</w:t>
            </w:r>
          </w:p>
        </w:tc>
        <w:tc>
          <w:tcPr>
            <w:tcW w:w="3820" w:type="dxa"/>
            <w:gridSpan w:val="2"/>
            <w:vAlign w:val="center"/>
          </w:tcPr>
          <w:p w14:paraId="08544065" w14:textId="509C2FE1" w:rsidR="00987A04" w:rsidRPr="00383A5A" w:rsidRDefault="00987A04" w:rsidP="009E53C0">
            <w:pPr>
              <w:jc w:val="center"/>
              <w:cnfStyle w:val="000000000000" w:firstRow="0" w:lastRow="0" w:firstColumn="0" w:lastColumn="0" w:oddVBand="0" w:evenVBand="0" w:oddHBand="0" w:evenHBand="0" w:firstRowFirstColumn="0" w:firstRowLastColumn="0" w:lastRowFirstColumn="0" w:lastRowLastColumn="0"/>
              <w:rPr>
                <w:sz w:val="18"/>
                <w:szCs w:val="24"/>
              </w:rPr>
            </w:pPr>
            <w:r>
              <w:rPr>
                <w:sz w:val="18"/>
                <w:szCs w:val="24"/>
              </w:rPr>
              <w:t>1,2    (2018.</w:t>
            </w:r>
            <w:r w:rsidR="00835279">
              <w:rPr>
                <w:sz w:val="18"/>
                <w:szCs w:val="24"/>
              </w:rPr>
              <w:t xml:space="preserve">- </w:t>
            </w:r>
            <w:r>
              <w:rPr>
                <w:sz w:val="18"/>
                <w:szCs w:val="24"/>
              </w:rPr>
              <w:t>2020.</w:t>
            </w:r>
            <w:r w:rsidR="00835279">
              <w:rPr>
                <w:sz w:val="18"/>
                <w:szCs w:val="24"/>
              </w:rPr>
              <w:t>g.</w:t>
            </w:r>
            <w:r>
              <w:rPr>
                <w:sz w:val="18"/>
                <w:szCs w:val="24"/>
              </w:rPr>
              <w:t>, vidēji gadā)</w:t>
            </w:r>
          </w:p>
        </w:tc>
      </w:tr>
    </w:tbl>
    <w:p w14:paraId="15FFD7BB" w14:textId="77777777" w:rsidR="00C910ED" w:rsidRPr="009E53C0" w:rsidRDefault="00C910ED" w:rsidP="00987A04">
      <w:pPr>
        <w:pStyle w:val="Heading1"/>
        <w:shd w:val="clear" w:color="auto" w:fill="1DA0A7"/>
        <w:spacing w:before="0"/>
        <w:rPr>
          <w:color w:val="FFFFFF" w:themeColor="background1"/>
          <w:sz w:val="28"/>
        </w:rPr>
      </w:pPr>
      <w:bookmarkStart w:id="19" w:name="_Toc462739796"/>
      <w:bookmarkStart w:id="20" w:name="_Toc462740008"/>
      <w:bookmarkStart w:id="21" w:name="_Toc448154075"/>
      <w:r w:rsidRPr="009E53C0">
        <w:rPr>
          <w:color w:val="FFFFFF" w:themeColor="background1"/>
          <w:sz w:val="28"/>
        </w:rPr>
        <w:t>3. Investīciju veicināšanas un eksporta piesaistes politika</w:t>
      </w:r>
      <w:bookmarkEnd w:id="19"/>
      <w:bookmarkEnd w:id="20"/>
    </w:p>
    <w:p w14:paraId="1303EE0A" w14:textId="77777777" w:rsidR="00DF336B" w:rsidRPr="009E53C0" w:rsidRDefault="00C910ED" w:rsidP="009E53C0">
      <w:pPr>
        <w:pStyle w:val="Heading2"/>
        <w:shd w:val="clear" w:color="auto" w:fill="1DA0A7"/>
        <w:rPr>
          <w:b/>
          <w:color w:val="FFFFFF" w:themeColor="background1"/>
        </w:rPr>
      </w:pPr>
      <w:bookmarkStart w:id="22" w:name="_Toc462740009"/>
      <w:bookmarkStart w:id="23" w:name="_Toc448154076"/>
      <w:bookmarkEnd w:id="21"/>
      <w:r w:rsidRPr="009E53C0">
        <w:rPr>
          <w:b/>
          <w:color w:val="FFFFFF" w:themeColor="background1"/>
        </w:rPr>
        <w:t xml:space="preserve">3.1. </w:t>
      </w:r>
      <w:r w:rsidR="00DF336B" w:rsidRPr="009E53C0">
        <w:rPr>
          <w:b/>
          <w:color w:val="FFFFFF" w:themeColor="background1"/>
        </w:rPr>
        <w:t>Eksporta mērķa nozares</w:t>
      </w:r>
      <w:bookmarkEnd w:id="22"/>
      <w:r w:rsidR="00DF336B" w:rsidRPr="009E53C0">
        <w:rPr>
          <w:b/>
          <w:color w:val="FFFFFF" w:themeColor="background1"/>
        </w:rPr>
        <w:t xml:space="preserve"> </w:t>
      </w:r>
      <w:bookmarkEnd w:id="23"/>
    </w:p>
    <w:p w14:paraId="18CFA597" w14:textId="77777777" w:rsidR="00DF336B" w:rsidRPr="00E424D1" w:rsidRDefault="00DF336B" w:rsidP="006344BA">
      <w:pPr>
        <w:spacing w:before="240"/>
        <w:ind w:firstLine="567"/>
        <w:jc w:val="both"/>
        <w:rPr>
          <w:bCs/>
          <w:sz w:val="24"/>
          <w:szCs w:val="24"/>
        </w:rPr>
      </w:pPr>
      <w:r w:rsidRPr="0095397B">
        <w:rPr>
          <w:sz w:val="24"/>
          <w:szCs w:val="24"/>
        </w:rPr>
        <w:t>Prioritāri eksporta atbalsta pakalpojumi ir orientēti uz nozarēm, kuras Latvijas tautsaimniecībā veido lielāko ieguldījumu IKP un kurām ir lielākais īpatsvars Latvijas preču un pakalpojumu kopējā eksportā</w:t>
      </w:r>
      <w:r w:rsidR="002C08B6">
        <w:rPr>
          <w:sz w:val="24"/>
          <w:szCs w:val="24"/>
        </w:rPr>
        <w:t>, v</w:t>
      </w:r>
      <w:r w:rsidRPr="0095397B">
        <w:rPr>
          <w:rFonts w:cs="Times New Roman"/>
          <w:sz w:val="24"/>
          <w:szCs w:val="24"/>
        </w:rPr>
        <w:t xml:space="preserve">ienlaikus, </w:t>
      </w:r>
      <w:r w:rsidR="002C08B6">
        <w:rPr>
          <w:rFonts w:cs="Times New Roman"/>
          <w:sz w:val="24"/>
          <w:szCs w:val="24"/>
        </w:rPr>
        <w:t>j</w:t>
      </w:r>
      <w:r w:rsidRPr="0095397B">
        <w:rPr>
          <w:rFonts w:cs="Times New Roman"/>
          <w:sz w:val="24"/>
          <w:szCs w:val="24"/>
        </w:rPr>
        <w:t xml:space="preserve">āorientējas uz lielāku eksporta veicināšanas aktivitāšu atbalstu par labu produktiem ar augstāku pievienoto vērtību. </w:t>
      </w:r>
      <w:r w:rsidRPr="0095397B">
        <w:rPr>
          <w:bCs/>
          <w:sz w:val="24"/>
          <w:szCs w:val="24"/>
        </w:rPr>
        <w:t>Pamatnostādnes definētās prioritāri atbalstāmās eksporta nozaru grupas un tajās ietilpstošās</w:t>
      </w:r>
      <w:r w:rsidRPr="00D847C3">
        <w:rPr>
          <w:bCs/>
          <w:sz w:val="24"/>
          <w:szCs w:val="24"/>
        </w:rPr>
        <w:t xml:space="preserve"> nozares apkopotas</w:t>
      </w:r>
      <w:r w:rsidRPr="00E424D1">
        <w:rPr>
          <w:bCs/>
          <w:sz w:val="24"/>
          <w:szCs w:val="24"/>
        </w:rPr>
        <w:t xml:space="preserve"> tabulā.</w:t>
      </w:r>
    </w:p>
    <w:p w14:paraId="71104EEB" w14:textId="77777777" w:rsidR="00DF336B" w:rsidRPr="005F17E4" w:rsidRDefault="00DF336B" w:rsidP="004D19E8">
      <w:pPr>
        <w:jc w:val="center"/>
        <w:rPr>
          <w:b/>
          <w:bCs/>
          <w:sz w:val="20"/>
          <w:szCs w:val="24"/>
        </w:rPr>
      </w:pPr>
      <w:r w:rsidRPr="00E424D1">
        <w:rPr>
          <w:b/>
          <w:bCs/>
          <w:sz w:val="20"/>
          <w:szCs w:val="24"/>
        </w:rPr>
        <w:lastRenderedPageBreak/>
        <w:t xml:space="preserve">Prioritārās preču un pakalpojumu eksporta nozares </w:t>
      </w:r>
    </w:p>
    <w:tbl>
      <w:tblPr>
        <w:tblStyle w:val="GridTable4-Accent11"/>
        <w:tblW w:w="7680" w:type="dxa"/>
        <w:jc w:val="center"/>
        <w:tblLook w:val="04A0" w:firstRow="1" w:lastRow="0" w:firstColumn="1" w:lastColumn="0" w:noHBand="0" w:noVBand="1"/>
      </w:tblPr>
      <w:tblGrid>
        <w:gridCol w:w="3912"/>
        <w:gridCol w:w="3768"/>
      </w:tblGrid>
      <w:tr w:rsidR="00DF336B" w:rsidRPr="007A30C4" w14:paraId="08E5D7F6" w14:textId="77777777" w:rsidTr="004D19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bottom w:val="nil"/>
            </w:tcBorders>
            <w:shd w:val="clear" w:color="auto" w:fill="2E74B5" w:themeFill="accent1" w:themeFillShade="BF"/>
            <w:noWrap/>
            <w:hideMark/>
          </w:tcPr>
          <w:p w14:paraId="19B08F00" w14:textId="77777777" w:rsidR="00DF336B" w:rsidRPr="00920EAC" w:rsidRDefault="00DF336B" w:rsidP="00026D6E">
            <w:pPr>
              <w:jc w:val="center"/>
              <w:rPr>
                <w:rFonts w:ascii="Arial Narrow" w:hAnsi="Arial Narrow"/>
                <w:b w:val="0"/>
                <w:sz w:val="18"/>
                <w:szCs w:val="24"/>
              </w:rPr>
            </w:pPr>
            <w:r w:rsidRPr="00920EAC">
              <w:rPr>
                <w:rFonts w:ascii="Arial Narrow" w:hAnsi="Arial Narrow"/>
                <w:b w:val="0"/>
                <w:sz w:val="18"/>
                <w:szCs w:val="24"/>
              </w:rPr>
              <w:t>Preču eksportā</w:t>
            </w:r>
          </w:p>
        </w:tc>
        <w:tc>
          <w:tcPr>
            <w:tcW w:w="3768" w:type="dxa"/>
            <w:tcBorders>
              <w:bottom w:val="nil"/>
            </w:tcBorders>
            <w:shd w:val="clear" w:color="auto" w:fill="2E74B5" w:themeFill="accent1" w:themeFillShade="BF"/>
          </w:tcPr>
          <w:p w14:paraId="256AAFC5" w14:textId="77777777" w:rsidR="00DF336B" w:rsidRPr="00920EAC" w:rsidRDefault="00DF336B" w:rsidP="00026D6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24"/>
              </w:rPr>
            </w:pPr>
            <w:r w:rsidRPr="00920EAC">
              <w:rPr>
                <w:rFonts w:ascii="Arial Narrow" w:hAnsi="Arial Narrow"/>
                <w:b w:val="0"/>
                <w:sz w:val="18"/>
                <w:szCs w:val="24"/>
              </w:rPr>
              <w:t xml:space="preserve">Pakalpojumu eksportā </w:t>
            </w:r>
          </w:p>
        </w:tc>
      </w:tr>
      <w:tr w:rsidR="00DF336B" w:rsidRPr="007A30C4" w14:paraId="11DAF92B" w14:textId="77777777" w:rsidTr="004D19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top w:val="nil"/>
              <w:left w:val="nil"/>
              <w:bottom w:val="nil"/>
              <w:right w:val="nil"/>
            </w:tcBorders>
            <w:shd w:val="clear" w:color="auto" w:fill="auto"/>
            <w:noWrap/>
            <w:hideMark/>
          </w:tcPr>
          <w:p w14:paraId="749A9F1A"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Metālapstrāde un mašīnbūve</w:t>
            </w:r>
          </w:p>
          <w:p w14:paraId="6AD6A520"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Kokrūpniecība</w:t>
            </w:r>
          </w:p>
          <w:p w14:paraId="4789A00E"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Pārtikas rūpniecība</w:t>
            </w:r>
          </w:p>
          <w:p w14:paraId="05CE146D"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Ķīmiskā rūpniecība un tās saskarnozares</w:t>
            </w:r>
          </w:p>
          <w:p w14:paraId="4DF25D2F" w14:textId="77777777" w:rsidR="00DF336B" w:rsidRPr="00920EAC" w:rsidRDefault="009E7619"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Tekstilrūpniecība</w:t>
            </w:r>
          </w:p>
          <w:p w14:paraId="65EDA7C4"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Poligrāfija</w:t>
            </w:r>
            <w:r w:rsidR="009E7619" w:rsidRPr="00920EAC">
              <w:rPr>
                <w:rFonts w:ascii="Arial Narrow" w:eastAsia="Times New Roman" w:hAnsi="Arial Narrow" w:cs="Times New Roman"/>
                <w:b w:val="0"/>
                <w:color w:val="000000"/>
                <w:sz w:val="20"/>
                <w:szCs w:val="24"/>
                <w:lang w:eastAsia="lv-LV"/>
              </w:rPr>
              <w:t xml:space="preserve"> un ar to saistītās palīgdarbības</w:t>
            </w:r>
          </w:p>
          <w:p w14:paraId="694A0648" w14:textId="77777777" w:rsidR="00DF336B" w:rsidRPr="00920EAC" w:rsidRDefault="00DF336B" w:rsidP="00026D6E">
            <w:pPr>
              <w:rPr>
                <w:rFonts w:ascii="Arial Narrow" w:eastAsia="Times New Roman" w:hAnsi="Arial Narrow" w:cs="Times New Roman"/>
                <w:b w:val="0"/>
                <w:color w:val="000000"/>
                <w:sz w:val="20"/>
                <w:szCs w:val="24"/>
                <w:lang w:eastAsia="lv-LV"/>
              </w:rPr>
            </w:pPr>
            <w:r w:rsidRPr="00920EAC">
              <w:rPr>
                <w:rFonts w:ascii="Arial Narrow" w:eastAsia="Times New Roman" w:hAnsi="Arial Narrow" w:cs="Times New Roman"/>
                <w:b w:val="0"/>
                <w:color w:val="000000"/>
                <w:sz w:val="20"/>
                <w:szCs w:val="24"/>
                <w:lang w:eastAsia="lv-LV"/>
              </w:rPr>
              <w:t>Būvniecība un būvmateriālu ražošana</w:t>
            </w:r>
          </w:p>
          <w:p w14:paraId="57DFF091" w14:textId="77777777" w:rsidR="00DF336B" w:rsidRPr="00920EAC" w:rsidRDefault="00DF336B" w:rsidP="00026D6E">
            <w:pPr>
              <w:rPr>
                <w:rFonts w:ascii="Arial Narrow" w:eastAsia="Times New Roman" w:hAnsi="Arial Narrow" w:cs="Times New Roman"/>
                <w:color w:val="000000"/>
                <w:sz w:val="20"/>
                <w:szCs w:val="24"/>
                <w:lang w:eastAsia="lv-LV"/>
              </w:rPr>
            </w:pPr>
            <w:r w:rsidRPr="00920EAC">
              <w:rPr>
                <w:rFonts w:ascii="Arial Narrow" w:eastAsia="Times New Roman" w:hAnsi="Arial Narrow" w:cs="Times New Roman"/>
                <w:b w:val="0"/>
                <w:color w:val="000000"/>
                <w:sz w:val="20"/>
                <w:szCs w:val="24"/>
                <w:lang w:eastAsia="lv-LV"/>
              </w:rPr>
              <w:t>Elektronika un optisko iekārtu ražošana</w:t>
            </w:r>
          </w:p>
        </w:tc>
        <w:tc>
          <w:tcPr>
            <w:tcW w:w="3768" w:type="dxa"/>
            <w:tcBorders>
              <w:top w:val="nil"/>
              <w:left w:val="nil"/>
              <w:bottom w:val="nil"/>
              <w:right w:val="nil"/>
            </w:tcBorders>
            <w:shd w:val="clear" w:color="auto" w:fill="auto"/>
          </w:tcPr>
          <w:p w14:paraId="451CC08B" w14:textId="77777777" w:rsidR="00DF336B" w:rsidRPr="00920EAC" w:rsidRDefault="00DF336B" w:rsidP="00026D6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4"/>
                <w:lang w:eastAsia="lv-LV"/>
              </w:rPr>
            </w:pPr>
            <w:r w:rsidRPr="00920EAC">
              <w:rPr>
                <w:rFonts w:ascii="Arial Narrow" w:eastAsia="Times New Roman" w:hAnsi="Arial Narrow" w:cs="Times New Roman"/>
                <w:color w:val="000000"/>
                <w:sz w:val="20"/>
                <w:szCs w:val="24"/>
                <w:lang w:eastAsia="lv-LV"/>
              </w:rPr>
              <w:t>Transports un loģistika</w:t>
            </w:r>
          </w:p>
          <w:p w14:paraId="7B13747A" w14:textId="77777777" w:rsidR="00DF336B" w:rsidRPr="00920EAC" w:rsidRDefault="00DF336B" w:rsidP="00026D6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4"/>
                <w:lang w:eastAsia="lv-LV"/>
              </w:rPr>
            </w:pPr>
            <w:r w:rsidRPr="00920EAC">
              <w:rPr>
                <w:rFonts w:ascii="Arial Narrow" w:eastAsia="Times New Roman" w:hAnsi="Arial Narrow" w:cs="Times New Roman"/>
                <w:color w:val="000000"/>
                <w:sz w:val="20"/>
                <w:szCs w:val="24"/>
                <w:lang w:eastAsia="lv-LV"/>
              </w:rPr>
              <w:t>Informācijas un komunikācijas tehnoloģijas</w:t>
            </w:r>
          </w:p>
          <w:p w14:paraId="3468604F" w14:textId="77777777" w:rsidR="00DF336B" w:rsidRPr="00920EAC" w:rsidRDefault="00DF336B" w:rsidP="00026D6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4"/>
                <w:lang w:eastAsia="lv-LV"/>
              </w:rPr>
            </w:pPr>
            <w:r w:rsidRPr="00920EAC">
              <w:rPr>
                <w:rFonts w:ascii="Arial Narrow" w:eastAsia="Times New Roman" w:hAnsi="Arial Narrow" w:cs="Times New Roman"/>
                <w:color w:val="000000"/>
                <w:sz w:val="20"/>
                <w:szCs w:val="24"/>
                <w:lang w:eastAsia="lv-LV"/>
              </w:rPr>
              <w:t>Tūrisms</w:t>
            </w:r>
          </w:p>
          <w:p w14:paraId="2343976F" w14:textId="77777777" w:rsidR="00DF336B" w:rsidRPr="00920EAC" w:rsidRDefault="00DF336B" w:rsidP="00026D6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4"/>
                <w:lang w:eastAsia="lv-LV"/>
              </w:rPr>
            </w:pPr>
          </w:p>
          <w:p w14:paraId="731543E7" w14:textId="77777777" w:rsidR="00DF336B" w:rsidRPr="00920EAC" w:rsidRDefault="00DF336B" w:rsidP="00026D6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4"/>
                <w:lang w:eastAsia="lv-LV"/>
              </w:rPr>
            </w:pPr>
          </w:p>
        </w:tc>
      </w:tr>
    </w:tbl>
    <w:p w14:paraId="1895B107" w14:textId="77777777" w:rsidR="00383A5A" w:rsidRPr="00383A5A" w:rsidRDefault="00383A5A" w:rsidP="00920EAC">
      <w:pPr>
        <w:spacing w:before="240"/>
        <w:ind w:firstLine="567"/>
        <w:jc w:val="both"/>
        <w:rPr>
          <w:bCs/>
          <w:sz w:val="24"/>
          <w:szCs w:val="24"/>
        </w:rPr>
      </w:pPr>
      <w:r w:rsidRPr="00383A5A">
        <w:rPr>
          <w:bCs/>
          <w:sz w:val="24"/>
          <w:szCs w:val="24"/>
        </w:rPr>
        <w:t xml:space="preserve">Prioritārās nozares atbilst arī Latvijas Viedās specializācijas stratēģijā izvirzītajiem tautsaimniecības transformācijas virzieniem. </w:t>
      </w:r>
    </w:p>
    <w:p w14:paraId="41B51B2E" w14:textId="77777777" w:rsidR="00383A5A" w:rsidRPr="00383A5A" w:rsidRDefault="00383A5A" w:rsidP="006344BA">
      <w:pPr>
        <w:ind w:left="709" w:hanging="283"/>
        <w:jc w:val="both"/>
        <w:rPr>
          <w:bCs/>
          <w:sz w:val="24"/>
          <w:szCs w:val="24"/>
        </w:rPr>
      </w:pPr>
      <w:r w:rsidRPr="00383A5A">
        <w:rPr>
          <w:bCs/>
          <w:sz w:val="24"/>
          <w:szCs w:val="24"/>
        </w:rPr>
        <w:t>•</w:t>
      </w:r>
      <w:r w:rsidRPr="00383A5A">
        <w:rPr>
          <w:bCs/>
          <w:sz w:val="24"/>
          <w:szCs w:val="24"/>
        </w:rPr>
        <w:tab/>
        <w:t xml:space="preserve">tradicionālās tautsaimniecības nozares (kokapstrāde, pārtikas rūpniecība, ķīmija un farmācija, tranzītpakalpojumi); </w:t>
      </w:r>
    </w:p>
    <w:p w14:paraId="5BE0920B" w14:textId="77777777" w:rsidR="00383A5A" w:rsidRPr="00383A5A" w:rsidRDefault="00383A5A" w:rsidP="006344BA">
      <w:pPr>
        <w:ind w:left="709" w:hanging="283"/>
        <w:jc w:val="both"/>
        <w:rPr>
          <w:bCs/>
          <w:sz w:val="24"/>
          <w:szCs w:val="24"/>
        </w:rPr>
      </w:pPr>
      <w:r>
        <w:rPr>
          <w:bCs/>
          <w:sz w:val="24"/>
          <w:szCs w:val="24"/>
        </w:rPr>
        <w:t>•</w:t>
      </w:r>
      <w:r>
        <w:rPr>
          <w:bCs/>
          <w:sz w:val="24"/>
          <w:szCs w:val="24"/>
        </w:rPr>
        <w:tab/>
        <w:t>nākotnes izaugsmes nozares (</w:t>
      </w:r>
      <w:r w:rsidRPr="00383A5A">
        <w:rPr>
          <w:bCs/>
          <w:sz w:val="24"/>
          <w:szCs w:val="24"/>
        </w:rPr>
        <w:t>Viedie materiāli, te</w:t>
      </w:r>
      <w:r>
        <w:rPr>
          <w:bCs/>
          <w:sz w:val="24"/>
          <w:szCs w:val="24"/>
        </w:rPr>
        <w:t xml:space="preserve">hnoloģijas un inženiersistēmas, </w:t>
      </w:r>
      <w:r w:rsidRPr="00383A5A">
        <w:rPr>
          <w:bCs/>
          <w:sz w:val="24"/>
          <w:szCs w:val="24"/>
        </w:rPr>
        <w:t>Biomedicīna, medicīnas tehnoloģijas, biofarmācija un biotehnoloģijas);</w:t>
      </w:r>
    </w:p>
    <w:p w14:paraId="514FA422" w14:textId="77777777" w:rsidR="00383A5A" w:rsidRPr="00383A5A" w:rsidRDefault="00383A5A" w:rsidP="006344BA">
      <w:pPr>
        <w:ind w:left="709" w:hanging="283"/>
        <w:jc w:val="both"/>
        <w:rPr>
          <w:bCs/>
          <w:sz w:val="24"/>
          <w:szCs w:val="24"/>
        </w:rPr>
      </w:pPr>
      <w:r w:rsidRPr="00383A5A">
        <w:rPr>
          <w:bCs/>
          <w:sz w:val="24"/>
          <w:szCs w:val="24"/>
        </w:rPr>
        <w:t>•</w:t>
      </w:r>
      <w:r w:rsidRPr="00383A5A">
        <w:rPr>
          <w:bCs/>
          <w:sz w:val="24"/>
          <w:szCs w:val="24"/>
        </w:rPr>
        <w:tab/>
        <w:t xml:space="preserve">nozares ar nozīmīgu horizontālo ietekmi (Energoefektivitātes risinājumi un tehnoloģijas, </w:t>
      </w:r>
      <w:r>
        <w:rPr>
          <w:bCs/>
          <w:sz w:val="24"/>
          <w:szCs w:val="24"/>
        </w:rPr>
        <w:t>i</w:t>
      </w:r>
      <w:r w:rsidRPr="00383A5A">
        <w:rPr>
          <w:bCs/>
          <w:sz w:val="24"/>
          <w:szCs w:val="24"/>
        </w:rPr>
        <w:t>nformācijas un komunikācijas tehnoloģijas);</w:t>
      </w:r>
    </w:p>
    <w:p w14:paraId="77589B05" w14:textId="77777777" w:rsidR="00DF336B" w:rsidRPr="0095397B" w:rsidRDefault="00617DFE" w:rsidP="00617DFE">
      <w:pPr>
        <w:ind w:left="709" w:hanging="283"/>
        <w:jc w:val="both"/>
        <w:rPr>
          <w:bCs/>
          <w:sz w:val="24"/>
          <w:szCs w:val="24"/>
        </w:rPr>
      </w:pPr>
      <w:r>
        <w:rPr>
          <w:bCs/>
          <w:sz w:val="24"/>
          <w:szCs w:val="24"/>
        </w:rPr>
        <w:t>•</w:t>
      </w:r>
      <w:r>
        <w:rPr>
          <w:bCs/>
          <w:sz w:val="24"/>
          <w:szCs w:val="24"/>
        </w:rPr>
        <w:tab/>
        <w:t>biznesa pakalpojumi.</w:t>
      </w:r>
    </w:p>
    <w:p w14:paraId="1D3FF386" w14:textId="77777777" w:rsidR="00524E60" w:rsidRPr="00920EAC" w:rsidRDefault="00617DFE" w:rsidP="004D19E8">
      <w:pPr>
        <w:spacing w:after="240"/>
        <w:ind w:firstLine="720"/>
        <w:jc w:val="both"/>
        <w:rPr>
          <w:sz w:val="24"/>
          <w:szCs w:val="24"/>
        </w:rPr>
      </w:pPr>
      <w:r>
        <w:rPr>
          <w:bCs/>
          <w:sz w:val="24"/>
          <w:szCs w:val="24"/>
        </w:rPr>
        <w:t>P</w:t>
      </w:r>
      <w:r w:rsidRPr="0095397B">
        <w:rPr>
          <w:bCs/>
          <w:sz w:val="24"/>
          <w:szCs w:val="24"/>
        </w:rPr>
        <w:t>rioritāro eksporta nozaru devums ko</w:t>
      </w:r>
      <w:r>
        <w:rPr>
          <w:bCs/>
          <w:sz w:val="24"/>
          <w:szCs w:val="24"/>
        </w:rPr>
        <w:t>pējā eksporta vērtībā sīkāk analizēts 1.1.nodaļā un n</w:t>
      </w:r>
      <w:r w:rsidR="00DF336B" w:rsidRPr="0095397B">
        <w:rPr>
          <w:bCs/>
          <w:sz w:val="24"/>
          <w:szCs w:val="24"/>
        </w:rPr>
        <w:t>eskatoties uz ražošanas apjomu samazināšanos, ko lielā mērā ietekmē kopējā tautsaimniecības attīstības tempa samazināšanās u</w:t>
      </w:r>
      <w:r w:rsidR="00DF336B">
        <w:rPr>
          <w:bCs/>
          <w:sz w:val="24"/>
          <w:szCs w:val="24"/>
        </w:rPr>
        <w:t xml:space="preserve">n ārējā pieprasījuma krišanās, </w:t>
      </w:r>
      <w:r w:rsidR="00DF336B" w:rsidRPr="0095397B">
        <w:rPr>
          <w:b/>
          <w:sz w:val="24"/>
          <w:szCs w:val="24"/>
        </w:rPr>
        <w:t>prioritārās eksporta nozares</w:t>
      </w:r>
      <w:r w:rsidR="00DF336B">
        <w:rPr>
          <w:b/>
          <w:sz w:val="24"/>
          <w:szCs w:val="24"/>
        </w:rPr>
        <w:t xml:space="preserve"> ir aktuālas</w:t>
      </w:r>
      <w:r w:rsidR="00DF336B" w:rsidRPr="0095397B">
        <w:rPr>
          <w:sz w:val="24"/>
          <w:szCs w:val="24"/>
        </w:rPr>
        <w:t xml:space="preserve">, ņemot vērā, ka tās joprojām sastāda ievērojamu daļu </w:t>
      </w:r>
      <w:r w:rsidR="00DF336B">
        <w:rPr>
          <w:sz w:val="24"/>
          <w:szCs w:val="24"/>
        </w:rPr>
        <w:t xml:space="preserve">kopējā preču eksporta struktūrā. </w:t>
      </w:r>
      <w:r w:rsidR="00524E60">
        <w:rPr>
          <w:sz w:val="24"/>
          <w:szCs w:val="24"/>
        </w:rPr>
        <w:t xml:space="preserve">Ņemot vērā nozares attīstības potenciālu un pievienoto vērtību, vienlaikus nodrošinot sinerģiju ar politikas plānošanas dokumentiem un normatīvajiem aktiem, kuros minētas iniciatīvas radošo industriju attīstībai, </w:t>
      </w:r>
      <w:r w:rsidR="00524E60" w:rsidRPr="005A16DE">
        <w:rPr>
          <w:b/>
          <w:sz w:val="24"/>
          <w:szCs w:val="24"/>
        </w:rPr>
        <w:t xml:space="preserve">radošās industrijas turpmākā Pamatnostādņu īstenošanas periodā tiek noteiktas par prioritāro </w:t>
      </w:r>
      <w:r w:rsidR="000469CE" w:rsidRPr="005A16DE">
        <w:rPr>
          <w:b/>
          <w:sz w:val="24"/>
          <w:szCs w:val="24"/>
        </w:rPr>
        <w:t xml:space="preserve">eksporta </w:t>
      </w:r>
      <w:r w:rsidR="00524E60" w:rsidRPr="005A16DE">
        <w:rPr>
          <w:b/>
          <w:sz w:val="24"/>
          <w:szCs w:val="24"/>
        </w:rPr>
        <w:t>nozar</w:t>
      </w:r>
      <w:r w:rsidR="000469CE">
        <w:rPr>
          <w:b/>
          <w:sz w:val="24"/>
          <w:szCs w:val="24"/>
        </w:rPr>
        <w:t>i</w:t>
      </w:r>
      <w:r w:rsidR="00524E60" w:rsidRPr="005A16DE">
        <w:rPr>
          <w:b/>
          <w:sz w:val="24"/>
          <w:szCs w:val="24"/>
        </w:rPr>
        <w:t>.</w:t>
      </w:r>
    </w:p>
    <w:tbl>
      <w:tblPr>
        <w:tblStyle w:val="TableGrid"/>
        <w:tblW w:w="0" w:type="auto"/>
        <w:shd w:val="clear" w:color="auto" w:fill="D0CECE" w:themeFill="background2" w:themeFillShade="E6"/>
        <w:tblLook w:val="04A0" w:firstRow="1" w:lastRow="0" w:firstColumn="1" w:lastColumn="0" w:noHBand="0" w:noVBand="1"/>
      </w:tblPr>
      <w:tblGrid>
        <w:gridCol w:w="9771"/>
      </w:tblGrid>
      <w:tr w:rsidR="004D19E8" w14:paraId="56E17448" w14:textId="77777777" w:rsidTr="004D19E8">
        <w:tc>
          <w:tcPr>
            <w:tcW w:w="9771" w:type="dxa"/>
            <w:shd w:val="clear" w:color="auto" w:fill="D0CECE" w:themeFill="background2" w:themeFillShade="E6"/>
          </w:tcPr>
          <w:p w14:paraId="396E13F4" w14:textId="77777777" w:rsidR="004D19E8" w:rsidRPr="004D19E8" w:rsidRDefault="004D19E8" w:rsidP="004D19E8">
            <w:pPr>
              <w:ind w:firstLine="720"/>
              <w:jc w:val="both"/>
              <w:rPr>
                <w:sz w:val="18"/>
                <w:szCs w:val="24"/>
              </w:rPr>
            </w:pPr>
            <w:r w:rsidRPr="004D19E8">
              <w:rPr>
                <w:sz w:val="18"/>
                <w:szCs w:val="24"/>
              </w:rPr>
              <w:t>Radošās industrijas</w:t>
            </w:r>
            <w:r w:rsidRPr="004D19E8">
              <w:rPr>
                <w:rStyle w:val="FootnoteReference"/>
                <w:sz w:val="18"/>
                <w:szCs w:val="24"/>
              </w:rPr>
              <w:footnoteReference w:id="16"/>
            </w:r>
            <w:r w:rsidRPr="004D19E8">
              <w:rPr>
                <w:sz w:val="18"/>
                <w:szCs w:val="24"/>
              </w:rPr>
              <w:t xml:space="preserve"> pēdējo 5 gadu laikā ES piedzīvo ļoti strauji izaugsmi, gan vērtējot jaunradīto darba vietu skaitu, gan radītās pievienotās vērtības pieaugumu. Vienlaikus radošās industrijas rada vairākus būtiskus pārneses efektus — veicina sociālo un teritoriālo kohēziju, stimulē starpnozaru sadarbību un sinerģiju, veicina atsevišķu nozaru izaugsmi. Radošās industrijas un ar tām saistītās nozares Latvijas ekonomikā gadā apgroza vidēji 2 miljardus </w:t>
            </w:r>
            <w:r w:rsidRPr="004D19E8">
              <w:rPr>
                <w:i/>
                <w:sz w:val="18"/>
                <w:szCs w:val="24"/>
              </w:rPr>
              <w:t>euro</w:t>
            </w:r>
            <w:r w:rsidRPr="004D19E8">
              <w:rPr>
                <w:sz w:val="18"/>
                <w:szCs w:val="24"/>
              </w:rPr>
              <w:t>.</w:t>
            </w:r>
            <w:r w:rsidRPr="004D19E8">
              <w:rPr>
                <w:rStyle w:val="FootnoteReference"/>
                <w:sz w:val="18"/>
                <w:szCs w:val="24"/>
              </w:rPr>
              <w:footnoteReference w:id="17"/>
            </w:r>
            <w:r w:rsidRPr="004D19E8">
              <w:rPr>
                <w:sz w:val="18"/>
                <w:szCs w:val="24"/>
              </w:rPr>
              <w:t xml:space="preserve"> Saskaņā ar CSP datiem, aptuveni 6,3% uzņēmumu 2014.gadā pārstāvēja radošās industrijas, savukārt nozarē nodarbināti tika 5,3% no kopējā nodarbināto skaita. Nepieciešams atzīmēt, ka pēdējo 5 gadu laikā valstī kopumā pieaug gan radošo industriju nozari pārstāvošo uzņēmumu skaits, gan nodarbināto skaits nozarē. Turklāt, laika posmā no 2008.līdz 2014.gadam arī kultūras nozares eksports pieaudzis no 35 miljoniem </w:t>
            </w:r>
            <w:r w:rsidRPr="004D19E8">
              <w:rPr>
                <w:i/>
                <w:sz w:val="18"/>
                <w:szCs w:val="24"/>
              </w:rPr>
              <w:t>euro</w:t>
            </w:r>
            <w:r w:rsidRPr="004D19E8">
              <w:rPr>
                <w:sz w:val="18"/>
                <w:szCs w:val="24"/>
              </w:rPr>
              <w:t xml:space="preserve"> līdz 100 miljoniem </w:t>
            </w:r>
            <w:r w:rsidRPr="004D19E8">
              <w:rPr>
                <w:i/>
                <w:sz w:val="18"/>
                <w:szCs w:val="24"/>
              </w:rPr>
              <w:t>euro</w:t>
            </w:r>
            <w:r w:rsidRPr="004D19E8">
              <w:rPr>
                <w:sz w:val="18"/>
                <w:szCs w:val="24"/>
              </w:rPr>
              <w:t>, uzrādot straujāko izaugsmi ES.</w:t>
            </w:r>
            <w:r w:rsidRPr="004D19E8">
              <w:rPr>
                <w:rStyle w:val="FootnoteReference"/>
                <w:sz w:val="18"/>
                <w:szCs w:val="24"/>
              </w:rPr>
              <w:footnoteReference w:id="18"/>
            </w:r>
          </w:p>
          <w:p w14:paraId="4F003AED" w14:textId="77777777" w:rsidR="004D19E8" w:rsidRPr="002429DA" w:rsidRDefault="004D19E8" w:rsidP="004D19E8">
            <w:pPr>
              <w:ind w:firstLine="720"/>
              <w:jc w:val="both"/>
              <w:rPr>
                <w:i/>
                <w:sz w:val="20"/>
                <w:szCs w:val="24"/>
              </w:rPr>
            </w:pPr>
            <w:r w:rsidRPr="004D19E8">
              <w:rPr>
                <w:sz w:val="18"/>
                <w:szCs w:val="24"/>
              </w:rPr>
              <w:t>Radošo industriju uzņēmumiem jau šobrīd pieejams atbalsts jaunu Radošo industriju produktu izstrādei un dizaina komponentes pievienošana esošajiem produktiem – Inovāciju Vaučeru programmas ietvaros,  atbalsts jaunu uzņēmumu veidošanai Radošo industriju nozarē, nozaru sadarbībai, zināšanu un tehnoloģiju pārnesei, jomas studentu iesaistīšanai “Darbības programmas „Izaugsme un nodarbinātība” 3.1.1.specifiskā atbalsta mērķa „Sekmēt MVK izveidi un attīstību, īpaši apstrādes rūpniecībā un RIS3 prioritārajās nozarēs” 3.1.1.6.pasākuma „Reģionālie biznesa inkubatori un radošo industriju inkubators” programmas ietvaros, kā arī nozari pārstāvošajiem uzņēmumiem iespējams saņemt atbalstu LIAA Starptautiskās konkurētspējas programmas ietvaros.</w:t>
            </w:r>
            <w:r w:rsidRPr="004D19E8">
              <w:rPr>
                <w:i/>
                <w:sz w:val="18"/>
                <w:szCs w:val="24"/>
              </w:rPr>
              <w:t xml:space="preserve"> </w:t>
            </w:r>
          </w:p>
        </w:tc>
      </w:tr>
    </w:tbl>
    <w:p w14:paraId="2236D45C" w14:textId="77777777" w:rsidR="00DF336B" w:rsidRPr="0095397B" w:rsidRDefault="00DF336B" w:rsidP="00DF336B">
      <w:pPr>
        <w:ind w:firstLine="720"/>
        <w:jc w:val="both"/>
        <w:rPr>
          <w:sz w:val="24"/>
          <w:szCs w:val="24"/>
        </w:rPr>
      </w:pPr>
      <w:r>
        <w:rPr>
          <w:sz w:val="24"/>
          <w:szCs w:val="24"/>
        </w:rPr>
        <w:t xml:space="preserve">Pamatnostādnēs noteikto mērķa – sekmēt augsto un vidēji augsto produktu eksporta pieaugumu kopējā eksportā - sasniegšanai svarīgi </w:t>
      </w:r>
      <w:r>
        <w:rPr>
          <w:b/>
          <w:sz w:val="24"/>
          <w:szCs w:val="24"/>
        </w:rPr>
        <w:t>atbalstīt</w:t>
      </w:r>
      <w:r w:rsidRPr="0095397B">
        <w:rPr>
          <w:b/>
          <w:sz w:val="24"/>
          <w:szCs w:val="24"/>
        </w:rPr>
        <w:t xml:space="preserve"> nozaru nišu piedāvājumi ar augstu eksporta potenciālu un pievienoto vērtību.</w:t>
      </w:r>
    </w:p>
    <w:p w14:paraId="2C7D9DF9" w14:textId="77777777" w:rsidR="00DF336B" w:rsidRPr="008F1B7E" w:rsidRDefault="00DF336B" w:rsidP="008F1B7E">
      <w:pPr>
        <w:pStyle w:val="Heading2"/>
        <w:shd w:val="clear" w:color="auto" w:fill="1DA0A7"/>
        <w:rPr>
          <w:rFonts w:eastAsia="Calibri"/>
          <w:b/>
          <w:color w:val="FFFFFF" w:themeColor="background1"/>
        </w:rPr>
      </w:pPr>
      <w:bookmarkStart w:id="24" w:name="_Toc355961035"/>
      <w:bookmarkStart w:id="25" w:name="_Toc448154077"/>
      <w:bookmarkStart w:id="26" w:name="_Toc462740010"/>
      <w:r w:rsidRPr="008F1B7E">
        <w:rPr>
          <w:rFonts w:eastAsia="Calibri"/>
          <w:b/>
          <w:color w:val="FFFFFF" w:themeColor="background1"/>
        </w:rPr>
        <w:t>3.</w:t>
      </w:r>
      <w:r w:rsidR="00C910ED" w:rsidRPr="008F1B7E">
        <w:rPr>
          <w:rFonts w:eastAsia="Calibri"/>
          <w:b/>
          <w:color w:val="FFFFFF" w:themeColor="background1"/>
        </w:rPr>
        <w:t>2</w:t>
      </w:r>
      <w:r w:rsidRPr="008F1B7E">
        <w:rPr>
          <w:rFonts w:eastAsia="Calibri"/>
          <w:b/>
          <w:color w:val="FFFFFF" w:themeColor="background1"/>
        </w:rPr>
        <w:t>.Eksporta mērķa valstis</w:t>
      </w:r>
      <w:bookmarkEnd w:id="24"/>
      <w:bookmarkEnd w:id="25"/>
      <w:bookmarkEnd w:id="26"/>
    </w:p>
    <w:p w14:paraId="6A22170C" w14:textId="77777777" w:rsidR="008F1B7E" w:rsidRPr="008F1B7E" w:rsidRDefault="008F1B7E" w:rsidP="00DF336B">
      <w:pPr>
        <w:ind w:firstLine="567"/>
        <w:jc w:val="both"/>
        <w:rPr>
          <w:sz w:val="14"/>
          <w:szCs w:val="24"/>
        </w:rPr>
      </w:pPr>
    </w:p>
    <w:p w14:paraId="38DB0D0A" w14:textId="77777777" w:rsidR="00DF336B" w:rsidRPr="0095397B" w:rsidRDefault="00DF336B" w:rsidP="00DF336B">
      <w:pPr>
        <w:ind w:firstLine="567"/>
        <w:jc w:val="both"/>
        <w:rPr>
          <w:sz w:val="24"/>
          <w:szCs w:val="24"/>
        </w:rPr>
      </w:pPr>
      <w:r w:rsidRPr="001011CE">
        <w:rPr>
          <w:sz w:val="24"/>
          <w:szCs w:val="24"/>
        </w:rPr>
        <w:t>Mērķa valstis</w:t>
      </w:r>
      <w:r w:rsidRPr="0095397B">
        <w:rPr>
          <w:sz w:val="24"/>
          <w:szCs w:val="24"/>
        </w:rPr>
        <w:t>, uz kurām fokusēt eksporta atbalsta aktivitātes, regulāri tiek izvērtētas Ārējās ekonomiskās politikas koordinācijas padomē un noteiktas balstoties uz šādiem kritērijiem:</w:t>
      </w:r>
    </w:p>
    <w:p w14:paraId="468FFEC4" w14:textId="77777777" w:rsidR="00DF336B" w:rsidRPr="0095397B" w:rsidRDefault="00DF336B" w:rsidP="008C684D">
      <w:pPr>
        <w:numPr>
          <w:ilvl w:val="0"/>
          <w:numId w:val="1"/>
        </w:numPr>
        <w:jc w:val="both"/>
        <w:rPr>
          <w:sz w:val="24"/>
          <w:szCs w:val="24"/>
        </w:rPr>
      </w:pPr>
      <w:r w:rsidRPr="0095397B">
        <w:rPr>
          <w:sz w:val="24"/>
          <w:szCs w:val="24"/>
        </w:rPr>
        <w:t>nozīmīgi Latvijas eksporta tirgi;</w:t>
      </w:r>
    </w:p>
    <w:p w14:paraId="1D2D7FA5" w14:textId="77777777" w:rsidR="00DF336B" w:rsidRPr="0095397B" w:rsidRDefault="00DF336B" w:rsidP="008C684D">
      <w:pPr>
        <w:numPr>
          <w:ilvl w:val="0"/>
          <w:numId w:val="1"/>
        </w:numPr>
        <w:jc w:val="both"/>
        <w:rPr>
          <w:i/>
          <w:sz w:val="24"/>
          <w:szCs w:val="24"/>
        </w:rPr>
      </w:pPr>
      <w:r w:rsidRPr="0095397B">
        <w:rPr>
          <w:sz w:val="24"/>
          <w:szCs w:val="24"/>
        </w:rPr>
        <w:t>tirgus lielums un izaugsmes potenciāls, ģeogrāfiski tuvi;</w:t>
      </w:r>
    </w:p>
    <w:p w14:paraId="758699A1" w14:textId="77777777" w:rsidR="00DF336B" w:rsidRPr="0095397B" w:rsidRDefault="00DF336B" w:rsidP="008C684D">
      <w:pPr>
        <w:numPr>
          <w:ilvl w:val="0"/>
          <w:numId w:val="1"/>
        </w:numPr>
        <w:jc w:val="both"/>
        <w:rPr>
          <w:i/>
          <w:sz w:val="24"/>
          <w:szCs w:val="24"/>
        </w:rPr>
      </w:pPr>
      <w:r w:rsidRPr="0095397B">
        <w:rPr>
          <w:sz w:val="24"/>
          <w:szCs w:val="24"/>
        </w:rPr>
        <w:lastRenderedPageBreak/>
        <w:t>aktīva Latvijas uzņēmēju interese par konkrēto tirgu/ ārvalsts uzņēmēju interese par Latviju;</w:t>
      </w:r>
    </w:p>
    <w:p w14:paraId="47C0BAA3" w14:textId="77777777" w:rsidR="00DF336B" w:rsidRPr="0095397B" w:rsidRDefault="00DF336B" w:rsidP="008C684D">
      <w:pPr>
        <w:numPr>
          <w:ilvl w:val="0"/>
          <w:numId w:val="1"/>
        </w:numPr>
        <w:jc w:val="both"/>
        <w:rPr>
          <w:sz w:val="24"/>
          <w:szCs w:val="24"/>
        </w:rPr>
      </w:pPr>
      <w:r w:rsidRPr="0095397B">
        <w:rPr>
          <w:sz w:val="24"/>
          <w:szCs w:val="24"/>
        </w:rPr>
        <w:t>tirgus pieprasījuma atbilstība Latvijas piedāvājuma iespējām (tirgus nišas).</w:t>
      </w:r>
    </w:p>
    <w:p w14:paraId="47C4D083" w14:textId="77777777" w:rsidR="00DF336B" w:rsidRPr="0095397B" w:rsidRDefault="00DF336B" w:rsidP="00DF336B">
      <w:pPr>
        <w:ind w:right="-1" w:firstLine="567"/>
        <w:jc w:val="both"/>
        <w:rPr>
          <w:sz w:val="24"/>
          <w:szCs w:val="24"/>
        </w:rPr>
      </w:pPr>
      <w:r w:rsidRPr="0095397B">
        <w:rPr>
          <w:sz w:val="24"/>
          <w:szCs w:val="24"/>
        </w:rPr>
        <w:t>Vērtējot eksporta mērķa tirgus, ir būtiski saglabāt un attīstīt eksportu uz valstīm, kas vēsturiski ir bijuši Latvijas galvenie eksporta partneri – ES valstis. Vienlaikus</w:t>
      </w:r>
      <w:r w:rsidRPr="0095397B">
        <w:rPr>
          <w:b/>
          <w:sz w:val="24"/>
          <w:szCs w:val="24"/>
        </w:rPr>
        <w:t xml:space="preserve"> </w:t>
      </w:r>
      <w:r w:rsidRPr="0095397B">
        <w:rPr>
          <w:sz w:val="24"/>
          <w:szCs w:val="24"/>
        </w:rPr>
        <w:t>nepieciešams sekmēt jaunu, strauji augošo tirgu apgūšanu, sākotnēji, nodrošinot uzņēmējiem nepieciešamo informāciju, konsultatīvo atbalstu un sadarbības veicināšanu valsts amatpersonu un uzņēmēju vizīšu ietvaros</w:t>
      </w:r>
      <w:r w:rsidR="004007B1">
        <w:rPr>
          <w:sz w:val="24"/>
          <w:szCs w:val="24"/>
        </w:rPr>
        <w:t>,</w:t>
      </w:r>
      <w:r w:rsidRPr="0095397B">
        <w:rPr>
          <w:sz w:val="24"/>
          <w:szCs w:val="24"/>
        </w:rPr>
        <w:t xml:space="preserve"> </w:t>
      </w:r>
      <w:r w:rsidR="004007B1">
        <w:rPr>
          <w:sz w:val="24"/>
          <w:szCs w:val="24"/>
        </w:rPr>
        <w:t>kā arī organizējot uzņēmumu nelielus kopstendus, lai noskaidrot</w:t>
      </w:r>
      <w:r w:rsidR="00433E3D">
        <w:rPr>
          <w:sz w:val="24"/>
          <w:szCs w:val="24"/>
        </w:rPr>
        <w:t>u</w:t>
      </w:r>
      <w:r w:rsidR="004007B1">
        <w:rPr>
          <w:sz w:val="24"/>
          <w:szCs w:val="24"/>
        </w:rPr>
        <w:t xml:space="preserve"> tirgus pieprasījumu un izvērtētu konkurenci.</w:t>
      </w:r>
      <w:r w:rsidR="004007B1" w:rsidRPr="0095397B">
        <w:rPr>
          <w:sz w:val="24"/>
          <w:szCs w:val="24"/>
        </w:rPr>
        <w:t xml:space="preserve"> </w:t>
      </w:r>
      <w:r w:rsidR="004007B1">
        <w:rPr>
          <w:sz w:val="24"/>
          <w:szCs w:val="24"/>
        </w:rPr>
        <w:t>Jāturpina iesāktās aktivitātes NVS bloka valstīs, kā Krievija, Baltkrievija un Kazahstāna, lai nodrošinātu informāciju par ekonomiskajiem procesiem un pārstāvētu Latvijas uzņēmumu intereses.</w:t>
      </w:r>
    </w:p>
    <w:p w14:paraId="64800E80" w14:textId="77777777" w:rsidR="00DF336B" w:rsidRPr="0095397B" w:rsidRDefault="00DF336B" w:rsidP="00DF336B">
      <w:pPr>
        <w:ind w:right="-1" w:firstLine="567"/>
        <w:jc w:val="both"/>
        <w:rPr>
          <w:sz w:val="24"/>
          <w:szCs w:val="24"/>
        </w:rPr>
      </w:pPr>
      <w:r w:rsidRPr="0095397B">
        <w:rPr>
          <w:sz w:val="24"/>
          <w:szCs w:val="24"/>
        </w:rPr>
        <w:t>Ņemot vērā, ka pārskata periodā būtiski mazinājusies strauji augošo (BRICS) valstu ekonomiskā izaugsme, un daļa no tām piedzīvo ekonomisko lejupslīdi, nepieciešams veikt korekcijas strauji augošo tirgu apgūšanas prioritāšu noteikšanā, kas definēts Pamatnostādnēs, attiecīgi fokusējoties galvenokārt uz ES, kā arī pieaugošo Ķīnas lomu Latvijas starptautiskajā tirdzniecībā.</w:t>
      </w:r>
    </w:p>
    <w:p w14:paraId="1FB92755" w14:textId="77777777" w:rsidR="00DF336B" w:rsidRPr="0095397B" w:rsidRDefault="00DF336B" w:rsidP="00DF336B">
      <w:pPr>
        <w:ind w:firstLine="567"/>
        <w:jc w:val="both"/>
        <w:rPr>
          <w:sz w:val="24"/>
          <w:szCs w:val="24"/>
        </w:rPr>
      </w:pPr>
      <w:r w:rsidRPr="00D847C3">
        <w:rPr>
          <w:sz w:val="24"/>
          <w:szCs w:val="24"/>
        </w:rPr>
        <w:t xml:space="preserve">Latvija ir aktīvi iesaistījusies Ķīnas iniciatīvā sadarbībai ar 16 Centrāl- un Austrumeiropas valstīm (turpmāk – “16+1”), kas ir uzskatāms par potenciāli nozīmīgu instrumentu sadarbības ar Ķīnu palielināšanai. </w:t>
      </w:r>
      <w:r w:rsidRPr="0095397B">
        <w:rPr>
          <w:sz w:val="24"/>
          <w:szCs w:val="24"/>
        </w:rPr>
        <w:t>“16+1” sadarbības mērķis aktivizēt sadarbību investīciju, transporta, finanšu, zinātnes, izglītības un kultūras jomās</w:t>
      </w:r>
      <w:r w:rsidR="00F305D5">
        <w:rPr>
          <w:sz w:val="24"/>
          <w:szCs w:val="24"/>
        </w:rPr>
        <w:t>, kā arī lauksaimniecības jomā</w:t>
      </w:r>
      <w:r w:rsidRPr="0095397B">
        <w:rPr>
          <w:sz w:val="24"/>
          <w:szCs w:val="24"/>
        </w:rPr>
        <w:t xml:space="preserve">. Ķīna iniciatīvas ietvaros ekonomikas jomā ir definējusi 3 prioritārās potenciālās sadarbības jomas – infrastruktūru, augstās tehnoloģijas, zaļās tehnoloģijas. Latvijas prioritātes šī sadarbības formāta ietvaros ir valsts ekonomisko interešu īstenošana transporta un loģistikas jomā, valsts tēla popularizēšanas starptautiskajā vidē un </w:t>
      </w:r>
      <w:r>
        <w:rPr>
          <w:sz w:val="24"/>
          <w:szCs w:val="24"/>
        </w:rPr>
        <w:t>ekonomisko sakaru veicināšana.</w:t>
      </w:r>
    </w:p>
    <w:p w14:paraId="1D26B1C3" w14:textId="77777777" w:rsidR="00DF336B" w:rsidRDefault="00DF336B" w:rsidP="00DF336B">
      <w:pPr>
        <w:ind w:right="-143" w:firstLine="567"/>
        <w:jc w:val="both"/>
        <w:rPr>
          <w:b/>
          <w:sz w:val="24"/>
          <w:szCs w:val="24"/>
        </w:rPr>
      </w:pPr>
      <w:r>
        <w:rPr>
          <w:b/>
          <w:sz w:val="24"/>
          <w:szCs w:val="24"/>
        </w:rPr>
        <w:t>Eksporta mērķa valstu izvērtēšanas modelis ir optimāls un nav nepieciešama esošās kārtības pārskatīšana.</w:t>
      </w:r>
    </w:p>
    <w:p w14:paraId="707E3D0F" w14:textId="77777777" w:rsidR="00DF336B" w:rsidRPr="008F1B7E" w:rsidRDefault="00DF336B" w:rsidP="008F1B7E">
      <w:pPr>
        <w:pStyle w:val="Heading2"/>
        <w:shd w:val="clear" w:color="auto" w:fill="1DA0A7"/>
        <w:rPr>
          <w:b/>
          <w:color w:val="FFFFFF" w:themeColor="background1"/>
        </w:rPr>
      </w:pPr>
      <w:bookmarkStart w:id="27" w:name="_Toc462740011"/>
      <w:r w:rsidRPr="008F1B7E">
        <w:rPr>
          <w:b/>
          <w:color w:val="FFFFFF" w:themeColor="background1"/>
        </w:rPr>
        <w:t>3</w:t>
      </w:r>
      <w:r w:rsidR="00C910ED" w:rsidRPr="008F1B7E">
        <w:rPr>
          <w:b/>
          <w:color w:val="FFFFFF" w:themeColor="background1"/>
        </w:rPr>
        <w:t>.</w:t>
      </w:r>
      <w:r w:rsidRPr="008F1B7E">
        <w:rPr>
          <w:b/>
          <w:color w:val="FFFFFF" w:themeColor="background1"/>
        </w:rPr>
        <w:t>3. Eksporta atbalsta instrumenti</w:t>
      </w:r>
      <w:bookmarkEnd w:id="27"/>
    </w:p>
    <w:p w14:paraId="35F963A2" w14:textId="77777777" w:rsidR="00B17A7B" w:rsidRPr="002429DA" w:rsidRDefault="00022CDC" w:rsidP="00B17A7B">
      <w:pPr>
        <w:ind w:right="-143" w:firstLine="720"/>
        <w:jc w:val="both"/>
        <w:rPr>
          <w:rFonts w:cs="Times New Roman"/>
          <w:sz w:val="24"/>
        </w:rPr>
      </w:pPr>
      <w:bookmarkStart w:id="28" w:name="_Toc448154079"/>
      <w:r w:rsidRPr="00022CDC">
        <w:rPr>
          <w:sz w:val="24"/>
        </w:rPr>
        <w:t xml:space="preserve">Eksporta starptautiskās konkurētspējas veicināšanai </w:t>
      </w:r>
      <w:r>
        <w:rPr>
          <w:sz w:val="24"/>
        </w:rPr>
        <w:t xml:space="preserve">pieejami </w:t>
      </w:r>
      <w:r w:rsidR="00B17A7B">
        <w:rPr>
          <w:sz w:val="24"/>
        </w:rPr>
        <w:t>dažādi</w:t>
      </w:r>
      <w:r>
        <w:rPr>
          <w:sz w:val="24"/>
        </w:rPr>
        <w:t xml:space="preserve"> atbalst</w:t>
      </w:r>
      <w:r w:rsidR="00B17A7B">
        <w:rPr>
          <w:sz w:val="24"/>
        </w:rPr>
        <w:t xml:space="preserve">a instrumenti – gan </w:t>
      </w:r>
      <w:r w:rsidR="00B17A7B" w:rsidRPr="002429DA">
        <w:rPr>
          <w:rFonts w:cs="Times New Roman"/>
          <w:sz w:val="24"/>
        </w:rPr>
        <w:t>LIAA piedāvātie pakalpojumi, ES fondu programmu atbalsta pasākumi, kā arī citi instrumenti, kas detalizēti apkopoti informatīvā ziņojuma 3</w:t>
      </w:r>
      <w:r w:rsidR="002429DA">
        <w:rPr>
          <w:rFonts w:cs="Times New Roman"/>
          <w:sz w:val="24"/>
        </w:rPr>
        <w:t>.</w:t>
      </w:r>
      <w:r w:rsidR="00B17A7B" w:rsidRPr="002429DA">
        <w:rPr>
          <w:rFonts w:cs="Times New Roman"/>
          <w:sz w:val="24"/>
        </w:rPr>
        <w:t>pielikumā:</w:t>
      </w:r>
    </w:p>
    <w:p w14:paraId="3B700901" w14:textId="77777777" w:rsidR="00B17A7B" w:rsidRPr="002429DA" w:rsidRDefault="00B17A7B" w:rsidP="008C684D">
      <w:pPr>
        <w:pStyle w:val="ListParagraph"/>
        <w:numPr>
          <w:ilvl w:val="0"/>
          <w:numId w:val="10"/>
        </w:numPr>
        <w:ind w:right="-143"/>
        <w:jc w:val="both"/>
        <w:rPr>
          <w:rFonts w:ascii="Times New Roman" w:hAnsi="Times New Roman"/>
          <w:b/>
          <w:sz w:val="24"/>
        </w:rPr>
      </w:pPr>
      <w:r w:rsidRPr="002429DA">
        <w:rPr>
          <w:rFonts w:ascii="Times New Roman" w:hAnsi="Times New Roman"/>
          <w:b/>
          <w:sz w:val="24"/>
        </w:rPr>
        <w:t>LIAA sniegtie pakalpojumi eksportētājiem</w:t>
      </w:r>
    </w:p>
    <w:p w14:paraId="54164C52" w14:textId="77777777" w:rsidR="00B17A7B" w:rsidRPr="002429DA" w:rsidRDefault="00022CDC" w:rsidP="00B17A7B">
      <w:pPr>
        <w:ind w:right="-143"/>
        <w:jc w:val="both"/>
        <w:rPr>
          <w:rFonts w:cs="Times New Roman"/>
          <w:bCs/>
          <w:sz w:val="24"/>
          <w:szCs w:val="24"/>
        </w:rPr>
      </w:pPr>
      <w:r w:rsidRPr="002429DA">
        <w:rPr>
          <w:rFonts w:cs="Times New Roman"/>
          <w:sz w:val="24"/>
        </w:rPr>
        <w:t xml:space="preserve"> </w:t>
      </w:r>
      <w:r w:rsidR="002429DA">
        <w:rPr>
          <w:rFonts w:cs="Times New Roman"/>
          <w:sz w:val="24"/>
        </w:rPr>
        <w:tab/>
      </w:r>
      <w:r w:rsidR="00032706" w:rsidRPr="002429DA">
        <w:rPr>
          <w:rFonts w:cs="Times New Roman"/>
          <w:sz w:val="24"/>
        </w:rPr>
        <w:t xml:space="preserve">LIAA </w:t>
      </w:r>
      <w:r w:rsidR="00E85906">
        <w:rPr>
          <w:rFonts w:cs="Times New Roman"/>
          <w:sz w:val="24"/>
        </w:rPr>
        <w:t>sniedz</w:t>
      </w:r>
      <w:r w:rsidR="00032706" w:rsidRPr="002429DA">
        <w:rPr>
          <w:rFonts w:cs="Times New Roman"/>
          <w:sz w:val="24"/>
        </w:rPr>
        <w:t xml:space="preserve"> atbalstu</w:t>
      </w:r>
      <w:r w:rsidR="00E85906">
        <w:rPr>
          <w:rFonts w:cs="Times New Roman"/>
          <w:sz w:val="24"/>
        </w:rPr>
        <w:t xml:space="preserve"> uzņēmējiem</w:t>
      </w:r>
      <w:r w:rsidR="00032706" w:rsidRPr="002429DA">
        <w:rPr>
          <w:rFonts w:cs="Times New Roman"/>
          <w:sz w:val="24"/>
        </w:rPr>
        <w:t xml:space="preserve"> </w:t>
      </w:r>
      <w:r w:rsidR="00B17A7B" w:rsidRPr="002429DA">
        <w:rPr>
          <w:rFonts w:cs="Times New Roman"/>
          <w:sz w:val="24"/>
        </w:rPr>
        <w:t xml:space="preserve">eksportspējas veicināšanas starptautiskajos tirgos, gan piedāvājot konsultatīvu atbalstu, rīkojot daudzveidīgus eksporta atbalsta pasākumus, </w:t>
      </w:r>
      <w:r w:rsidR="002429DA">
        <w:rPr>
          <w:rFonts w:cs="Times New Roman"/>
          <w:sz w:val="24"/>
        </w:rPr>
        <w:t xml:space="preserve">organizējot kontaktbiržas un tirdzniecības misijas, </w:t>
      </w:r>
      <w:r w:rsidR="00B17A7B" w:rsidRPr="002429DA">
        <w:rPr>
          <w:rFonts w:cs="Times New Roman"/>
          <w:sz w:val="24"/>
        </w:rPr>
        <w:t>gan veido</w:t>
      </w:r>
      <w:r w:rsidR="002429DA">
        <w:rPr>
          <w:rFonts w:cs="Times New Roman"/>
          <w:sz w:val="24"/>
        </w:rPr>
        <w:t>jot Latvijas tēlu starptautiski, kā arī n</w:t>
      </w:r>
      <w:r w:rsidR="002429DA" w:rsidRPr="002429DA">
        <w:rPr>
          <w:rFonts w:cs="Times New Roman"/>
          <w:bCs/>
          <w:sz w:val="24"/>
          <w:szCs w:val="24"/>
        </w:rPr>
        <w:t>odrošina Eiropas Biznesa atbalsta tīkla darbību Latvijā.</w:t>
      </w:r>
      <w:r w:rsidR="004D19E8">
        <w:rPr>
          <w:rFonts w:cs="Times New Roman"/>
          <w:bCs/>
          <w:sz w:val="24"/>
          <w:szCs w:val="24"/>
        </w:rPr>
        <w:t xml:space="preserve"> </w:t>
      </w:r>
      <w:r w:rsidR="002429DA">
        <w:rPr>
          <w:rFonts w:cs="Times New Roman"/>
          <w:sz w:val="24"/>
        </w:rPr>
        <w:t>Vienlaikus a</w:t>
      </w:r>
      <w:r w:rsidR="00B17A7B" w:rsidRPr="002429DA">
        <w:rPr>
          <w:rFonts w:cs="Times New Roman"/>
          <w:sz w:val="24"/>
        </w:rPr>
        <w:t xml:space="preserve">tbalsts eksportētajiem </w:t>
      </w:r>
      <w:r w:rsidR="00B17A7B" w:rsidRPr="002429DA">
        <w:rPr>
          <w:rFonts w:cs="Times New Roman"/>
          <w:bCs/>
          <w:sz w:val="24"/>
          <w:szCs w:val="24"/>
        </w:rPr>
        <w:t>tiek nodrošināts</w:t>
      </w:r>
      <w:r w:rsidR="002429DA">
        <w:rPr>
          <w:rFonts w:cs="Times New Roman"/>
          <w:bCs/>
          <w:sz w:val="24"/>
          <w:szCs w:val="24"/>
        </w:rPr>
        <w:t xml:space="preserve">, izmantojot </w:t>
      </w:r>
      <w:r w:rsidR="00B17A7B" w:rsidRPr="002429DA">
        <w:rPr>
          <w:rFonts w:cs="Times New Roman"/>
          <w:bCs/>
          <w:sz w:val="24"/>
          <w:szCs w:val="24"/>
        </w:rPr>
        <w:t>Latvijas Ārēj</w:t>
      </w:r>
      <w:r w:rsidR="002429DA">
        <w:rPr>
          <w:rFonts w:cs="Times New Roman"/>
          <w:bCs/>
          <w:sz w:val="24"/>
          <w:szCs w:val="24"/>
        </w:rPr>
        <w:t>o</w:t>
      </w:r>
      <w:r w:rsidR="00B17A7B" w:rsidRPr="002429DA">
        <w:rPr>
          <w:rFonts w:cs="Times New Roman"/>
          <w:bCs/>
          <w:sz w:val="24"/>
          <w:szCs w:val="24"/>
        </w:rPr>
        <w:t xml:space="preserve"> ekonomisk</w:t>
      </w:r>
      <w:r w:rsidR="002429DA">
        <w:rPr>
          <w:rFonts w:cs="Times New Roman"/>
          <w:bCs/>
          <w:sz w:val="24"/>
          <w:szCs w:val="24"/>
        </w:rPr>
        <w:t>o</w:t>
      </w:r>
      <w:r w:rsidR="00B17A7B" w:rsidRPr="002429DA">
        <w:rPr>
          <w:rFonts w:cs="Times New Roman"/>
          <w:bCs/>
          <w:sz w:val="24"/>
          <w:szCs w:val="24"/>
        </w:rPr>
        <w:t xml:space="preserve"> pārstāvniecīb</w:t>
      </w:r>
      <w:r w:rsidR="002429DA">
        <w:rPr>
          <w:rFonts w:cs="Times New Roman"/>
          <w:bCs/>
          <w:sz w:val="24"/>
          <w:szCs w:val="24"/>
        </w:rPr>
        <w:t>u tīklu</w:t>
      </w:r>
      <w:r w:rsidR="00B17A7B" w:rsidRPr="002429DA">
        <w:rPr>
          <w:rFonts w:cs="Times New Roman"/>
          <w:bCs/>
          <w:sz w:val="24"/>
          <w:szCs w:val="24"/>
        </w:rPr>
        <w:t xml:space="preserve"> 20 valstīs.</w:t>
      </w:r>
      <w:r w:rsidR="002429DA">
        <w:rPr>
          <w:rFonts w:cs="Times New Roman"/>
          <w:bCs/>
          <w:sz w:val="24"/>
          <w:szCs w:val="24"/>
        </w:rPr>
        <w:t xml:space="preserve"> </w:t>
      </w:r>
    </w:p>
    <w:p w14:paraId="767AC146" w14:textId="77777777" w:rsidR="00B17A7B" w:rsidRPr="002429DA" w:rsidRDefault="00B17A7B" w:rsidP="008C684D">
      <w:pPr>
        <w:pStyle w:val="ListParagraph"/>
        <w:numPr>
          <w:ilvl w:val="0"/>
          <w:numId w:val="10"/>
        </w:numPr>
        <w:ind w:right="-143"/>
        <w:jc w:val="both"/>
        <w:rPr>
          <w:rFonts w:ascii="Times New Roman" w:hAnsi="Times New Roman"/>
          <w:b/>
          <w:sz w:val="24"/>
        </w:rPr>
      </w:pPr>
      <w:r w:rsidRPr="002429DA">
        <w:rPr>
          <w:rFonts w:ascii="Times New Roman" w:hAnsi="Times New Roman"/>
          <w:b/>
          <w:sz w:val="24"/>
        </w:rPr>
        <w:t xml:space="preserve">ES </w:t>
      </w:r>
      <w:r w:rsidR="009742FA">
        <w:rPr>
          <w:rFonts w:ascii="Times New Roman" w:hAnsi="Times New Roman"/>
          <w:b/>
          <w:sz w:val="24"/>
        </w:rPr>
        <w:t xml:space="preserve">struktūrfondu </w:t>
      </w:r>
      <w:r w:rsidRPr="002429DA">
        <w:rPr>
          <w:rFonts w:ascii="Times New Roman" w:hAnsi="Times New Roman"/>
          <w:b/>
          <w:sz w:val="24"/>
        </w:rPr>
        <w:t>aktivitātes eksporta veicināšanai</w:t>
      </w:r>
    </w:p>
    <w:p w14:paraId="5E559250" w14:textId="4537DD0D" w:rsidR="00B17A7B" w:rsidRPr="002429DA" w:rsidRDefault="00B17A7B" w:rsidP="00B17A7B">
      <w:pPr>
        <w:ind w:firstLine="720"/>
        <w:jc w:val="both"/>
        <w:rPr>
          <w:rFonts w:cs="Times New Roman"/>
          <w:sz w:val="24"/>
          <w:szCs w:val="24"/>
        </w:rPr>
      </w:pPr>
      <w:r w:rsidRPr="002429DA">
        <w:rPr>
          <w:rFonts w:cs="Times New Roman"/>
          <w:sz w:val="24"/>
          <w:szCs w:val="24"/>
        </w:rPr>
        <w:t xml:space="preserve">2014.-2020.gada plānošanas periodā ES fondu atbalsta programmu aktivitātēs, kas vērstas uz konkurētspējas veicināšanu mazos un vidējos uzņēmumos kopumā paredzēti 237.1 milj. </w:t>
      </w:r>
      <w:r w:rsidR="00835279" w:rsidRPr="00835279">
        <w:rPr>
          <w:rFonts w:cs="Times New Roman"/>
          <w:i/>
          <w:sz w:val="24"/>
          <w:szCs w:val="24"/>
        </w:rPr>
        <w:t>euro</w:t>
      </w:r>
      <w:r w:rsidRPr="002429DA">
        <w:rPr>
          <w:rFonts w:cs="Times New Roman"/>
          <w:sz w:val="24"/>
          <w:szCs w:val="24"/>
        </w:rPr>
        <w:t>, no kurām vairākas aktivitātes vērstas uz arī eksporta veicināšanu, tai skaitā, 3.2.1.2.pasākums "Starptautiskās konkurētspējas veicināšana”, 3.2.1.1. pasākums „Klasteru programma”, kā arī eksporta kredīta garantijas un aizdevumi.</w:t>
      </w:r>
    </w:p>
    <w:p w14:paraId="13DAF8E2" w14:textId="77777777" w:rsidR="00022CDC" w:rsidRPr="002429DA" w:rsidRDefault="00B17A7B" w:rsidP="008C684D">
      <w:pPr>
        <w:pStyle w:val="ListParagraph"/>
        <w:numPr>
          <w:ilvl w:val="0"/>
          <w:numId w:val="10"/>
        </w:numPr>
        <w:ind w:right="-143"/>
        <w:rPr>
          <w:rFonts w:ascii="Times New Roman" w:hAnsi="Times New Roman"/>
          <w:b/>
          <w:sz w:val="24"/>
        </w:rPr>
      </w:pPr>
      <w:r w:rsidRPr="002429DA">
        <w:rPr>
          <w:rFonts w:ascii="Times New Roman" w:hAnsi="Times New Roman"/>
          <w:b/>
          <w:sz w:val="24"/>
        </w:rPr>
        <w:t xml:space="preserve">Specifiski </w:t>
      </w:r>
      <w:r w:rsidRPr="002429DA">
        <w:rPr>
          <w:rFonts w:ascii="Times New Roman" w:hAnsi="Times New Roman"/>
          <w:b/>
          <w:i/>
          <w:sz w:val="24"/>
        </w:rPr>
        <w:t>ad hoc</w:t>
      </w:r>
      <w:r w:rsidRPr="002429DA">
        <w:rPr>
          <w:rFonts w:ascii="Times New Roman" w:hAnsi="Times New Roman"/>
          <w:b/>
          <w:sz w:val="24"/>
        </w:rPr>
        <w:t xml:space="preserve"> eksporta atbalsta instrumenti</w:t>
      </w:r>
    </w:p>
    <w:p w14:paraId="528AA634" w14:textId="77777777" w:rsidR="004007B1" w:rsidRDefault="002429DA" w:rsidP="00987A04">
      <w:pPr>
        <w:spacing w:after="240"/>
        <w:ind w:firstLine="567"/>
        <w:jc w:val="both"/>
        <w:rPr>
          <w:sz w:val="24"/>
        </w:rPr>
      </w:pPr>
      <w:r w:rsidRPr="002429DA">
        <w:rPr>
          <w:sz w:val="24"/>
        </w:rPr>
        <w:t>Lai reaģētu uz Krievijas Federācijas valdības noteiktajiem ierobežojumiem preču importam, tika īstenoti vairāki atbalsta pasākumi no Krievijas</w:t>
      </w:r>
      <w:r>
        <w:rPr>
          <w:sz w:val="24"/>
        </w:rPr>
        <w:t xml:space="preserve"> embargo cietušajiem uzņēmumiem, kurus īstenoja gan atbildīgās nozaru ministrijas, gan Eiropas Komisija. </w:t>
      </w:r>
    </w:p>
    <w:p w14:paraId="2C170A42" w14:textId="77777777" w:rsidR="00DF336B" w:rsidRPr="00360F54" w:rsidRDefault="00C910ED" w:rsidP="00FF5AEB">
      <w:pPr>
        <w:pStyle w:val="Heading2"/>
        <w:shd w:val="clear" w:color="auto" w:fill="1DA0A7"/>
        <w:tabs>
          <w:tab w:val="left" w:pos="5723"/>
        </w:tabs>
        <w:rPr>
          <w:b/>
          <w:color w:val="FFFFFF" w:themeColor="background1"/>
        </w:rPr>
      </w:pPr>
      <w:bookmarkStart w:id="29" w:name="_Toc462740012"/>
      <w:bookmarkEnd w:id="28"/>
      <w:r w:rsidRPr="00360F54">
        <w:rPr>
          <w:b/>
          <w:color w:val="FFFFFF" w:themeColor="background1"/>
        </w:rPr>
        <w:t xml:space="preserve">3.4. </w:t>
      </w:r>
      <w:r w:rsidR="00FF5AEB">
        <w:rPr>
          <w:b/>
          <w:color w:val="FFFFFF" w:themeColor="background1"/>
        </w:rPr>
        <w:t>Ārvalstu investīciju piesaistes mērķa nozares</w:t>
      </w:r>
      <w:bookmarkEnd w:id="29"/>
      <w:r w:rsidR="00FF5AEB">
        <w:rPr>
          <w:b/>
          <w:color w:val="FFFFFF" w:themeColor="background1"/>
        </w:rPr>
        <w:tab/>
      </w:r>
    </w:p>
    <w:p w14:paraId="0AF15900" w14:textId="77777777" w:rsidR="00AE505F" w:rsidRDefault="00DF336B" w:rsidP="00AE505F">
      <w:pPr>
        <w:ind w:firstLine="720"/>
        <w:jc w:val="both"/>
        <w:rPr>
          <w:rFonts w:cs="Times New Roman"/>
          <w:color w:val="000000" w:themeColor="text1"/>
          <w:sz w:val="24"/>
          <w:szCs w:val="24"/>
        </w:rPr>
      </w:pPr>
      <w:r w:rsidRPr="00953F4A">
        <w:rPr>
          <w:rFonts w:cs="Times New Roman"/>
          <w:color w:val="000000" w:themeColor="text1"/>
          <w:sz w:val="24"/>
          <w:szCs w:val="24"/>
        </w:rPr>
        <w:t>Pamatnostādņu izstrādē definētas prioritārās nozares un mērķa valstis investīciju piesaistē</w:t>
      </w:r>
      <w:r w:rsidRPr="00953F4A">
        <w:rPr>
          <w:rStyle w:val="FootnoteReference"/>
          <w:rFonts w:cs="Times New Roman"/>
          <w:color w:val="000000" w:themeColor="text1"/>
        </w:rPr>
        <w:footnoteReference w:id="19"/>
      </w:r>
      <w:r w:rsidRPr="00953F4A">
        <w:rPr>
          <w:rFonts w:cs="Times New Roman"/>
          <w:color w:val="000000" w:themeColor="text1"/>
          <w:sz w:val="24"/>
          <w:szCs w:val="24"/>
        </w:rPr>
        <w:t xml:space="preserve">, ņemot vērā Latvijas ģeogrāfisko novietojumu, pieejamos resursus, darbaspēka kvalifikāciju, esošās konkurences priekšrocības, kā arī nozaru izaugsmes potenciālu. </w:t>
      </w:r>
      <w:r w:rsidR="00AE505F" w:rsidRPr="00953F4A">
        <w:rPr>
          <w:rFonts w:cs="Times New Roman"/>
          <w:color w:val="000000" w:themeColor="text1"/>
          <w:sz w:val="24"/>
          <w:szCs w:val="24"/>
        </w:rPr>
        <w:t>Mērķa nozares, kurās pamatā tiek īstenotas ārvalstu investīciju piesaistes aktivitātes, apkopotas tabulā</w:t>
      </w:r>
      <w:r w:rsidR="00AE505F" w:rsidRPr="00B1038F">
        <w:rPr>
          <w:rFonts w:cs="Times New Roman"/>
          <w:color w:val="000000" w:themeColor="text1"/>
          <w:sz w:val="24"/>
          <w:szCs w:val="24"/>
        </w:rPr>
        <w:t>.</w:t>
      </w:r>
    </w:p>
    <w:p w14:paraId="418B4B3D" w14:textId="77777777" w:rsidR="00F1454F" w:rsidRDefault="00F1454F" w:rsidP="00AE505F">
      <w:pPr>
        <w:ind w:firstLine="720"/>
        <w:jc w:val="both"/>
        <w:rPr>
          <w:rFonts w:cs="Times New Roman"/>
          <w:color w:val="000000" w:themeColor="text1"/>
          <w:sz w:val="8"/>
          <w:szCs w:val="8"/>
        </w:rPr>
      </w:pPr>
    </w:p>
    <w:p w14:paraId="67F0125D" w14:textId="77777777" w:rsidR="00CE7C7D" w:rsidRPr="00CE7C7D" w:rsidRDefault="00CE7C7D" w:rsidP="00AE505F">
      <w:pPr>
        <w:ind w:firstLine="720"/>
        <w:jc w:val="both"/>
        <w:rPr>
          <w:rFonts w:cs="Times New Roman"/>
          <w:color w:val="000000" w:themeColor="text1"/>
          <w:sz w:val="8"/>
          <w:szCs w:val="8"/>
        </w:rPr>
      </w:pPr>
    </w:p>
    <w:tbl>
      <w:tblPr>
        <w:tblStyle w:val="TableGrid"/>
        <w:tblW w:w="0" w:type="auto"/>
        <w:jc w:val="center"/>
        <w:tblLook w:val="04A0" w:firstRow="1" w:lastRow="0" w:firstColumn="1" w:lastColumn="0" w:noHBand="0" w:noVBand="1"/>
      </w:tblPr>
      <w:tblGrid>
        <w:gridCol w:w="5807"/>
      </w:tblGrid>
      <w:tr w:rsidR="00AE505F" w:rsidRPr="004D19E8" w14:paraId="38E1E03B" w14:textId="77777777" w:rsidTr="004D19E8">
        <w:trPr>
          <w:jc w:val="center"/>
        </w:trPr>
        <w:tc>
          <w:tcPr>
            <w:tcW w:w="5807" w:type="dxa"/>
            <w:shd w:val="clear" w:color="auto" w:fill="9CC2E5" w:themeFill="accent1" w:themeFillTint="99"/>
          </w:tcPr>
          <w:p w14:paraId="7FFD70EB" w14:textId="77777777" w:rsidR="00AE505F" w:rsidRPr="004D19E8" w:rsidRDefault="00AE505F" w:rsidP="004D19E8">
            <w:pPr>
              <w:tabs>
                <w:tab w:val="left" w:pos="1095"/>
              </w:tabs>
              <w:jc w:val="center"/>
              <w:rPr>
                <w:rFonts w:ascii="Arial Narrow" w:hAnsi="Arial Narrow" w:cs="Times New Roman"/>
                <w:b/>
                <w:color w:val="000000" w:themeColor="text1"/>
                <w:sz w:val="20"/>
                <w:szCs w:val="24"/>
              </w:rPr>
            </w:pPr>
            <w:r w:rsidRPr="004D19E8">
              <w:rPr>
                <w:rFonts w:ascii="Arial Narrow" w:hAnsi="Arial Narrow" w:cs="Times New Roman"/>
                <w:b/>
                <w:color w:val="000000" w:themeColor="text1"/>
                <w:sz w:val="20"/>
                <w:szCs w:val="24"/>
              </w:rPr>
              <w:lastRenderedPageBreak/>
              <w:t>ĀTI mērķa nozares</w:t>
            </w:r>
          </w:p>
        </w:tc>
      </w:tr>
      <w:tr w:rsidR="00AE505F" w:rsidRPr="004D19E8" w14:paraId="424808C1" w14:textId="77777777" w:rsidTr="004D19E8">
        <w:trPr>
          <w:jc w:val="center"/>
        </w:trPr>
        <w:tc>
          <w:tcPr>
            <w:tcW w:w="5807" w:type="dxa"/>
            <w:shd w:val="clear" w:color="auto" w:fill="DEEAF6" w:themeFill="accent1" w:themeFillTint="33"/>
          </w:tcPr>
          <w:p w14:paraId="4C6410D3"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Metālapstrāde un mašīnbūve</w:t>
            </w:r>
            <w:r w:rsidR="00975DB9" w:rsidRPr="004D19E8">
              <w:rPr>
                <w:rFonts w:ascii="Arial Narrow" w:hAnsi="Arial Narrow" w:cs="Times New Roman"/>
                <w:color w:val="000000" w:themeColor="text1"/>
                <w:sz w:val="20"/>
                <w:szCs w:val="24"/>
              </w:rPr>
              <w:t xml:space="preserve"> (t.sk. elektronikas un optisko iekārtu ražošana)</w:t>
            </w:r>
          </w:p>
          <w:p w14:paraId="35E63CE1"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Transports un loģistika</w:t>
            </w:r>
          </w:p>
          <w:p w14:paraId="5CBA4F7D"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Informācijas tehnoloģijas un pakalpojumu biroji</w:t>
            </w:r>
          </w:p>
          <w:p w14:paraId="728860BF"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Dzīvības zinātnes</w:t>
            </w:r>
          </w:p>
          <w:p w14:paraId="74F486A1"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Veselības aprūpe</w:t>
            </w:r>
          </w:p>
          <w:p w14:paraId="63DDC972"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Kokrūpniecība</w:t>
            </w:r>
          </w:p>
          <w:p w14:paraId="4E85F71A" w14:textId="77777777" w:rsidR="00AE505F" w:rsidRPr="004D19E8" w:rsidRDefault="00AE505F" w:rsidP="000469CE">
            <w:pPr>
              <w:rPr>
                <w:rFonts w:ascii="Arial Narrow" w:hAnsi="Arial Narrow" w:cs="Times New Roman"/>
                <w:color w:val="000000" w:themeColor="text1"/>
                <w:sz w:val="20"/>
                <w:szCs w:val="24"/>
              </w:rPr>
            </w:pPr>
            <w:r w:rsidRPr="004D19E8">
              <w:rPr>
                <w:rFonts w:ascii="Arial Narrow" w:hAnsi="Arial Narrow" w:cs="Times New Roman"/>
                <w:color w:val="000000" w:themeColor="text1"/>
                <w:sz w:val="20"/>
                <w:szCs w:val="24"/>
              </w:rPr>
              <w:t>Zaļās tehnoloģijas</w:t>
            </w:r>
          </w:p>
          <w:p w14:paraId="04656E60" w14:textId="77777777" w:rsidR="00AE505F" w:rsidRPr="004D19E8" w:rsidRDefault="00AE505F" w:rsidP="000469CE">
            <w:pPr>
              <w:rPr>
                <w:rFonts w:ascii="Arial Narrow" w:hAnsi="Arial Narrow" w:cs="Times New Roman"/>
                <w:color w:val="000000" w:themeColor="text1"/>
                <w:sz w:val="24"/>
                <w:szCs w:val="24"/>
              </w:rPr>
            </w:pPr>
            <w:r w:rsidRPr="004D19E8">
              <w:rPr>
                <w:rFonts w:ascii="Arial Narrow" w:hAnsi="Arial Narrow" w:cs="Times New Roman"/>
                <w:color w:val="000000" w:themeColor="text1"/>
                <w:sz w:val="20"/>
                <w:szCs w:val="24"/>
              </w:rPr>
              <w:t>Pārtikas rūpniecība</w:t>
            </w:r>
          </w:p>
        </w:tc>
      </w:tr>
    </w:tbl>
    <w:p w14:paraId="6084B093" w14:textId="77777777" w:rsidR="00CE7C7D" w:rsidRDefault="00CE7C7D" w:rsidP="00AE505F">
      <w:pPr>
        <w:ind w:firstLine="720"/>
        <w:jc w:val="both"/>
        <w:rPr>
          <w:rFonts w:cs="Times New Roman"/>
          <w:color w:val="000000" w:themeColor="text1"/>
          <w:sz w:val="8"/>
          <w:szCs w:val="8"/>
        </w:rPr>
      </w:pPr>
    </w:p>
    <w:p w14:paraId="5D76D6C9" w14:textId="77777777" w:rsidR="00AE505F" w:rsidRPr="0095397B" w:rsidRDefault="00AE505F" w:rsidP="00AE505F">
      <w:pPr>
        <w:ind w:firstLine="720"/>
        <w:jc w:val="both"/>
        <w:rPr>
          <w:rFonts w:cs="Times New Roman"/>
          <w:color w:val="000000" w:themeColor="text1"/>
          <w:sz w:val="24"/>
          <w:szCs w:val="24"/>
        </w:rPr>
      </w:pPr>
      <w:r w:rsidRPr="0095397B">
        <w:rPr>
          <w:rFonts w:cs="Times New Roman"/>
          <w:color w:val="000000" w:themeColor="text1"/>
          <w:sz w:val="24"/>
          <w:szCs w:val="24"/>
        </w:rPr>
        <w:t xml:space="preserve">LIAA informācija liecina, ka kopumā </w:t>
      </w:r>
      <w:r w:rsidRPr="0095397B">
        <w:rPr>
          <w:rFonts w:cs="Times New Roman"/>
          <w:b/>
          <w:color w:val="000000" w:themeColor="text1"/>
          <w:sz w:val="24"/>
          <w:szCs w:val="24"/>
        </w:rPr>
        <w:t>ārvalstu investoru interese par prioritārajiem sektoriem ir augsta</w:t>
      </w:r>
      <w:r>
        <w:rPr>
          <w:rFonts w:cs="Times New Roman"/>
          <w:b/>
          <w:color w:val="000000" w:themeColor="text1"/>
          <w:sz w:val="24"/>
          <w:szCs w:val="24"/>
        </w:rPr>
        <w:t xml:space="preserve"> - </w:t>
      </w:r>
      <w:r w:rsidRPr="0095397B">
        <w:rPr>
          <w:rFonts w:cs="Times New Roman"/>
          <w:color w:val="000000" w:themeColor="text1"/>
          <w:sz w:val="24"/>
          <w:szCs w:val="24"/>
        </w:rPr>
        <w:t xml:space="preserve">8 prioritārie sektori veido 41% no kopējā </w:t>
      </w:r>
      <w:r w:rsidR="00E85906">
        <w:rPr>
          <w:rFonts w:cs="Times New Roman"/>
          <w:color w:val="000000" w:themeColor="text1"/>
          <w:sz w:val="24"/>
          <w:szCs w:val="24"/>
        </w:rPr>
        <w:t xml:space="preserve">LIAA apkalpoto investīciju </w:t>
      </w:r>
      <w:r w:rsidRPr="0095397B">
        <w:rPr>
          <w:rFonts w:cs="Times New Roman"/>
          <w:color w:val="000000" w:themeColor="text1"/>
          <w:sz w:val="24"/>
          <w:szCs w:val="24"/>
        </w:rPr>
        <w:t>pieprasījumu apjoma.</w:t>
      </w:r>
      <w:r>
        <w:rPr>
          <w:rFonts w:cs="Times New Roman"/>
          <w:color w:val="000000" w:themeColor="text1"/>
          <w:sz w:val="24"/>
          <w:szCs w:val="24"/>
        </w:rPr>
        <w:t xml:space="preserve"> Vērtējot</w:t>
      </w:r>
      <w:r w:rsidRPr="0095397B">
        <w:rPr>
          <w:rFonts w:cs="Times New Roman"/>
          <w:color w:val="000000" w:themeColor="text1"/>
          <w:sz w:val="24"/>
          <w:szCs w:val="24"/>
        </w:rPr>
        <w:t>, kādos sektoros vislielāko interesi izrāda ārvalstu investori 2015. gadā, kopumā 67% no visiem projektiem īstenoti vienā no astoņiem Pamatnostādnēs definē</w:t>
      </w:r>
      <w:r>
        <w:rPr>
          <w:rFonts w:cs="Times New Roman"/>
          <w:color w:val="000000" w:themeColor="text1"/>
          <w:sz w:val="24"/>
          <w:szCs w:val="24"/>
        </w:rPr>
        <w:t>tajām stratēģiskajiem sektoriem:</w:t>
      </w:r>
      <w:r w:rsidRPr="0095397B">
        <w:rPr>
          <w:rFonts w:cs="Times New Roman"/>
          <w:color w:val="000000" w:themeColor="text1"/>
          <w:sz w:val="24"/>
          <w:szCs w:val="24"/>
        </w:rPr>
        <w:t xml:space="preserve"> </w:t>
      </w:r>
      <w:r w:rsidR="003A5D28">
        <w:rPr>
          <w:rFonts w:cs="Times New Roman"/>
          <w:color w:val="000000" w:themeColor="text1"/>
          <w:sz w:val="24"/>
          <w:szCs w:val="24"/>
        </w:rPr>
        <w:t>17</w:t>
      </w:r>
      <w:r w:rsidRPr="0095397B">
        <w:rPr>
          <w:rFonts w:cs="Times New Roman"/>
          <w:color w:val="000000" w:themeColor="text1"/>
          <w:sz w:val="24"/>
          <w:szCs w:val="24"/>
        </w:rPr>
        <w:t>% no visiem projektiem ir metāla</w:t>
      </w:r>
      <w:r>
        <w:rPr>
          <w:rFonts w:cs="Times New Roman"/>
          <w:color w:val="000000" w:themeColor="text1"/>
          <w:sz w:val="24"/>
          <w:szCs w:val="24"/>
        </w:rPr>
        <w:t>pstrādes un mašīnbūves sektorā,</w:t>
      </w:r>
      <w:r w:rsidRPr="0095397B">
        <w:rPr>
          <w:rFonts w:cs="Times New Roman"/>
          <w:color w:val="000000" w:themeColor="text1"/>
          <w:sz w:val="24"/>
          <w:szCs w:val="24"/>
        </w:rPr>
        <w:t xml:space="preserve"> </w:t>
      </w:r>
      <w:r>
        <w:rPr>
          <w:rFonts w:cs="Times New Roman"/>
          <w:color w:val="000000" w:themeColor="text1"/>
          <w:sz w:val="24"/>
          <w:szCs w:val="24"/>
        </w:rPr>
        <w:t xml:space="preserve">t.sk. 4% elektronikas nozarēs, </w:t>
      </w:r>
      <w:r w:rsidRPr="0095397B">
        <w:rPr>
          <w:rFonts w:cs="Times New Roman"/>
          <w:color w:val="000000" w:themeColor="text1"/>
          <w:sz w:val="24"/>
          <w:szCs w:val="24"/>
        </w:rPr>
        <w:t>IT ir otrs nozīmīgākais sektors</w:t>
      </w:r>
      <w:r>
        <w:rPr>
          <w:rFonts w:cs="Times New Roman"/>
          <w:color w:val="000000" w:themeColor="text1"/>
          <w:sz w:val="24"/>
          <w:szCs w:val="24"/>
        </w:rPr>
        <w:t>,</w:t>
      </w:r>
      <w:r w:rsidRPr="0095397B">
        <w:rPr>
          <w:rFonts w:cs="Times New Roman"/>
          <w:color w:val="000000" w:themeColor="text1"/>
          <w:sz w:val="24"/>
          <w:szCs w:val="24"/>
        </w:rPr>
        <w:t xml:space="preserve"> sastādot 12</w:t>
      </w:r>
      <w:r w:rsidR="003A5D28">
        <w:rPr>
          <w:rFonts w:cs="Times New Roman"/>
          <w:color w:val="000000" w:themeColor="text1"/>
          <w:sz w:val="24"/>
          <w:szCs w:val="24"/>
        </w:rPr>
        <w:t xml:space="preserve"> procentus.</w:t>
      </w:r>
      <w:r w:rsidRPr="0095397B">
        <w:rPr>
          <w:rFonts w:cs="Times New Roman"/>
          <w:color w:val="000000" w:themeColor="text1"/>
          <w:sz w:val="24"/>
          <w:szCs w:val="24"/>
        </w:rPr>
        <w:t xml:space="preserve"> </w:t>
      </w:r>
    </w:p>
    <w:p w14:paraId="331ABFA0" w14:textId="77777777" w:rsidR="00AE505F" w:rsidRPr="0095397B" w:rsidRDefault="00AE505F" w:rsidP="00AE505F">
      <w:pPr>
        <w:ind w:firstLine="720"/>
        <w:jc w:val="both"/>
        <w:rPr>
          <w:rFonts w:cs="Times New Roman"/>
          <w:sz w:val="24"/>
          <w:szCs w:val="24"/>
        </w:rPr>
      </w:pPr>
      <w:r>
        <w:rPr>
          <w:rFonts w:cs="Times New Roman"/>
          <w:sz w:val="24"/>
          <w:szCs w:val="24"/>
        </w:rPr>
        <w:t>A</w:t>
      </w:r>
      <w:r w:rsidRPr="0095397B">
        <w:rPr>
          <w:rFonts w:cs="Times New Roman"/>
          <w:sz w:val="24"/>
          <w:szCs w:val="24"/>
        </w:rPr>
        <w:t xml:space="preserve">ptuveni 80% </w:t>
      </w:r>
      <w:r>
        <w:rPr>
          <w:rFonts w:cs="Times New Roman"/>
          <w:sz w:val="24"/>
          <w:szCs w:val="24"/>
        </w:rPr>
        <w:t>LIAA apkalpoto</w:t>
      </w:r>
      <w:r w:rsidRPr="0095397B">
        <w:rPr>
          <w:rFonts w:cs="Times New Roman"/>
          <w:sz w:val="24"/>
          <w:szCs w:val="24"/>
        </w:rPr>
        <w:t xml:space="preserve"> investīciju projektu </w:t>
      </w:r>
      <w:r>
        <w:rPr>
          <w:rFonts w:cs="Times New Roman"/>
          <w:b/>
          <w:sz w:val="24"/>
          <w:szCs w:val="24"/>
        </w:rPr>
        <w:t>izcelsmes valstī</w:t>
      </w:r>
      <w:r w:rsidRPr="0095397B">
        <w:rPr>
          <w:rFonts w:cs="Times New Roman"/>
          <w:b/>
          <w:sz w:val="24"/>
          <w:szCs w:val="24"/>
        </w:rPr>
        <w:t>s</w:t>
      </w:r>
      <w:r w:rsidRPr="0095397B">
        <w:rPr>
          <w:rFonts w:cs="Times New Roman"/>
          <w:sz w:val="24"/>
          <w:szCs w:val="24"/>
        </w:rPr>
        <w:t xml:space="preserve"> </w:t>
      </w:r>
      <w:r>
        <w:rPr>
          <w:rFonts w:cs="Times New Roman"/>
          <w:sz w:val="24"/>
          <w:szCs w:val="24"/>
        </w:rPr>
        <w:t xml:space="preserve">darbojas LIAA pārstāvniecības (t.sk. </w:t>
      </w:r>
      <w:r w:rsidRPr="0095397B">
        <w:rPr>
          <w:rFonts w:cs="Times New Roman"/>
          <w:sz w:val="24"/>
          <w:szCs w:val="24"/>
        </w:rPr>
        <w:t>60% no ES valstīm</w:t>
      </w:r>
      <w:r>
        <w:rPr>
          <w:rFonts w:cs="Times New Roman"/>
          <w:sz w:val="24"/>
          <w:szCs w:val="24"/>
        </w:rPr>
        <w:t xml:space="preserve">), </w:t>
      </w:r>
      <w:r w:rsidRPr="0095397B">
        <w:rPr>
          <w:rFonts w:cs="Times New Roman"/>
          <w:sz w:val="24"/>
          <w:szCs w:val="24"/>
        </w:rPr>
        <w:t xml:space="preserve">līderēm esot Nīderlandei, Vācijai, Ķīnai, Somijai. </w:t>
      </w:r>
      <w:r>
        <w:rPr>
          <w:rFonts w:cs="Times New Roman"/>
          <w:sz w:val="24"/>
          <w:szCs w:val="24"/>
        </w:rPr>
        <w:t>V</w:t>
      </w:r>
      <w:r w:rsidRPr="0095397B">
        <w:rPr>
          <w:rFonts w:cs="Times New Roman"/>
          <w:sz w:val="24"/>
          <w:szCs w:val="24"/>
        </w:rPr>
        <w:t>isvairāk</w:t>
      </w:r>
      <w:r>
        <w:rPr>
          <w:rFonts w:cs="Times New Roman"/>
          <w:sz w:val="24"/>
          <w:szCs w:val="24"/>
        </w:rPr>
        <w:t xml:space="preserve"> informācijas</w:t>
      </w:r>
      <w:r w:rsidRPr="0095397B">
        <w:rPr>
          <w:rFonts w:cs="Times New Roman"/>
          <w:sz w:val="24"/>
          <w:szCs w:val="24"/>
        </w:rPr>
        <w:t xml:space="preserve"> pieprasījumu 2015.gadā </w:t>
      </w:r>
      <w:r>
        <w:rPr>
          <w:rFonts w:cs="Times New Roman"/>
          <w:sz w:val="24"/>
          <w:szCs w:val="24"/>
        </w:rPr>
        <w:t>nākuši no</w:t>
      </w:r>
      <w:r w:rsidRPr="0095397B">
        <w:rPr>
          <w:rFonts w:cs="Times New Roman"/>
          <w:sz w:val="24"/>
          <w:szCs w:val="24"/>
        </w:rPr>
        <w:t xml:space="preserve"> Vācija</w:t>
      </w:r>
      <w:r>
        <w:rPr>
          <w:rFonts w:cs="Times New Roman"/>
          <w:sz w:val="24"/>
          <w:szCs w:val="24"/>
        </w:rPr>
        <w:t>s</w:t>
      </w:r>
      <w:r w:rsidRPr="0095397B">
        <w:rPr>
          <w:rFonts w:cs="Times New Roman"/>
          <w:sz w:val="24"/>
          <w:szCs w:val="24"/>
        </w:rPr>
        <w:t>, Francija</w:t>
      </w:r>
      <w:r>
        <w:rPr>
          <w:rFonts w:cs="Times New Roman"/>
          <w:sz w:val="24"/>
          <w:szCs w:val="24"/>
        </w:rPr>
        <w:t>s</w:t>
      </w:r>
      <w:r w:rsidRPr="0095397B">
        <w:rPr>
          <w:rFonts w:cs="Times New Roman"/>
          <w:sz w:val="24"/>
          <w:szCs w:val="24"/>
        </w:rPr>
        <w:t>, Ukraina</w:t>
      </w:r>
      <w:r>
        <w:rPr>
          <w:rFonts w:cs="Times New Roman"/>
          <w:sz w:val="24"/>
          <w:szCs w:val="24"/>
        </w:rPr>
        <w:t>s</w:t>
      </w:r>
      <w:r w:rsidRPr="0095397B">
        <w:rPr>
          <w:rFonts w:cs="Times New Roman"/>
          <w:sz w:val="24"/>
          <w:szCs w:val="24"/>
        </w:rPr>
        <w:t>, Lielbritānija</w:t>
      </w:r>
      <w:r>
        <w:rPr>
          <w:rFonts w:cs="Times New Roman"/>
          <w:sz w:val="24"/>
          <w:szCs w:val="24"/>
        </w:rPr>
        <w:t xml:space="preserve">s, kā arī </w:t>
      </w:r>
      <w:r w:rsidRPr="0095397B">
        <w:rPr>
          <w:rFonts w:cs="Times New Roman"/>
          <w:sz w:val="24"/>
          <w:szCs w:val="24"/>
        </w:rPr>
        <w:t xml:space="preserve">liela interese ir bijusi no Krievijas, Ķīnas, Somijas un Indijas. Kopumā 68% no visiem pieprasījumiem ir nākuši no LIAA pārstāvniecības valstīm un 55% no </w:t>
      </w:r>
      <w:r>
        <w:rPr>
          <w:rFonts w:cs="Times New Roman"/>
          <w:sz w:val="24"/>
          <w:szCs w:val="24"/>
        </w:rPr>
        <w:t xml:space="preserve">ES </w:t>
      </w:r>
      <w:r w:rsidRPr="0095397B">
        <w:rPr>
          <w:rFonts w:cs="Times New Roman"/>
          <w:sz w:val="24"/>
          <w:szCs w:val="24"/>
        </w:rPr>
        <w:t>dalībvalstīm</w:t>
      </w:r>
    </w:p>
    <w:p w14:paraId="24363877" w14:textId="77777777" w:rsidR="00AE505F" w:rsidRDefault="00AE505F" w:rsidP="00FF5AEB">
      <w:pPr>
        <w:spacing w:after="240"/>
        <w:ind w:firstLine="720"/>
        <w:jc w:val="both"/>
        <w:rPr>
          <w:rFonts w:cs="Times New Roman"/>
          <w:sz w:val="24"/>
          <w:szCs w:val="24"/>
        </w:rPr>
      </w:pPr>
      <w:r w:rsidRPr="0095397B">
        <w:rPr>
          <w:rFonts w:cs="Times New Roman"/>
          <w:sz w:val="24"/>
          <w:szCs w:val="24"/>
        </w:rPr>
        <w:t xml:space="preserve">Sekojot pasaules ekonomikas attīstībai pārskata periodā, atsevišķi būtu jāizceļ LIAA orientētais darbs saistībā ar Ķīnas Tautas Republiku. Ķīnas Jaunā Zīda ceļa iniciatīvas ietvaros Latvija ir iesaistījusies 16 centrālās un Austrumeiropas valstu un Ķīnas (16+1) sadarbības formātā, kas ir krasi pastiprinājis </w:t>
      </w:r>
      <w:r w:rsidR="003A5D28">
        <w:rPr>
          <w:rFonts w:cs="Times New Roman"/>
          <w:sz w:val="24"/>
          <w:szCs w:val="24"/>
        </w:rPr>
        <w:t>Ķīnas</w:t>
      </w:r>
      <w:r w:rsidRPr="0095397B">
        <w:rPr>
          <w:rFonts w:cs="Times New Roman"/>
          <w:sz w:val="24"/>
          <w:szCs w:val="24"/>
        </w:rPr>
        <w:t xml:space="preserve"> interesi pa</w:t>
      </w:r>
      <w:r>
        <w:rPr>
          <w:rFonts w:cs="Times New Roman"/>
          <w:sz w:val="24"/>
          <w:szCs w:val="24"/>
        </w:rPr>
        <w:t>r Latviju dažādās biznesa jomās - t</w:t>
      </w:r>
      <w:r w:rsidRPr="0095397B">
        <w:rPr>
          <w:rFonts w:cs="Times New Roman"/>
          <w:sz w:val="24"/>
          <w:szCs w:val="24"/>
        </w:rPr>
        <w:t>ransport</w:t>
      </w:r>
      <w:r>
        <w:rPr>
          <w:rFonts w:cs="Times New Roman"/>
          <w:sz w:val="24"/>
          <w:szCs w:val="24"/>
        </w:rPr>
        <w:t>ā</w:t>
      </w:r>
      <w:r w:rsidRPr="0095397B">
        <w:rPr>
          <w:rFonts w:cs="Times New Roman"/>
          <w:sz w:val="24"/>
          <w:szCs w:val="24"/>
        </w:rPr>
        <w:t xml:space="preserve"> un loģistik</w:t>
      </w:r>
      <w:r>
        <w:rPr>
          <w:rFonts w:cs="Times New Roman"/>
          <w:sz w:val="24"/>
          <w:szCs w:val="24"/>
        </w:rPr>
        <w:t>ā</w:t>
      </w:r>
      <w:r w:rsidRPr="0095397B">
        <w:rPr>
          <w:rFonts w:cs="Times New Roman"/>
          <w:sz w:val="24"/>
          <w:szCs w:val="24"/>
        </w:rPr>
        <w:t>, enerģētik</w:t>
      </w:r>
      <w:r>
        <w:rPr>
          <w:rFonts w:cs="Times New Roman"/>
          <w:sz w:val="24"/>
          <w:szCs w:val="24"/>
        </w:rPr>
        <w:t>ā, finansē</w:t>
      </w:r>
      <w:r w:rsidRPr="0095397B">
        <w:rPr>
          <w:rFonts w:cs="Times New Roman"/>
          <w:sz w:val="24"/>
          <w:szCs w:val="24"/>
        </w:rPr>
        <w:t>s, tūrism</w:t>
      </w:r>
      <w:r>
        <w:rPr>
          <w:rFonts w:cs="Times New Roman"/>
          <w:sz w:val="24"/>
          <w:szCs w:val="24"/>
        </w:rPr>
        <w:t>ā. P</w:t>
      </w:r>
      <w:r w:rsidRPr="0095397B">
        <w:rPr>
          <w:rFonts w:cs="Times New Roman"/>
          <w:sz w:val="24"/>
          <w:szCs w:val="24"/>
        </w:rPr>
        <w:t>astiprināts LIAA darbs vērsts uz proaktīvu piedāvājumu gatavošanas Ķīnas uzņēmējiem vispārīgi, kā arī konkrēti e-komercijas un finan</w:t>
      </w:r>
      <w:r w:rsidR="004D19E8">
        <w:rPr>
          <w:rFonts w:cs="Times New Roman"/>
          <w:sz w:val="24"/>
          <w:szCs w:val="24"/>
        </w:rPr>
        <w:t xml:space="preserve">šu jomās. </w:t>
      </w:r>
    </w:p>
    <w:p w14:paraId="4F20F0D1" w14:textId="77777777" w:rsidR="00FF5AEB" w:rsidRDefault="00FF5AEB" w:rsidP="00FF5AEB">
      <w:pPr>
        <w:pStyle w:val="Heading2"/>
        <w:shd w:val="clear" w:color="auto" w:fill="1DA0A7"/>
        <w:tabs>
          <w:tab w:val="left" w:pos="5723"/>
        </w:tabs>
        <w:spacing w:line="276" w:lineRule="auto"/>
        <w:rPr>
          <w:rFonts w:cs="Times New Roman"/>
          <w:b/>
          <w:color w:val="FFFFFF" w:themeColor="background1"/>
          <w:szCs w:val="24"/>
        </w:rPr>
      </w:pPr>
      <w:bookmarkStart w:id="30" w:name="_Toc462740013"/>
      <w:r w:rsidRPr="00FF5AEB">
        <w:rPr>
          <w:rFonts w:cs="Times New Roman"/>
          <w:b/>
          <w:color w:val="FFFFFF" w:themeColor="background1"/>
          <w:szCs w:val="24"/>
        </w:rPr>
        <w:t>3.5. Turpmākie rīcības virzieni ārvalstu tiešo investīciju piesaistē</w:t>
      </w:r>
      <w:bookmarkEnd w:id="30"/>
    </w:p>
    <w:p w14:paraId="3DC3559F" w14:textId="77777777" w:rsidR="00DE0F41" w:rsidRPr="00DE0F41" w:rsidRDefault="00DE0F41" w:rsidP="00DE0F41">
      <w:pPr>
        <w:rPr>
          <w:sz w:val="8"/>
          <w:szCs w:val="8"/>
        </w:rPr>
      </w:pPr>
    </w:p>
    <w:p w14:paraId="09B88A7C" w14:textId="77777777" w:rsidR="00FF5AEB" w:rsidRPr="00FF5AEB" w:rsidRDefault="00FF5AEB" w:rsidP="00FF5AEB">
      <w:pPr>
        <w:shd w:val="clear" w:color="auto" w:fill="C9C9C9" w:themeFill="accent3" w:themeFillTint="99"/>
        <w:jc w:val="both"/>
        <w:rPr>
          <w:b/>
          <w:sz w:val="24"/>
          <w:szCs w:val="24"/>
        </w:rPr>
      </w:pPr>
      <w:r w:rsidRPr="00FF5AEB">
        <w:rPr>
          <w:b/>
          <w:sz w:val="24"/>
          <w:szCs w:val="24"/>
        </w:rPr>
        <w:t>Procesu orientēta pieeja investīciju piesaistē</w:t>
      </w:r>
    </w:p>
    <w:p w14:paraId="07A562BC" w14:textId="23AD0D95" w:rsidR="00AE505F" w:rsidRDefault="002B1E7A" w:rsidP="00AE505F">
      <w:pPr>
        <w:ind w:firstLine="720"/>
        <w:jc w:val="both"/>
        <w:rPr>
          <w:rFonts w:cs="Times New Roman"/>
          <w:color w:val="000000" w:themeColor="text1"/>
          <w:sz w:val="24"/>
          <w:szCs w:val="24"/>
        </w:rPr>
      </w:pPr>
      <w:r w:rsidRPr="00953F4A">
        <w:rPr>
          <w:sz w:val="24"/>
          <w:szCs w:val="24"/>
        </w:rPr>
        <w:t>ĀTI piesaistes aktivitātes tiek īstenotas pieejamo resursu un iespēju ietvaros, ņemot vērā ierobežotos cilvēku un finanšu resursus. Laika posmā no 2013. līdz 2015.gadam ĀTI piesaistes prioritārās aktivitātes tika īstenotas saskaņā ar Pamatnostādņu pamatdokumentā 4.3.8</w:t>
      </w:r>
      <w:r w:rsidR="00FC5BEB">
        <w:rPr>
          <w:sz w:val="24"/>
          <w:szCs w:val="24"/>
        </w:rPr>
        <w:t>.</w:t>
      </w:r>
      <w:r w:rsidR="00FC5BEB" w:rsidRPr="00FC5BEB">
        <w:rPr>
          <w:sz w:val="24"/>
          <w:szCs w:val="24"/>
        </w:rPr>
        <w:t xml:space="preserve"> </w:t>
      </w:r>
      <w:r w:rsidR="00FC5BEB" w:rsidRPr="00953F4A">
        <w:rPr>
          <w:sz w:val="24"/>
          <w:szCs w:val="24"/>
        </w:rPr>
        <w:t>punktā</w:t>
      </w:r>
      <w:r w:rsidRPr="00953F4A">
        <w:rPr>
          <w:sz w:val="24"/>
          <w:szCs w:val="24"/>
        </w:rPr>
        <w:t xml:space="preserve"> noteiktajām augsti prioritārajām valstīm: Ziemeļvalstīm, Apvienot</w:t>
      </w:r>
      <w:r w:rsidR="00C25E12">
        <w:rPr>
          <w:sz w:val="24"/>
          <w:szCs w:val="24"/>
        </w:rPr>
        <w:t>o Karalist</w:t>
      </w:r>
      <w:r w:rsidRPr="00953F4A">
        <w:rPr>
          <w:sz w:val="24"/>
          <w:szCs w:val="24"/>
        </w:rPr>
        <w:t>i un Vācij</w:t>
      </w:r>
      <w:r w:rsidR="00C25E12">
        <w:rPr>
          <w:sz w:val="24"/>
          <w:szCs w:val="24"/>
        </w:rPr>
        <w:t>u</w:t>
      </w:r>
      <w:r w:rsidRPr="00953F4A">
        <w:rPr>
          <w:sz w:val="24"/>
          <w:szCs w:val="24"/>
        </w:rPr>
        <w:t>.</w:t>
      </w:r>
      <w:r w:rsidR="00AE505F" w:rsidRPr="00AE505F">
        <w:rPr>
          <w:rFonts w:cs="Times New Roman"/>
          <w:color w:val="000000" w:themeColor="text1"/>
          <w:sz w:val="24"/>
          <w:szCs w:val="24"/>
        </w:rPr>
        <w:t xml:space="preserve"> </w:t>
      </w:r>
    </w:p>
    <w:p w14:paraId="6EC975CD" w14:textId="0C1C67B2" w:rsidR="006157F8" w:rsidRPr="006157F8" w:rsidRDefault="00B1038F" w:rsidP="00CE7C7D">
      <w:pPr>
        <w:ind w:firstLine="720"/>
        <w:jc w:val="both"/>
        <w:rPr>
          <w:rFonts w:cs="Times New Roman"/>
          <w:color w:val="000000" w:themeColor="text1"/>
          <w:sz w:val="24"/>
          <w:szCs w:val="24"/>
        </w:rPr>
      </w:pPr>
      <w:r>
        <w:rPr>
          <w:rFonts w:cs="Times New Roman"/>
          <w:color w:val="000000" w:themeColor="text1"/>
          <w:sz w:val="24"/>
          <w:szCs w:val="24"/>
        </w:rPr>
        <w:t>Investīciju piesaistes specifika konkrētajā laika posmā liek izvērtēt investīciju piesaistes metodes un darbību secīb</w:t>
      </w:r>
      <w:r w:rsidR="00E85906">
        <w:rPr>
          <w:rFonts w:cs="Times New Roman"/>
          <w:color w:val="000000" w:themeColor="text1"/>
          <w:sz w:val="24"/>
          <w:szCs w:val="24"/>
        </w:rPr>
        <w:t>u, lai rezultātā tiktu sasniegts</w:t>
      </w:r>
      <w:r>
        <w:rPr>
          <w:rFonts w:cs="Times New Roman"/>
          <w:color w:val="000000" w:themeColor="text1"/>
          <w:sz w:val="24"/>
          <w:szCs w:val="24"/>
        </w:rPr>
        <w:t xml:space="preserve"> pēc iespējas lielāks ĀTI apjoms. </w:t>
      </w:r>
      <w:r w:rsidR="00AE505F">
        <w:rPr>
          <w:rFonts w:cs="Times New Roman"/>
          <w:color w:val="000000" w:themeColor="text1"/>
          <w:sz w:val="24"/>
          <w:szCs w:val="24"/>
        </w:rPr>
        <w:t>Izprotot, ka 2015.gada lielāko ĀTI segmentu pasaulē veido investor</w:t>
      </w:r>
      <w:r w:rsidR="00C25E12">
        <w:rPr>
          <w:rFonts w:cs="Times New Roman"/>
          <w:color w:val="000000" w:themeColor="text1"/>
          <w:sz w:val="24"/>
          <w:szCs w:val="24"/>
        </w:rPr>
        <w:t>u aktivitātes</w:t>
      </w:r>
      <w:r w:rsidR="00AE505F">
        <w:rPr>
          <w:rFonts w:cs="Times New Roman"/>
          <w:color w:val="000000" w:themeColor="text1"/>
          <w:sz w:val="24"/>
          <w:szCs w:val="24"/>
        </w:rPr>
        <w:t xml:space="preserve">, kas paplašina savu darbību jau esošajās atrašanās vietās, LIAA proaktīvās darbības </w:t>
      </w:r>
      <w:r w:rsidR="00C25E12">
        <w:rPr>
          <w:rFonts w:cs="Times New Roman"/>
          <w:color w:val="000000" w:themeColor="text1"/>
          <w:sz w:val="24"/>
          <w:szCs w:val="24"/>
        </w:rPr>
        <w:t>nepieciešams</w:t>
      </w:r>
      <w:r w:rsidR="00AE505F">
        <w:rPr>
          <w:rFonts w:cs="Times New Roman"/>
          <w:color w:val="000000" w:themeColor="text1"/>
          <w:sz w:val="24"/>
          <w:szCs w:val="24"/>
        </w:rPr>
        <w:t xml:space="preserve"> </w:t>
      </w:r>
      <w:r w:rsidR="00C25E12">
        <w:rPr>
          <w:rFonts w:cs="Times New Roman"/>
          <w:color w:val="000000" w:themeColor="text1"/>
          <w:sz w:val="24"/>
          <w:szCs w:val="24"/>
        </w:rPr>
        <w:t>pakārtot</w:t>
      </w:r>
      <w:r w:rsidR="00AE505F">
        <w:rPr>
          <w:rFonts w:cs="Times New Roman"/>
          <w:color w:val="000000" w:themeColor="text1"/>
          <w:sz w:val="24"/>
          <w:szCs w:val="24"/>
        </w:rPr>
        <w:t xml:space="preserve"> </w:t>
      </w:r>
      <w:r w:rsidR="00FC5BEB">
        <w:rPr>
          <w:rFonts w:cs="Times New Roman"/>
          <w:color w:val="000000" w:themeColor="text1"/>
          <w:sz w:val="24"/>
          <w:szCs w:val="24"/>
        </w:rPr>
        <w:t>iepriekš</w:t>
      </w:r>
      <w:r w:rsidR="00AE505F">
        <w:rPr>
          <w:rFonts w:cs="Times New Roman"/>
          <w:color w:val="000000" w:themeColor="text1"/>
          <w:sz w:val="24"/>
          <w:szCs w:val="24"/>
        </w:rPr>
        <w:t xml:space="preserve"> minētajām aktivitātēm un jāveic saskaņā ar ĀTI mērķa valstīm un nozarēm</w:t>
      </w:r>
      <w:r w:rsidR="00CE7C7D" w:rsidRPr="0095397B">
        <w:rPr>
          <w:rStyle w:val="FootnoteReference"/>
          <w:rFonts w:cs="Times New Roman"/>
        </w:rPr>
        <w:footnoteReference w:id="20"/>
      </w:r>
      <w:r w:rsidR="00AE505F">
        <w:rPr>
          <w:rFonts w:cs="Times New Roman"/>
          <w:color w:val="000000" w:themeColor="text1"/>
          <w:sz w:val="24"/>
          <w:szCs w:val="24"/>
        </w:rPr>
        <w:t xml:space="preserve">. Būtiski </w:t>
      </w:r>
      <w:r>
        <w:rPr>
          <w:rFonts w:cs="Times New Roman"/>
          <w:color w:val="000000" w:themeColor="text1"/>
          <w:sz w:val="24"/>
          <w:szCs w:val="24"/>
        </w:rPr>
        <w:t xml:space="preserve"> lielāko LIAA investīciju piesaistes resursu daļu veltīt jau esošo ārvalstu investoru pēc-</w:t>
      </w:r>
      <w:r w:rsidR="00AE505F">
        <w:rPr>
          <w:rFonts w:cs="Times New Roman"/>
          <w:color w:val="000000" w:themeColor="text1"/>
          <w:sz w:val="24"/>
          <w:szCs w:val="24"/>
        </w:rPr>
        <w:t>apkalpošanas aktivitātēm</w:t>
      </w:r>
      <w:r>
        <w:rPr>
          <w:rFonts w:cs="Times New Roman"/>
          <w:color w:val="000000" w:themeColor="text1"/>
          <w:sz w:val="24"/>
          <w:szCs w:val="24"/>
        </w:rPr>
        <w:t xml:space="preserve">, kā arī reaktīvam darbam, atbildot potenciālo investoru interesei, kas jau pieņēmuši lēmumu </w:t>
      </w:r>
      <w:r w:rsidR="00E85906">
        <w:rPr>
          <w:rFonts w:cs="Times New Roman"/>
          <w:color w:val="000000" w:themeColor="text1"/>
          <w:sz w:val="24"/>
          <w:szCs w:val="24"/>
        </w:rPr>
        <w:t>potenciāli investēt</w:t>
      </w:r>
      <w:r>
        <w:rPr>
          <w:rFonts w:cs="Times New Roman"/>
          <w:color w:val="000000" w:themeColor="text1"/>
          <w:sz w:val="24"/>
          <w:szCs w:val="24"/>
        </w:rPr>
        <w:t xml:space="preserve"> Latvij</w:t>
      </w:r>
      <w:r w:rsidR="00E85906">
        <w:rPr>
          <w:rFonts w:cs="Times New Roman"/>
          <w:color w:val="000000" w:themeColor="text1"/>
          <w:sz w:val="24"/>
          <w:szCs w:val="24"/>
        </w:rPr>
        <w:t>ā</w:t>
      </w:r>
      <w:r>
        <w:rPr>
          <w:rFonts w:cs="Times New Roman"/>
          <w:color w:val="000000" w:themeColor="text1"/>
          <w:sz w:val="24"/>
          <w:szCs w:val="24"/>
        </w:rPr>
        <w:t xml:space="preserve">. Šādas aktivitātes pastarpināti veicinātu arī Latvijas investīciju problēmjautājumu sakārtošanu, būtiski palielinot POLARIS metodoloģijas nozīmi investīciju vides sakārtošanā. </w:t>
      </w:r>
      <w:bookmarkStart w:id="31" w:name="_Toc448153699"/>
      <w:bookmarkStart w:id="32" w:name="_Toc448154084"/>
      <w:r w:rsidR="00FC5BEB">
        <w:rPr>
          <w:rFonts w:cs="Times New Roman"/>
          <w:color w:val="000000" w:themeColor="text1"/>
          <w:sz w:val="24"/>
          <w:szCs w:val="24"/>
        </w:rPr>
        <w:tab/>
      </w:r>
      <w:r w:rsidR="00FC5BEB">
        <w:rPr>
          <w:rFonts w:cs="Times New Roman"/>
          <w:color w:val="000000" w:themeColor="text1"/>
          <w:sz w:val="24"/>
          <w:szCs w:val="24"/>
        </w:rPr>
        <w:tab/>
      </w:r>
      <w:r w:rsidR="00FF5AEB" w:rsidRPr="00D847C3">
        <w:rPr>
          <w:sz w:val="24"/>
          <w:szCs w:val="24"/>
        </w:rPr>
        <w:t>Ņemot vērā pārskata periodā īstenotās aktivitātes</w:t>
      </w:r>
      <w:r w:rsidR="00FF5AEB">
        <w:rPr>
          <w:sz w:val="24"/>
          <w:szCs w:val="24"/>
        </w:rPr>
        <w:t xml:space="preserve">, </w:t>
      </w:r>
      <w:r w:rsidR="00FF5AEB" w:rsidRPr="00D847C3">
        <w:rPr>
          <w:sz w:val="24"/>
          <w:szCs w:val="24"/>
        </w:rPr>
        <w:t xml:space="preserve">ārvalstu investoru interesi, </w:t>
      </w:r>
      <w:r w:rsidR="00FF5AEB">
        <w:rPr>
          <w:sz w:val="24"/>
          <w:szCs w:val="24"/>
        </w:rPr>
        <w:t>kā arī globālās</w:t>
      </w:r>
      <w:r w:rsidR="00CE7C7D">
        <w:rPr>
          <w:sz w:val="24"/>
          <w:szCs w:val="24"/>
        </w:rPr>
        <w:t xml:space="preserve"> </w:t>
      </w:r>
      <w:r w:rsidR="00FF5AEB">
        <w:rPr>
          <w:sz w:val="24"/>
          <w:szCs w:val="24"/>
        </w:rPr>
        <w:t>tendences investīciju piesaistes jomā</w:t>
      </w:r>
      <w:r w:rsidR="00E50DA8">
        <w:rPr>
          <w:sz w:val="24"/>
          <w:szCs w:val="24"/>
        </w:rPr>
        <w:t>,</w:t>
      </w:r>
      <w:r w:rsidR="00FF5AEB">
        <w:rPr>
          <w:sz w:val="24"/>
          <w:szCs w:val="24"/>
        </w:rPr>
        <w:t xml:space="preserve"> </w:t>
      </w:r>
      <w:r w:rsidR="00FF5AEB" w:rsidRPr="00D847C3">
        <w:rPr>
          <w:sz w:val="24"/>
          <w:szCs w:val="24"/>
        </w:rPr>
        <w:t xml:space="preserve">Pamatnostādņu </w:t>
      </w:r>
      <w:r w:rsidR="00FF5AEB">
        <w:rPr>
          <w:sz w:val="24"/>
          <w:szCs w:val="24"/>
        </w:rPr>
        <w:t>turpmākajā īstenošanas periodā</w:t>
      </w:r>
      <w:r w:rsidR="00FF5AEB" w:rsidRPr="00D847C3">
        <w:rPr>
          <w:sz w:val="24"/>
          <w:szCs w:val="24"/>
        </w:rPr>
        <w:t> </w:t>
      </w:r>
      <w:r w:rsidR="00FF5AEB">
        <w:rPr>
          <w:sz w:val="24"/>
          <w:szCs w:val="24"/>
        </w:rPr>
        <w:t>investīciju prioritātes</w:t>
      </w:r>
      <w:r w:rsidR="00E50DA8">
        <w:rPr>
          <w:sz w:val="24"/>
          <w:szCs w:val="24"/>
        </w:rPr>
        <w:t>,</w:t>
      </w:r>
      <w:r w:rsidR="00FF5AEB">
        <w:rPr>
          <w:sz w:val="24"/>
          <w:szCs w:val="24"/>
        </w:rPr>
        <w:t xml:space="preserve"> </w:t>
      </w:r>
      <w:r w:rsidR="00FF5AEB">
        <w:rPr>
          <w:b/>
          <w:sz w:val="24"/>
          <w:szCs w:val="24"/>
        </w:rPr>
        <w:t>ņemot vērā ierobežoto kapacitāti</w:t>
      </w:r>
      <w:r w:rsidR="00C33384">
        <w:rPr>
          <w:b/>
          <w:sz w:val="24"/>
          <w:szCs w:val="24"/>
        </w:rPr>
        <w:t>,</w:t>
      </w:r>
      <w:r w:rsidR="00FF5AEB" w:rsidRPr="00C25E12">
        <w:rPr>
          <w:b/>
          <w:sz w:val="24"/>
          <w:szCs w:val="24"/>
        </w:rPr>
        <w:t xml:space="preserve"> </w:t>
      </w:r>
      <w:r w:rsidR="00C33384">
        <w:rPr>
          <w:rFonts w:cs="Times New Roman"/>
          <w:color w:val="000000" w:themeColor="text1"/>
          <w:sz w:val="24"/>
          <w:szCs w:val="24"/>
        </w:rPr>
        <w:t xml:space="preserve">prioritāri </w:t>
      </w:r>
      <w:r w:rsidR="00C33384">
        <w:rPr>
          <w:b/>
          <w:sz w:val="24"/>
          <w:szCs w:val="24"/>
        </w:rPr>
        <w:t>tiks īstenota procesu-</w:t>
      </w:r>
      <w:r w:rsidR="00FF5AEB" w:rsidRPr="00C25E12">
        <w:rPr>
          <w:b/>
          <w:sz w:val="24"/>
          <w:szCs w:val="24"/>
        </w:rPr>
        <w:t xml:space="preserve"> orientētā veidā</w:t>
      </w:r>
      <w:bookmarkEnd w:id="31"/>
      <w:bookmarkEnd w:id="32"/>
      <w:r w:rsidR="00C25E12">
        <w:rPr>
          <w:rFonts w:cs="Times New Roman"/>
          <w:b/>
          <w:color w:val="000000" w:themeColor="text1"/>
          <w:sz w:val="24"/>
          <w:szCs w:val="24"/>
        </w:rPr>
        <w:t xml:space="preserve"> </w:t>
      </w:r>
      <w:r w:rsidR="006157F8" w:rsidRPr="006157F8">
        <w:rPr>
          <w:rFonts w:cs="Times New Roman"/>
          <w:color w:val="000000" w:themeColor="text1"/>
          <w:sz w:val="24"/>
          <w:szCs w:val="24"/>
        </w:rPr>
        <w:t>trīs virzienos</w:t>
      </w:r>
      <w:r w:rsidR="00A27BE5">
        <w:rPr>
          <w:rFonts w:cs="Times New Roman"/>
          <w:color w:val="000000" w:themeColor="text1"/>
          <w:sz w:val="24"/>
          <w:szCs w:val="24"/>
        </w:rPr>
        <w:t xml:space="preserve"> (identificētas attēlā)</w:t>
      </w:r>
      <w:r w:rsidR="006157F8" w:rsidRPr="006157F8">
        <w:rPr>
          <w:rFonts w:cs="Times New Roman"/>
          <w:color w:val="000000" w:themeColor="text1"/>
          <w:sz w:val="24"/>
          <w:szCs w:val="24"/>
        </w:rPr>
        <w:t>:</w:t>
      </w:r>
    </w:p>
    <w:p w14:paraId="41B91975" w14:textId="77777777" w:rsidR="00A27BE5" w:rsidRPr="00A27BE5" w:rsidRDefault="006157F8" w:rsidP="008C684D">
      <w:pPr>
        <w:pStyle w:val="ListParagraph"/>
        <w:numPr>
          <w:ilvl w:val="0"/>
          <w:numId w:val="7"/>
        </w:numPr>
        <w:ind w:left="426" w:firstLine="0"/>
        <w:jc w:val="both"/>
        <w:rPr>
          <w:rFonts w:ascii="Times New Roman" w:hAnsi="Times New Roman"/>
          <w:color w:val="000000" w:themeColor="text1"/>
          <w:sz w:val="24"/>
          <w:szCs w:val="24"/>
        </w:rPr>
      </w:pPr>
      <w:r w:rsidRPr="00F87828">
        <w:rPr>
          <w:rFonts w:ascii="Times New Roman" w:hAnsi="Times New Roman"/>
          <w:b/>
          <w:color w:val="000000" w:themeColor="text1"/>
          <w:sz w:val="24"/>
          <w:szCs w:val="24"/>
        </w:rPr>
        <w:t>Investīciju projektu pēcapkalpošanas aktivitātes</w:t>
      </w:r>
    </w:p>
    <w:p w14:paraId="75126B34" w14:textId="60573715" w:rsidR="006157F8" w:rsidRPr="00CE7C7D" w:rsidRDefault="00A27BE5" w:rsidP="00A27BE5">
      <w:pPr>
        <w:ind w:left="426" w:firstLine="294"/>
        <w:jc w:val="both"/>
        <w:rPr>
          <w:color w:val="000000" w:themeColor="text1"/>
          <w:sz w:val="24"/>
          <w:szCs w:val="24"/>
        </w:rPr>
      </w:pPr>
      <w:r w:rsidRPr="00A27BE5">
        <w:rPr>
          <w:color w:val="000000" w:themeColor="text1"/>
          <w:sz w:val="24"/>
          <w:szCs w:val="24"/>
        </w:rPr>
        <w:t xml:space="preserve">Aktivitātes, </w:t>
      </w:r>
      <w:r w:rsidR="006157F8" w:rsidRPr="00A27BE5">
        <w:rPr>
          <w:color w:val="000000" w:themeColor="text1"/>
          <w:sz w:val="24"/>
          <w:szCs w:val="24"/>
        </w:rPr>
        <w:t>kas saistītas ar jau esošo uzņēmumu paplašināšanās iespējām</w:t>
      </w:r>
      <w:r w:rsidR="002B1E7A" w:rsidRPr="00A27BE5">
        <w:rPr>
          <w:color w:val="000000" w:themeColor="text1"/>
          <w:sz w:val="24"/>
          <w:szCs w:val="24"/>
        </w:rPr>
        <w:t xml:space="preserve">, </w:t>
      </w:r>
      <w:r w:rsidRPr="00A27BE5">
        <w:rPr>
          <w:color w:val="000000" w:themeColor="text1"/>
          <w:sz w:val="24"/>
          <w:szCs w:val="24"/>
        </w:rPr>
        <w:t xml:space="preserve">kas vienlaikus var </w:t>
      </w:r>
      <w:r w:rsidR="002B1E7A" w:rsidRPr="00A27BE5">
        <w:rPr>
          <w:color w:val="000000" w:themeColor="text1"/>
          <w:sz w:val="24"/>
          <w:szCs w:val="24"/>
        </w:rPr>
        <w:t xml:space="preserve">sekmēt </w:t>
      </w:r>
      <w:r w:rsidR="00CE7C7D">
        <w:rPr>
          <w:color w:val="000000" w:themeColor="text1"/>
          <w:sz w:val="24"/>
          <w:szCs w:val="24"/>
        </w:rPr>
        <w:t xml:space="preserve">jaunu darbavietu radīšanu. </w:t>
      </w:r>
      <w:r w:rsidR="00CE7C7D" w:rsidRPr="00CE7C7D">
        <w:rPr>
          <w:color w:val="000000" w:themeColor="text1"/>
          <w:sz w:val="24"/>
          <w:szCs w:val="24"/>
        </w:rPr>
        <w:t xml:space="preserve">Izprotot, ka šobrīd pasaules investīciju dinamikā jaunie projekti veido </w:t>
      </w:r>
      <w:r w:rsidR="00C33384">
        <w:rPr>
          <w:color w:val="000000" w:themeColor="text1"/>
          <w:sz w:val="24"/>
          <w:szCs w:val="24"/>
        </w:rPr>
        <w:t>neliela daļa</w:t>
      </w:r>
      <w:r w:rsidR="00CE7C7D" w:rsidRPr="00CE7C7D">
        <w:rPr>
          <w:color w:val="000000" w:themeColor="text1"/>
          <w:sz w:val="24"/>
          <w:szCs w:val="24"/>
        </w:rPr>
        <w:t xml:space="preserve"> no realizētajām investīcijām, bet </w:t>
      </w:r>
      <w:r w:rsidR="00E50DA8">
        <w:rPr>
          <w:color w:val="000000" w:themeColor="text1"/>
          <w:sz w:val="24"/>
          <w:szCs w:val="24"/>
        </w:rPr>
        <w:t xml:space="preserve">lielāko daļu veido </w:t>
      </w:r>
      <w:r w:rsidR="00CE7C7D" w:rsidRPr="00CE7C7D">
        <w:rPr>
          <w:color w:val="000000" w:themeColor="text1"/>
          <w:sz w:val="24"/>
          <w:szCs w:val="24"/>
        </w:rPr>
        <w:t xml:space="preserve">esošo ārvalstu uzņēmēju </w:t>
      </w:r>
      <w:r w:rsidR="00CE7C7D" w:rsidRPr="00CE7C7D">
        <w:rPr>
          <w:color w:val="000000" w:themeColor="text1"/>
          <w:sz w:val="24"/>
          <w:szCs w:val="24"/>
        </w:rPr>
        <w:lastRenderedPageBreak/>
        <w:t>paplašin</w:t>
      </w:r>
      <w:r w:rsidR="00E50DA8">
        <w:rPr>
          <w:color w:val="000000" w:themeColor="text1"/>
          <w:sz w:val="24"/>
          <w:szCs w:val="24"/>
        </w:rPr>
        <w:t xml:space="preserve">āšanās, </w:t>
      </w:r>
      <w:r w:rsidR="00CE7C7D" w:rsidRPr="00CE7C7D">
        <w:rPr>
          <w:color w:val="000000" w:themeColor="text1"/>
          <w:sz w:val="24"/>
          <w:szCs w:val="24"/>
        </w:rPr>
        <w:t>svarīgi minēt, ka pretstatā Pamatnostādnēs minētajam, investīciju projektu pēc-apkalpošana ir izvirzīta kā viena no LIAA darba stratēģiskajām prioritātēm.</w:t>
      </w:r>
    </w:p>
    <w:p w14:paraId="5EA79197" w14:textId="77777777" w:rsidR="00A27BE5" w:rsidRPr="00CE7C7D" w:rsidRDefault="006157F8" w:rsidP="008C684D">
      <w:pPr>
        <w:pStyle w:val="ListParagraph"/>
        <w:numPr>
          <w:ilvl w:val="0"/>
          <w:numId w:val="7"/>
        </w:numPr>
        <w:ind w:left="426" w:firstLine="0"/>
        <w:jc w:val="both"/>
        <w:rPr>
          <w:rFonts w:ascii="Times New Roman" w:hAnsi="Times New Roman"/>
          <w:color w:val="000000" w:themeColor="text1"/>
          <w:sz w:val="24"/>
          <w:szCs w:val="24"/>
        </w:rPr>
      </w:pPr>
      <w:r w:rsidRPr="00CE7C7D">
        <w:rPr>
          <w:rFonts w:ascii="Times New Roman" w:hAnsi="Times New Roman"/>
          <w:b/>
          <w:color w:val="000000" w:themeColor="text1"/>
          <w:sz w:val="24"/>
          <w:szCs w:val="24"/>
        </w:rPr>
        <w:t xml:space="preserve">Reaktīva investīciju projektu </w:t>
      </w:r>
      <w:r w:rsidR="00B1038F" w:rsidRPr="00CE7C7D">
        <w:rPr>
          <w:rFonts w:ascii="Times New Roman" w:hAnsi="Times New Roman"/>
          <w:b/>
          <w:color w:val="000000" w:themeColor="text1"/>
          <w:sz w:val="24"/>
          <w:szCs w:val="24"/>
        </w:rPr>
        <w:t>apkalpošana</w:t>
      </w:r>
    </w:p>
    <w:p w14:paraId="5D8936AE" w14:textId="77777777" w:rsidR="00B1038F" w:rsidRPr="00CE7C7D" w:rsidRDefault="00A27BE5" w:rsidP="00A27BE5">
      <w:pPr>
        <w:ind w:left="426" w:firstLine="294"/>
        <w:jc w:val="both"/>
        <w:rPr>
          <w:color w:val="000000" w:themeColor="text1"/>
          <w:sz w:val="24"/>
          <w:szCs w:val="24"/>
        </w:rPr>
      </w:pPr>
      <w:r w:rsidRPr="00CE7C7D">
        <w:rPr>
          <w:color w:val="000000" w:themeColor="text1"/>
          <w:sz w:val="24"/>
          <w:szCs w:val="24"/>
        </w:rPr>
        <w:t>Aktivitātēs, kas saistītas ar potenciālo investīciju projektu apkalpošanu, vērtējot konkrēto</w:t>
      </w:r>
      <w:r w:rsidR="00B1038F" w:rsidRPr="00CE7C7D">
        <w:rPr>
          <w:color w:val="000000" w:themeColor="text1"/>
          <w:sz w:val="24"/>
          <w:szCs w:val="24"/>
        </w:rPr>
        <w:t xml:space="preserve"> investīciju projektu kvalitātes rādītāj</w:t>
      </w:r>
      <w:r w:rsidR="006157F8" w:rsidRPr="00CE7C7D">
        <w:rPr>
          <w:color w:val="000000" w:themeColor="text1"/>
          <w:sz w:val="24"/>
          <w:szCs w:val="24"/>
        </w:rPr>
        <w:t>us</w:t>
      </w:r>
      <w:r w:rsidR="00B1038F" w:rsidRPr="00CE7C7D">
        <w:rPr>
          <w:color w:val="000000" w:themeColor="text1"/>
          <w:sz w:val="24"/>
          <w:szCs w:val="24"/>
        </w:rPr>
        <w:t xml:space="preserve">, </w:t>
      </w:r>
      <w:r w:rsidR="006157F8" w:rsidRPr="00CE7C7D">
        <w:rPr>
          <w:color w:val="000000" w:themeColor="text1"/>
          <w:sz w:val="24"/>
          <w:szCs w:val="24"/>
        </w:rPr>
        <w:t xml:space="preserve">ietekmi </w:t>
      </w:r>
      <w:r w:rsidR="00B1038F" w:rsidRPr="00CE7C7D">
        <w:rPr>
          <w:color w:val="000000" w:themeColor="text1"/>
          <w:sz w:val="24"/>
          <w:szCs w:val="24"/>
        </w:rPr>
        <w:t xml:space="preserve">uz tautsaimniecību, potenciālo investoru lomu globālajos tirgos, kā arī investīciju apjomu un </w:t>
      </w:r>
      <w:r w:rsidR="006157F8" w:rsidRPr="00CE7C7D">
        <w:rPr>
          <w:color w:val="000000" w:themeColor="text1"/>
          <w:sz w:val="24"/>
          <w:szCs w:val="24"/>
        </w:rPr>
        <w:t xml:space="preserve">jaunradīto </w:t>
      </w:r>
      <w:r w:rsidR="00B1038F" w:rsidRPr="00CE7C7D">
        <w:rPr>
          <w:color w:val="000000" w:themeColor="text1"/>
          <w:sz w:val="24"/>
          <w:szCs w:val="24"/>
        </w:rPr>
        <w:t>darba viet</w:t>
      </w:r>
      <w:r w:rsidR="006157F8" w:rsidRPr="00CE7C7D">
        <w:rPr>
          <w:color w:val="000000" w:themeColor="text1"/>
          <w:sz w:val="24"/>
          <w:szCs w:val="24"/>
        </w:rPr>
        <w:t>u skaitu</w:t>
      </w:r>
      <w:r w:rsidR="00B1038F" w:rsidRPr="00CE7C7D">
        <w:rPr>
          <w:color w:val="000000" w:themeColor="text1"/>
          <w:sz w:val="24"/>
          <w:szCs w:val="24"/>
        </w:rPr>
        <w:t xml:space="preserve">. </w:t>
      </w:r>
    </w:p>
    <w:p w14:paraId="74038F78" w14:textId="77777777" w:rsidR="00E85906" w:rsidRPr="00CE7C7D" w:rsidRDefault="006157F8" w:rsidP="003B02BC">
      <w:pPr>
        <w:pStyle w:val="ListParagraph"/>
        <w:numPr>
          <w:ilvl w:val="0"/>
          <w:numId w:val="7"/>
        </w:numPr>
        <w:ind w:left="426" w:firstLine="0"/>
        <w:jc w:val="both"/>
        <w:rPr>
          <w:color w:val="000000" w:themeColor="text1"/>
          <w:sz w:val="24"/>
          <w:szCs w:val="24"/>
        </w:rPr>
      </w:pPr>
      <w:r w:rsidRPr="00CE7C7D">
        <w:rPr>
          <w:rFonts w:ascii="Times New Roman" w:hAnsi="Times New Roman"/>
          <w:b/>
          <w:color w:val="000000" w:themeColor="text1"/>
          <w:sz w:val="24"/>
          <w:szCs w:val="24"/>
        </w:rPr>
        <w:t>Proaktīvas darbības investīciju piesaistē</w:t>
      </w:r>
      <w:r w:rsidRPr="00CE7C7D">
        <w:rPr>
          <w:rFonts w:ascii="Times New Roman" w:hAnsi="Times New Roman"/>
          <w:color w:val="000000" w:themeColor="text1"/>
          <w:sz w:val="24"/>
          <w:szCs w:val="24"/>
        </w:rPr>
        <w:t xml:space="preserve"> prioritārajās mērķa valstīs</w:t>
      </w:r>
      <w:r w:rsidR="00BC2730" w:rsidRPr="00CE7C7D">
        <w:rPr>
          <w:rFonts w:ascii="Times New Roman" w:hAnsi="Times New Roman"/>
          <w:color w:val="000000" w:themeColor="text1"/>
          <w:sz w:val="24"/>
          <w:szCs w:val="24"/>
        </w:rPr>
        <w:t xml:space="preserve">, </w:t>
      </w:r>
      <w:r w:rsidR="00277B8E" w:rsidRPr="00CE7C7D">
        <w:rPr>
          <w:rFonts w:ascii="Times New Roman" w:hAnsi="Times New Roman"/>
          <w:color w:val="000000" w:themeColor="text1"/>
          <w:sz w:val="24"/>
          <w:szCs w:val="24"/>
        </w:rPr>
        <w:t>kā arī pastarpināti sekundārajās valstīs.</w:t>
      </w:r>
    </w:p>
    <w:p w14:paraId="47A3DBC4" w14:textId="5E1AD961" w:rsidR="00A27BE5" w:rsidRPr="00CE7C7D" w:rsidRDefault="00BC2730" w:rsidP="00CE7C7D">
      <w:pPr>
        <w:pStyle w:val="ListParagraph"/>
        <w:ind w:left="426" w:firstLine="283"/>
        <w:jc w:val="both"/>
        <w:rPr>
          <w:rFonts w:ascii="Times New Roman" w:hAnsi="Times New Roman"/>
          <w:color w:val="000000" w:themeColor="text1"/>
          <w:sz w:val="24"/>
          <w:szCs w:val="24"/>
        </w:rPr>
      </w:pPr>
      <w:r w:rsidRPr="00CE7C7D">
        <w:rPr>
          <w:rFonts w:ascii="Times New Roman" w:hAnsi="Times New Roman"/>
          <w:color w:val="000000" w:themeColor="text1"/>
          <w:sz w:val="24"/>
          <w:szCs w:val="24"/>
        </w:rPr>
        <w:t>Proaktīvas aktivitātes, kas saistītas, pirmkārt, ar stratēģiski nozīmīgu investīciju projektu virzīšanu</w:t>
      </w:r>
      <w:r w:rsidR="00CE7C7D" w:rsidRPr="00CE7C7D">
        <w:rPr>
          <w:rFonts w:ascii="Times New Roman" w:hAnsi="Times New Roman"/>
          <w:color w:val="000000" w:themeColor="text1"/>
          <w:sz w:val="24"/>
          <w:szCs w:val="24"/>
        </w:rPr>
        <w:t xml:space="preserve">, kā arī projektu ģenerēšanu. </w:t>
      </w:r>
      <w:r w:rsidR="00CE7C7D" w:rsidRPr="00200ED4">
        <w:rPr>
          <w:rFonts w:ascii="Times New Roman" w:hAnsi="Times New Roman"/>
          <w:color w:val="000000" w:themeColor="text1"/>
          <w:sz w:val="24"/>
          <w:szCs w:val="24"/>
        </w:rPr>
        <w:t>Vienlaikus plānots izveidot augsta līmeņa</w:t>
      </w:r>
      <w:r w:rsidR="00FB578A" w:rsidRPr="00200ED4">
        <w:rPr>
          <w:rFonts w:ascii="Times New Roman" w:hAnsi="Times New Roman"/>
          <w:color w:val="000000" w:themeColor="text1"/>
          <w:sz w:val="24"/>
          <w:szCs w:val="24"/>
        </w:rPr>
        <w:t xml:space="preserve"> (VS, VSV līmenis)</w:t>
      </w:r>
      <w:r w:rsidR="00CE7C7D" w:rsidRPr="00200ED4">
        <w:rPr>
          <w:rFonts w:ascii="Times New Roman" w:hAnsi="Times New Roman"/>
          <w:color w:val="000000" w:themeColor="text1"/>
          <w:sz w:val="24"/>
          <w:szCs w:val="24"/>
        </w:rPr>
        <w:t xml:space="preserve"> darba grupu POLARIS padomes ietvaros darbam ar stratēģiska līmeņa investīciju projektiem.</w:t>
      </w:r>
    </w:p>
    <w:p w14:paraId="7432BAB4" w14:textId="77777777" w:rsidR="00E85906" w:rsidRPr="00E85906" w:rsidRDefault="00A27BE5" w:rsidP="00E85906">
      <w:pPr>
        <w:jc w:val="both"/>
        <w:rPr>
          <w:color w:val="000000" w:themeColor="text1"/>
          <w:sz w:val="24"/>
          <w:szCs w:val="24"/>
        </w:rPr>
      </w:pPr>
      <w:r>
        <w:rPr>
          <w:noProof/>
          <w:lang w:eastAsia="lv-LV"/>
        </w:rPr>
        <w:drawing>
          <wp:inline distT="0" distB="0" distL="0" distR="0" wp14:anchorId="7A9E1737" wp14:editId="1DED821B">
            <wp:extent cx="6210935" cy="2115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0935" cy="2115820"/>
                    </a:xfrm>
                    <a:prstGeom prst="rect">
                      <a:avLst/>
                    </a:prstGeom>
                  </pic:spPr>
                </pic:pic>
              </a:graphicData>
            </a:graphic>
          </wp:inline>
        </w:drawing>
      </w:r>
    </w:p>
    <w:p w14:paraId="593176B0" w14:textId="77777777" w:rsidR="002B1E7A" w:rsidRPr="00F87828" w:rsidRDefault="002E4B1F" w:rsidP="00F87828">
      <w:pPr>
        <w:jc w:val="both"/>
        <w:rPr>
          <w:sz w:val="24"/>
          <w:szCs w:val="24"/>
        </w:rPr>
      </w:pPr>
      <w:r w:rsidRPr="00953F4A">
        <w:rPr>
          <w:rFonts w:cs="Times New Roman"/>
          <w:color w:val="000000" w:themeColor="text1"/>
          <w:sz w:val="24"/>
          <w:szCs w:val="24"/>
        </w:rPr>
        <w:tab/>
      </w:r>
      <w:r w:rsidR="002B1E7A" w:rsidRPr="00F87828">
        <w:rPr>
          <w:sz w:val="24"/>
          <w:szCs w:val="24"/>
        </w:rPr>
        <w:t>Investīciju piesaistes aktivitātes 2016.-2019.gadā tiks turpinātas identificētajās mērķa valstīs un nozarēs</w:t>
      </w:r>
      <w:r w:rsidR="00FF5AEB">
        <w:rPr>
          <w:sz w:val="24"/>
          <w:szCs w:val="24"/>
        </w:rPr>
        <w:t>,</w:t>
      </w:r>
      <w:r w:rsidR="002B1E7A" w:rsidRPr="00F87828">
        <w:rPr>
          <w:sz w:val="24"/>
          <w:szCs w:val="24"/>
        </w:rPr>
        <w:t xml:space="preserve"> prioritāri orientējoties uz:</w:t>
      </w:r>
    </w:p>
    <w:p w14:paraId="59A31BF9" w14:textId="36A49C5F" w:rsidR="002B1E7A" w:rsidRPr="00F87828" w:rsidRDefault="00953F4A" w:rsidP="008C684D">
      <w:pPr>
        <w:pStyle w:val="ListParagraph"/>
        <w:numPr>
          <w:ilvl w:val="0"/>
          <w:numId w:val="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globālo</w:t>
      </w:r>
      <w:r w:rsidRPr="00F87828">
        <w:rPr>
          <w:rFonts w:ascii="Times New Roman" w:hAnsi="Times New Roman"/>
          <w:sz w:val="24"/>
          <w:szCs w:val="24"/>
        </w:rPr>
        <w:t xml:space="preserve"> </w:t>
      </w:r>
      <w:r w:rsidR="002B1E7A" w:rsidRPr="00F87828">
        <w:rPr>
          <w:rFonts w:ascii="Times New Roman" w:hAnsi="Times New Roman"/>
          <w:sz w:val="24"/>
          <w:szCs w:val="24"/>
        </w:rPr>
        <w:t xml:space="preserve">biznesa </w:t>
      </w:r>
      <w:r w:rsidRPr="00F87828">
        <w:rPr>
          <w:rFonts w:ascii="Times New Roman" w:hAnsi="Times New Roman"/>
          <w:sz w:val="24"/>
          <w:szCs w:val="24"/>
        </w:rPr>
        <w:t>pakalpojum</w:t>
      </w:r>
      <w:r>
        <w:rPr>
          <w:rFonts w:ascii="Times New Roman" w:hAnsi="Times New Roman"/>
          <w:sz w:val="24"/>
          <w:szCs w:val="24"/>
        </w:rPr>
        <w:t>u</w:t>
      </w:r>
      <w:r w:rsidRPr="00F87828">
        <w:rPr>
          <w:rFonts w:ascii="Times New Roman" w:hAnsi="Times New Roman"/>
          <w:sz w:val="24"/>
          <w:szCs w:val="24"/>
        </w:rPr>
        <w:t xml:space="preserve"> </w:t>
      </w:r>
      <w:r w:rsidR="00C33384">
        <w:rPr>
          <w:rFonts w:ascii="Times New Roman" w:hAnsi="Times New Roman"/>
          <w:sz w:val="24"/>
          <w:szCs w:val="24"/>
        </w:rPr>
        <w:t>(</w:t>
      </w:r>
      <w:r w:rsidR="002B1E7A" w:rsidRPr="00F87828">
        <w:rPr>
          <w:rFonts w:ascii="Times New Roman" w:hAnsi="Times New Roman"/>
          <w:sz w:val="24"/>
          <w:szCs w:val="24"/>
        </w:rPr>
        <w:t>ārpakalpojumu</w:t>
      </w:r>
      <w:r w:rsidR="00C33384">
        <w:rPr>
          <w:rFonts w:ascii="Times New Roman" w:hAnsi="Times New Roman"/>
          <w:sz w:val="24"/>
          <w:szCs w:val="24"/>
        </w:rPr>
        <w:t>)</w:t>
      </w:r>
      <w:r w:rsidR="002B1E7A" w:rsidRPr="00F87828">
        <w:rPr>
          <w:rFonts w:ascii="Times New Roman" w:hAnsi="Times New Roman"/>
          <w:sz w:val="24"/>
          <w:szCs w:val="24"/>
        </w:rPr>
        <w:t xml:space="preserve"> centru</w:t>
      </w:r>
      <w:r w:rsidR="00C33384">
        <w:rPr>
          <w:rFonts w:ascii="Times New Roman" w:hAnsi="Times New Roman"/>
          <w:sz w:val="24"/>
          <w:szCs w:val="24"/>
        </w:rPr>
        <w:t xml:space="preserve"> (</w:t>
      </w:r>
      <w:r w:rsidR="002B1E7A" w:rsidRPr="00C33384">
        <w:rPr>
          <w:rFonts w:ascii="Times New Roman" w:hAnsi="Times New Roman"/>
          <w:i/>
          <w:sz w:val="24"/>
          <w:szCs w:val="24"/>
          <w:lang w:val="en-US"/>
        </w:rPr>
        <w:t>business process outsourcing</w:t>
      </w:r>
      <w:r w:rsidR="00C33384">
        <w:rPr>
          <w:rFonts w:ascii="Times New Roman" w:hAnsi="Times New Roman"/>
          <w:sz w:val="24"/>
          <w:szCs w:val="24"/>
        </w:rPr>
        <w:t>) un dalīto pakalpojumu centru (</w:t>
      </w:r>
      <w:r w:rsidR="00C33384" w:rsidRPr="00C33384">
        <w:rPr>
          <w:rFonts w:ascii="Times New Roman" w:hAnsi="Times New Roman"/>
          <w:i/>
          <w:sz w:val="24"/>
          <w:szCs w:val="24"/>
          <w:lang w:val="en-US"/>
        </w:rPr>
        <w:t>shared service center</w:t>
      </w:r>
      <w:r w:rsidR="00C33384">
        <w:rPr>
          <w:rFonts w:ascii="Times New Roman" w:hAnsi="Times New Roman"/>
          <w:sz w:val="24"/>
          <w:szCs w:val="24"/>
        </w:rPr>
        <w:t xml:space="preserve">) </w:t>
      </w:r>
      <w:r w:rsidR="00C33384" w:rsidRPr="00F87828">
        <w:rPr>
          <w:rFonts w:ascii="Times New Roman" w:hAnsi="Times New Roman"/>
          <w:sz w:val="24"/>
          <w:szCs w:val="24"/>
        </w:rPr>
        <w:t>izveidi</w:t>
      </w:r>
      <w:r w:rsidR="002B1E7A" w:rsidRPr="00F87828">
        <w:rPr>
          <w:rFonts w:ascii="Times New Roman" w:hAnsi="Times New Roman"/>
          <w:sz w:val="24"/>
          <w:szCs w:val="24"/>
        </w:rPr>
        <w:t>;</w:t>
      </w:r>
    </w:p>
    <w:p w14:paraId="6174F7B9" w14:textId="77777777" w:rsidR="002B1E7A" w:rsidRPr="00F87828" w:rsidRDefault="002B1E7A" w:rsidP="008C684D">
      <w:pPr>
        <w:pStyle w:val="ListParagraph"/>
        <w:numPr>
          <w:ilvl w:val="0"/>
          <w:numId w:val="5"/>
        </w:numPr>
        <w:autoSpaceDE w:val="0"/>
        <w:autoSpaceDN w:val="0"/>
        <w:adjustRightInd w:val="0"/>
        <w:spacing w:line="240" w:lineRule="auto"/>
        <w:jc w:val="both"/>
        <w:rPr>
          <w:rFonts w:ascii="Times New Roman" w:hAnsi="Times New Roman"/>
          <w:sz w:val="24"/>
          <w:szCs w:val="24"/>
        </w:rPr>
      </w:pPr>
      <w:r w:rsidRPr="00F87828">
        <w:rPr>
          <w:rFonts w:ascii="Times New Roman" w:hAnsi="Times New Roman"/>
          <w:sz w:val="24"/>
          <w:szCs w:val="24"/>
        </w:rPr>
        <w:t xml:space="preserve">metālapstrādes un mašīnbūves </w:t>
      </w:r>
      <w:r w:rsidR="00A73569">
        <w:rPr>
          <w:rFonts w:ascii="Times New Roman" w:hAnsi="Times New Roman"/>
          <w:sz w:val="24"/>
          <w:szCs w:val="24"/>
        </w:rPr>
        <w:t xml:space="preserve"> </w:t>
      </w:r>
      <w:r w:rsidRPr="00F87828">
        <w:rPr>
          <w:rFonts w:ascii="Times New Roman" w:hAnsi="Times New Roman"/>
          <w:sz w:val="24"/>
          <w:szCs w:val="24"/>
        </w:rPr>
        <w:t xml:space="preserve">un kokrūpniecības nozarēm (t.sk. koksnes </w:t>
      </w:r>
      <w:r w:rsidR="00953F4A" w:rsidRPr="00F87828">
        <w:rPr>
          <w:rFonts w:ascii="Times New Roman" w:hAnsi="Times New Roman"/>
          <w:sz w:val="24"/>
          <w:szCs w:val="24"/>
        </w:rPr>
        <w:t>enerģētik</w:t>
      </w:r>
      <w:r w:rsidR="00953F4A">
        <w:rPr>
          <w:rFonts w:ascii="Times New Roman" w:hAnsi="Times New Roman"/>
          <w:sz w:val="24"/>
          <w:szCs w:val="24"/>
        </w:rPr>
        <w:t>u</w:t>
      </w:r>
      <w:r w:rsidR="00953F4A" w:rsidRPr="00F87828">
        <w:rPr>
          <w:rFonts w:ascii="Times New Roman" w:hAnsi="Times New Roman"/>
          <w:sz w:val="24"/>
          <w:szCs w:val="24"/>
        </w:rPr>
        <w:t xml:space="preserve"> </w:t>
      </w:r>
      <w:r w:rsidRPr="00F87828">
        <w:rPr>
          <w:rFonts w:ascii="Times New Roman" w:hAnsi="Times New Roman"/>
          <w:sz w:val="24"/>
          <w:szCs w:val="24"/>
        </w:rPr>
        <w:t xml:space="preserve">un </w:t>
      </w:r>
      <w:r w:rsidR="00953F4A" w:rsidRPr="00F87828">
        <w:rPr>
          <w:rFonts w:ascii="Times New Roman" w:hAnsi="Times New Roman"/>
          <w:sz w:val="24"/>
          <w:szCs w:val="24"/>
        </w:rPr>
        <w:t>biomas</w:t>
      </w:r>
      <w:r w:rsidR="00953F4A">
        <w:rPr>
          <w:rFonts w:ascii="Times New Roman" w:hAnsi="Times New Roman"/>
          <w:sz w:val="24"/>
          <w:szCs w:val="24"/>
        </w:rPr>
        <w:t>u</w:t>
      </w:r>
      <w:r w:rsidRPr="00F87828">
        <w:rPr>
          <w:rFonts w:ascii="Times New Roman" w:hAnsi="Times New Roman"/>
          <w:sz w:val="24"/>
          <w:szCs w:val="24"/>
        </w:rPr>
        <w:t xml:space="preserve">); </w:t>
      </w:r>
    </w:p>
    <w:p w14:paraId="26A6B5D8" w14:textId="04607BCB" w:rsidR="002B1E7A" w:rsidRDefault="002B1E7A" w:rsidP="00CE7C7D">
      <w:pPr>
        <w:autoSpaceDE w:val="0"/>
        <w:autoSpaceDN w:val="0"/>
        <w:adjustRightInd w:val="0"/>
        <w:ind w:firstLine="360"/>
        <w:jc w:val="both"/>
        <w:rPr>
          <w:sz w:val="8"/>
          <w:szCs w:val="8"/>
        </w:rPr>
      </w:pPr>
      <w:r w:rsidRPr="00F87828">
        <w:rPr>
          <w:sz w:val="24"/>
          <w:szCs w:val="24"/>
        </w:rPr>
        <w:t>Īpaša uzmanība pievēršama darbam ar perspektīvajiem nozaru nišu produktiem</w:t>
      </w:r>
      <w:r w:rsidR="00FB578A">
        <w:rPr>
          <w:sz w:val="24"/>
          <w:szCs w:val="24"/>
        </w:rPr>
        <w:t xml:space="preserve">. </w:t>
      </w:r>
      <w:r w:rsidRPr="00F87828">
        <w:rPr>
          <w:sz w:val="24"/>
          <w:szCs w:val="24"/>
        </w:rPr>
        <w:t>Nozaru perspektīva prioritārajās valstīs tiks pārskatīta, veicot nozaru ekonomiskos pētījumus</w:t>
      </w:r>
      <w:r w:rsidR="00C33384">
        <w:rPr>
          <w:sz w:val="24"/>
          <w:szCs w:val="24"/>
        </w:rPr>
        <w:t xml:space="preserve"> (ar </w:t>
      </w:r>
      <w:r w:rsidR="00C33384" w:rsidRPr="00C33384">
        <w:rPr>
          <w:i/>
          <w:sz w:val="24"/>
          <w:szCs w:val="24"/>
          <w:lang w:val="en-US"/>
        </w:rPr>
        <w:t>foresight</w:t>
      </w:r>
      <w:r w:rsidR="00C33384">
        <w:rPr>
          <w:sz w:val="24"/>
          <w:szCs w:val="24"/>
        </w:rPr>
        <w:t xml:space="preserve"> metodi)</w:t>
      </w:r>
      <w:r w:rsidR="00E50DA8">
        <w:rPr>
          <w:sz w:val="24"/>
          <w:szCs w:val="24"/>
        </w:rPr>
        <w:t xml:space="preserve"> </w:t>
      </w:r>
      <w:r w:rsidR="00E50DA8" w:rsidRPr="00E50DA8">
        <w:rPr>
          <w:sz w:val="24"/>
          <w:szCs w:val="24"/>
        </w:rPr>
        <w:t>"Darbības programmas "Izaugsme un nodarbinātība" 1.2.1.specifiskā atbalsta mērķa "Palielināt privātā sektora investīcijas P&amp;A"" 1.2.1.2.pasākuma "Atbalsts tehnoloģiju pārneses sistēmas pilnveidošanai"</w:t>
      </w:r>
      <w:r w:rsidR="00E50DA8">
        <w:rPr>
          <w:sz w:val="24"/>
          <w:szCs w:val="24"/>
        </w:rPr>
        <w:t xml:space="preserve"> ietvaros.</w:t>
      </w:r>
    </w:p>
    <w:p w14:paraId="649AE5D3" w14:textId="77777777" w:rsidR="00CE7C7D" w:rsidRPr="00CE7C7D" w:rsidRDefault="00CE7C7D" w:rsidP="00CE7C7D">
      <w:pPr>
        <w:autoSpaceDE w:val="0"/>
        <w:autoSpaceDN w:val="0"/>
        <w:adjustRightInd w:val="0"/>
        <w:ind w:firstLine="360"/>
        <w:jc w:val="both"/>
        <w:rPr>
          <w:sz w:val="8"/>
          <w:szCs w:val="8"/>
        </w:rPr>
      </w:pPr>
    </w:p>
    <w:p w14:paraId="256FBEFF" w14:textId="77777777" w:rsidR="00FF5AEB" w:rsidRPr="00FF5AEB" w:rsidRDefault="00FF5AEB" w:rsidP="00FF5AEB">
      <w:pPr>
        <w:shd w:val="clear" w:color="auto" w:fill="C9C9C9" w:themeFill="accent3" w:themeFillTint="99"/>
        <w:autoSpaceDE w:val="0"/>
        <w:autoSpaceDN w:val="0"/>
        <w:adjustRightInd w:val="0"/>
        <w:jc w:val="both"/>
        <w:rPr>
          <w:b/>
          <w:sz w:val="24"/>
          <w:szCs w:val="24"/>
        </w:rPr>
      </w:pPr>
      <w:r w:rsidRPr="00FF5AEB">
        <w:rPr>
          <w:b/>
          <w:sz w:val="24"/>
          <w:szCs w:val="24"/>
        </w:rPr>
        <w:t>POLARIS procesa uzlabošana</w:t>
      </w:r>
    </w:p>
    <w:p w14:paraId="4AFF1354" w14:textId="32C83B0F" w:rsidR="00FF5AEB" w:rsidRDefault="00FF5AEB" w:rsidP="00FF5AEB">
      <w:pPr>
        <w:autoSpaceDE w:val="0"/>
        <w:autoSpaceDN w:val="0"/>
        <w:adjustRightInd w:val="0"/>
        <w:ind w:firstLine="360"/>
        <w:jc w:val="both"/>
        <w:rPr>
          <w:sz w:val="24"/>
          <w:szCs w:val="24"/>
        </w:rPr>
      </w:pPr>
      <w:r w:rsidRPr="0095397B">
        <w:rPr>
          <w:sz w:val="24"/>
          <w:szCs w:val="24"/>
        </w:rPr>
        <w:t xml:space="preserve">2010.gadā tika izstrādāta </w:t>
      </w:r>
      <w:r>
        <w:rPr>
          <w:sz w:val="24"/>
          <w:szCs w:val="24"/>
        </w:rPr>
        <w:t xml:space="preserve">POLARIS procesa </w:t>
      </w:r>
      <w:r w:rsidRPr="0095397B">
        <w:rPr>
          <w:sz w:val="24"/>
          <w:szCs w:val="24"/>
        </w:rPr>
        <w:t>metodika mērķtiecīgai investīciju piesaistei</w:t>
      </w:r>
      <w:r>
        <w:rPr>
          <w:sz w:val="24"/>
          <w:szCs w:val="24"/>
        </w:rPr>
        <w:t xml:space="preserve">, kas </w:t>
      </w:r>
      <w:r w:rsidRPr="0095397B">
        <w:rPr>
          <w:sz w:val="24"/>
          <w:szCs w:val="24"/>
        </w:rPr>
        <w:t>balstās uz koordinētu sadarbību starp Latvijas valsts, pašvaldību iestādēm, privāta sektora pārstāvjiem un</w:t>
      </w:r>
      <w:r>
        <w:rPr>
          <w:sz w:val="24"/>
          <w:szCs w:val="24"/>
        </w:rPr>
        <w:t xml:space="preserve"> zinātniska sektoru pārstāvjiem. Izpildot </w:t>
      </w:r>
      <w:r w:rsidR="00FC287C">
        <w:rPr>
          <w:sz w:val="24"/>
          <w:szCs w:val="24"/>
        </w:rPr>
        <w:t xml:space="preserve">Ministru kabineta </w:t>
      </w:r>
      <w:r w:rsidR="00FB578A" w:rsidRPr="00CE7C7D">
        <w:rPr>
          <w:sz w:val="24"/>
          <w:szCs w:val="24"/>
        </w:rPr>
        <w:t xml:space="preserve">2016. gada 3. </w:t>
      </w:r>
      <w:r w:rsidR="00FB578A">
        <w:rPr>
          <w:sz w:val="24"/>
          <w:szCs w:val="24"/>
        </w:rPr>
        <w:t xml:space="preserve">maija </w:t>
      </w:r>
      <w:r w:rsidR="00FC287C">
        <w:rPr>
          <w:sz w:val="24"/>
          <w:szCs w:val="24"/>
        </w:rPr>
        <w:t>rīkojuma</w:t>
      </w:r>
      <w:r w:rsidR="00CE7C7D" w:rsidRPr="00CE7C7D">
        <w:rPr>
          <w:sz w:val="24"/>
          <w:szCs w:val="24"/>
        </w:rPr>
        <w:t xml:space="preserve"> Nr. 275 "Par Valdības rīcības plānu Deklarācijas par Māra Kučinska vadītā Ministru kabineta iecerēto darbību īstenošanai"</w:t>
      </w:r>
      <w:r w:rsidR="00FC287C">
        <w:rPr>
          <w:sz w:val="24"/>
          <w:szCs w:val="24"/>
        </w:rPr>
        <w:t xml:space="preserve"> (turpmāk – VRP)</w:t>
      </w:r>
      <w:r w:rsidR="00CE7C7D" w:rsidRPr="00CE7C7D">
        <w:rPr>
          <w:sz w:val="24"/>
          <w:szCs w:val="24"/>
        </w:rPr>
        <w:t xml:space="preserve"> </w:t>
      </w:r>
      <w:r>
        <w:rPr>
          <w:sz w:val="24"/>
          <w:szCs w:val="24"/>
        </w:rPr>
        <w:t xml:space="preserve">1.2. </w:t>
      </w:r>
      <w:r w:rsidR="00FB578A">
        <w:rPr>
          <w:sz w:val="24"/>
          <w:szCs w:val="24"/>
        </w:rPr>
        <w:t xml:space="preserve">punktā </w:t>
      </w:r>
      <w:r>
        <w:rPr>
          <w:sz w:val="24"/>
          <w:szCs w:val="24"/>
        </w:rPr>
        <w:t>noteikto, nepieciešama investīciju piesaistes procesa pilnveidošana.</w:t>
      </w:r>
    </w:p>
    <w:p w14:paraId="406F3D9C" w14:textId="3703D0A4" w:rsidR="00C33384" w:rsidRDefault="00FF5AEB" w:rsidP="00FF5AEB">
      <w:pPr>
        <w:autoSpaceDE w:val="0"/>
        <w:autoSpaceDN w:val="0"/>
        <w:adjustRightInd w:val="0"/>
        <w:ind w:firstLine="360"/>
        <w:jc w:val="both"/>
        <w:rPr>
          <w:rFonts w:cs="Times New Roman"/>
          <w:color w:val="000000" w:themeColor="text1"/>
          <w:sz w:val="24"/>
          <w:szCs w:val="24"/>
        </w:rPr>
      </w:pPr>
      <w:r w:rsidRPr="0095397B">
        <w:rPr>
          <w:rFonts w:cs="Times New Roman"/>
          <w:color w:val="000000" w:themeColor="text1"/>
          <w:sz w:val="24"/>
          <w:szCs w:val="24"/>
        </w:rPr>
        <w:t xml:space="preserve">Saskaņā ar </w:t>
      </w:r>
      <w:r w:rsidR="00FC287C">
        <w:rPr>
          <w:rFonts w:cs="Times New Roman"/>
          <w:color w:val="000000" w:themeColor="text1"/>
          <w:sz w:val="24"/>
          <w:szCs w:val="24"/>
        </w:rPr>
        <w:t>VRP</w:t>
      </w:r>
      <w:r w:rsidRPr="0095397B">
        <w:rPr>
          <w:rFonts w:cs="Times New Roman"/>
          <w:color w:val="000000" w:themeColor="text1"/>
          <w:sz w:val="24"/>
          <w:szCs w:val="24"/>
        </w:rPr>
        <w:t xml:space="preserve"> </w:t>
      </w:r>
      <w:r>
        <w:rPr>
          <w:rFonts w:cs="Times New Roman"/>
          <w:color w:val="000000" w:themeColor="text1"/>
          <w:sz w:val="24"/>
          <w:szCs w:val="24"/>
        </w:rPr>
        <w:t>2.</w:t>
      </w:r>
      <w:r w:rsidRPr="0095397B">
        <w:rPr>
          <w:rFonts w:cs="Times New Roman"/>
          <w:color w:val="000000" w:themeColor="text1"/>
          <w:sz w:val="24"/>
          <w:szCs w:val="24"/>
        </w:rPr>
        <w:t>1.punktā noteikto, efektīvākai investīciju piesaistes nodrošināšanai, līdz 201</w:t>
      </w:r>
      <w:r>
        <w:rPr>
          <w:rFonts w:cs="Times New Roman"/>
          <w:color w:val="000000" w:themeColor="text1"/>
          <w:sz w:val="24"/>
          <w:szCs w:val="24"/>
        </w:rPr>
        <w:t>7</w:t>
      </w:r>
      <w:r w:rsidRPr="0095397B">
        <w:rPr>
          <w:rFonts w:cs="Times New Roman"/>
          <w:color w:val="000000" w:themeColor="text1"/>
          <w:sz w:val="24"/>
          <w:szCs w:val="24"/>
        </w:rPr>
        <w:t xml:space="preserve">.gada </w:t>
      </w:r>
      <w:r>
        <w:rPr>
          <w:rFonts w:cs="Times New Roman"/>
          <w:color w:val="000000" w:themeColor="text1"/>
          <w:sz w:val="24"/>
          <w:szCs w:val="24"/>
        </w:rPr>
        <w:t>vidum</w:t>
      </w:r>
      <w:r w:rsidRPr="0095397B">
        <w:rPr>
          <w:rFonts w:cs="Times New Roman"/>
          <w:color w:val="000000" w:themeColor="text1"/>
          <w:sz w:val="24"/>
          <w:szCs w:val="24"/>
        </w:rPr>
        <w:t xml:space="preserve"> plānots izvērtēt potenciālos tautsaimniecības sektorus investīciju piesaistē, identificējot</w:t>
      </w:r>
      <w:r>
        <w:rPr>
          <w:rFonts w:cs="Times New Roman"/>
          <w:color w:val="000000" w:themeColor="text1"/>
          <w:sz w:val="24"/>
          <w:szCs w:val="24"/>
        </w:rPr>
        <w:t xml:space="preserve"> produktu </w:t>
      </w:r>
      <w:r w:rsidRPr="0095397B">
        <w:rPr>
          <w:rFonts w:cs="Times New Roman"/>
          <w:color w:val="000000" w:themeColor="text1"/>
          <w:sz w:val="24"/>
          <w:szCs w:val="24"/>
        </w:rPr>
        <w:t>nišas ar investīciju potenciālu, vērtējot Latvijas priekšrocības, t.sk. pieejamo infrastruktūru un darbaspēku. Balstoties uz sektoru analīzes rezultātiem</w:t>
      </w:r>
      <w:r>
        <w:rPr>
          <w:rFonts w:cs="Times New Roman"/>
          <w:color w:val="000000" w:themeColor="text1"/>
          <w:sz w:val="24"/>
          <w:szCs w:val="24"/>
        </w:rPr>
        <w:t>,</w:t>
      </w:r>
      <w:r w:rsidRPr="0095397B">
        <w:rPr>
          <w:rFonts w:cs="Times New Roman"/>
          <w:color w:val="000000" w:themeColor="text1"/>
          <w:sz w:val="24"/>
          <w:szCs w:val="24"/>
        </w:rPr>
        <w:t xml:space="preserve"> plānots sagatavot piedāvājum</w:t>
      </w:r>
      <w:r w:rsidR="00C33384">
        <w:rPr>
          <w:rFonts w:cs="Times New Roman"/>
          <w:color w:val="000000" w:themeColor="text1"/>
          <w:sz w:val="24"/>
          <w:szCs w:val="24"/>
        </w:rPr>
        <w:t xml:space="preserve">us </w:t>
      </w:r>
      <w:r w:rsidRPr="0095397B">
        <w:rPr>
          <w:rFonts w:cs="Times New Roman"/>
          <w:color w:val="000000" w:themeColor="text1"/>
          <w:sz w:val="24"/>
          <w:szCs w:val="24"/>
        </w:rPr>
        <w:t>potenciālajiem ārvalstu investoriem,</w:t>
      </w:r>
      <w:r w:rsidR="00C33384">
        <w:rPr>
          <w:rFonts w:cs="Times New Roman"/>
          <w:color w:val="000000" w:themeColor="text1"/>
          <w:sz w:val="24"/>
          <w:szCs w:val="24"/>
        </w:rPr>
        <w:t xml:space="preserve"> t.i., tiks</w:t>
      </w:r>
      <w:r w:rsidRPr="0095397B">
        <w:rPr>
          <w:rFonts w:cs="Times New Roman"/>
          <w:color w:val="000000" w:themeColor="text1"/>
          <w:sz w:val="24"/>
          <w:szCs w:val="24"/>
        </w:rPr>
        <w:t xml:space="preserve"> identificētas potenciālās nišas investīciju piesaistē vismaz </w:t>
      </w:r>
      <w:r>
        <w:rPr>
          <w:rFonts w:cs="Times New Roman"/>
          <w:color w:val="000000" w:themeColor="text1"/>
          <w:sz w:val="24"/>
          <w:szCs w:val="24"/>
        </w:rPr>
        <w:t xml:space="preserve">2-3 </w:t>
      </w:r>
      <w:r w:rsidRPr="0095397B">
        <w:rPr>
          <w:rFonts w:cs="Times New Roman"/>
          <w:color w:val="000000" w:themeColor="text1"/>
          <w:sz w:val="24"/>
          <w:szCs w:val="24"/>
        </w:rPr>
        <w:t>pamatnostādnēs definētajās prioritārajās mērķa nozarēs investīciju piesaistē</w:t>
      </w:r>
      <w:r w:rsidR="00C33384">
        <w:rPr>
          <w:rFonts w:cs="Times New Roman"/>
          <w:color w:val="000000" w:themeColor="text1"/>
          <w:sz w:val="24"/>
          <w:szCs w:val="24"/>
        </w:rPr>
        <w:t>.</w:t>
      </w:r>
      <w:r w:rsidR="00FB578A">
        <w:rPr>
          <w:rFonts w:cs="Times New Roman"/>
          <w:color w:val="000000" w:themeColor="text1"/>
          <w:sz w:val="24"/>
          <w:szCs w:val="24"/>
        </w:rPr>
        <w:t xml:space="preserve"> Mērķa sasniegšanai tiks izmantots finansējums no </w:t>
      </w:r>
      <w:r w:rsidR="00FB578A" w:rsidRPr="00FB578A">
        <w:rPr>
          <w:rFonts w:cs="Times New Roman"/>
          <w:color w:val="000000" w:themeColor="text1"/>
          <w:sz w:val="24"/>
          <w:szCs w:val="24"/>
        </w:rPr>
        <w:t>"Darbības programmas "Izaugsme un nodarbinātība" 1.2.1.specifiskā atbalsta mērķa "Palielināt privātā sektora investīcijas P&amp;A"" 1.2.1.2.pasākuma "Atbalsts tehnoloģiju pārneses sistēmas pilnveidošanai"</w:t>
      </w:r>
      <w:r w:rsidR="00FB578A">
        <w:rPr>
          <w:rFonts w:cs="Times New Roman"/>
          <w:color w:val="000000" w:themeColor="text1"/>
          <w:sz w:val="24"/>
          <w:szCs w:val="24"/>
        </w:rPr>
        <w:t>.</w:t>
      </w:r>
    </w:p>
    <w:p w14:paraId="36955D6D" w14:textId="525240DE" w:rsidR="00FF5AEB" w:rsidRDefault="00C33384" w:rsidP="00FF5AEB">
      <w:pPr>
        <w:autoSpaceDE w:val="0"/>
        <w:autoSpaceDN w:val="0"/>
        <w:adjustRightInd w:val="0"/>
        <w:ind w:firstLine="360"/>
        <w:jc w:val="both"/>
        <w:rPr>
          <w:sz w:val="24"/>
          <w:szCs w:val="24"/>
        </w:rPr>
      </w:pPr>
      <w:r>
        <w:rPr>
          <w:rFonts w:cs="Times New Roman"/>
          <w:color w:val="000000" w:themeColor="text1"/>
          <w:sz w:val="24"/>
          <w:szCs w:val="24"/>
        </w:rPr>
        <w:lastRenderedPageBreak/>
        <w:t>Vienlaikus</w:t>
      </w:r>
      <w:r>
        <w:rPr>
          <w:sz w:val="24"/>
          <w:szCs w:val="24"/>
        </w:rPr>
        <w:t xml:space="preserve"> plānots</w:t>
      </w:r>
      <w:r w:rsidR="00FF5AEB">
        <w:rPr>
          <w:sz w:val="24"/>
          <w:szCs w:val="24"/>
        </w:rPr>
        <w:t xml:space="preserve"> stiprināt LIAA kapacitāti stratēģiski nozīmīgo investīcijas projektu īstenošanā. </w:t>
      </w:r>
      <w:r w:rsidR="000A3070">
        <w:rPr>
          <w:sz w:val="24"/>
          <w:szCs w:val="24"/>
        </w:rPr>
        <w:t xml:space="preserve">Tā ietvaros </w:t>
      </w:r>
      <w:r w:rsidR="009A0C4F" w:rsidRPr="009A0C4F">
        <w:rPr>
          <w:sz w:val="24"/>
          <w:szCs w:val="24"/>
        </w:rPr>
        <w:t>tiks izstrādāta kārtība, kādā sagatavojami</w:t>
      </w:r>
      <w:r w:rsidR="000A3070">
        <w:rPr>
          <w:sz w:val="24"/>
          <w:szCs w:val="24"/>
        </w:rPr>
        <w:t>, iesniedzami, kā arī vērtējami</w:t>
      </w:r>
      <w:r w:rsidR="009A0C4F" w:rsidRPr="009A0C4F">
        <w:rPr>
          <w:sz w:val="24"/>
          <w:szCs w:val="24"/>
        </w:rPr>
        <w:t xml:space="preserve"> </w:t>
      </w:r>
      <w:r w:rsidR="00FF5AEB">
        <w:rPr>
          <w:sz w:val="24"/>
          <w:szCs w:val="24"/>
        </w:rPr>
        <w:t xml:space="preserve">Latvijas stratēģiskie investīciju projekti </w:t>
      </w:r>
      <w:r w:rsidR="00CA7E3F" w:rsidRPr="00CA7E3F">
        <w:rPr>
          <w:sz w:val="24"/>
          <w:szCs w:val="24"/>
        </w:rPr>
        <w:t xml:space="preserve">Lielo un stratēģiski nozīmīgo investīciju projektu koordinācijas </w:t>
      </w:r>
      <w:r w:rsidR="000A3070">
        <w:rPr>
          <w:sz w:val="24"/>
          <w:szCs w:val="24"/>
        </w:rPr>
        <w:t>padomes ietvaros.</w:t>
      </w:r>
    </w:p>
    <w:p w14:paraId="4AC0D377" w14:textId="77777777" w:rsidR="00FF5AEB" w:rsidRDefault="00FF5AEB" w:rsidP="00FC287C">
      <w:pPr>
        <w:shd w:val="clear" w:color="auto" w:fill="FFFFFF"/>
        <w:ind w:firstLine="360"/>
        <w:jc w:val="both"/>
        <w:rPr>
          <w:rFonts w:cs="Times New Roman"/>
          <w:sz w:val="24"/>
          <w:szCs w:val="24"/>
        </w:rPr>
      </w:pPr>
      <w:r w:rsidRPr="0095397B">
        <w:rPr>
          <w:rFonts w:cs="Times New Roman"/>
          <w:sz w:val="24"/>
          <w:szCs w:val="24"/>
        </w:rPr>
        <w:t xml:space="preserve">Pamatnostādņu 4.3.5.nodaļā paredzēta vienotas informācijas sistēmas izveide. Pārskata periodā ir izveidota un tiek lietota </w:t>
      </w:r>
      <w:r w:rsidRPr="0095397B">
        <w:rPr>
          <w:rFonts w:cs="Times New Roman"/>
          <w:b/>
          <w:sz w:val="24"/>
          <w:szCs w:val="24"/>
        </w:rPr>
        <w:t>Latvijas investīciju vides un projektu monitoringa informācijas sistēma</w:t>
      </w:r>
      <w:r w:rsidRPr="0095397B">
        <w:rPr>
          <w:rFonts w:cs="Times New Roman"/>
          <w:sz w:val="24"/>
          <w:szCs w:val="24"/>
        </w:rPr>
        <w:t xml:space="preserve"> (LIVPMIS), kas sniedz vispusīgu informāciju par LIAA klientu īstenotajām aktivitātēm un saņemto ES fondu atbalstu. </w:t>
      </w:r>
    </w:p>
    <w:p w14:paraId="627D68CD" w14:textId="77777777" w:rsidR="00FF5AEB" w:rsidRPr="0095397B" w:rsidRDefault="00FF5AEB" w:rsidP="00FF5AEB">
      <w:pPr>
        <w:shd w:val="clear" w:color="auto" w:fill="FFFFFF"/>
        <w:ind w:firstLine="720"/>
        <w:jc w:val="both"/>
        <w:rPr>
          <w:rFonts w:cs="Times New Roman"/>
          <w:sz w:val="24"/>
          <w:szCs w:val="24"/>
        </w:rPr>
      </w:pPr>
      <w:r w:rsidRPr="005E09F7">
        <w:rPr>
          <w:rFonts w:cs="Times New Roman"/>
          <w:sz w:val="24"/>
          <w:szCs w:val="24"/>
        </w:rPr>
        <w:t xml:space="preserve">Pamatnostādņu 3.1.5 sadaļā plānots izveidot interaktīvu </w:t>
      </w:r>
      <w:r w:rsidRPr="00FC287C">
        <w:rPr>
          <w:rFonts w:cs="Times New Roman"/>
          <w:b/>
          <w:sz w:val="24"/>
          <w:szCs w:val="24"/>
        </w:rPr>
        <w:t xml:space="preserve">informācijas sistēmu Latvijas eksporta un investīciju informācijas sistēmu </w:t>
      </w:r>
      <w:r w:rsidRPr="005E09F7">
        <w:rPr>
          <w:rFonts w:cs="Times New Roman"/>
          <w:sz w:val="24"/>
          <w:szCs w:val="24"/>
        </w:rPr>
        <w:t xml:space="preserve">(EIIS), kas piedāvātu atbilstoši katra uzņēmēja individuālajām interesēm strukturētas informācijas saņemšanu, kā arī ieviest datu integrāciju ar citām valsts uzņēmējdarbības atbalsta informācijas sistēmām, lai sekmētu uzņēmējdarbības attīstību Latvijā, veicinot ārvalstu investīciju apjoma pieaugumu un palielinot Latvijas konkurētspēju pašmāju un starptautiskajos tirgos. Izveidojot </w:t>
      </w:r>
      <w:r>
        <w:rPr>
          <w:rFonts w:cs="Times New Roman"/>
          <w:sz w:val="24"/>
          <w:szCs w:val="24"/>
        </w:rPr>
        <w:t>EIIS</w:t>
      </w:r>
      <w:r w:rsidRPr="005E09F7">
        <w:rPr>
          <w:rFonts w:cs="Times New Roman"/>
          <w:sz w:val="24"/>
          <w:szCs w:val="24"/>
        </w:rPr>
        <w:t xml:space="preserve">, tiktu sniegta iespēja daudz ātrāk, efektīvāk un kvalitatīvāk nodrošināt uzņēmējus ar pakalpojumiem. </w:t>
      </w:r>
    </w:p>
    <w:p w14:paraId="002A61E2" w14:textId="059ECBD5" w:rsidR="00FF5AEB" w:rsidRPr="0095397B" w:rsidRDefault="00FF5AEB" w:rsidP="00FF5AEB">
      <w:pPr>
        <w:ind w:firstLine="720"/>
        <w:jc w:val="both"/>
        <w:rPr>
          <w:rFonts w:cs="Times New Roman"/>
          <w:sz w:val="24"/>
          <w:szCs w:val="24"/>
        </w:rPr>
      </w:pPr>
      <w:r w:rsidRPr="0095397B">
        <w:rPr>
          <w:rFonts w:cs="Times New Roman"/>
          <w:sz w:val="24"/>
          <w:szCs w:val="24"/>
        </w:rPr>
        <w:t xml:space="preserve">LIAA Pamatnostādņu pārskata periodā ir turpinājusi </w:t>
      </w:r>
      <w:r w:rsidRPr="00D024B4">
        <w:rPr>
          <w:rFonts w:cs="Times New Roman"/>
          <w:b/>
          <w:sz w:val="24"/>
          <w:szCs w:val="24"/>
        </w:rPr>
        <w:t>iepriekš sagatavotu investīciju projektu portfeļa uzturēšanu</w:t>
      </w:r>
      <w:r w:rsidRPr="0095397B">
        <w:rPr>
          <w:rFonts w:cs="Times New Roman"/>
          <w:sz w:val="24"/>
          <w:szCs w:val="24"/>
        </w:rPr>
        <w:t xml:space="preserve">, ņemot vērā, ka regulāri tiek saņem informācijas pieprasījumus no potenciālajiem finanšu investoriem, kas vēlas iegūt informāciju par jau iepriekš sagatavotiem projektiem, kuros iesaistīties būtu relatīvi vienkārši. </w:t>
      </w:r>
      <w:r w:rsidRPr="005E09F7">
        <w:rPr>
          <w:rFonts w:cs="Times New Roman"/>
          <w:sz w:val="24"/>
          <w:szCs w:val="24"/>
        </w:rPr>
        <w:t xml:space="preserve">Ņemot vērā pieejamo atbalstu investīciju projektu attīstībai Junkera plāna ietvaros, LIAA, sadarbojoties ar citām Latvijas ministrijām, ir apkopojusi projektus, kas sākotnēji tika virzīti </w:t>
      </w:r>
      <w:r w:rsidR="009A0C4F">
        <w:rPr>
          <w:rFonts w:cs="Times New Roman"/>
          <w:sz w:val="24"/>
          <w:szCs w:val="24"/>
        </w:rPr>
        <w:t>dalībai</w:t>
      </w:r>
      <w:r w:rsidR="009A0C4F" w:rsidRPr="009A0C4F">
        <w:rPr>
          <w:rFonts w:cs="Times New Roman"/>
          <w:sz w:val="24"/>
          <w:szCs w:val="24"/>
        </w:rPr>
        <w:t xml:space="preserve"> Eirop</w:t>
      </w:r>
      <w:r w:rsidR="009A0C4F">
        <w:rPr>
          <w:rFonts w:cs="Times New Roman"/>
          <w:sz w:val="24"/>
          <w:szCs w:val="24"/>
        </w:rPr>
        <w:t>as Stratēģisko investīciju fonda</w:t>
      </w:r>
      <w:r w:rsidRPr="005E09F7">
        <w:rPr>
          <w:rFonts w:cs="Times New Roman"/>
          <w:sz w:val="24"/>
          <w:szCs w:val="24"/>
        </w:rPr>
        <w:t xml:space="preserve"> </w:t>
      </w:r>
      <w:r w:rsidR="009A0C4F">
        <w:rPr>
          <w:rFonts w:cs="Times New Roman"/>
          <w:sz w:val="24"/>
          <w:szCs w:val="24"/>
        </w:rPr>
        <w:t xml:space="preserve">(t.s. “Junkera plāns”) </w:t>
      </w:r>
      <w:r w:rsidRPr="005E09F7">
        <w:rPr>
          <w:rFonts w:cs="Times New Roman"/>
          <w:sz w:val="24"/>
          <w:szCs w:val="24"/>
        </w:rPr>
        <w:t>no Latvijas puses. Projektu apkopojums ir pieejams un, vienojoties ar projektu turētājiem, atsevišķi projekti ir tikuši izplatīti valsts amatpersonu ārvalstu vizītēs</w:t>
      </w:r>
      <w:r>
        <w:rPr>
          <w:rFonts w:cs="Times New Roman"/>
          <w:sz w:val="24"/>
          <w:szCs w:val="24"/>
        </w:rPr>
        <w:t xml:space="preserve">, kā arī </w:t>
      </w:r>
      <w:r w:rsidRPr="005E09F7">
        <w:rPr>
          <w:rFonts w:cs="Times New Roman"/>
          <w:sz w:val="24"/>
          <w:szCs w:val="24"/>
        </w:rPr>
        <w:t xml:space="preserve">pēc </w:t>
      </w:r>
      <w:r w:rsidR="009A0C4F">
        <w:rPr>
          <w:rFonts w:cs="Times New Roman"/>
          <w:sz w:val="24"/>
          <w:szCs w:val="24"/>
        </w:rPr>
        <w:t xml:space="preserve">atsevišķu investoru </w:t>
      </w:r>
      <w:r w:rsidRPr="005E09F7">
        <w:rPr>
          <w:rFonts w:cs="Times New Roman"/>
          <w:sz w:val="24"/>
          <w:szCs w:val="24"/>
        </w:rPr>
        <w:t>pieprasījumiem</w:t>
      </w:r>
      <w:r w:rsidR="009A0C4F">
        <w:rPr>
          <w:rFonts w:cs="Times New Roman"/>
          <w:sz w:val="24"/>
          <w:szCs w:val="24"/>
        </w:rPr>
        <w:t>.</w:t>
      </w:r>
    </w:p>
    <w:p w14:paraId="74F9D3AB" w14:textId="5D78FC8E" w:rsidR="00FF5AEB" w:rsidRDefault="00FF5AEB" w:rsidP="00FF5AEB">
      <w:pPr>
        <w:ind w:firstLine="720"/>
        <w:jc w:val="both"/>
        <w:rPr>
          <w:sz w:val="24"/>
          <w:szCs w:val="24"/>
        </w:rPr>
      </w:pPr>
      <w:r w:rsidRPr="00D024B4">
        <w:rPr>
          <w:b/>
          <w:sz w:val="24"/>
          <w:szCs w:val="24"/>
        </w:rPr>
        <w:t>Pašvaldības</w:t>
      </w:r>
      <w:r w:rsidRPr="0095397B">
        <w:rPr>
          <w:sz w:val="24"/>
          <w:szCs w:val="24"/>
        </w:rPr>
        <w:t xml:space="preserve"> aizvien vairāk </w:t>
      </w:r>
      <w:r w:rsidRPr="00D024B4">
        <w:rPr>
          <w:b/>
          <w:sz w:val="24"/>
          <w:szCs w:val="24"/>
        </w:rPr>
        <w:t>apzinās investīciju piesaistes procesa nozīmīgumu</w:t>
      </w:r>
      <w:r w:rsidRPr="0095397B">
        <w:rPr>
          <w:sz w:val="24"/>
          <w:szCs w:val="24"/>
        </w:rPr>
        <w:t xml:space="preserve">, par ko liecina augošais noslēgto līgumu skaits starp pašvaldībām un LIAA investīciju piesaistes procesa īstenošanai. Kopumā </w:t>
      </w:r>
      <w:r w:rsidR="000A3070">
        <w:rPr>
          <w:sz w:val="24"/>
          <w:szCs w:val="24"/>
        </w:rPr>
        <w:t xml:space="preserve">līdz </w:t>
      </w:r>
      <w:r>
        <w:rPr>
          <w:sz w:val="24"/>
          <w:szCs w:val="24"/>
        </w:rPr>
        <w:t xml:space="preserve"> 2016.gada </w:t>
      </w:r>
      <w:r w:rsidR="000A3070">
        <w:rPr>
          <w:sz w:val="24"/>
          <w:szCs w:val="24"/>
        </w:rPr>
        <w:t>31.oktobrim</w:t>
      </w:r>
      <w:r>
        <w:rPr>
          <w:sz w:val="24"/>
          <w:szCs w:val="24"/>
        </w:rPr>
        <w:t xml:space="preserve"> </w:t>
      </w:r>
      <w:r w:rsidRPr="0095397B">
        <w:rPr>
          <w:sz w:val="24"/>
          <w:szCs w:val="24"/>
        </w:rPr>
        <w:t xml:space="preserve">jau trīsdesmit </w:t>
      </w:r>
      <w:r w:rsidR="000A3070">
        <w:rPr>
          <w:sz w:val="24"/>
          <w:szCs w:val="24"/>
        </w:rPr>
        <w:t>septiņas</w:t>
      </w:r>
      <w:r w:rsidRPr="0095397B">
        <w:rPr>
          <w:sz w:val="24"/>
          <w:szCs w:val="24"/>
        </w:rPr>
        <w:t xml:space="preserve"> pašvaldības parakstījušas līgumu ar LIAA par sadarbību investīciju piesaistē, LIAA izstrādātās ārvalstu tiešo investīciju piesaistes metodikas „POLARIS process” ietvaros. </w:t>
      </w:r>
    </w:p>
    <w:p w14:paraId="2F3A4CA5" w14:textId="1C818C7C" w:rsidR="00C479E3" w:rsidRPr="00C479E3" w:rsidRDefault="00C479E3" w:rsidP="00C479E3">
      <w:pPr>
        <w:spacing w:after="240"/>
        <w:ind w:firstLine="720"/>
        <w:jc w:val="both"/>
        <w:rPr>
          <w:sz w:val="24"/>
          <w:szCs w:val="24"/>
        </w:rPr>
      </w:pPr>
      <w:r w:rsidRPr="00C479E3">
        <w:rPr>
          <w:color w:val="212121"/>
          <w:sz w:val="24"/>
          <w:szCs w:val="24"/>
          <w:shd w:val="clear" w:color="auto" w:fill="FFFFFF"/>
        </w:rPr>
        <w:t xml:space="preserve">2015.gada noslēgumā tika veikta LIAA iniciēta izpēte par potenciālo sadarbību ar Latvijas diasporu. Tajā tika ietverta vispārīga informācija par Latvijas diasporu un tās iespējamo pienesumu Latvijas tautsaimniecībai (it īpaši ārvalstu investīciju piesaistes un eksporta jomās), citu valstu praksi darbā ar diasporu, LIAA aktivitātēm ar diasporu, kā arī tika piedāvāti ieteikumi LIAA aktivitātēm diasporas iesaistei LIAA funkciju īstenošanai. Balstoties uz šī un citu pētniecības darbu secinājumiem, citu valstu praksēm, kā arī ņemot vērā LIAA resursus, tiks </w:t>
      </w:r>
      <w:r w:rsidR="000A3070">
        <w:rPr>
          <w:color w:val="212121"/>
          <w:sz w:val="24"/>
          <w:szCs w:val="24"/>
          <w:shd w:val="clear" w:color="auto" w:fill="FFFFFF"/>
        </w:rPr>
        <w:t>izstrādāta</w:t>
      </w:r>
      <w:r w:rsidRPr="00C479E3">
        <w:rPr>
          <w:color w:val="212121"/>
          <w:sz w:val="24"/>
          <w:szCs w:val="24"/>
          <w:shd w:val="clear" w:color="auto" w:fill="FFFFFF"/>
        </w:rPr>
        <w:t xml:space="preserve"> mērķtiecīga LIAA rīcības stratēģija LIAA funkciju ietvaros sadarbībai ar diasporu, lai veicinātu diasporas pienesumu Latvijas ekonomikai.</w:t>
      </w:r>
    </w:p>
    <w:p w14:paraId="6A9B3207" w14:textId="77777777" w:rsidR="00DF336B" w:rsidRPr="00DE0F41" w:rsidRDefault="00C910ED" w:rsidP="00DE0F41">
      <w:pPr>
        <w:pStyle w:val="Heading2"/>
        <w:shd w:val="clear" w:color="auto" w:fill="009999"/>
        <w:rPr>
          <w:b/>
          <w:color w:val="FFFFFF" w:themeColor="background1"/>
        </w:rPr>
      </w:pPr>
      <w:bookmarkStart w:id="33" w:name="_Toc462740014"/>
      <w:r w:rsidRPr="00DE0F41">
        <w:rPr>
          <w:b/>
          <w:color w:val="FFFFFF" w:themeColor="background1"/>
        </w:rPr>
        <w:t>3.</w:t>
      </w:r>
      <w:r w:rsidR="00FC287C" w:rsidRPr="00DE0F41">
        <w:rPr>
          <w:b/>
          <w:color w:val="FFFFFF" w:themeColor="background1"/>
        </w:rPr>
        <w:t>6</w:t>
      </w:r>
      <w:r w:rsidRPr="00DE0F41">
        <w:rPr>
          <w:b/>
          <w:color w:val="FFFFFF" w:themeColor="background1"/>
        </w:rPr>
        <w:t xml:space="preserve">. </w:t>
      </w:r>
      <w:r w:rsidR="00DF336B" w:rsidRPr="00DE0F41">
        <w:rPr>
          <w:b/>
          <w:color w:val="FFFFFF" w:themeColor="background1"/>
        </w:rPr>
        <w:t>Investīciju stimuli un investīciju piesaistes instrumenti</w:t>
      </w:r>
      <w:bookmarkEnd w:id="33"/>
    </w:p>
    <w:p w14:paraId="166C21A1" w14:textId="77777777" w:rsidR="00BC2730" w:rsidRDefault="00BC2730" w:rsidP="00DF336B">
      <w:pPr>
        <w:autoSpaceDE w:val="0"/>
        <w:autoSpaceDN w:val="0"/>
        <w:adjustRightInd w:val="0"/>
        <w:jc w:val="both"/>
        <w:rPr>
          <w:sz w:val="24"/>
          <w:szCs w:val="24"/>
        </w:rPr>
      </w:pPr>
      <w:r w:rsidRPr="00BC2730">
        <w:rPr>
          <w:sz w:val="24"/>
          <w:szCs w:val="24"/>
        </w:rPr>
        <w:t>Ārvalstu tiešo investīciju piesaistei Latvijā šobrīd pastāv vairāki potenci</w:t>
      </w:r>
      <w:r>
        <w:rPr>
          <w:sz w:val="24"/>
          <w:szCs w:val="24"/>
        </w:rPr>
        <w:t>āli stimuli</w:t>
      </w:r>
      <w:r w:rsidR="009C5935">
        <w:rPr>
          <w:sz w:val="24"/>
          <w:szCs w:val="24"/>
        </w:rPr>
        <w:t>, kas detalizēti aplūkoti 3.pielikumā</w:t>
      </w:r>
      <w:r>
        <w:rPr>
          <w:sz w:val="24"/>
          <w:szCs w:val="24"/>
        </w:rPr>
        <w:t>:</w:t>
      </w:r>
    </w:p>
    <w:p w14:paraId="4D52D097" w14:textId="77777777" w:rsidR="00BC2730" w:rsidRDefault="00BC2730" w:rsidP="000A3070">
      <w:pPr>
        <w:pStyle w:val="ListParagraph"/>
        <w:numPr>
          <w:ilvl w:val="0"/>
          <w:numId w:val="10"/>
        </w:numPr>
        <w:autoSpaceDE w:val="0"/>
        <w:autoSpaceDN w:val="0"/>
        <w:adjustRightInd w:val="0"/>
        <w:ind w:left="567"/>
        <w:jc w:val="both"/>
        <w:rPr>
          <w:rFonts w:ascii="Times New Roman" w:hAnsi="Times New Roman"/>
          <w:sz w:val="24"/>
          <w:szCs w:val="24"/>
        </w:rPr>
      </w:pPr>
      <w:r w:rsidRPr="00BC2730">
        <w:rPr>
          <w:rFonts w:ascii="Times New Roman" w:hAnsi="Times New Roman"/>
          <w:b/>
          <w:sz w:val="24"/>
          <w:szCs w:val="24"/>
        </w:rPr>
        <w:t>Nodokļu atvieglojumi</w:t>
      </w:r>
      <w:r w:rsidRPr="00BC2730">
        <w:rPr>
          <w:rFonts w:ascii="Times New Roman" w:hAnsi="Times New Roman"/>
          <w:sz w:val="24"/>
          <w:szCs w:val="24"/>
        </w:rPr>
        <w:t xml:space="preserve"> speciālajās ekonomiskajās zonās un brīvostās, uzņēmuma ienākuma atlaide lieliem investīciju projektiem, atvieglojumi ieguldījumiem pētniecībā un attīstībā</w:t>
      </w:r>
      <w:r w:rsidR="009C5935">
        <w:rPr>
          <w:rFonts w:ascii="Times New Roman" w:hAnsi="Times New Roman"/>
          <w:sz w:val="24"/>
          <w:szCs w:val="24"/>
        </w:rPr>
        <w:t xml:space="preserve">, kā arī </w:t>
      </w:r>
      <w:r w:rsidR="009C5935" w:rsidRPr="009C5935">
        <w:rPr>
          <w:rFonts w:ascii="Times New Roman" w:hAnsi="Times New Roman"/>
          <w:sz w:val="24"/>
          <w:szCs w:val="24"/>
        </w:rPr>
        <w:t>atvieglojums par jaunajām ražošanas tehnoloģiskajām iekārtām</w:t>
      </w:r>
      <w:r w:rsidR="009C5935">
        <w:rPr>
          <w:rFonts w:ascii="Times New Roman" w:hAnsi="Times New Roman"/>
          <w:sz w:val="24"/>
          <w:szCs w:val="24"/>
        </w:rPr>
        <w:t>;</w:t>
      </w:r>
    </w:p>
    <w:p w14:paraId="7D19060C" w14:textId="77777777" w:rsidR="009C5935" w:rsidRPr="009C5935" w:rsidRDefault="009C5935" w:rsidP="000A3070">
      <w:pPr>
        <w:pStyle w:val="ListParagraph"/>
        <w:numPr>
          <w:ilvl w:val="0"/>
          <w:numId w:val="10"/>
        </w:numPr>
        <w:autoSpaceDE w:val="0"/>
        <w:autoSpaceDN w:val="0"/>
        <w:adjustRightInd w:val="0"/>
        <w:ind w:left="567"/>
        <w:jc w:val="both"/>
        <w:rPr>
          <w:rFonts w:ascii="Times New Roman" w:hAnsi="Times New Roman"/>
          <w:sz w:val="24"/>
          <w:szCs w:val="24"/>
        </w:rPr>
      </w:pPr>
      <w:r w:rsidRPr="009C5935">
        <w:rPr>
          <w:rFonts w:ascii="Times New Roman" w:hAnsi="Times New Roman"/>
          <w:sz w:val="24"/>
          <w:szCs w:val="24"/>
        </w:rPr>
        <w:t>2014.-2020.gada</w:t>
      </w:r>
      <w:r>
        <w:rPr>
          <w:rFonts w:ascii="Times New Roman" w:hAnsi="Times New Roman"/>
          <w:b/>
          <w:sz w:val="24"/>
          <w:szCs w:val="24"/>
        </w:rPr>
        <w:t xml:space="preserve"> ES fondu </w:t>
      </w:r>
      <w:r w:rsidRPr="009C5935">
        <w:rPr>
          <w:rFonts w:ascii="Times New Roman" w:hAnsi="Times New Roman"/>
          <w:sz w:val="24"/>
          <w:szCs w:val="24"/>
        </w:rPr>
        <w:t>plānošanas perioda</w:t>
      </w:r>
      <w:r>
        <w:rPr>
          <w:rFonts w:ascii="Times New Roman" w:hAnsi="Times New Roman"/>
          <w:b/>
          <w:sz w:val="24"/>
          <w:szCs w:val="24"/>
        </w:rPr>
        <w:t xml:space="preserve"> aktivitātes, </w:t>
      </w:r>
      <w:r w:rsidRPr="009C5935">
        <w:rPr>
          <w:rFonts w:ascii="Times New Roman" w:hAnsi="Times New Roman"/>
          <w:sz w:val="24"/>
          <w:szCs w:val="24"/>
        </w:rPr>
        <w:t>kas specifiski orient</w:t>
      </w:r>
      <w:r>
        <w:rPr>
          <w:rFonts w:ascii="Times New Roman" w:hAnsi="Times New Roman"/>
          <w:sz w:val="24"/>
          <w:szCs w:val="24"/>
        </w:rPr>
        <w:t>ētas uz investoru piesaisti, sniedzot atbalstu darbinieku apmācībām.</w:t>
      </w:r>
    </w:p>
    <w:p w14:paraId="4409E85B" w14:textId="55F2F617" w:rsidR="00FD2FBA" w:rsidRDefault="009C5935" w:rsidP="009C5935">
      <w:pPr>
        <w:spacing w:after="240"/>
        <w:ind w:firstLine="491"/>
        <w:jc w:val="both"/>
        <w:rPr>
          <w:sz w:val="24"/>
          <w:szCs w:val="24"/>
        </w:rPr>
      </w:pPr>
      <w:r>
        <w:rPr>
          <w:sz w:val="24"/>
          <w:szCs w:val="24"/>
        </w:rPr>
        <w:t>Vienlaikus n</w:t>
      </w:r>
      <w:r w:rsidRPr="00222E46">
        <w:rPr>
          <w:sz w:val="24"/>
          <w:szCs w:val="24"/>
        </w:rPr>
        <w:t>otiek nepārtraukts darbs pie uz</w:t>
      </w:r>
      <w:r>
        <w:rPr>
          <w:sz w:val="24"/>
          <w:szCs w:val="24"/>
        </w:rPr>
        <w:t>ņēmējdarbības vides uzlabošanas, lai tādejādi sekmētu investīciju vides attīstību Latvijā</w:t>
      </w:r>
      <w:r w:rsidR="000A3070">
        <w:rPr>
          <w:sz w:val="24"/>
          <w:szCs w:val="24"/>
        </w:rPr>
        <w:t>, kā arī notiek regulāra investīciju stimulu pārskatīšana, kā arī alternatīvu izvērtēšana.</w:t>
      </w:r>
    </w:p>
    <w:p w14:paraId="71152560" w14:textId="77777777" w:rsidR="000A3070" w:rsidRDefault="000A3070" w:rsidP="009C5935">
      <w:pPr>
        <w:spacing w:after="240"/>
        <w:ind w:firstLine="491"/>
        <w:jc w:val="both"/>
        <w:rPr>
          <w:sz w:val="24"/>
          <w:szCs w:val="24"/>
        </w:rPr>
      </w:pPr>
    </w:p>
    <w:p w14:paraId="4B23B769" w14:textId="2722986E" w:rsidR="00360F54" w:rsidRPr="00360F54" w:rsidRDefault="00360F54" w:rsidP="00360F54">
      <w:pPr>
        <w:pStyle w:val="Heading1"/>
        <w:shd w:val="clear" w:color="auto" w:fill="1DA0A7"/>
        <w:spacing w:before="0" w:line="240" w:lineRule="auto"/>
        <w:rPr>
          <w:color w:val="FFFFFF" w:themeColor="background1"/>
          <w:sz w:val="28"/>
        </w:rPr>
      </w:pPr>
      <w:bookmarkStart w:id="34" w:name="_Toc462739797"/>
      <w:bookmarkStart w:id="35" w:name="_Toc462740015"/>
      <w:r w:rsidRPr="00360F54">
        <w:rPr>
          <w:color w:val="FFFFFF" w:themeColor="background1"/>
          <w:sz w:val="28"/>
        </w:rPr>
        <w:lastRenderedPageBreak/>
        <w:t>4. Pamatnostādņu īstenošanā ieguldīto resursu un to izlietojuma efektivitātes novērtējums</w:t>
      </w:r>
      <w:bookmarkEnd w:id="34"/>
      <w:bookmarkEnd w:id="35"/>
    </w:p>
    <w:p w14:paraId="195F7F25" w14:textId="77777777" w:rsidR="00DF336B" w:rsidRDefault="00DF336B" w:rsidP="00DF336B">
      <w:pPr>
        <w:jc w:val="both"/>
        <w:rPr>
          <w:sz w:val="24"/>
          <w:szCs w:val="24"/>
        </w:rPr>
      </w:pPr>
      <w:r>
        <w:rPr>
          <w:sz w:val="24"/>
          <w:szCs w:val="24"/>
        </w:rPr>
        <w:t>Pamatnostādņu starpposma īstenošanas periodā definētā mērķa “</w:t>
      </w:r>
      <w:r w:rsidRPr="00D024B4">
        <w:rPr>
          <w:i/>
          <w:sz w:val="24"/>
          <w:szCs w:val="24"/>
        </w:rPr>
        <w:t>Uzlabot Latvijas tautsaimniecības konkurētspēju atvērtos produktu (preču un pakalpojumu) un kapitāla tirgos</w:t>
      </w:r>
      <w:r>
        <w:rPr>
          <w:sz w:val="24"/>
          <w:szCs w:val="24"/>
        </w:rPr>
        <w:t>, tādejādi sekmējot augsto un vidēji augsto tehnoloģiju nozaru īpatsvara pieaugumu Latvijas eksportā, kā arī ĀTI piesaisti uz ārējo pieprasījumu orientētajās nozarēs. Īstenojamo aktivitātīšu izpilde Pamatnostādņu starpposma izvērtējuma periodā apkopota informatīvā ziņojuma 1.pielikumā.</w:t>
      </w:r>
    </w:p>
    <w:p w14:paraId="7F9D5F97" w14:textId="77777777" w:rsidR="00DF336B" w:rsidRDefault="00DF336B" w:rsidP="00DF336B">
      <w:pPr>
        <w:jc w:val="both"/>
        <w:rPr>
          <w:sz w:val="24"/>
          <w:szCs w:val="24"/>
        </w:rPr>
      </w:pPr>
      <w:r>
        <w:rPr>
          <w:sz w:val="24"/>
          <w:szCs w:val="24"/>
        </w:rPr>
        <w:tab/>
        <w:t xml:space="preserve"> 1.rīcības virziena “</w:t>
      </w:r>
      <w:r w:rsidRPr="00D024B4">
        <w:rPr>
          <w:i/>
          <w:sz w:val="24"/>
          <w:szCs w:val="24"/>
        </w:rPr>
        <w:t>Uzņēmumu konkurētspējas paaugstināšana</w:t>
      </w:r>
      <w:r>
        <w:rPr>
          <w:sz w:val="24"/>
          <w:szCs w:val="24"/>
        </w:rPr>
        <w:t>” pārskata periodā ietver vairākas ESF un ERAF līdzfinansētas aktivitātes 2007.-2013.gada plānošanas periodā, kuru mērķis ir veicināt:</w:t>
      </w:r>
    </w:p>
    <w:p w14:paraId="53692A0D" w14:textId="77777777" w:rsidR="00DF336B" w:rsidRPr="00D024B4" w:rsidRDefault="00DF336B" w:rsidP="000A3070">
      <w:pPr>
        <w:pStyle w:val="ListParagraph"/>
        <w:numPr>
          <w:ilvl w:val="0"/>
          <w:numId w:val="2"/>
        </w:numPr>
        <w:spacing w:line="240" w:lineRule="auto"/>
        <w:ind w:left="567" w:hanging="284"/>
        <w:jc w:val="both"/>
        <w:rPr>
          <w:sz w:val="24"/>
          <w:szCs w:val="24"/>
        </w:rPr>
      </w:pPr>
      <w:r w:rsidRPr="00D024B4">
        <w:rPr>
          <w:rFonts w:ascii="Times New Roman" w:hAnsi="Times New Roman"/>
          <w:sz w:val="24"/>
          <w:szCs w:val="24"/>
        </w:rPr>
        <w:t>Darbaspēka pieejamību un tautsaimniecības attīstības vajadzībām atbilstošs izglītības piedāvājumu;</w:t>
      </w:r>
    </w:p>
    <w:p w14:paraId="047F1ADB" w14:textId="77777777" w:rsidR="00DF336B" w:rsidRPr="00D024B4" w:rsidRDefault="00DF336B" w:rsidP="000A3070">
      <w:pPr>
        <w:pStyle w:val="ListParagraph"/>
        <w:numPr>
          <w:ilvl w:val="0"/>
          <w:numId w:val="2"/>
        </w:numPr>
        <w:spacing w:line="240" w:lineRule="auto"/>
        <w:ind w:left="567" w:hanging="284"/>
        <w:jc w:val="both"/>
        <w:rPr>
          <w:sz w:val="24"/>
          <w:szCs w:val="24"/>
        </w:rPr>
      </w:pPr>
      <w:r w:rsidRPr="00D024B4">
        <w:rPr>
          <w:rFonts w:ascii="Times New Roman" w:hAnsi="Times New Roman"/>
          <w:sz w:val="24"/>
          <w:szCs w:val="24"/>
        </w:rPr>
        <w:t>Uzņēmējdarbības infrastruktūras pieejamības uzlabošanu</w:t>
      </w:r>
      <w:r>
        <w:rPr>
          <w:rFonts w:ascii="Times New Roman" w:hAnsi="Times New Roman"/>
          <w:sz w:val="24"/>
          <w:szCs w:val="24"/>
        </w:rPr>
        <w:t>;</w:t>
      </w:r>
    </w:p>
    <w:p w14:paraId="1B35E6C7" w14:textId="77777777" w:rsidR="00DF336B" w:rsidRPr="00D024B4" w:rsidRDefault="00DF336B" w:rsidP="000A3070">
      <w:pPr>
        <w:pStyle w:val="ListParagraph"/>
        <w:numPr>
          <w:ilvl w:val="0"/>
          <w:numId w:val="2"/>
        </w:numPr>
        <w:spacing w:line="240" w:lineRule="auto"/>
        <w:ind w:left="567" w:hanging="284"/>
        <w:jc w:val="both"/>
        <w:rPr>
          <w:sz w:val="24"/>
          <w:szCs w:val="24"/>
        </w:rPr>
      </w:pPr>
      <w:r w:rsidRPr="00D024B4">
        <w:rPr>
          <w:rFonts w:ascii="Times New Roman" w:hAnsi="Times New Roman"/>
          <w:sz w:val="24"/>
          <w:szCs w:val="24"/>
        </w:rPr>
        <w:t>Inovācijas kapacitātes paaugstināšanu</w:t>
      </w:r>
      <w:r>
        <w:rPr>
          <w:rFonts w:ascii="Times New Roman" w:hAnsi="Times New Roman"/>
          <w:sz w:val="24"/>
          <w:szCs w:val="24"/>
        </w:rPr>
        <w:t>;</w:t>
      </w:r>
    </w:p>
    <w:p w14:paraId="7DE32200" w14:textId="77777777" w:rsidR="00DF336B" w:rsidRDefault="00DF336B" w:rsidP="000A3070">
      <w:pPr>
        <w:pStyle w:val="ListParagraph"/>
        <w:numPr>
          <w:ilvl w:val="0"/>
          <w:numId w:val="2"/>
        </w:numPr>
        <w:spacing w:line="240" w:lineRule="auto"/>
        <w:ind w:left="567" w:hanging="284"/>
        <w:jc w:val="both"/>
        <w:rPr>
          <w:sz w:val="24"/>
          <w:szCs w:val="24"/>
        </w:rPr>
      </w:pPr>
      <w:r w:rsidRPr="00D024B4">
        <w:rPr>
          <w:rFonts w:ascii="Times New Roman" w:hAnsi="Times New Roman"/>
          <w:sz w:val="24"/>
          <w:szCs w:val="24"/>
        </w:rPr>
        <w:t>Finanšu pieejamību</w:t>
      </w:r>
      <w:r>
        <w:rPr>
          <w:rFonts w:ascii="Times New Roman" w:hAnsi="Times New Roman"/>
          <w:sz w:val="24"/>
          <w:szCs w:val="24"/>
        </w:rPr>
        <w:t>.</w:t>
      </w:r>
    </w:p>
    <w:p w14:paraId="0D9C65AB" w14:textId="77777777" w:rsidR="00DF336B" w:rsidRPr="00D024B4" w:rsidRDefault="00DF336B" w:rsidP="00DF336B">
      <w:pPr>
        <w:ind w:left="66" w:firstLine="360"/>
        <w:jc w:val="both"/>
        <w:rPr>
          <w:sz w:val="24"/>
          <w:szCs w:val="24"/>
        </w:rPr>
      </w:pPr>
      <w:r>
        <w:rPr>
          <w:sz w:val="24"/>
          <w:szCs w:val="24"/>
        </w:rPr>
        <w:t xml:space="preserve">Saskaņā ar iesaistīto institūciju sniegto informāciju, kopumā rīcības plānā norādītie darbības rezultāti ir sasniegti (skatīt pielikumu), gan vērtējot apgūtos finanšu līdzekļus (atsevišķās fondu programmu aktivitātēs ar pārpalikumu), sasniegtos rezultatīvos rādītājus minētajās aktivitātēs, kā arī atbilstošo normatīvo aktu izstrādē.  </w:t>
      </w:r>
    </w:p>
    <w:p w14:paraId="43F51AC7" w14:textId="77777777" w:rsidR="00DF336B" w:rsidRDefault="00DF336B" w:rsidP="00DF336B">
      <w:pPr>
        <w:jc w:val="both"/>
        <w:rPr>
          <w:sz w:val="24"/>
          <w:szCs w:val="24"/>
        </w:rPr>
      </w:pPr>
      <w:r>
        <w:rPr>
          <w:sz w:val="24"/>
          <w:szCs w:val="24"/>
        </w:rPr>
        <w:tab/>
        <w:t>2.rīcības virziena “</w:t>
      </w:r>
      <w:r w:rsidRPr="00D024B4">
        <w:rPr>
          <w:i/>
          <w:sz w:val="24"/>
          <w:szCs w:val="24"/>
        </w:rPr>
        <w:t>Atbalsts ārējo tirgu apgūšanai</w:t>
      </w:r>
      <w:r>
        <w:rPr>
          <w:sz w:val="24"/>
          <w:szCs w:val="24"/>
        </w:rPr>
        <w:t xml:space="preserve">” pārskata periodā ietver aktivitātes, kas saistītas ar </w:t>
      </w:r>
      <w:r w:rsidRPr="00881D99">
        <w:rPr>
          <w:sz w:val="24"/>
          <w:szCs w:val="24"/>
        </w:rPr>
        <w:t>ERAF līdzfinansētās 2.3.1.1.2. apakšaktivitātes „Ārējo tirgu apgūšana – nozaru starptautiskās konkurētspējas stiprināšana”</w:t>
      </w:r>
      <w:r>
        <w:rPr>
          <w:sz w:val="24"/>
          <w:szCs w:val="24"/>
        </w:rPr>
        <w:t xml:space="preserve"> īstenošanas darbību, tādejādi sekmējot Latvijas uzņēmumu starptautisko konkurētspēju un eksporta veicināšanu, kā arī citas aktivitātes eksporta veicināšanai piešķirto līdzekļu ietvaros. Rīcībā iekļautās aktivitātītes ietver gan </w:t>
      </w:r>
      <w:r w:rsidRPr="005F17E4">
        <w:rPr>
          <w:rFonts w:cs="Times New Roman"/>
          <w:sz w:val="24"/>
          <w:szCs w:val="24"/>
        </w:rPr>
        <w:t>Latvijas Ārējo ekonomi</w:t>
      </w:r>
      <w:r w:rsidRPr="00D024B4">
        <w:rPr>
          <w:sz w:val="24"/>
          <w:szCs w:val="24"/>
        </w:rPr>
        <w:t>sko pārstāvniecību tīkla darbības nodrošināšanu</w:t>
      </w:r>
      <w:r>
        <w:rPr>
          <w:sz w:val="24"/>
          <w:szCs w:val="24"/>
        </w:rPr>
        <w:t>, gan t</w:t>
      </w:r>
      <w:r w:rsidRPr="006F2AD9">
        <w:rPr>
          <w:sz w:val="24"/>
          <w:szCs w:val="24"/>
        </w:rPr>
        <w:t>iešos eksporta atbalsta pakalpojumu</w:t>
      </w:r>
      <w:r>
        <w:rPr>
          <w:sz w:val="24"/>
          <w:szCs w:val="24"/>
        </w:rPr>
        <w:t xml:space="preserve"> nodrošināšanu</w:t>
      </w:r>
      <w:r w:rsidRPr="006F2AD9">
        <w:rPr>
          <w:sz w:val="24"/>
          <w:szCs w:val="24"/>
        </w:rPr>
        <w:t xml:space="preserve"> Latvijas komersantiem</w:t>
      </w:r>
      <w:r>
        <w:rPr>
          <w:sz w:val="24"/>
          <w:szCs w:val="24"/>
        </w:rPr>
        <w:t>, kā arī citus plānā norādītos pasākumus uzņēmumu.</w:t>
      </w:r>
    </w:p>
    <w:p w14:paraId="2D110CFA" w14:textId="77777777" w:rsidR="00DF336B" w:rsidRPr="00BC0D44" w:rsidRDefault="00DF336B" w:rsidP="00DF336B">
      <w:pPr>
        <w:ind w:left="66" w:firstLine="360"/>
        <w:jc w:val="both"/>
        <w:rPr>
          <w:sz w:val="24"/>
          <w:szCs w:val="24"/>
        </w:rPr>
      </w:pPr>
      <w:r>
        <w:rPr>
          <w:sz w:val="24"/>
          <w:szCs w:val="24"/>
        </w:rPr>
        <w:tab/>
        <w:t>Saskaņā ar LIAA sniegto informāciju pārskatos par darbības plāna izpildi Pamatnostādņu starpposma izvērtējuma periodā, kopumā rīcības plānā norādītie darbības rezultāti ir sasniegti (skatīt apkopojumu 1.pielikumā), gan vērtējot apgūtos ES fondu finanšu līdzekļus un piešķirtā finansējuma ietvaros, kā arī vērtējot sasniegtos rezultatīvos rādītājus minētajās aktivitātēs kopumā ir sasniegti.</w:t>
      </w:r>
    </w:p>
    <w:p w14:paraId="022B8DA5" w14:textId="77777777" w:rsidR="00FC287C" w:rsidRDefault="00DF336B" w:rsidP="00FC287C">
      <w:pPr>
        <w:jc w:val="both"/>
        <w:rPr>
          <w:rFonts w:cs="Times New Roman"/>
          <w:sz w:val="24"/>
          <w:szCs w:val="24"/>
        </w:rPr>
      </w:pPr>
      <w:r>
        <w:rPr>
          <w:rFonts w:cs="Times New Roman"/>
          <w:sz w:val="24"/>
          <w:szCs w:val="24"/>
        </w:rPr>
        <w:tab/>
        <w:t>3.rīcības virziena “</w:t>
      </w:r>
      <w:r w:rsidRPr="00D024B4">
        <w:rPr>
          <w:rFonts w:cs="Times New Roman"/>
          <w:i/>
          <w:sz w:val="24"/>
          <w:szCs w:val="24"/>
        </w:rPr>
        <w:t>Turpmākā rīcība ĀTI piesaiste</w:t>
      </w:r>
      <w:r>
        <w:rPr>
          <w:rFonts w:cs="Times New Roman"/>
          <w:sz w:val="24"/>
          <w:szCs w:val="24"/>
        </w:rPr>
        <w:t>” Pamatnostādņu starpposma novērtējuma pārskata periodā ietvertas ar ĀTI piesaistes procesu un marketinga aktivitātēm saistīti pasākumi, kuru izpildē iesaistīta gan LIAA, uzņēmumus pārstāvošas organizācijas un asociācijas, kā arī nozaru ministrijas un pašvaldības, lai tādejādi sekmētu ārvalstu investīciju piesaisti un Latvijas kā pievilcīgas investīciju mērķa valsts pozicionēšanā potenc</w:t>
      </w:r>
      <w:r w:rsidR="007241E6">
        <w:rPr>
          <w:rFonts w:cs="Times New Roman"/>
          <w:sz w:val="24"/>
          <w:szCs w:val="24"/>
        </w:rPr>
        <w:t xml:space="preserve">iālajiem ārvalstu investoriem. </w:t>
      </w:r>
      <w:r>
        <w:rPr>
          <w:rFonts w:cs="Times New Roman"/>
          <w:sz w:val="24"/>
          <w:szCs w:val="24"/>
        </w:rPr>
        <w:t xml:space="preserve">Saņemtā iesaistīto ministriju un LIAA sniegtā informācija liecina, ka kopumā plānā norādītie rezultāti ir sasniegti. </w:t>
      </w:r>
    </w:p>
    <w:p w14:paraId="5BE5969B" w14:textId="1922EA47" w:rsidR="00FC287C" w:rsidRPr="00383057" w:rsidRDefault="007241E6" w:rsidP="007241E6">
      <w:pPr>
        <w:ind w:firstLine="720"/>
        <w:jc w:val="both"/>
        <w:rPr>
          <w:rFonts w:cs="Times New Roman"/>
          <w:b/>
          <w:sz w:val="24"/>
          <w:szCs w:val="24"/>
        </w:rPr>
      </w:pPr>
      <w:r>
        <w:rPr>
          <w:rFonts w:cs="Times New Roman"/>
          <w:sz w:val="24"/>
          <w:szCs w:val="24"/>
        </w:rPr>
        <w:t>A</w:t>
      </w:r>
      <w:r w:rsidRPr="007241E6">
        <w:rPr>
          <w:rFonts w:cs="Times New Roman"/>
          <w:sz w:val="24"/>
          <w:szCs w:val="24"/>
        </w:rPr>
        <w:t xml:space="preserve">tbilstoši </w:t>
      </w:r>
      <w:r>
        <w:rPr>
          <w:rFonts w:cs="Times New Roman"/>
          <w:sz w:val="24"/>
          <w:szCs w:val="24"/>
        </w:rPr>
        <w:t xml:space="preserve">informatīvajā ziņojumā ietvertajiem secinājumiem saskaņā ar </w:t>
      </w:r>
      <w:r w:rsidRPr="007241E6">
        <w:rPr>
          <w:rFonts w:cs="Times New Roman"/>
          <w:sz w:val="24"/>
          <w:szCs w:val="24"/>
        </w:rPr>
        <w:t>MK 2014.gada 2.decembra noteikumu Nr.737 “Attīstības plānošanas dokumentu izstrādes un ietekmes izvērtēšanas noteikumi” 40.</w:t>
      </w:r>
      <w:r w:rsidR="00383057">
        <w:rPr>
          <w:rFonts w:cs="Times New Roman"/>
          <w:sz w:val="24"/>
          <w:szCs w:val="24"/>
        </w:rPr>
        <w:t xml:space="preserve">punktu, </w:t>
      </w:r>
      <w:r w:rsidR="008E598F">
        <w:rPr>
          <w:rFonts w:cs="Times New Roman"/>
          <w:sz w:val="24"/>
          <w:szCs w:val="24"/>
        </w:rPr>
        <w:t xml:space="preserve">un ņemot vērā šo pamatnostādņu sinerģiju ar  MK </w:t>
      </w:r>
      <w:r w:rsidR="008E598F" w:rsidRPr="008E598F">
        <w:rPr>
          <w:rFonts w:cs="Times New Roman"/>
          <w:sz w:val="24"/>
          <w:szCs w:val="24"/>
        </w:rPr>
        <w:t>2013.gada 28.jūnija rīkojum</w:t>
      </w:r>
      <w:r w:rsidR="008E598F">
        <w:rPr>
          <w:rFonts w:cs="Times New Roman"/>
          <w:sz w:val="24"/>
          <w:szCs w:val="24"/>
        </w:rPr>
        <w:t>u</w:t>
      </w:r>
      <w:r w:rsidR="008E598F" w:rsidRPr="008E598F">
        <w:rPr>
          <w:rFonts w:cs="Times New Roman"/>
          <w:sz w:val="24"/>
          <w:szCs w:val="24"/>
        </w:rPr>
        <w:t xml:space="preserve"> Nr.282</w:t>
      </w:r>
      <w:r w:rsidR="008E598F">
        <w:rPr>
          <w:rFonts w:cs="Times New Roman"/>
          <w:sz w:val="24"/>
          <w:szCs w:val="24"/>
        </w:rPr>
        <w:t xml:space="preserve"> “</w:t>
      </w:r>
      <w:r w:rsidR="008E598F" w:rsidRPr="008E598F">
        <w:rPr>
          <w:rFonts w:cs="Times New Roman"/>
          <w:sz w:val="24"/>
          <w:szCs w:val="24"/>
        </w:rPr>
        <w:t>Nacionālās industriālās politikas pamatnostādnes 2014.-2020.gadam</w:t>
      </w:r>
      <w:r w:rsidR="008E598F">
        <w:rPr>
          <w:rFonts w:cs="Times New Roman"/>
          <w:sz w:val="24"/>
          <w:szCs w:val="24"/>
        </w:rPr>
        <w:t xml:space="preserve">” noteiktajiem mērķiem, rīcības virzieniem, kā arī mērķa grupām, plānots, ka pēc 2019.gada </w:t>
      </w:r>
      <w:r w:rsidR="008E598F" w:rsidRPr="008E598F">
        <w:rPr>
          <w:rFonts w:cs="Times New Roman"/>
          <w:b/>
          <w:sz w:val="24"/>
          <w:szCs w:val="24"/>
        </w:rPr>
        <w:t>eksporta un investīciju pamatnostādnes plānots konsolidēt Nacionālās industriālās politikas pamatnostādnēs</w:t>
      </w:r>
      <w:r w:rsidR="008E598F">
        <w:rPr>
          <w:rFonts w:cs="Times New Roman"/>
          <w:sz w:val="24"/>
          <w:szCs w:val="24"/>
        </w:rPr>
        <w:t xml:space="preserve">. Vienlaikus </w:t>
      </w:r>
      <w:r w:rsidR="00383057" w:rsidRPr="008E598F">
        <w:rPr>
          <w:rFonts w:cs="Times New Roman"/>
          <w:sz w:val="24"/>
          <w:szCs w:val="24"/>
        </w:rPr>
        <w:t>EM</w:t>
      </w:r>
      <w:r w:rsidR="00383057" w:rsidRPr="00383057">
        <w:rPr>
          <w:rFonts w:cs="Times New Roman"/>
          <w:b/>
          <w:sz w:val="24"/>
          <w:szCs w:val="24"/>
        </w:rPr>
        <w:t xml:space="preserve"> </w:t>
      </w:r>
      <w:r w:rsidR="00383057" w:rsidRPr="00383057">
        <w:rPr>
          <w:rFonts w:cs="Times New Roman"/>
          <w:sz w:val="24"/>
          <w:szCs w:val="24"/>
        </w:rPr>
        <w:t>normatīvajos aktos noteiktajā kārtībā</w:t>
      </w:r>
      <w:r w:rsidR="00383057" w:rsidRPr="00383057">
        <w:rPr>
          <w:rFonts w:cs="Times New Roman"/>
          <w:b/>
          <w:sz w:val="24"/>
          <w:szCs w:val="24"/>
        </w:rPr>
        <w:t xml:space="preserve"> </w:t>
      </w:r>
      <w:r w:rsidR="008E598F">
        <w:rPr>
          <w:rFonts w:cs="Times New Roman"/>
          <w:b/>
          <w:sz w:val="24"/>
          <w:szCs w:val="24"/>
        </w:rPr>
        <w:t xml:space="preserve">novērtējumu par </w:t>
      </w:r>
      <w:r w:rsidR="008E598F" w:rsidRPr="008E598F">
        <w:rPr>
          <w:rFonts w:cs="Times New Roman"/>
          <w:b/>
          <w:sz w:val="24"/>
          <w:szCs w:val="24"/>
        </w:rPr>
        <w:t xml:space="preserve">pamatnostādņu </w:t>
      </w:r>
      <w:r w:rsidR="008E598F" w:rsidRPr="008E598F">
        <w:rPr>
          <w:rFonts w:cs="Times New Roman"/>
          <w:b/>
          <w:i/>
          <w:sz w:val="24"/>
          <w:szCs w:val="24"/>
        </w:rPr>
        <w:t>ex post</w:t>
      </w:r>
      <w:r w:rsidR="008E598F" w:rsidRPr="008E598F">
        <w:rPr>
          <w:rFonts w:cs="Times New Roman"/>
          <w:b/>
          <w:sz w:val="24"/>
          <w:szCs w:val="24"/>
        </w:rPr>
        <w:t xml:space="preserve"> novērtējumu </w:t>
      </w:r>
      <w:r w:rsidR="008E598F">
        <w:rPr>
          <w:rFonts w:cs="Times New Roman"/>
          <w:b/>
          <w:sz w:val="24"/>
          <w:szCs w:val="24"/>
        </w:rPr>
        <w:t xml:space="preserve">MK iesniegs </w:t>
      </w:r>
      <w:r w:rsidR="008E598F" w:rsidRPr="008E598F">
        <w:rPr>
          <w:rFonts w:cs="Times New Roman"/>
          <w:b/>
          <w:sz w:val="24"/>
          <w:szCs w:val="24"/>
        </w:rPr>
        <w:t>līdz 2020.gada 31.augustam.</w:t>
      </w:r>
    </w:p>
    <w:p w14:paraId="11CFA3D6" w14:textId="77777777" w:rsidR="007241E6" w:rsidRDefault="007241E6" w:rsidP="00FC287C">
      <w:pPr>
        <w:jc w:val="both"/>
        <w:rPr>
          <w:sz w:val="24"/>
          <w:szCs w:val="24"/>
        </w:rPr>
      </w:pPr>
    </w:p>
    <w:p w14:paraId="65CD05F5" w14:textId="77777777" w:rsidR="00294869" w:rsidRDefault="00294869" w:rsidP="00FC287C">
      <w:pPr>
        <w:jc w:val="both"/>
        <w:rPr>
          <w:sz w:val="24"/>
          <w:szCs w:val="24"/>
        </w:rPr>
      </w:pPr>
      <w:r>
        <w:rPr>
          <w:sz w:val="24"/>
          <w:szCs w:val="24"/>
        </w:rPr>
        <w:t>Ministru prezidenta biedrs,</w:t>
      </w:r>
    </w:p>
    <w:p w14:paraId="056A7135" w14:textId="77777777" w:rsidR="00294869" w:rsidRPr="002333D4" w:rsidRDefault="00294869" w:rsidP="00294869">
      <w:pPr>
        <w:tabs>
          <w:tab w:val="left" w:pos="7655"/>
        </w:tabs>
        <w:rPr>
          <w:sz w:val="24"/>
          <w:szCs w:val="24"/>
        </w:rPr>
      </w:pPr>
      <w:r>
        <w:rPr>
          <w:sz w:val="24"/>
          <w:szCs w:val="24"/>
        </w:rPr>
        <w:t>e</w:t>
      </w:r>
      <w:r w:rsidRPr="002333D4">
        <w:rPr>
          <w:sz w:val="24"/>
          <w:szCs w:val="24"/>
        </w:rPr>
        <w:t>konomikas ministrs</w:t>
      </w:r>
      <w:r w:rsidRPr="002333D4">
        <w:rPr>
          <w:sz w:val="24"/>
          <w:szCs w:val="24"/>
        </w:rPr>
        <w:tab/>
      </w:r>
      <w:r w:rsidRPr="002333D4">
        <w:rPr>
          <w:color w:val="000000"/>
          <w:sz w:val="24"/>
          <w:szCs w:val="24"/>
        </w:rPr>
        <w:t>A.</w:t>
      </w:r>
      <w:r>
        <w:rPr>
          <w:color w:val="000000"/>
          <w:sz w:val="24"/>
          <w:szCs w:val="24"/>
        </w:rPr>
        <w:t xml:space="preserve"> </w:t>
      </w:r>
      <w:r w:rsidRPr="002333D4">
        <w:rPr>
          <w:color w:val="000000"/>
          <w:sz w:val="24"/>
          <w:szCs w:val="24"/>
        </w:rPr>
        <w:t>Ašeradens</w:t>
      </w:r>
    </w:p>
    <w:p w14:paraId="3ACCE80F" w14:textId="77777777" w:rsidR="00BD2F8E" w:rsidRDefault="00BD2F8E" w:rsidP="00294869">
      <w:pPr>
        <w:rPr>
          <w:bCs/>
          <w:sz w:val="8"/>
          <w:szCs w:val="8"/>
          <w:lang w:eastAsia="lv-LV"/>
        </w:rPr>
      </w:pPr>
    </w:p>
    <w:p w14:paraId="76D61E62" w14:textId="77777777" w:rsidR="00294869" w:rsidRPr="002333D4" w:rsidRDefault="00294869" w:rsidP="00294869">
      <w:pPr>
        <w:rPr>
          <w:bCs/>
          <w:sz w:val="24"/>
          <w:szCs w:val="24"/>
          <w:lang w:eastAsia="lv-LV"/>
        </w:rPr>
      </w:pPr>
      <w:r w:rsidRPr="002333D4">
        <w:rPr>
          <w:bCs/>
          <w:sz w:val="24"/>
          <w:szCs w:val="24"/>
          <w:lang w:eastAsia="lv-LV"/>
        </w:rPr>
        <w:t xml:space="preserve">Vīza: </w:t>
      </w:r>
    </w:p>
    <w:p w14:paraId="0F588EB0" w14:textId="77777777" w:rsidR="00294869" w:rsidRDefault="00294869" w:rsidP="00294869">
      <w:pPr>
        <w:tabs>
          <w:tab w:val="left" w:pos="8222"/>
        </w:tabs>
        <w:rPr>
          <w:sz w:val="24"/>
          <w:szCs w:val="24"/>
        </w:rPr>
      </w:pPr>
      <w:r w:rsidRPr="002333D4">
        <w:rPr>
          <w:sz w:val="24"/>
          <w:szCs w:val="24"/>
        </w:rPr>
        <w:t>Ekonomikas ministrijas valsts sekretārs</w:t>
      </w:r>
      <w:r w:rsidRPr="002333D4">
        <w:rPr>
          <w:sz w:val="24"/>
          <w:szCs w:val="24"/>
        </w:rPr>
        <w:tab/>
        <w:t>J.Stinka</w:t>
      </w:r>
    </w:p>
    <w:p w14:paraId="5366BDCB" w14:textId="77777777" w:rsidR="00FC287C" w:rsidRDefault="00FC287C" w:rsidP="00294869">
      <w:pPr>
        <w:rPr>
          <w:sz w:val="18"/>
        </w:rPr>
      </w:pPr>
    </w:p>
    <w:p w14:paraId="1F58DCE8" w14:textId="3B07121E" w:rsidR="00987A04" w:rsidRDefault="00987A04" w:rsidP="00294869">
      <w:pPr>
        <w:rPr>
          <w:sz w:val="14"/>
          <w:szCs w:val="14"/>
        </w:rPr>
      </w:pPr>
      <w:r>
        <w:rPr>
          <w:sz w:val="14"/>
          <w:szCs w:val="14"/>
        </w:rPr>
        <w:fldChar w:fldCharType="begin"/>
      </w:r>
      <w:r>
        <w:rPr>
          <w:sz w:val="14"/>
          <w:szCs w:val="14"/>
        </w:rPr>
        <w:instrText xml:space="preserve"> NUMWORDS   \* MERGEFORMAT </w:instrText>
      </w:r>
      <w:r>
        <w:rPr>
          <w:sz w:val="14"/>
          <w:szCs w:val="14"/>
        </w:rPr>
        <w:fldChar w:fldCharType="separate"/>
      </w:r>
      <w:r w:rsidR="002F2F6C">
        <w:rPr>
          <w:noProof/>
          <w:sz w:val="14"/>
          <w:szCs w:val="14"/>
        </w:rPr>
        <w:t>11198</w:t>
      </w:r>
      <w:r>
        <w:rPr>
          <w:sz w:val="14"/>
          <w:szCs w:val="14"/>
        </w:rPr>
        <w:fldChar w:fldCharType="end"/>
      </w:r>
    </w:p>
    <w:p w14:paraId="46FC91D3" w14:textId="5F8BA461" w:rsidR="0098537B" w:rsidRPr="0098537B" w:rsidRDefault="00BF5222" w:rsidP="00294869">
      <w:pPr>
        <w:rPr>
          <w:sz w:val="14"/>
          <w:szCs w:val="14"/>
        </w:rPr>
      </w:pPr>
      <w:r>
        <w:rPr>
          <w:sz w:val="14"/>
          <w:szCs w:val="14"/>
        </w:rPr>
        <w:fldChar w:fldCharType="begin"/>
      </w:r>
      <w:r>
        <w:rPr>
          <w:sz w:val="14"/>
          <w:szCs w:val="14"/>
        </w:rPr>
        <w:instrText xml:space="preserve"> DATE  \@ "dd.MM.yyyy HH:mm"  \* MERGEFORMAT </w:instrText>
      </w:r>
      <w:r>
        <w:rPr>
          <w:sz w:val="14"/>
          <w:szCs w:val="14"/>
        </w:rPr>
        <w:fldChar w:fldCharType="separate"/>
      </w:r>
      <w:r w:rsidR="003064A4">
        <w:rPr>
          <w:noProof/>
          <w:sz w:val="14"/>
          <w:szCs w:val="14"/>
        </w:rPr>
        <w:t>30.01.2017 08:50</w:t>
      </w:r>
      <w:r>
        <w:rPr>
          <w:sz w:val="14"/>
          <w:szCs w:val="14"/>
        </w:rPr>
        <w:fldChar w:fldCharType="end"/>
      </w:r>
      <w:r w:rsidR="0098537B" w:rsidRPr="0098537B">
        <w:rPr>
          <w:sz w:val="14"/>
          <w:szCs w:val="14"/>
        </w:rPr>
        <w:fldChar w:fldCharType="begin"/>
      </w:r>
      <w:r w:rsidR="0098537B" w:rsidRPr="0098537B">
        <w:rPr>
          <w:sz w:val="14"/>
          <w:szCs w:val="14"/>
        </w:rPr>
        <w:instrText xml:space="preserve"> CREATEDATE   \* MERGEFORMAT </w:instrText>
      </w:r>
      <w:r w:rsidR="0098537B" w:rsidRPr="0098537B">
        <w:rPr>
          <w:sz w:val="14"/>
          <w:szCs w:val="14"/>
        </w:rPr>
        <w:fldChar w:fldCharType="end"/>
      </w:r>
    </w:p>
    <w:p w14:paraId="6273189A" w14:textId="77777777" w:rsidR="00294869" w:rsidRPr="00F22662" w:rsidRDefault="00294869" w:rsidP="00294869">
      <w:pPr>
        <w:rPr>
          <w:sz w:val="14"/>
        </w:rPr>
      </w:pPr>
      <w:r w:rsidRPr="00F22662">
        <w:rPr>
          <w:sz w:val="14"/>
        </w:rPr>
        <w:t>M.Ambrēna, 67013061</w:t>
      </w:r>
    </w:p>
    <w:p w14:paraId="7483BAB0" w14:textId="77777777" w:rsidR="006D7288" w:rsidRPr="00F22662" w:rsidRDefault="0040569D" w:rsidP="007241E6">
      <w:pPr>
        <w:pStyle w:val="Footer"/>
        <w:rPr>
          <w:sz w:val="20"/>
          <w:szCs w:val="24"/>
        </w:rPr>
      </w:pPr>
      <w:hyperlink r:id="rId36" w:history="1">
        <w:r w:rsidR="00294869" w:rsidRPr="00F22662">
          <w:rPr>
            <w:rStyle w:val="Hyperlink"/>
            <w:rFonts w:ascii="Times New Roman" w:hAnsi="Times New Roman" w:cs="Times New Roman"/>
            <w:sz w:val="14"/>
          </w:rPr>
          <w:t>madara.ambrena@em.gov.lv</w:t>
        </w:r>
      </w:hyperlink>
      <w:bookmarkEnd w:id="15"/>
    </w:p>
    <w:sectPr w:rsidR="006D7288" w:rsidRPr="00F22662" w:rsidSect="00FA718D">
      <w:headerReference w:type="default" r:id="rId37"/>
      <w:footerReference w:type="default" r:id="rId38"/>
      <w:pgSz w:w="11906" w:h="16838" w:code="9"/>
      <w:pgMar w:top="1134" w:right="707" w:bottom="993" w:left="1418" w:header="426" w:footer="45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6E5D" w14:textId="77777777" w:rsidR="0040569D" w:rsidRDefault="0040569D" w:rsidP="0083233C">
      <w:r>
        <w:separator/>
      </w:r>
    </w:p>
  </w:endnote>
  <w:endnote w:type="continuationSeparator" w:id="0">
    <w:p w14:paraId="5ED5235C" w14:textId="77777777" w:rsidR="0040569D" w:rsidRDefault="0040569D" w:rsidP="008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ADF5" w14:textId="4FB522C5" w:rsidR="009B6AB6" w:rsidRPr="00C33F75" w:rsidRDefault="00C33F75" w:rsidP="00C33F75">
    <w:pPr>
      <w:pStyle w:val="Footer"/>
      <w:rPr>
        <w:rFonts w:ascii="Times New Roman" w:hAnsi="Times New Roman" w:cs="Times New Roman"/>
        <w:sz w:val="20"/>
      </w:rPr>
    </w:pPr>
    <w:r w:rsidRPr="00C33F75">
      <w:rPr>
        <w:rFonts w:ascii="Times New Roman" w:hAnsi="Times New Roman" w:cs="Times New Roman"/>
        <w:sz w:val="20"/>
      </w:rPr>
      <w:fldChar w:fldCharType="begin"/>
    </w:r>
    <w:r w:rsidRPr="00C33F75">
      <w:rPr>
        <w:rFonts w:ascii="Times New Roman" w:hAnsi="Times New Roman" w:cs="Times New Roman"/>
        <w:sz w:val="20"/>
      </w:rPr>
      <w:instrText xml:space="preserve"> FILENAME   \* MERGEFORMAT </w:instrText>
    </w:r>
    <w:r w:rsidRPr="00C33F75">
      <w:rPr>
        <w:rFonts w:ascii="Times New Roman" w:hAnsi="Times New Roman" w:cs="Times New Roman"/>
        <w:sz w:val="20"/>
      </w:rPr>
      <w:fldChar w:fldCharType="separate"/>
    </w:r>
    <w:r w:rsidR="003064A4">
      <w:rPr>
        <w:rFonts w:ascii="Times New Roman" w:hAnsi="Times New Roman" w:cs="Times New Roman"/>
        <w:noProof/>
        <w:sz w:val="20"/>
      </w:rPr>
      <w:t>EMZin_300117_pamn_novert.docx</w:t>
    </w:r>
    <w:r w:rsidRPr="00C33F75">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5652" w14:textId="77777777" w:rsidR="0040569D" w:rsidRDefault="0040569D" w:rsidP="0083233C">
      <w:r>
        <w:separator/>
      </w:r>
    </w:p>
  </w:footnote>
  <w:footnote w:type="continuationSeparator" w:id="0">
    <w:p w14:paraId="7C32A94C" w14:textId="77777777" w:rsidR="0040569D" w:rsidRDefault="0040569D" w:rsidP="0083233C">
      <w:r>
        <w:continuationSeparator/>
      </w:r>
    </w:p>
  </w:footnote>
  <w:footnote w:id="1">
    <w:p w14:paraId="6D2523AE" w14:textId="77777777" w:rsidR="009B6AB6" w:rsidRPr="00396665" w:rsidRDefault="009B6AB6" w:rsidP="0064037A">
      <w:pPr>
        <w:pStyle w:val="FootnoteText"/>
        <w:ind w:left="142" w:hanging="142"/>
        <w:jc w:val="both"/>
        <w:rPr>
          <w:rFonts w:cs="Times New Roman"/>
          <w:sz w:val="16"/>
          <w:szCs w:val="16"/>
        </w:rPr>
      </w:pPr>
      <w:r w:rsidRPr="002A1202">
        <w:rPr>
          <w:rStyle w:val="FootnoteReference"/>
          <w:rFonts w:ascii="Arial Narrow" w:eastAsiaTheme="majorEastAsia" w:hAnsi="Arial Narrow"/>
          <w:sz w:val="16"/>
          <w:szCs w:val="16"/>
        </w:rPr>
        <w:footnoteRef/>
      </w:r>
      <w:r w:rsidRPr="002A1202">
        <w:rPr>
          <w:rFonts w:ascii="Arial Narrow" w:hAnsi="Arial Narrow"/>
          <w:sz w:val="16"/>
          <w:szCs w:val="16"/>
        </w:rPr>
        <w:tab/>
      </w:r>
      <w:r w:rsidRPr="00396665">
        <w:rPr>
          <w:rFonts w:cs="Times New Roman"/>
          <w:sz w:val="16"/>
          <w:szCs w:val="16"/>
        </w:rPr>
        <w:t xml:space="preserve">ULC tiek noteikts kā attiecība starp darbaspēka izmaksām un darbaspēka produktivitāti. Ja produktivitāte aug straujāk par algām, tad ULC samazinās, kas liecina par to, ka cenu konkurētspēja palielinās un otrādi. Produkcijas vienības darbaspēka izmaksas (nominālais ULC) atspoguļo darbaspēka izmaksu un produktivitātes dinamikas attiecību un tādējādi ļauj izvērtēt iekšzemes ražotāju izmaksu (cenu) konkurētspējas izmaiņas iekšējos un ārējos tirgos. Saskaņā ar ULC koncepciju konkurētspēju nosaka ne tikai ražotāju izmaksas (darbaspēka izmaksas), bet arī produktivitāte. Zemas algas var būt zemās konkurētspējas pazīme, nevis konkurētspējas priekšrocības. Savukārt augstas algas, ja tās atbilst augstai produktivitātei, var būt nozīmīgs konkurētspējas virzītājs. </w:t>
      </w:r>
    </w:p>
  </w:footnote>
  <w:footnote w:id="2">
    <w:p w14:paraId="44D6B3A3" w14:textId="77777777" w:rsidR="009B6AB6" w:rsidRPr="00396665" w:rsidRDefault="009B6AB6" w:rsidP="00237CF4">
      <w:pPr>
        <w:pStyle w:val="FootnoteText"/>
        <w:ind w:left="142" w:hanging="142"/>
        <w:rPr>
          <w:rFonts w:cs="Times New Roman"/>
          <w:sz w:val="18"/>
          <w:szCs w:val="18"/>
        </w:rPr>
      </w:pPr>
      <w:r w:rsidRPr="0064037A">
        <w:rPr>
          <w:rFonts w:cs="Times New Roman"/>
          <w:sz w:val="18"/>
          <w:szCs w:val="18"/>
          <w:vertAlign w:val="superscript"/>
        </w:rPr>
        <w:footnoteRef/>
      </w:r>
      <w:r w:rsidRPr="0064037A">
        <w:rPr>
          <w:rFonts w:cs="Times New Roman"/>
          <w:sz w:val="18"/>
          <w:szCs w:val="18"/>
          <w:vertAlign w:val="superscript"/>
        </w:rPr>
        <w:t xml:space="preserve"> </w:t>
      </w:r>
      <w:r w:rsidRPr="00396665">
        <w:rPr>
          <w:rFonts w:cs="Times New Roman"/>
          <w:sz w:val="18"/>
          <w:szCs w:val="18"/>
        </w:rPr>
        <w:t xml:space="preserve">Pasaules Banka. Global Competitiveness index. Pieejams: </w:t>
      </w:r>
      <w:hyperlink r:id="rId1" w:tgtFrame="_blank" w:history="1">
        <w:r w:rsidRPr="00396665">
          <w:rPr>
            <w:rFonts w:cs="Times New Roman"/>
            <w:sz w:val="18"/>
            <w:szCs w:val="18"/>
          </w:rPr>
          <w:t>http://reports.weforum.org/global-competitiveness-report-2015-2016/</w:t>
        </w:r>
      </w:hyperlink>
      <w:r w:rsidRPr="00396665">
        <w:rPr>
          <w:rFonts w:cs="Times New Roman"/>
          <w:sz w:val="18"/>
          <w:szCs w:val="18"/>
        </w:rPr>
        <w:t xml:space="preserve"> </w:t>
      </w:r>
    </w:p>
  </w:footnote>
  <w:footnote w:id="3">
    <w:p w14:paraId="7BB63D91" w14:textId="77777777" w:rsidR="009B6AB6" w:rsidRPr="00F1454F" w:rsidRDefault="009B6AB6" w:rsidP="00E9146D">
      <w:pPr>
        <w:pStyle w:val="FootnoteText"/>
        <w:rPr>
          <w:sz w:val="18"/>
          <w:szCs w:val="18"/>
        </w:rPr>
      </w:pPr>
      <w:r w:rsidRPr="00FA0858">
        <w:rPr>
          <w:rStyle w:val="FootnoteReference"/>
          <w:sz w:val="18"/>
        </w:rPr>
        <w:footnoteRef/>
      </w:r>
      <w:r w:rsidRPr="00FA0858">
        <w:rPr>
          <w:sz w:val="18"/>
        </w:rPr>
        <w:t xml:space="preserve"> Dzīvības zinātnes (life </w:t>
      </w:r>
      <w:r w:rsidRPr="00F1454F">
        <w:rPr>
          <w:sz w:val="18"/>
          <w:szCs w:val="18"/>
        </w:rPr>
        <w:t>sciences) ietver farmāciju, biotehnoloģijas, veterinārijas un agrobioloģijas nozares</w:t>
      </w:r>
    </w:p>
  </w:footnote>
  <w:footnote w:id="4">
    <w:p w14:paraId="1964DD36" w14:textId="77777777" w:rsidR="009B6AB6" w:rsidRPr="00F1454F" w:rsidRDefault="009B6AB6" w:rsidP="00E9146D">
      <w:pPr>
        <w:pStyle w:val="FootnoteText"/>
        <w:jc w:val="both"/>
        <w:rPr>
          <w:sz w:val="18"/>
          <w:szCs w:val="18"/>
        </w:rPr>
      </w:pPr>
      <w:r w:rsidRPr="00F1454F">
        <w:rPr>
          <w:rStyle w:val="FootnoteReference"/>
          <w:sz w:val="18"/>
          <w:szCs w:val="18"/>
        </w:rPr>
        <w:footnoteRef/>
      </w:r>
      <w:r w:rsidRPr="00F1454F">
        <w:rPr>
          <w:sz w:val="18"/>
          <w:szCs w:val="18"/>
        </w:rPr>
        <w:t xml:space="preserve"> Zaļās tehnoloģijas (greentech) ietver atjaunojamās enerģijas, notekūdeņu apsaimniekošanu, cieto atkritumu un pārstrādājamo materiālu apsaimniekošanas nozares un tehnoloģiju un iekārtu ražošanu šajās nozarēs</w:t>
      </w:r>
    </w:p>
  </w:footnote>
  <w:footnote w:id="5">
    <w:p w14:paraId="4D872C12" w14:textId="77777777" w:rsidR="009B6AB6" w:rsidRDefault="009B6AB6" w:rsidP="0064037A">
      <w:pPr>
        <w:pStyle w:val="FootnoteText"/>
      </w:pPr>
      <w:r w:rsidRPr="00F1454F">
        <w:rPr>
          <w:rStyle w:val="FootnoteReference"/>
          <w:sz w:val="18"/>
          <w:szCs w:val="18"/>
        </w:rPr>
        <w:footnoteRef/>
      </w:r>
      <w:r w:rsidRPr="00F1454F">
        <w:rPr>
          <w:sz w:val="18"/>
          <w:szCs w:val="18"/>
        </w:rPr>
        <w:t xml:space="preserve"> FICIL Insolvency Abuse Report 2016</w:t>
      </w:r>
    </w:p>
  </w:footnote>
  <w:footnote w:id="6">
    <w:p w14:paraId="30AFA0F5" w14:textId="77777777" w:rsidR="009B6AB6" w:rsidRPr="009E53C0" w:rsidRDefault="009B6AB6" w:rsidP="008B71CF">
      <w:pPr>
        <w:jc w:val="both"/>
        <w:rPr>
          <w:rFonts w:cs="Times New Roman"/>
          <w:sz w:val="16"/>
          <w:szCs w:val="16"/>
        </w:rPr>
      </w:pPr>
      <w:r w:rsidRPr="009E53C0">
        <w:rPr>
          <w:rStyle w:val="FootnoteReference"/>
          <w:rFonts w:cs="Times New Roman"/>
          <w:sz w:val="16"/>
          <w:szCs w:val="16"/>
        </w:rPr>
        <w:footnoteRef/>
      </w:r>
      <w:r w:rsidRPr="009E53C0">
        <w:rPr>
          <w:rFonts w:cs="Times New Roman"/>
          <w:sz w:val="16"/>
          <w:szCs w:val="16"/>
        </w:rPr>
        <w:t xml:space="preserve"> </w:t>
      </w:r>
      <w:r w:rsidRPr="009E53C0">
        <w:rPr>
          <w:rFonts w:cs="Times New Roman"/>
          <w:b/>
          <w:sz w:val="16"/>
          <w:szCs w:val="16"/>
        </w:rPr>
        <w:t>Sauka A.</w:t>
      </w:r>
      <w:r w:rsidRPr="009E53C0">
        <w:rPr>
          <w:rFonts w:cs="Times New Roman"/>
          <w:sz w:val="16"/>
          <w:szCs w:val="16"/>
        </w:rPr>
        <w:t xml:space="preserve"> </w:t>
      </w:r>
      <w:r w:rsidRPr="00F1454F">
        <w:rPr>
          <w:rFonts w:cs="Times New Roman"/>
          <w:sz w:val="16"/>
          <w:szCs w:val="16"/>
          <w:lang w:val="en-US"/>
        </w:rPr>
        <w:t>The Investment climate in Latvia: the viewpoint of foreign investors. FICIL Sentiment index</w:t>
      </w:r>
      <w:r w:rsidRPr="009E53C0">
        <w:rPr>
          <w:rFonts w:cs="Times New Roman"/>
          <w:sz w:val="16"/>
          <w:szCs w:val="16"/>
        </w:rPr>
        <w:t xml:space="preserve"> 2015. Pieejams: </w:t>
      </w:r>
      <w:hyperlink r:id="rId2" w:history="1">
        <w:r w:rsidRPr="009E53C0">
          <w:rPr>
            <w:rStyle w:val="Hyperlink"/>
            <w:rFonts w:cs="Times New Roman"/>
            <w:sz w:val="16"/>
            <w:szCs w:val="16"/>
          </w:rPr>
          <w:t>http://www.ficil.lv/f/FICIL%20Sentiment%20Index%20Report%202015.pdf</w:t>
        </w:r>
      </w:hyperlink>
      <w:r w:rsidRPr="009E53C0">
        <w:rPr>
          <w:rFonts w:cs="Times New Roman"/>
          <w:sz w:val="16"/>
          <w:szCs w:val="16"/>
        </w:rPr>
        <w:t xml:space="preserve"> </w:t>
      </w:r>
    </w:p>
  </w:footnote>
  <w:footnote w:id="7">
    <w:p w14:paraId="5CBE945E" w14:textId="77777777" w:rsidR="009B6AB6" w:rsidRPr="009E53C0" w:rsidRDefault="009B6AB6" w:rsidP="00CF2154">
      <w:pPr>
        <w:jc w:val="both"/>
        <w:rPr>
          <w:sz w:val="16"/>
          <w:szCs w:val="16"/>
        </w:rPr>
      </w:pPr>
      <w:r w:rsidRPr="009E53C0">
        <w:rPr>
          <w:rStyle w:val="FootnoteReference"/>
          <w:rFonts w:cs="Times New Roman"/>
          <w:sz w:val="16"/>
          <w:szCs w:val="16"/>
        </w:rPr>
        <w:footnoteRef/>
      </w:r>
      <w:r w:rsidRPr="009E53C0">
        <w:rPr>
          <w:rFonts w:cs="Times New Roman"/>
          <w:sz w:val="16"/>
          <w:szCs w:val="16"/>
        </w:rPr>
        <w:t xml:space="preserve"> </w:t>
      </w:r>
      <w:r w:rsidRPr="009E53C0">
        <w:rPr>
          <w:rFonts w:cs="Times New Roman"/>
          <w:b/>
          <w:sz w:val="16"/>
          <w:szCs w:val="16"/>
        </w:rPr>
        <w:t>Earnst and Young</w:t>
      </w:r>
      <w:r w:rsidRPr="009E53C0">
        <w:rPr>
          <w:rFonts w:cs="Times New Roman"/>
          <w:sz w:val="16"/>
          <w:szCs w:val="16"/>
        </w:rPr>
        <w:t xml:space="preserve">.  </w:t>
      </w:r>
      <w:r w:rsidRPr="00F1454F">
        <w:rPr>
          <w:rFonts w:cs="Times New Roman"/>
          <w:sz w:val="16"/>
          <w:szCs w:val="16"/>
          <w:lang w:val="en-US"/>
        </w:rPr>
        <w:t>European attractiveness survey</w:t>
      </w:r>
      <w:r w:rsidRPr="009E53C0">
        <w:rPr>
          <w:rFonts w:cs="Times New Roman"/>
          <w:sz w:val="16"/>
          <w:szCs w:val="16"/>
        </w:rPr>
        <w:t xml:space="preserve"> 2015. Pieejams: </w:t>
      </w:r>
      <w:hyperlink r:id="rId3" w:history="1">
        <w:r w:rsidRPr="009E53C0">
          <w:rPr>
            <w:rStyle w:val="Hyperlink"/>
            <w:rFonts w:cs="Times New Roman"/>
            <w:sz w:val="16"/>
            <w:szCs w:val="16"/>
          </w:rPr>
          <w:t>http://www.ey.com/Publication/vwLUAssets/EY-european-attractiveness-survey-2015/$FILE/EY-european-attractiveness-survey-2015.pdf</w:t>
        </w:r>
      </w:hyperlink>
      <w:r w:rsidRPr="009E53C0">
        <w:rPr>
          <w:sz w:val="16"/>
          <w:szCs w:val="16"/>
        </w:rPr>
        <w:t xml:space="preserve"> </w:t>
      </w:r>
    </w:p>
  </w:footnote>
  <w:footnote w:id="8">
    <w:p w14:paraId="164ED14A" w14:textId="77777777" w:rsidR="009B6AB6" w:rsidRPr="009E53C0" w:rsidRDefault="009B6AB6" w:rsidP="008B71CF">
      <w:pPr>
        <w:pStyle w:val="FootnoteText"/>
        <w:ind w:left="142" w:hanging="142"/>
        <w:rPr>
          <w:rFonts w:cs="Times New Roman"/>
          <w:sz w:val="16"/>
          <w:szCs w:val="16"/>
          <w:lang w:val="en-US"/>
        </w:rPr>
      </w:pPr>
      <w:r w:rsidRPr="009E53C0">
        <w:rPr>
          <w:rStyle w:val="FootnoteReference"/>
          <w:rFonts w:eastAsiaTheme="majorEastAsia" w:cs="Times New Roman"/>
          <w:sz w:val="16"/>
          <w:szCs w:val="16"/>
        </w:rPr>
        <w:footnoteRef/>
      </w:r>
      <w:r w:rsidRPr="009E53C0">
        <w:rPr>
          <w:rFonts w:cs="Times New Roman"/>
          <w:sz w:val="16"/>
          <w:szCs w:val="16"/>
        </w:rPr>
        <w:tab/>
      </w:r>
      <w:r w:rsidRPr="009E53C0">
        <w:rPr>
          <w:rFonts w:cs="Times New Roman"/>
          <w:b/>
          <w:sz w:val="16"/>
          <w:szCs w:val="16"/>
        </w:rPr>
        <w:t>Ekonomikas ministrija.</w:t>
      </w:r>
      <w:r w:rsidRPr="009E53C0">
        <w:rPr>
          <w:rFonts w:cs="Times New Roman"/>
          <w:sz w:val="16"/>
          <w:szCs w:val="16"/>
        </w:rPr>
        <w:t xml:space="preserve"> Informatīvais ziņojums par darba tirgus vidēja un ilgtermiņa prognozēm (2016.gada jūnijs). </w:t>
      </w:r>
      <w:r w:rsidRPr="009E53C0">
        <w:rPr>
          <w:rFonts w:cs="Times New Roman"/>
          <w:sz w:val="16"/>
          <w:szCs w:val="16"/>
          <w:lang w:val="en-US"/>
        </w:rPr>
        <w:t xml:space="preserve">Pieejams: </w:t>
      </w:r>
      <w:hyperlink r:id="rId4" w:history="1">
        <w:r w:rsidRPr="009E53C0">
          <w:rPr>
            <w:rStyle w:val="Hyperlink"/>
            <w:rFonts w:cs="Times New Roman"/>
            <w:sz w:val="16"/>
            <w:szCs w:val="16"/>
            <w:lang w:val="en-US"/>
          </w:rPr>
          <w:t>https://www.em.gov.lv/files/tautsaimniecibas_attistiba/dsp/EMZino_06_160616.pdf</w:t>
        </w:r>
      </w:hyperlink>
      <w:r w:rsidRPr="009E53C0">
        <w:rPr>
          <w:rFonts w:cs="Times New Roman"/>
          <w:sz w:val="16"/>
          <w:szCs w:val="16"/>
          <w:lang w:val="en-US"/>
        </w:rPr>
        <w:t xml:space="preserve"> </w:t>
      </w:r>
    </w:p>
  </w:footnote>
  <w:footnote w:id="9">
    <w:p w14:paraId="68BFB003" w14:textId="77777777" w:rsidR="009B6AB6" w:rsidRPr="009E53C0" w:rsidRDefault="009B6AB6" w:rsidP="008B71CF">
      <w:pPr>
        <w:pStyle w:val="FootnoteText"/>
        <w:ind w:left="142" w:hanging="142"/>
        <w:rPr>
          <w:rFonts w:cs="Times New Roman"/>
          <w:sz w:val="16"/>
          <w:szCs w:val="16"/>
          <w:lang w:val="en-US"/>
        </w:rPr>
      </w:pPr>
      <w:r w:rsidRPr="009E53C0">
        <w:rPr>
          <w:rStyle w:val="FootnoteReference"/>
          <w:rFonts w:eastAsiaTheme="majorEastAsia" w:cs="Times New Roman"/>
          <w:sz w:val="16"/>
          <w:szCs w:val="16"/>
        </w:rPr>
        <w:footnoteRef/>
      </w:r>
      <w:r w:rsidRPr="009E53C0">
        <w:rPr>
          <w:rFonts w:cs="Times New Roman"/>
          <w:sz w:val="16"/>
          <w:szCs w:val="16"/>
          <w:lang w:val="en-US"/>
        </w:rPr>
        <w:t xml:space="preserve"> </w:t>
      </w:r>
      <w:r w:rsidRPr="009E53C0">
        <w:rPr>
          <w:rFonts w:cs="Times New Roman"/>
          <w:b/>
          <w:sz w:val="16"/>
          <w:szCs w:val="16"/>
          <w:lang w:val="en-US"/>
        </w:rPr>
        <w:t>Schneider F.</w:t>
      </w:r>
      <w:r w:rsidRPr="009E53C0">
        <w:rPr>
          <w:rFonts w:cs="Times New Roman"/>
          <w:sz w:val="16"/>
          <w:szCs w:val="16"/>
          <w:lang w:val="en-US"/>
        </w:rPr>
        <w:t xml:space="preserve"> Size and Development of the Shadow Economy of 31 European and 5 other OECD Countries from 2003 to 2015: Different Developments</w:t>
      </w:r>
    </w:p>
  </w:footnote>
  <w:footnote w:id="10">
    <w:p w14:paraId="1CD062C5" w14:textId="77777777" w:rsidR="009B6AB6" w:rsidRPr="00D44AAA" w:rsidRDefault="009B6AB6" w:rsidP="008B71CF">
      <w:pPr>
        <w:pStyle w:val="FootnoteText"/>
        <w:ind w:left="142" w:hanging="142"/>
        <w:rPr>
          <w:rFonts w:cs="Times New Roman"/>
          <w:lang w:val="en-US"/>
        </w:rPr>
      </w:pPr>
      <w:r w:rsidRPr="009E53C0">
        <w:rPr>
          <w:rStyle w:val="FootnoteReference"/>
          <w:rFonts w:eastAsiaTheme="majorEastAsia" w:cs="Times New Roman"/>
          <w:sz w:val="16"/>
          <w:szCs w:val="16"/>
        </w:rPr>
        <w:footnoteRef/>
      </w:r>
      <w:r w:rsidRPr="009E53C0">
        <w:rPr>
          <w:rFonts w:cs="Times New Roman"/>
          <w:sz w:val="16"/>
          <w:szCs w:val="16"/>
          <w:lang w:val="en-US"/>
        </w:rPr>
        <w:t xml:space="preserve"> </w:t>
      </w:r>
      <w:r w:rsidRPr="009E53C0">
        <w:rPr>
          <w:rFonts w:cs="Times New Roman"/>
          <w:b/>
          <w:sz w:val="16"/>
          <w:szCs w:val="16"/>
          <w:lang w:val="en-US"/>
        </w:rPr>
        <w:t>Transparency International.</w:t>
      </w:r>
      <w:r w:rsidRPr="009E53C0">
        <w:rPr>
          <w:rFonts w:cs="Times New Roman"/>
          <w:sz w:val="16"/>
          <w:szCs w:val="16"/>
          <w:lang w:val="en-US"/>
        </w:rPr>
        <w:t xml:space="preserve"> Corruption perception index 2015</w:t>
      </w:r>
    </w:p>
  </w:footnote>
  <w:footnote w:id="11">
    <w:p w14:paraId="28C9FFBE" w14:textId="77777777" w:rsidR="009B6AB6" w:rsidRPr="00354974" w:rsidRDefault="009B6AB6" w:rsidP="007111B1">
      <w:pPr>
        <w:pStyle w:val="FootnoteText"/>
        <w:rPr>
          <w:sz w:val="18"/>
          <w:szCs w:val="18"/>
        </w:rPr>
      </w:pPr>
      <w:r w:rsidRPr="00354974">
        <w:rPr>
          <w:rStyle w:val="FootnoteReference"/>
          <w:sz w:val="18"/>
          <w:szCs w:val="18"/>
        </w:rPr>
        <w:footnoteRef/>
      </w:r>
      <w:r w:rsidRPr="00354974">
        <w:rPr>
          <w:sz w:val="18"/>
          <w:szCs w:val="18"/>
        </w:rPr>
        <w:t xml:space="preserve"> Atbilstoši Eurostat lietotajai metodoloģijai, augsto tehnoloģiju (</w:t>
      </w:r>
      <w:r w:rsidRPr="00354974">
        <w:rPr>
          <w:i/>
          <w:sz w:val="18"/>
          <w:szCs w:val="18"/>
        </w:rPr>
        <w:t>high- tech</w:t>
      </w:r>
      <w:r w:rsidRPr="00354974">
        <w:rPr>
          <w:sz w:val="18"/>
          <w:szCs w:val="18"/>
        </w:rPr>
        <w:t xml:space="preserve">) produktu grupas ietver aviācijas un kosmiskās rūpniecības nozares produkciju, datoru un elektronisko iekārtu ražošanu, farmācijas, zinātnisko instrumentu, elektrisko iekārtu, mehānismu un darba mašīnu, ieroču ražošanu. </w:t>
      </w:r>
    </w:p>
  </w:footnote>
  <w:footnote w:id="12">
    <w:p w14:paraId="56C8FC86" w14:textId="77777777" w:rsidR="009B6AB6" w:rsidRPr="00383A5A" w:rsidRDefault="009B6AB6" w:rsidP="00DF336B">
      <w:pPr>
        <w:pStyle w:val="FootnoteText"/>
        <w:jc w:val="both"/>
        <w:rPr>
          <w:sz w:val="16"/>
          <w:szCs w:val="16"/>
        </w:rPr>
      </w:pPr>
      <w:r w:rsidRPr="00383A5A">
        <w:rPr>
          <w:rStyle w:val="FootnoteReference"/>
          <w:sz w:val="16"/>
          <w:szCs w:val="16"/>
        </w:rPr>
        <w:footnoteRef/>
      </w:r>
      <w:r w:rsidRPr="00383A5A">
        <w:rPr>
          <w:sz w:val="16"/>
          <w:szCs w:val="16"/>
        </w:rPr>
        <w:t xml:space="preserve"> Atbilstoši NACE 2. redakcijai 21, 26, 30.3 nozares</w:t>
      </w:r>
    </w:p>
  </w:footnote>
  <w:footnote w:id="13">
    <w:p w14:paraId="778C92A5" w14:textId="77777777" w:rsidR="009B6AB6" w:rsidRPr="00383A5A" w:rsidRDefault="009B6AB6" w:rsidP="00DF336B">
      <w:pPr>
        <w:pStyle w:val="FootnoteText"/>
        <w:jc w:val="both"/>
        <w:rPr>
          <w:sz w:val="16"/>
          <w:szCs w:val="16"/>
        </w:rPr>
      </w:pPr>
      <w:r w:rsidRPr="00383A5A">
        <w:rPr>
          <w:rStyle w:val="FootnoteReference"/>
          <w:sz w:val="16"/>
          <w:szCs w:val="16"/>
        </w:rPr>
        <w:footnoteRef/>
      </w:r>
      <w:r w:rsidRPr="00383A5A">
        <w:rPr>
          <w:sz w:val="16"/>
          <w:szCs w:val="16"/>
        </w:rPr>
        <w:t xml:space="preserve"> Atbilstoši NACE 2. redakcijai 20, 25.4, 27, 28, 29, 30 (bez 30.1 un 30.3), 32.5 nozares</w:t>
      </w:r>
    </w:p>
  </w:footnote>
  <w:footnote w:id="14">
    <w:p w14:paraId="4F0B6120" w14:textId="77777777" w:rsidR="009B6AB6" w:rsidRPr="00383A5A" w:rsidRDefault="009B6AB6" w:rsidP="007111B1">
      <w:pPr>
        <w:jc w:val="both"/>
        <w:rPr>
          <w:sz w:val="16"/>
          <w:szCs w:val="16"/>
        </w:rPr>
      </w:pPr>
      <w:r w:rsidRPr="00383A5A">
        <w:rPr>
          <w:rStyle w:val="FootnoteReference"/>
          <w:sz w:val="16"/>
          <w:szCs w:val="16"/>
        </w:rPr>
        <w:footnoteRef/>
      </w:r>
      <w:r w:rsidRPr="00383A5A">
        <w:rPr>
          <w:sz w:val="16"/>
          <w:szCs w:val="16"/>
        </w:rPr>
        <w:t xml:space="preserve"> Atbilstoši NACE 2.redakcijas nozaru klasifikatoram par uz ārējo pieprasījumu orientētām nozarēm ir uzskatāmas lauksamniecība, mežsaimniecība un zivsaimniecība (A), ieguves rūpniecība un karjeru izstrāde (B), apstrādes rūpniecība (C), transports un uzglabāšana (H), informācijas un komunikācijas pakalpojumi (J).</w:t>
      </w:r>
    </w:p>
  </w:footnote>
  <w:footnote w:id="15">
    <w:p w14:paraId="0299D8BA" w14:textId="77777777" w:rsidR="009B6AB6" w:rsidRPr="00695F04" w:rsidRDefault="009B6AB6" w:rsidP="007111B1">
      <w:pPr>
        <w:rPr>
          <w:sz w:val="18"/>
        </w:rPr>
      </w:pPr>
      <w:r>
        <w:rPr>
          <w:rStyle w:val="FootnoteReference"/>
        </w:rPr>
        <w:footnoteRef/>
      </w:r>
      <w:r>
        <w:t xml:space="preserve"> </w:t>
      </w:r>
      <w:r w:rsidRPr="00695F04">
        <w:rPr>
          <w:sz w:val="18"/>
        </w:rPr>
        <w:t>LB pēc EM pieprasījuma, izvērtējot iespējamo rādītāju publiskošanu secināja, ka konfidencialitātes principus šādā agregācijas pakāpē var tikt publiskotas, lai novērtētu sniegumu 2013.-2015.gadā, izmantojot Pamatnostādnēs definētos rādītājus</w:t>
      </w:r>
    </w:p>
    <w:p w14:paraId="631C11B6" w14:textId="77777777" w:rsidR="009B6AB6" w:rsidRDefault="009B6AB6" w:rsidP="007111B1">
      <w:pPr>
        <w:pStyle w:val="FootnoteText"/>
      </w:pPr>
    </w:p>
  </w:footnote>
  <w:footnote w:id="16">
    <w:p w14:paraId="2218ED62" w14:textId="77777777" w:rsidR="009B6AB6" w:rsidRPr="00D5654A" w:rsidRDefault="009B6AB6" w:rsidP="004D19E8">
      <w:pPr>
        <w:pStyle w:val="FootnoteText"/>
        <w:jc w:val="both"/>
        <w:rPr>
          <w:sz w:val="18"/>
        </w:rPr>
      </w:pPr>
      <w:r w:rsidRPr="00D5654A">
        <w:rPr>
          <w:rStyle w:val="FootnoteReference"/>
          <w:sz w:val="18"/>
        </w:rPr>
        <w:footnoteRef/>
      </w:r>
      <w:r w:rsidRPr="00D5654A">
        <w:rPr>
          <w:sz w:val="18"/>
        </w:rPr>
        <w:t xml:space="preserve"> Radošo nozaru definīcija dažādu autoru pētījumos un plānošanas dokumentos nav viennozīmīgs, tomēr radošo industriju sektors iekļauj tādas nozares kā arhitektūra, dizains, mode, kino, mūzika, izdevējdarbība, vizuālā māksla, televīzija, radio un interaktīvie mediji, reklāma, datorspēles un interaktīvās programmatūras, atpūta, izklaide, u.c.</w:t>
      </w:r>
    </w:p>
  </w:footnote>
  <w:footnote w:id="17">
    <w:p w14:paraId="315792A2" w14:textId="77777777" w:rsidR="009B6AB6" w:rsidRPr="00D5654A" w:rsidRDefault="009B6AB6" w:rsidP="004D19E8">
      <w:pPr>
        <w:pStyle w:val="FootnoteText"/>
        <w:jc w:val="both"/>
        <w:rPr>
          <w:sz w:val="18"/>
        </w:rPr>
      </w:pPr>
      <w:r w:rsidRPr="00D5654A">
        <w:rPr>
          <w:rStyle w:val="FootnoteReference"/>
          <w:sz w:val="18"/>
        </w:rPr>
        <w:footnoteRef/>
      </w:r>
      <w:r w:rsidRPr="00D5654A">
        <w:rPr>
          <w:sz w:val="18"/>
        </w:rPr>
        <w:t xml:space="preserve"> Valsts kancelejas administrētā projekta „Atbalsts strukturālo reformu ieviešanai valsts pārvaldē’’ Aktivitātes Nr. 3.2. „Strukturālo reformu ieviešanas ietekmes novērtēšana” ietvaros 2013.gadā „SIA „Baltijas Konsultācijas” un SIA „Konsorts”” veica pētījumu "Latvijas radošo industriju darbība un priekšnoteikumi nozares mērķtiecīgai attīstībai"</w:t>
      </w:r>
    </w:p>
  </w:footnote>
  <w:footnote w:id="18">
    <w:p w14:paraId="07A11604" w14:textId="77777777" w:rsidR="009B6AB6" w:rsidRDefault="009B6AB6" w:rsidP="004D19E8">
      <w:pPr>
        <w:pStyle w:val="FootnoteText"/>
      </w:pPr>
      <w:r w:rsidRPr="00D5654A">
        <w:rPr>
          <w:rStyle w:val="FootnoteReference"/>
          <w:sz w:val="18"/>
        </w:rPr>
        <w:footnoteRef/>
      </w:r>
      <w:r w:rsidRPr="00D5654A">
        <w:rPr>
          <w:sz w:val="18"/>
        </w:rPr>
        <w:t xml:space="preserve"> Eurostat dati</w:t>
      </w:r>
    </w:p>
  </w:footnote>
  <w:footnote w:id="19">
    <w:p w14:paraId="49D63DAB" w14:textId="77777777" w:rsidR="009B6AB6" w:rsidRDefault="009B6AB6" w:rsidP="00DF336B">
      <w:pPr>
        <w:pStyle w:val="FootnoteText"/>
      </w:pPr>
      <w:r>
        <w:rPr>
          <w:rStyle w:val="FootnoteReference"/>
        </w:rPr>
        <w:footnoteRef/>
      </w:r>
      <w:r>
        <w:t xml:space="preserve"> Atbilstoši 4.3.2. un 4.3.3 nodaļai Pamatnostādņu pamatdokumentā.</w:t>
      </w:r>
    </w:p>
  </w:footnote>
  <w:footnote w:id="20">
    <w:p w14:paraId="3B089506" w14:textId="77777777" w:rsidR="009B6AB6" w:rsidRPr="00E85DF3" w:rsidRDefault="009B6AB6" w:rsidP="00CE7C7D">
      <w:pPr>
        <w:pStyle w:val="FootnoteText"/>
      </w:pPr>
      <w:r>
        <w:rPr>
          <w:rStyle w:val="FootnoteReference"/>
        </w:rPr>
        <w:footnoteRef/>
      </w:r>
      <w:r>
        <w:t xml:space="preserve"> </w:t>
      </w:r>
      <w:r>
        <w:rPr>
          <w:rFonts w:cs="Times New Roman"/>
          <w:szCs w:val="24"/>
        </w:rPr>
        <w:t>Saskaņa ar Pamatnostādņu pamatdokumenta</w:t>
      </w:r>
      <w:r w:rsidRPr="00EC74BC">
        <w:rPr>
          <w:rFonts w:cs="Times New Roman"/>
          <w:szCs w:val="24"/>
        </w:rPr>
        <w:t xml:space="preserve"> 4.3.9.nodaļa </w:t>
      </w:r>
      <w:r w:rsidRPr="00E85DF3">
        <w:rPr>
          <w:rFonts w:cs="Times New Roman"/>
          <w:i/>
          <w:szCs w:val="24"/>
        </w:rPr>
        <w:t>Investīciju projektu pēcapkalpošana</w:t>
      </w:r>
      <w:r>
        <w:rPr>
          <w:rFonts w:cs="Times New Roman"/>
          <w:szCs w:val="24"/>
        </w:rPr>
        <w:t xml:space="preserve"> noteikto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94487796"/>
      <w:docPartObj>
        <w:docPartGallery w:val="Page Numbers (Top of Page)"/>
        <w:docPartUnique/>
      </w:docPartObj>
    </w:sdtPr>
    <w:sdtEndPr>
      <w:rPr>
        <w:noProof/>
        <w:sz w:val="20"/>
      </w:rPr>
    </w:sdtEndPr>
    <w:sdtContent>
      <w:p w14:paraId="446E2CED" w14:textId="77777777" w:rsidR="009B6AB6" w:rsidRPr="00D46FBB" w:rsidRDefault="009B6AB6" w:rsidP="00DF336B">
        <w:pPr>
          <w:pStyle w:val="Header"/>
          <w:jc w:val="right"/>
          <w:rPr>
            <w:rFonts w:ascii="Times New Roman" w:hAnsi="Times New Roman" w:cs="Times New Roman"/>
            <w:sz w:val="20"/>
            <w:szCs w:val="18"/>
          </w:rPr>
        </w:pPr>
        <w:r w:rsidRPr="00D46FBB">
          <w:rPr>
            <w:rFonts w:ascii="Times New Roman" w:hAnsi="Times New Roman" w:cs="Times New Roman"/>
            <w:sz w:val="20"/>
            <w:szCs w:val="18"/>
          </w:rPr>
          <w:fldChar w:fldCharType="begin"/>
        </w:r>
        <w:r w:rsidRPr="00D46FBB">
          <w:rPr>
            <w:rFonts w:ascii="Times New Roman" w:hAnsi="Times New Roman" w:cs="Times New Roman"/>
            <w:sz w:val="20"/>
            <w:szCs w:val="18"/>
          </w:rPr>
          <w:instrText xml:space="preserve"> PAGE   \* MERGEFORMAT </w:instrText>
        </w:r>
        <w:r w:rsidRPr="00D46FBB">
          <w:rPr>
            <w:rFonts w:ascii="Times New Roman" w:hAnsi="Times New Roman" w:cs="Times New Roman"/>
            <w:sz w:val="20"/>
            <w:szCs w:val="18"/>
          </w:rPr>
          <w:fldChar w:fldCharType="separate"/>
        </w:r>
        <w:r w:rsidR="003064A4">
          <w:rPr>
            <w:rFonts w:ascii="Times New Roman" w:hAnsi="Times New Roman" w:cs="Times New Roman"/>
            <w:noProof/>
            <w:sz w:val="20"/>
            <w:szCs w:val="18"/>
          </w:rPr>
          <w:t>19</w:t>
        </w:r>
        <w:r w:rsidRPr="00D46FBB">
          <w:rPr>
            <w:rFonts w:ascii="Times New Roman" w:hAnsi="Times New Roman" w:cs="Times New Roman"/>
            <w:noProof/>
            <w:sz w:val="20"/>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48A"/>
    <w:multiLevelType w:val="hybridMultilevel"/>
    <w:tmpl w:val="82208096"/>
    <w:lvl w:ilvl="0" w:tplc="1D9C310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2C41B57"/>
    <w:multiLevelType w:val="hybridMultilevel"/>
    <w:tmpl w:val="FF6430A2"/>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 w15:restartNumberingAfterBreak="0">
    <w:nsid w:val="16416676"/>
    <w:multiLevelType w:val="hybridMultilevel"/>
    <w:tmpl w:val="17DCD07C"/>
    <w:lvl w:ilvl="0" w:tplc="2EF6E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15174"/>
    <w:multiLevelType w:val="hybridMultilevel"/>
    <w:tmpl w:val="8FFAF4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1A83E72"/>
    <w:multiLevelType w:val="hybridMultilevel"/>
    <w:tmpl w:val="9E187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D34FD4"/>
    <w:multiLevelType w:val="hybridMultilevel"/>
    <w:tmpl w:val="79AAD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A2EC9"/>
    <w:multiLevelType w:val="hybridMultilevel"/>
    <w:tmpl w:val="2C1A36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043AE8"/>
    <w:multiLevelType w:val="hybridMultilevel"/>
    <w:tmpl w:val="6B96B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F9302B"/>
    <w:multiLevelType w:val="hybridMultilevel"/>
    <w:tmpl w:val="41BAC6FA"/>
    <w:lvl w:ilvl="0" w:tplc="04260001">
      <w:start w:val="1"/>
      <w:numFmt w:val="bullet"/>
      <w:lvlText w:val=""/>
      <w:lvlJc w:val="left"/>
      <w:pPr>
        <w:ind w:left="720" w:hanging="360"/>
      </w:pPr>
      <w:rPr>
        <w:rFonts w:ascii="Symbol" w:hAnsi="Symbol"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034E59"/>
    <w:multiLevelType w:val="hybridMultilevel"/>
    <w:tmpl w:val="1756A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9"/>
  </w:num>
  <w:num w:numId="6">
    <w:abstractNumId w:val="7"/>
  </w:num>
  <w:num w:numId="7">
    <w:abstractNumId w:val="5"/>
  </w:num>
  <w:num w:numId="8">
    <w:abstractNumId w:val="2"/>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50"/>
    <w:rsid w:val="000035DB"/>
    <w:rsid w:val="000045C2"/>
    <w:rsid w:val="00010C53"/>
    <w:rsid w:val="00012D39"/>
    <w:rsid w:val="000137D4"/>
    <w:rsid w:val="000144E5"/>
    <w:rsid w:val="00014BE8"/>
    <w:rsid w:val="00017A90"/>
    <w:rsid w:val="00017F8C"/>
    <w:rsid w:val="0002298B"/>
    <w:rsid w:val="00022CDC"/>
    <w:rsid w:val="00023FF4"/>
    <w:rsid w:val="000251F7"/>
    <w:rsid w:val="00026D6E"/>
    <w:rsid w:val="00032706"/>
    <w:rsid w:val="00033948"/>
    <w:rsid w:val="00034C53"/>
    <w:rsid w:val="000360B7"/>
    <w:rsid w:val="00036775"/>
    <w:rsid w:val="0004035C"/>
    <w:rsid w:val="0004420C"/>
    <w:rsid w:val="000469CE"/>
    <w:rsid w:val="000500E0"/>
    <w:rsid w:val="00051C12"/>
    <w:rsid w:val="0005335C"/>
    <w:rsid w:val="0005410D"/>
    <w:rsid w:val="00055EB6"/>
    <w:rsid w:val="000577B5"/>
    <w:rsid w:val="00060590"/>
    <w:rsid w:val="00067C0A"/>
    <w:rsid w:val="00070054"/>
    <w:rsid w:val="00070698"/>
    <w:rsid w:val="0007190B"/>
    <w:rsid w:val="00071A65"/>
    <w:rsid w:val="00072026"/>
    <w:rsid w:val="0007420B"/>
    <w:rsid w:val="000747C7"/>
    <w:rsid w:val="00075654"/>
    <w:rsid w:val="00076BC4"/>
    <w:rsid w:val="000805C5"/>
    <w:rsid w:val="00080A18"/>
    <w:rsid w:val="000829BC"/>
    <w:rsid w:val="00082E16"/>
    <w:rsid w:val="00087D25"/>
    <w:rsid w:val="000905FA"/>
    <w:rsid w:val="00095C43"/>
    <w:rsid w:val="00096EFF"/>
    <w:rsid w:val="00097E5C"/>
    <w:rsid w:val="000A04B0"/>
    <w:rsid w:val="000A0746"/>
    <w:rsid w:val="000A0BBA"/>
    <w:rsid w:val="000A27E2"/>
    <w:rsid w:val="000A3070"/>
    <w:rsid w:val="000A7938"/>
    <w:rsid w:val="000B009E"/>
    <w:rsid w:val="000B6B3A"/>
    <w:rsid w:val="000C0A72"/>
    <w:rsid w:val="000C0DE7"/>
    <w:rsid w:val="000C12E6"/>
    <w:rsid w:val="000C37F2"/>
    <w:rsid w:val="000C52D8"/>
    <w:rsid w:val="000C5FDB"/>
    <w:rsid w:val="000C76C4"/>
    <w:rsid w:val="000D757A"/>
    <w:rsid w:val="000E4B3B"/>
    <w:rsid w:val="000E780F"/>
    <w:rsid w:val="000F0171"/>
    <w:rsid w:val="000F1671"/>
    <w:rsid w:val="000F1BB1"/>
    <w:rsid w:val="000F34DD"/>
    <w:rsid w:val="000F5040"/>
    <w:rsid w:val="00100039"/>
    <w:rsid w:val="00103D1E"/>
    <w:rsid w:val="00106849"/>
    <w:rsid w:val="001112A0"/>
    <w:rsid w:val="001115CB"/>
    <w:rsid w:val="001123BA"/>
    <w:rsid w:val="001137DE"/>
    <w:rsid w:val="001170F0"/>
    <w:rsid w:val="00117B1D"/>
    <w:rsid w:val="00120FF1"/>
    <w:rsid w:val="00123297"/>
    <w:rsid w:val="00124949"/>
    <w:rsid w:val="001250E0"/>
    <w:rsid w:val="001312D5"/>
    <w:rsid w:val="0013146E"/>
    <w:rsid w:val="0013225B"/>
    <w:rsid w:val="00143023"/>
    <w:rsid w:val="00143FFA"/>
    <w:rsid w:val="00144504"/>
    <w:rsid w:val="00150CA6"/>
    <w:rsid w:val="0015108A"/>
    <w:rsid w:val="001519CB"/>
    <w:rsid w:val="001548C2"/>
    <w:rsid w:val="00155E78"/>
    <w:rsid w:val="001567C8"/>
    <w:rsid w:val="00160E8F"/>
    <w:rsid w:val="00163F68"/>
    <w:rsid w:val="00167138"/>
    <w:rsid w:val="00170296"/>
    <w:rsid w:val="00170A3B"/>
    <w:rsid w:val="0017329C"/>
    <w:rsid w:val="0017382B"/>
    <w:rsid w:val="00174031"/>
    <w:rsid w:val="00175611"/>
    <w:rsid w:val="00175637"/>
    <w:rsid w:val="001815D9"/>
    <w:rsid w:val="00186F8B"/>
    <w:rsid w:val="0019065C"/>
    <w:rsid w:val="0019085B"/>
    <w:rsid w:val="00191437"/>
    <w:rsid w:val="00191CD0"/>
    <w:rsid w:val="0019716D"/>
    <w:rsid w:val="001A05F0"/>
    <w:rsid w:val="001A0880"/>
    <w:rsid w:val="001A78E4"/>
    <w:rsid w:val="001B190E"/>
    <w:rsid w:val="001B3920"/>
    <w:rsid w:val="001B5348"/>
    <w:rsid w:val="001B7D0E"/>
    <w:rsid w:val="001C6589"/>
    <w:rsid w:val="001C710D"/>
    <w:rsid w:val="001C74B9"/>
    <w:rsid w:val="001D1CEA"/>
    <w:rsid w:val="001E23A1"/>
    <w:rsid w:val="001E28CB"/>
    <w:rsid w:val="001E6669"/>
    <w:rsid w:val="001E6A57"/>
    <w:rsid w:val="00200A74"/>
    <w:rsid w:val="00200ED4"/>
    <w:rsid w:val="00205A75"/>
    <w:rsid w:val="0020625E"/>
    <w:rsid w:val="0020660A"/>
    <w:rsid w:val="00212827"/>
    <w:rsid w:val="002144CE"/>
    <w:rsid w:val="0021584A"/>
    <w:rsid w:val="00215E49"/>
    <w:rsid w:val="00216BD2"/>
    <w:rsid w:val="002170A5"/>
    <w:rsid w:val="0021744B"/>
    <w:rsid w:val="00222E46"/>
    <w:rsid w:val="002232EF"/>
    <w:rsid w:val="00223A6D"/>
    <w:rsid w:val="00223D81"/>
    <w:rsid w:val="00224C1E"/>
    <w:rsid w:val="0022668A"/>
    <w:rsid w:val="002359AF"/>
    <w:rsid w:val="00235CF7"/>
    <w:rsid w:val="0023663A"/>
    <w:rsid w:val="00237CF4"/>
    <w:rsid w:val="00241D38"/>
    <w:rsid w:val="002429DA"/>
    <w:rsid w:val="0024514E"/>
    <w:rsid w:val="002455CA"/>
    <w:rsid w:val="00245E5D"/>
    <w:rsid w:val="00246894"/>
    <w:rsid w:val="00247A2A"/>
    <w:rsid w:val="00251CCF"/>
    <w:rsid w:val="0025356B"/>
    <w:rsid w:val="0025408F"/>
    <w:rsid w:val="00255D86"/>
    <w:rsid w:val="00256E66"/>
    <w:rsid w:val="002606EE"/>
    <w:rsid w:val="00260EF2"/>
    <w:rsid w:val="00262C70"/>
    <w:rsid w:val="00265643"/>
    <w:rsid w:val="00266E54"/>
    <w:rsid w:val="00270D8A"/>
    <w:rsid w:val="00277B8E"/>
    <w:rsid w:val="00280741"/>
    <w:rsid w:val="00280CE6"/>
    <w:rsid w:val="0028237F"/>
    <w:rsid w:val="0028312F"/>
    <w:rsid w:val="00284000"/>
    <w:rsid w:val="00284C24"/>
    <w:rsid w:val="00284C6A"/>
    <w:rsid w:val="00291E09"/>
    <w:rsid w:val="00292C3A"/>
    <w:rsid w:val="00293FF6"/>
    <w:rsid w:val="00294869"/>
    <w:rsid w:val="00294A50"/>
    <w:rsid w:val="0029586D"/>
    <w:rsid w:val="002A01E3"/>
    <w:rsid w:val="002B0C71"/>
    <w:rsid w:val="002B167C"/>
    <w:rsid w:val="002B1E7A"/>
    <w:rsid w:val="002B323E"/>
    <w:rsid w:val="002C08B6"/>
    <w:rsid w:val="002C2F46"/>
    <w:rsid w:val="002C4D80"/>
    <w:rsid w:val="002D4892"/>
    <w:rsid w:val="002D4E26"/>
    <w:rsid w:val="002E1112"/>
    <w:rsid w:val="002E1E19"/>
    <w:rsid w:val="002E2C0F"/>
    <w:rsid w:val="002E4777"/>
    <w:rsid w:val="002E4A60"/>
    <w:rsid w:val="002E4B1F"/>
    <w:rsid w:val="002E5477"/>
    <w:rsid w:val="002F2F6C"/>
    <w:rsid w:val="002F621E"/>
    <w:rsid w:val="003018B2"/>
    <w:rsid w:val="00303649"/>
    <w:rsid w:val="003064A4"/>
    <w:rsid w:val="00310025"/>
    <w:rsid w:val="00311029"/>
    <w:rsid w:val="003140E4"/>
    <w:rsid w:val="00315ECC"/>
    <w:rsid w:val="003179D8"/>
    <w:rsid w:val="00322149"/>
    <w:rsid w:val="003258D9"/>
    <w:rsid w:val="00326A7E"/>
    <w:rsid w:val="00327A7C"/>
    <w:rsid w:val="00330D80"/>
    <w:rsid w:val="00332ADA"/>
    <w:rsid w:val="00337BA6"/>
    <w:rsid w:val="00340A78"/>
    <w:rsid w:val="00340B8C"/>
    <w:rsid w:val="003412BF"/>
    <w:rsid w:val="0034338A"/>
    <w:rsid w:val="00344454"/>
    <w:rsid w:val="0035198E"/>
    <w:rsid w:val="00353F1C"/>
    <w:rsid w:val="00354974"/>
    <w:rsid w:val="00357147"/>
    <w:rsid w:val="00360F54"/>
    <w:rsid w:val="00362CBD"/>
    <w:rsid w:val="00362FE5"/>
    <w:rsid w:val="003703DF"/>
    <w:rsid w:val="00374832"/>
    <w:rsid w:val="00375025"/>
    <w:rsid w:val="00375D9C"/>
    <w:rsid w:val="0037644B"/>
    <w:rsid w:val="0037709B"/>
    <w:rsid w:val="0038087A"/>
    <w:rsid w:val="00380ACB"/>
    <w:rsid w:val="00383057"/>
    <w:rsid w:val="003833CB"/>
    <w:rsid w:val="00383A5A"/>
    <w:rsid w:val="00384E6C"/>
    <w:rsid w:val="00386FBB"/>
    <w:rsid w:val="0039206C"/>
    <w:rsid w:val="0039242B"/>
    <w:rsid w:val="003949FA"/>
    <w:rsid w:val="00395A65"/>
    <w:rsid w:val="00396665"/>
    <w:rsid w:val="00397043"/>
    <w:rsid w:val="00397AA3"/>
    <w:rsid w:val="00397E04"/>
    <w:rsid w:val="003A1287"/>
    <w:rsid w:val="003A19C1"/>
    <w:rsid w:val="003A1BE9"/>
    <w:rsid w:val="003A5D28"/>
    <w:rsid w:val="003B02BC"/>
    <w:rsid w:val="003B50BE"/>
    <w:rsid w:val="003B5608"/>
    <w:rsid w:val="003B7CE2"/>
    <w:rsid w:val="003C000C"/>
    <w:rsid w:val="003C3E9C"/>
    <w:rsid w:val="003C3FBD"/>
    <w:rsid w:val="003C5618"/>
    <w:rsid w:val="003D529F"/>
    <w:rsid w:val="003D6671"/>
    <w:rsid w:val="003E3484"/>
    <w:rsid w:val="003E5761"/>
    <w:rsid w:val="004007B1"/>
    <w:rsid w:val="00402A0F"/>
    <w:rsid w:val="00405646"/>
    <w:rsid w:val="0040569D"/>
    <w:rsid w:val="00415D1D"/>
    <w:rsid w:val="00422AC2"/>
    <w:rsid w:val="0042319E"/>
    <w:rsid w:val="004232FF"/>
    <w:rsid w:val="0042488E"/>
    <w:rsid w:val="00425C85"/>
    <w:rsid w:val="004263AD"/>
    <w:rsid w:val="00426DF4"/>
    <w:rsid w:val="00433E3D"/>
    <w:rsid w:val="00450473"/>
    <w:rsid w:val="00450725"/>
    <w:rsid w:val="00450B48"/>
    <w:rsid w:val="00450FC7"/>
    <w:rsid w:val="00451398"/>
    <w:rsid w:val="004570F1"/>
    <w:rsid w:val="00457B10"/>
    <w:rsid w:val="00460BE5"/>
    <w:rsid w:val="00465368"/>
    <w:rsid w:val="00471502"/>
    <w:rsid w:val="00472C8B"/>
    <w:rsid w:val="004738C7"/>
    <w:rsid w:val="0047485F"/>
    <w:rsid w:val="00476C41"/>
    <w:rsid w:val="00480765"/>
    <w:rsid w:val="00480C04"/>
    <w:rsid w:val="004856A9"/>
    <w:rsid w:val="00485804"/>
    <w:rsid w:val="0048607D"/>
    <w:rsid w:val="004879E6"/>
    <w:rsid w:val="0049066F"/>
    <w:rsid w:val="00491BE5"/>
    <w:rsid w:val="00492012"/>
    <w:rsid w:val="004920FF"/>
    <w:rsid w:val="0049513A"/>
    <w:rsid w:val="00495984"/>
    <w:rsid w:val="004A28D5"/>
    <w:rsid w:val="004A68E1"/>
    <w:rsid w:val="004A6BD0"/>
    <w:rsid w:val="004B51C7"/>
    <w:rsid w:val="004C0F54"/>
    <w:rsid w:val="004C136D"/>
    <w:rsid w:val="004C47C6"/>
    <w:rsid w:val="004C51D1"/>
    <w:rsid w:val="004C5BDF"/>
    <w:rsid w:val="004C719C"/>
    <w:rsid w:val="004D19E8"/>
    <w:rsid w:val="004D23ED"/>
    <w:rsid w:val="004D27B3"/>
    <w:rsid w:val="004D3413"/>
    <w:rsid w:val="004D4490"/>
    <w:rsid w:val="004D6948"/>
    <w:rsid w:val="004E5815"/>
    <w:rsid w:val="004E58AF"/>
    <w:rsid w:val="004E5EDA"/>
    <w:rsid w:val="004F4AFE"/>
    <w:rsid w:val="004F5CA6"/>
    <w:rsid w:val="00500FE9"/>
    <w:rsid w:val="00503E53"/>
    <w:rsid w:val="00504E6B"/>
    <w:rsid w:val="00505348"/>
    <w:rsid w:val="005057F9"/>
    <w:rsid w:val="00507230"/>
    <w:rsid w:val="00507B5E"/>
    <w:rsid w:val="00511655"/>
    <w:rsid w:val="005165F3"/>
    <w:rsid w:val="00517F4C"/>
    <w:rsid w:val="00520614"/>
    <w:rsid w:val="005248EE"/>
    <w:rsid w:val="00524E60"/>
    <w:rsid w:val="0052532E"/>
    <w:rsid w:val="0052712B"/>
    <w:rsid w:val="005278B7"/>
    <w:rsid w:val="00530579"/>
    <w:rsid w:val="00530B42"/>
    <w:rsid w:val="00532192"/>
    <w:rsid w:val="005329C0"/>
    <w:rsid w:val="00535CB7"/>
    <w:rsid w:val="0054196B"/>
    <w:rsid w:val="00542DF0"/>
    <w:rsid w:val="00550F56"/>
    <w:rsid w:val="00555123"/>
    <w:rsid w:val="00556EE6"/>
    <w:rsid w:val="0056469E"/>
    <w:rsid w:val="005654D9"/>
    <w:rsid w:val="00566B31"/>
    <w:rsid w:val="00567C06"/>
    <w:rsid w:val="005703AA"/>
    <w:rsid w:val="00571853"/>
    <w:rsid w:val="005733EF"/>
    <w:rsid w:val="00573640"/>
    <w:rsid w:val="0057596E"/>
    <w:rsid w:val="00580D73"/>
    <w:rsid w:val="00581F66"/>
    <w:rsid w:val="00586A2D"/>
    <w:rsid w:val="00586D70"/>
    <w:rsid w:val="0059312F"/>
    <w:rsid w:val="0059434C"/>
    <w:rsid w:val="005A0150"/>
    <w:rsid w:val="005A16DE"/>
    <w:rsid w:val="005A29B5"/>
    <w:rsid w:val="005A61E1"/>
    <w:rsid w:val="005A7868"/>
    <w:rsid w:val="005B2225"/>
    <w:rsid w:val="005B2DE9"/>
    <w:rsid w:val="005B46A5"/>
    <w:rsid w:val="005B4849"/>
    <w:rsid w:val="005B6758"/>
    <w:rsid w:val="005B677E"/>
    <w:rsid w:val="005C0146"/>
    <w:rsid w:val="005C04CC"/>
    <w:rsid w:val="005C3415"/>
    <w:rsid w:val="005C5B40"/>
    <w:rsid w:val="005C69D7"/>
    <w:rsid w:val="005C7F16"/>
    <w:rsid w:val="005D26D0"/>
    <w:rsid w:val="005D3716"/>
    <w:rsid w:val="005D63B1"/>
    <w:rsid w:val="005E09F7"/>
    <w:rsid w:val="005E1235"/>
    <w:rsid w:val="005E2E84"/>
    <w:rsid w:val="005E6478"/>
    <w:rsid w:val="005E67C8"/>
    <w:rsid w:val="005F17E4"/>
    <w:rsid w:val="005F2730"/>
    <w:rsid w:val="005F5F67"/>
    <w:rsid w:val="005F64B3"/>
    <w:rsid w:val="005F7B3C"/>
    <w:rsid w:val="00610F08"/>
    <w:rsid w:val="00611C65"/>
    <w:rsid w:val="006157F8"/>
    <w:rsid w:val="00615AE9"/>
    <w:rsid w:val="00617DFE"/>
    <w:rsid w:val="00623D8E"/>
    <w:rsid w:val="006247B3"/>
    <w:rsid w:val="00626644"/>
    <w:rsid w:val="00627C87"/>
    <w:rsid w:val="00632749"/>
    <w:rsid w:val="006344BA"/>
    <w:rsid w:val="00634809"/>
    <w:rsid w:val="0064037A"/>
    <w:rsid w:val="006442A8"/>
    <w:rsid w:val="00644D31"/>
    <w:rsid w:val="0064734F"/>
    <w:rsid w:val="0065070A"/>
    <w:rsid w:val="00654345"/>
    <w:rsid w:val="00654759"/>
    <w:rsid w:val="00654C2D"/>
    <w:rsid w:val="00654D6F"/>
    <w:rsid w:val="0065719C"/>
    <w:rsid w:val="00661F5A"/>
    <w:rsid w:val="00662885"/>
    <w:rsid w:val="006641B7"/>
    <w:rsid w:val="00664358"/>
    <w:rsid w:val="00666A91"/>
    <w:rsid w:val="00680F39"/>
    <w:rsid w:val="006819B1"/>
    <w:rsid w:val="00693A2B"/>
    <w:rsid w:val="00694F03"/>
    <w:rsid w:val="00697060"/>
    <w:rsid w:val="006A1527"/>
    <w:rsid w:val="006A5CE4"/>
    <w:rsid w:val="006A7EF9"/>
    <w:rsid w:val="006B0031"/>
    <w:rsid w:val="006B15D4"/>
    <w:rsid w:val="006B1A1F"/>
    <w:rsid w:val="006B695A"/>
    <w:rsid w:val="006B6DE8"/>
    <w:rsid w:val="006B7695"/>
    <w:rsid w:val="006C129E"/>
    <w:rsid w:val="006C3BCB"/>
    <w:rsid w:val="006C6D7D"/>
    <w:rsid w:val="006C7BCD"/>
    <w:rsid w:val="006D1D8C"/>
    <w:rsid w:val="006D24CD"/>
    <w:rsid w:val="006D409F"/>
    <w:rsid w:val="006D521A"/>
    <w:rsid w:val="006D7288"/>
    <w:rsid w:val="006E031A"/>
    <w:rsid w:val="006E4988"/>
    <w:rsid w:val="006E6CF8"/>
    <w:rsid w:val="006E771E"/>
    <w:rsid w:val="006F2AD9"/>
    <w:rsid w:val="006F5011"/>
    <w:rsid w:val="006F7A3F"/>
    <w:rsid w:val="00700F77"/>
    <w:rsid w:val="00701B84"/>
    <w:rsid w:val="007111B1"/>
    <w:rsid w:val="007142EF"/>
    <w:rsid w:val="00716AFA"/>
    <w:rsid w:val="007241E6"/>
    <w:rsid w:val="00724412"/>
    <w:rsid w:val="00733EF0"/>
    <w:rsid w:val="00735CF1"/>
    <w:rsid w:val="00737712"/>
    <w:rsid w:val="007410FB"/>
    <w:rsid w:val="007426BE"/>
    <w:rsid w:val="00743682"/>
    <w:rsid w:val="00747673"/>
    <w:rsid w:val="0075038B"/>
    <w:rsid w:val="00753665"/>
    <w:rsid w:val="007545AF"/>
    <w:rsid w:val="0075502C"/>
    <w:rsid w:val="00757DAE"/>
    <w:rsid w:val="00763CD4"/>
    <w:rsid w:val="0077117E"/>
    <w:rsid w:val="0077432B"/>
    <w:rsid w:val="0077647D"/>
    <w:rsid w:val="007776F5"/>
    <w:rsid w:val="007909D6"/>
    <w:rsid w:val="00793CCA"/>
    <w:rsid w:val="00795552"/>
    <w:rsid w:val="007A00FC"/>
    <w:rsid w:val="007A1A1E"/>
    <w:rsid w:val="007A1B12"/>
    <w:rsid w:val="007A30C4"/>
    <w:rsid w:val="007A48FD"/>
    <w:rsid w:val="007A52B8"/>
    <w:rsid w:val="007A605B"/>
    <w:rsid w:val="007B4CDB"/>
    <w:rsid w:val="007B6623"/>
    <w:rsid w:val="007C1C4D"/>
    <w:rsid w:val="007C35AB"/>
    <w:rsid w:val="007C3C6E"/>
    <w:rsid w:val="007C74BA"/>
    <w:rsid w:val="007D1B64"/>
    <w:rsid w:val="007D1EE6"/>
    <w:rsid w:val="007D4906"/>
    <w:rsid w:val="007D588E"/>
    <w:rsid w:val="007D7BB6"/>
    <w:rsid w:val="007E0FA6"/>
    <w:rsid w:val="007E25DF"/>
    <w:rsid w:val="007E27C0"/>
    <w:rsid w:val="007F19EC"/>
    <w:rsid w:val="007F650A"/>
    <w:rsid w:val="007F69DF"/>
    <w:rsid w:val="008003AC"/>
    <w:rsid w:val="0081025F"/>
    <w:rsid w:val="00810941"/>
    <w:rsid w:val="00811133"/>
    <w:rsid w:val="008121AD"/>
    <w:rsid w:val="0081417B"/>
    <w:rsid w:val="00821068"/>
    <w:rsid w:val="00821820"/>
    <w:rsid w:val="00821DA2"/>
    <w:rsid w:val="00822A9B"/>
    <w:rsid w:val="00822B35"/>
    <w:rsid w:val="008261AA"/>
    <w:rsid w:val="0082666E"/>
    <w:rsid w:val="00826882"/>
    <w:rsid w:val="0082770E"/>
    <w:rsid w:val="00830254"/>
    <w:rsid w:val="008321DC"/>
    <w:rsid w:val="0083233C"/>
    <w:rsid w:val="008328DC"/>
    <w:rsid w:val="00833EDE"/>
    <w:rsid w:val="00834D8D"/>
    <w:rsid w:val="00835279"/>
    <w:rsid w:val="0083529A"/>
    <w:rsid w:val="00840664"/>
    <w:rsid w:val="0084141C"/>
    <w:rsid w:val="00841E52"/>
    <w:rsid w:val="00843547"/>
    <w:rsid w:val="008443A0"/>
    <w:rsid w:val="00845712"/>
    <w:rsid w:val="00850427"/>
    <w:rsid w:val="00855B5B"/>
    <w:rsid w:val="008566BA"/>
    <w:rsid w:val="00856A6C"/>
    <w:rsid w:val="008609F9"/>
    <w:rsid w:val="00861248"/>
    <w:rsid w:val="00863308"/>
    <w:rsid w:val="00872AD9"/>
    <w:rsid w:val="00873315"/>
    <w:rsid w:val="00874797"/>
    <w:rsid w:val="00874AFD"/>
    <w:rsid w:val="0087570D"/>
    <w:rsid w:val="00876385"/>
    <w:rsid w:val="00880FEF"/>
    <w:rsid w:val="00881D99"/>
    <w:rsid w:val="00890722"/>
    <w:rsid w:val="00895686"/>
    <w:rsid w:val="00896F98"/>
    <w:rsid w:val="008A38CA"/>
    <w:rsid w:val="008A6271"/>
    <w:rsid w:val="008A628B"/>
    <w:rsid w:val="008B1975"/>
    <w:rsid w:val="008B3145"/>
    <w:rsid w:val="008B6AD4"/>
    <w:rsid w:val="008B71CF"/>
    <w:rsid w:val="008C002A"/>
    <w:rsid w:val="008C0E9C"/>
    <w:rsid w:val="008C2EBC"/>
    <w:rsid w:val="008C3657"/>
    <w:rsid w:val="008C4C12"/>
    <w:rsid w:val="008C684D"/>
    <w:rsid w:val="008D1235"/>
    <w:rsid w:val="008D27FA"/>
    <w:rsid w:val="008D4163"/>
    <w:rsid w:val="008E05AA"/>
    <w:rsid w:val="008E2A74"/>
    <w:rsid w:val="008E598F"/>
    <w:rsid w:val="008F0D50"/>
    <w:rsid w:val="008F1B7E"/>
    <w:rsid w:val="00902910"/>
    <w:rsid w:val="00906B8A"/>
    <w:rsid w:val="009120C5"/>
    <w:rsid w:val="009207C2"/>
    <w:rsid w:val="00920EAC"/>
    <w:rsid w:val="00923594"/>
    <w:rsid w:val="00924FB8"/>
    <w:rsid w:val="009325E7"/>
    <w:rsid w:val="00933427"/>
    <w:rsid w:val="00934CE3"/>
    <w:rsid w:val="00937045"/>
    <w:rsid w:val="00940EF3"/>
    <w:rsid w:val="00946CE1"/>
    <w:rsid w:val="009471F3"/>
    <w:rsid w:val="0095397B"/>
    <w:rsid w:val="00953F4A"/>
    <w:rsid w:val="00956366"/>
    <w:rsid w:val="009571CE"/>
    <w:rsid w:val="009613B9"/>
    <w:rsid w:val="009629C8"/>
    <w:rsid w:val="00973F32"/>
    <w:rsid w:val="009742FA"/>
    <w:rsid w:val="00975DB9"/>
    <w:rsid w:val="009764F9"/>
    <w:rsid w:val="00982E20"/>
    <w:rsid w:val="00983104"/>
    <w:rsid w:val="00983CF3"/>
    <w:rsid w:val="00985042"/>
    <w:rsid w:val="0098537B"/>
    <w:rsid w:val="0098615D"/>
    <w:rsid w:val="00986F8E"/>
    <w:rsid w:val="00987A04"/>
    <w:rsid w:val="00987EFA"/>
    <w:rsid w:val="009A0C4F"/>
    <w:rsid w:val="009A2D04"/>
    <w:rsid w:val="009A711B"/>
    <w:rsid w:val="009B01F0"/>
    <w:rsid w:val="009B0723"/>
    <w:rsid w:val="009B18AA"/>
    <w:rsid w:val="009B580B"/>
    <w:rsid w:val="009B585C"/>
    <w:rsid w:val="009B6AB6"/>
    <w:rsid w:val="009B7ED5"/>
    <w:rsid w:val="009C021E"/>
    <w:rsid w:val="009C3B42"/>
    <w:rsid w:val="009C439F"/>
    <w:rsid w:val="009C5935"/>
    <w:rsid w:val="009D0523"/>
    <w:rsid w:val="009D2C4A"/>
    <w:rsid w:val="009D6EBB"/>
    <w:rsid w:val="009D7CC4"/>
    <w:rsid w:val="009E1486"/>
    <w:rsid w:val="009E20AF"/>
    <w:rsid w:val="009E5352"/>
    <w:rsid w:val="009E53C0"/>
    <w:rsid w:val="009E69DC"/>
    <w:rsid w:val="009E7619"/>
    <w:rsid w:val="009F087B"/>
    <w:rsid w:val="009F4E96"/>
    <w:rsid w:val="009F50B3"/>
    <w:rsid w:val="009F76A1"/>
    <w:rsid w:val="00A003E6"/>
    <w:rsid w:val="00A024E5"/>
    <w:rsid w:val="00A04150"/>
    <w:rsid w:val="00A044E4"/>
    <w:rsid w:val="00A05610"/>
    <w:rsid w:val="00A0664A"/>
    <w:rsid w:val="00A075A5"/>
    <w:rsid w:val="00A07AC0"/>
    <w:rsid w:val="00A14031"/>
    <w:rsid w:val="00A26C78"/>
    <w:rsid w:val="00A27BE5"/>
    <w:rsid w:val="00A32A6A"/>
    <w:rsid w:val="00A376FA"/>
    <w:rsid w:val="00A5045F"/>
    <w:rsid w:val="00A50C07"/>
    <w:rsid w:val="00A561BD"/>
    <w:rsid w:val="00A620A5"/>
    <w:rsid w:val="00A62BB7"/>
    <w:rsid w:val="00A64955"/>
    <w:rsid w:val="00A65E48"/>
    <w:rsid w:val="00A73569"/>
    <w:rsid w:val="00A7714E"/>
    <w:rsid w:val="00A83DD2"/>
    <w:rsid w:val="00A844CD"/>
    <w:rsid w:val="00A8636E"/>
    <w:rsid w:val="00A92AC1"/>
    <w:rsid w:val="00AA0D58"/>
    <w:rsid w:val="00AA2E0F"/>
    <w:rsid w:val="00AA3F2E"/>
    <w:rsid w:val="00AA58C3"/>
    <w:rsid w:val="00AA7582"/>
    <w:rsid w:val="00AB0133"/>
    <w:rsid w:val="00AB0690"/>
    <w:rsid w:val="00AB08EF"/>
    <w:rsid w:val="00AB390B"/>
    <w:rsid w:val="00AC7696"/>
    <w:rsid w:val="00AC7DF2"/>
    <w:rsid w:val="00AD23D6"/>
    <w:rsid w:val="00AE0F54"/>
    <w:rsid w:val="00AE133C"/>
    <w:rsid w:val="00AE1590"/>
    <w:rsid w:val="00AE2E24"/>
    <w:rsid w:val="00AE2E80"/>
    <w:rsid w:val="00AE34F4"/>
    <w:rsid w:val="00AE369E"/>
    <w:rsid w:val="00AE505F"/>
    <w:rsid w:val="00AE7CBA"/>
    <w:rsid w:val="00AE7F81"/>
    <w:rsid w:val="00AF3C82"/>
    <w:rsid w:val="00AF414C"/>
    <w:rsid w:val="00B0100A"/>
    <w:rsid w:val="00B018D1"/>
    <w:rsid w:val="00B01C58"/>
    <w:rsid w:val="00B06A70"/>
    <w:rsid w:val="00B07532"/>
    <w:rsid w:val="00B07B25"/>
    <w:rsid w:val="00B1038F"/>
    <w:rsid w:val="00B117DE"/>
    <w:rsid w:val="00B12741"/>
    <w:rsid w:val="00B12D1A"/>
    <w:rsid w:val="00B13705"/>
    <w:rsid w:val="00B17A7B"/>
    <w:rsid w:val="00B20E16"/>
    <w:rsid w:val="00B2102B"/>
    <w:rsid w:val="00B22A3A"/>
    <w:rsid w:val="00B27D81"/>
    <w:rsid w:val="00B3162E"/>
    <w:rsid w:val="00B31B71"/>
    <w:rsid w:val="00B3235F"/>
    <w:rsid w:val="00B328FC"/>
    <w:rsid w:val="00B336F0"/>
    <w:rsid w:val="00B33CFE"/>
    <w:rsid w:val="00B3792F"/>
    <w:rsid w:val="00B4405A"/>
    <w:rsid w:val="00B440AE"/>
    <w:rsid w:val="00B44EF8"/>
    <w:rsid w:val="00B4746A"/>
    <w:rsid w:val="00B47B3F"/>
    <w:rsid w:val="00B50B38"/>
    <w:rsid w:val="00B50C66"/>
    <w:rsid w:val="00B527A8"/>
    <w:rsid w:val="00B5354F"/>
    <w:rsid w:val="00B53D3E"/>
    <w:rsid w:val="00B5498F"/>
    <w:rsid w:val="00B549C9"/>
    <w:rsid w:val="00B56DF1"/>
    <w:rsid w:val="00B5772F"/>
    <w:rsid w:val="00B612A9"/>
    <w:rsid w:val="00B62046"/>
    <w:rsid w:val="00B62C69"/>
    <w:rsid w:val="00B66A37"/>
    <w:rsid w:val="00B70591"/>
    <w:rsid w:val="00B71C5A"/>
    <w:rsid w:val="00B71D06"/>
    <w:rsid w:val="00B71F42"/>
    <w:rsid w:val="00B741E3"/>
    <w:rsid w:val="00B749EF"/>
    <w:rsid w:val="00B75BC8"/>
    <w:rsid w:val="00B76768"/>
    <w:rsid w:val="00B80053"/>
    <w:rsid w:val="00B80378"/>
    <w:rsid w:val="00B810DA"/>
    <w:rsid w:val="00B83184"/>
    <w:rsid w:val="00B85703"/>
    <w:rsid w:val="00B87215"/>
    <w:rsid w:val="00B87835"/>
    <w:rsid w:val="00B9375F"/>
    <w:rsid w:val="00B93CF6"/>
    <w:rsid w:val="00B951FB"/>
    <w:rsid w:val="00BA0A39"/>
    <w:rsid w:val="00BA2E10"/>
    <w:rsid w:val="00BA30B6"/>
    <w:rsid w:val="00BA7F4F"/>
    <w:rsid w:val="00BB2D7C"/>
    <w:rsid w:val="00BC2730"/>
    <w:rsid w:val="00BC4F90"/>
    <w:rsid w:val="00BC553E"/>
    <w:rsid w:val="00BD2F8E"/>
    <w:rsid w:val="00BD3D18"/>
    <w:rsid w:val="00BD72F7"/>
    <w:rsid w:val="00BE0A5D"/>
    <w:rsid w:val="00BE0C3D"/>
    <w:rsid w:val="00BE3ED7"/>
    <w:rsid w:val="00BE4AD8"/>
    <w:rsid w:val="00BE5C03"/>
    <w:rsid w:val="00BE654B"/>
    <w:rsid w:val="00BF1639"/>
    <w:rsid w:val="00BF327D"/>
    <w:rsid w:val="00BF4361"/>
    <w:rsid w:val="00BF5183"/>
    <w:rsid w:val="00BF5222"/>
    <w:rsid w:val="00BF53B4"/>
    <w:rsid w:val="00BF58DA"/>
    <w:rsid w:val="00BF5EF8"/>
    <w:rsid w:val="00C02DC7"/>
    <w:rsid w:val="00C031B0"/>
    <w:rsid w:val="00C043C9"/>
    <w:rsid w:val="00C05367"/>
    <w:rsid w:val="00C10745"/>
    <w:rsid w:val="00C111C3"/>
    <w:rsid w:val="00C124A3"/>
    <w:rsid w:val="00C15182"/>
    <w:rsid w:val="00C1722D"/>
    <w:rsid w:val="00C2190E"/>
    <w:rsid w:val="00C25E12"/>
    <w:rsid w:val="00C303CC"/>
    <w:rsid w:val="00C3192B"/>
    <w:rsid w:val="00C326DC"/>
    <w:rsid w:val="00C32F2A"/>
    <w:rsid w:val="00C33384"/>
    <w:rsid w:val="00C33F75"/>
    <w:rsid w:val="00C3760A"/>
    <w:rsid w:val="00C4308E"/>
    <w:rsid w:val="00C46ED9"/>
    <w:rsid w:val="00C475B3"/>
    <w:rsid w:val="00C479E3"/>
    <w:rsid w:val="00C47E79"/>
    <w:rsid w:val="00C53CF3"/>
    <w:rsid w:val="00C56558"/>
    <w:rsid w:val="00C57843"/>
    <w:rsid w:val="00C616E9"/>
    <w:rsid w:val="00C61BBC"/>
    <w:rsid w:val="00C61F68"/>
    <w:rsid w:val="00C64188"/>
    <w:rsid w:val="00C6785C"/>
    <w:rsid w:val="00C71445"/>
    <w:rsid w:val="00C732CD"/>
    <w:rsid w:val="00C7377C"/>
    <w:rsid w:val="00C7430C"/>
    <w:rsid w:val="00C76B5D"/>
    <w:rsid w:val="00C76FE9"/>
    <w:rsid w:val="00C81524"/>
    <w:rsid w:val="00C82525"/>
    <w:rsid w:val="00C859B0"/>
    <w:rsid w:val="00C864A0"/>
    <w:rsid w:val="00C910ED"/>
    <w:rsid w:val="00C9159F"/>
    <w:rsid w:val="00C93ECE"/>
    <w:rsid w:val="00CA1879"/>
    <w:rsid w:val="00CA19FA"/>
    <w:rsid w:val="00CA22C9"/>
    <w:rsid w:val="00CA4322"/>
    <w:rsid w:val="00CA5C43"/>
    <w:rsid w:val="00CA6F57"/>
    <w:rsid w:val="00CA7E3F"/>
    <w:rsid w:val="00CB1507"/>
    <w:rsid w:val="00CB2EBA"/>
    <w:rsid w:val="00CB511B"/>
    <w:rsid w:val="00CB74D4"/>
    <w:rsid w:val="00CC1E95"/>
    <w:rsid w:val="00CC25BE"/>
    <w:rsid w:val="00CC4E42"/>
    <w:rsid w:val="00CC6E8A"/>
    <w:rsid w:val="00CD2E57"/>
    <w:rsid w:val="00CE0218"/>
    <w:rsid w:val="00CE64C9"/>
    <w:rsid w:val="00CE67AB"/>
    <w:rsid w:val="00CE7C7D"/>
    <w:rsid w:val="00CF2154"/>
    <w:rsid w:val="00CF3350"/>
    <w:rsid w:val="00CF44F1"/>
    <w:rsid w:val="00CF5D3D"/>
    <w:rsid w:val="00D023AB"/>
    <w:rsid w:val="00D024B4"/>
    <w:rsid w:val="00D026C7"/>
    <w:rsid w:val="00D04748"/>
    <w:rsid w:val="00D0554D"/>
    <w:rsid w:val="00D058F2"/>
    <w:rsid w:val="00D06054"/>
    <w:rsid w:val="00D12281"/>
    <w:rsid w:val="00D13336"/>
    <w:rsid w:val="00D138D4"/>
    <w:rsid w:val="00D13CD4"/>
    <w:rsid w:val="00D209CC"/>
    <w:rsid w:val="00D22BCF"/>
    <w:rsid w:val="00D23160"/>
    <w:rsid w:val="00D24790"/>
    <w:rsid w:val="00D30B7B"/>
    <w:rsid w:val="00D31F08"/>
    <w:rsid w:val="00D3355B"/>
    <w:rsid w:val="00D33B91"/>
    <w:rsid w:val="00D34E61"/>
    <w:rsid w:val="00D34F65"/>
    <w:rsid w:val="00D40879"/>
    <w:rsid w:val="00D40D95"/>
    <w:rsid w:val="00D42CD9"/>
    <w:rsid w:val="00D447B0"/>
    <w:rsid w:val="00D44AAA"/>
    <w:rsid w:val="00D46FBB"/>
    <w:rsid w:val="00D532FE"/>
    <w:rsid w:val="00D5654A"/>
    <w:rsid w:val="00D56710"/>
    <w:rsid w:val="00D577ED"/>
    <w:rsid w:val="00D646B5"/>
    <w:rsid w:val="00D65E3E"/>
    <w:rsid w:val="00D661F0"/>
    <w:rsid w:val="00D66C7D"/>
    <w:rsid w:val="00D67B43"/>
    <w:rsid w:val="00D67D45"/>
    <w:rsid w:val="00D7089C"/>
    <w:rsid w:val="00D715D4"/>
    <w:rsid w:val="00D71BE3"/>
    <w:rsid w:val="00D74AB7"/>
    <w:rsid w:val="00D75C78"/>
    <w:rsid w:val="00D845F7"/>
    <w:rsid w:val="00D847C3"/>
    <w:rsid w:val="00D87ABD"/>
    <w:rsid w:val="00D9050F"/>
    <w:rsid w:val="00D913F0"/>
    <w:rsid w:val="00D934A2"/>
    <w:rsid w:val="00D97009"/>
    <w:rsid w:val="00DA241C"/>
    <w:rsid w:val="00DB4003"/>
    <w:rsid w:val="00DC13D1"/>
    <w:rsid w:val="00DC2680"/>
    <w:rsid w:val="00DD12DF"/>
    <w:rsid w:val="00DE0F41"/>
    <w:rsid w:val="00DE303E"/>
    <w:rsid w:val="00DE3CF6"/>
    <w:rsid w:val="00DE5144"/>
    <w:rsid w:val="00DF0D9D"/>
    <w:rsid w:val="00DF2861"/>
    <w:rsid w:val="00DF336B"/>
    <w:rsid w:val="00E0105D"/>
    <w:rsid w:val="00E0431D"/>
    <w:rsid w:val="00E05BEF"/>
    <w:rsid w:val="00E14513"/>
    <w:rsid w:val="00E170D0"/>
    <w:rsid w:val="00E21788"/>
    <w:rsid w:val="00E246DA"/>
    <w:rsid w:val="00E2647C"/>
    <w:rsid w:val="00E26AB7"/>
    <w:rsid w:val="00E30F95"/>
    <w:rsid w:val="00E33427"/>
    <w:rsid w:val="00E34E63"/>
    <w:rsid w:val="00E413C2"/>
    <w:rsid w:val="00E424D1"/>
    <w:rsid w:val="00E43174"/>
    <w:rsid w:val="00E45CD5"/>
    <w:rsid w:val="00E45D31"/>
    <w:rsid w:val="00E505A8"/>
    <w:rsid w:val="00E50DA8"/>
    <w:rsid w:val="00E53C0C"/>
    <w:rsid w:val="00E5451E"/>
    <w:rsid w:val="00E55EA1"/>
    <w:rsid w:val="00E565F5"/>
    <w:rsid w:val="00E60115"/>
    <w:rsid w:val="00E72BFB"/>
    <w:rsid w:val="00E72E68"/>
    <w:rsid w:val="00E7380F"/>
    <w:rsid w:val="00E7454F"/>
    <w:rsid w:val="00E76EB8"/>
    <w:rsid w:val="00E77098"/>
    <w:rsid w:val="00E85906"/>
    <w:rsid w:val="00E9146D"/>
    <w:rsid w:val="00E92A1C"/>
    <w:rsid w:val="00E95553"/>
    <w:rsid w:val="00E96D38"/>
    <w:rsid w:val="00EA1C31"/>
    <w:rsid w:val="00EA47B8"/>
    <w:rsid w:val="00EA5EC4"/>
    <w:rsid w:val="00EB232A"/>
    <w:rsid w:val="00EB2B30"/>
    <w:rsid w:val="00EB4F0A"/>
    <w:rsid w:val="00EB67A0"/>
    <w:rsid w:val="00EC02DC"/>
    <w:rsid w:val="00EC1F9C"/>
    <w:rsid w:val="00EC551E"/>
    <w:rsid w:val="00EC567F"/>
    <w:rsid w:val="00EC5767"/>
    <w:rsid w:val="00EC59D2"/>
    <w:rsid w:val="00EC6DF9"/>
    <w:rsid w:val="00EC74BC"/>
    <w:rsid w:val="00ED4507"/>
    <w:rsid w:val="00ED5B12"/>
    <w:rsid w:val="00EE043E"/>
    <w:rsid w:val="00EE22CB"/>
    <w:rsid w:val="00EE4E28"/>
    <w:rsid w:val="00EE5118"/>
    <w:rsid w:val="00EE646C"/>
    <w:rsid w:val="00EE6DB1"/>
    <w:rsid w:val="00EF043F"/>
    <w:rsid w:val="00EF077A"/>
    <w:rsid w:val="00EF0BBA"/>
    <w:rsid w:val="00F0253F"/>
    <w:rsid w:val="00F05532"/>
    <w:rsid w:val="00F125F3"/>
    <w:rsid w:val="00F1454F"/>
    <w:rsid w:val="00F17400"/>
    <w:rsid w:val="00F21389"/>
    <w:rsid w:val="00F22662"/>
    <w:rsid w:val="00F249DD"/>
    <w:rsid w:val="00F277DB"/>
    <w:rsid w:val="00F305D5"/>
    <w:rsid w:val="00F3124A"/>
    <w:rsid w:val="00F32433"/>
    <w:rsid w:val="00F33FB7"/>
    <w:rsid w:val="00F36893"/>
    <w:rsid w:val="00F4156A"/>
    <w:rsid w:val="00F446D6"/>
    <w:rsid w:val="00F47D6E"/>
    <w:rsid w:val="00F53B5F"/>
    <w:rsid w:val="00F545FD"/>
    <w:rsid w:val="00F55514"/>
    <w:rsid w:val="00F55CD7"/>
    <w:rsid w:val="00F55FA9"/>
    <w:rsid w:val="00F57A6A"/>
    <w:rsid w:val="00F60D07"/>
    <w:rsid w:val="00F644A0"/>
    <w:rsid w:val="00F64C53"/>
    <w:rsid w:val="00F702EA"/>
    <w:rsid w:val="00F73128"/>
    <w:rsid w:val="00F76F7C"/>
    <w:rsid w:val="00F77CC3"/>
    <w:rsid w:val="00F800D6"/>
    <w:rsid w:val="00F8322E"/>
    <w:rsid w:val="00F83F4C"/>
    <w:rsid w:val="00F83F81"/>
    <w:rsid w:val="00F84B0F"/>
    <w:rsid w:val="00F8537E"/>
    <w:rsid w:val="00F86A2C"/>
    <w:rsid w:val="00F87828"/>
    <w:rsid w:val="00F87F6B"/>
    <w:rsid w:val="00F928CD"/>
    <w:rsid w:val="00F96F10"/>
    <w:rsid w:val="00F97D0F"/>
    <w:rsid w:val="00FA0858"/>
    <w:rsid w:val="00FA0EF2"/>
    <w:rsid w:val="00FA10DA"/>
    <w:rsid w:val="00FA30F5"/>
    <w:rsid w:val="00FA718D"/>
    <w:rsid w:val="00FA7B12"/>
    <w:rsid w:val="00FB291A"/>
    <w:rsid w:val="00FB578A"/>
    <w:rsid w:val="00FB5F7D"/>
    <w:rsid w:val="00FC287C"/>
    <w:rsid w:val="00FC5BEB"/>
    <w:rsid w:val="00FD2FBA"/>
    <w:rsid w:val="00FD6C41"/>
    <w:rsid w:val="00FE0830"/>
    <w:rsid w:val="00FE39AE"/>
    <w:rsid w:val="00FE40E4"/>
    <w:rsid w:val="00FE491D"/>
    <w:rsid w:val="00FF1DE2"/>
    <w:rsid w:val="00FF28F2"/>
    <w:rsid w:val="00FF2D8D"/>
    <w:rsid w:val="00FF54AB"/>
    <w:rsid w:val="00FF5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88257"/>
  <w15:docId w15:val="{C555D5A3-04FE-4E4A-9812-A73B1A0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D9D"/>
    <w:pPr>
      <w:keepNext/>
      <w:keepLines/>
      <w:spacing w:before="480" w:line="276" w:lineRule="auto"/>
      <w:outlineLvl w:val="0"/>
    </w:pPr>
    <w:rPr>
      <w:rFonts w:eastAsia="Times New Roman" w:cs="Times New Roman"/>
      <w:b/>
      <w:bCs/>
      <w:sz w:val="24"/>
      <w:szCs w:val="28"/>
      <w:lang w:val="x-none" w:eastAsia="x-none"/>
    </w:rPr>
  </w:style>
  <w:style w:type="paragraph" w:styleId="Heading2">
    <w:name w:val="heading 2"/>
    <w:basedOn w:val="Normal"/>
    <w:next w:val="Normal"/>
    <w:link w:val="Heading2Char"/>
    <w:uiPriority w:val="9"/>
    <w:unhideWhenUsed/>
    <w:qFormat/>
    <w:rsid w:val="00033948"/>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95397B"/>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unhideWhenUsed/>
    <w:rsid w:val="0083233C"/>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3233C"/>
    <w:rPr>
      <w:sz w:val="20"/>
      <w:szCs w:val="20"/>
    </w:rPr>
  </w:style>
  <w:style w:type="character" w:styleId="FootnoteReference">
    <w:name w:val="footnote reference"/>
    <w:aliases w:val="Footnote Reference Number,Footnote Reference Superscript,Footnote symbol,fr,Footnote Refernece,ftref,Odwołanie przypisu,BVI fnr,Footnotes refss,SUPERS,Ref,de nota al pie,-E Fußnotenzeichen,Footnote reference number,Times 10 Point,E"/>
    <w:basedOn w:val="DefaultParagraphFont"/>
    <w:uiPriority w:val="99"/>
    <w:unhideWhenUsed/>
    <w:rsid w:val="0083233C"/>
    <w:rPr>
      <w:vertAlign w:val="superscript"/>
    </w:rPr>
  </w:style>
  <w:style w:type="character" w:styleId="CommentReference">
    <w:name w:val="annotation reference"/>
    <w:basedOn w:val="DefaultParagraphFont"/>
    <w:uiPriority w:val="99"/>
    <w:semiHidden/>
    <w:unhideWhenUsed/>
    <w:rsid w:val="00191437"/>
    <w:rPr>
      <w:sz w:val="16"/>
      <w:szCs w:val="16"/>
    </w:rPr>
  </w:style>
  <w:style w:type="paragraph" w:styleId="CommentText">
    <w:name w:val="annotation text"/>
    <w:basedOn w:val="Normal"/>
    <w:link w:val="CommentTextChar"/>
    <w:uiPriority w:val="99"/>
    <w:semiHidden/>
    <w:unhideWhenUsed/>
    <w:rsid w:val="00191437"/>
    <w:rPr>
      <w:sz w:val="20"/>
      <w:szCs w:val="20"/>
    </w:rPr>
  </w:style>
  <w:style w:type="character" w:customStyle="1" w:styleId="CommentTextChar">
    <w:name w:val="Comment Text Char"/>
    <w:basedOn w:val="DefaultParagraphFont"/>
    <w:link w:val="CommentText"/>
    <w:uiPriority w:val="99"/>
    <w:semiHidden/>
    <w:rsid w:val="00191437"/>
    <w:rPr>
      <w:sz w:val="20"/>
      <w:szCs w:val="20"/>
    </w:rPr>
  </w:style>
  <w:style w:type="paragraph" w:styleId="CommentSubject">
    <w:name w:val="annotation subject"/>
    <w:basedOn w:val="CommentText"/>
    <w:next w:val="CommentText"/>
    <w:link w:val="CommentSubjectChar"/>
    <w:uiPriority w:val="99"/>
    <w:semiHidden/>
    <w:unhideWhenUsed/>
    <w:rsid w:val="00191437"/>
    <w:rPr>
      <w:b/>
      <w:bCs/>
    </w:rPr>
  </w:style>
  <w:style w:type="character" w:customStyle="1" w:styleId="CommentSubjectChar">
    <w:name w:val="Comment Subject Char"/>
    <w:basedOn w:val="CommentTextChar"/>
    <w:link w:val="CommentSubject"/>
    <w:uiPriority w:val="99"/>
    <w:semiHidden/>
    <w:rsid w:val="00191437"/>
    <w:rPr>
      <w:b/>
      <w:bCs/>
      <w:sz w:val="20"/>
      <w:szCs w:val="20"/>
    </w:rPr>
  </w:style>
  <w:style w:type="paragraph" w:styleId="BalloonText">
    <w:name w:val="Balloon Text"/>
    <w:basedOn w:val="Normal"/>
    <w:link w:val="BalloonTextChar"/>
    <w:uiPriority w:val="99"/>
    <w:semiHidden/>
    <w:unhideWhenUsed/>
    <w:rsid w:val="0019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37"/>
    <w:rPr>
      <w:rFonts w:ascii="Segoe UI" w:hAnsi="Segoe UI" w:cs="Segoe UI"/>
      <w:sz w:val="18"/>
      <w:szCs w:val="18"/>
    </w:rPr>
  </w:style>
  <w:style w:type="character" w:styleId="Hyperlink">
    <w:name w:val="Hyperlink"/>
    <w:basedOn w:val="DefaultParagraphFont"/>
    <w:uiPriority w:val="99"/>
    <w:unhideWhenUsed/>
    <w:rsid w:val="003703DF"/>
    <w:rPr>
      <w:color w:val="0563C1" w:themeColor="hyperlink"/>
      <w:u w:val="single"/>
    </w:rPr>
  </w:style>
  <w:style w:type="character" w:customStyle="1" w:styleId="Heading1Char">
    <w:name w:val="Heading 1 Char"/>
    <w:basedOn w:val="DefaultParagraphFont"/>
    <w:link w:val="Heading1"/>
    <w:uiPriority w:val="9"/>
    <w:rsid w:val="00DF0D9D"/>
    <w:rPr>
      <w:rFonts w:eastAsia="Times New Roman" w:cs="Times New Roman"/>
      <w:b/>
      <w:bCs/>
      <w:sz w:val="24"/>
      <w:szCs w:val="28"/>
      <w:lang w:val="x-none" w:eastAsia="x-none"/>
    </w:rPr>
  </w:style>
  <w:style w:type="table" w:styleId="TableGrid">
    <w:name w:val="Table Grid"/>
    <w:basedOn w:val="TableNormal"/>
    <w:uiPriority w:val="59"/>
    <w:rsid w:val="00E2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C35AB"/>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rsid w:val="007C35AB"/>
    <w:rPr>
      <w:rFonts w:eastAsia="Times New Roman" w:cs="Times New Roman"/>
      <w:sz w:val="24"/>
      <w:szCs w:val="24"/>
      <w:lang w:val="en-GB"/>
    </w:rPr>
  </w:style>
  <w:style w:type="character" w:customStyle="1" w:styleId="highlight">
    <w:name w:val="highlight"/>
    <w:basedOn w:val="DefaultParagraphFont"/>
    <w:rsid w:val="00E7454F"/>
  </w:style>
  <w:style w:type="paragraph" w:styleId="NormalWeb">
    <w:name w:val="Normal (Web)"/>
    <w:aliases w:val="sākums"/>
    <w:basedOn w:val="Normal"/>
    <w:link w:val="NormalWebChar"/>
    <w:uiPriority w:val="99"/>
    <w:unhideWhenUsed/>
    <w:qFormat/>
    <w:rsid w:val="00D209CC"/>
    <w:pPr>
      <w:spacing w:before="100" w:beforeAutospacing="1" w:after="100" w:afterAutospacing="1"/>
    </w:pPr>
    <w:rPr>
      <w:rFonts w:eastAsia="Calibri" w:cs="Times New Roman"/>
      <w:sz w:val="24"/>
      <w:szCs w:val="24"/>
      <w:lang w:eastAsia="lv-LV"/>
    </w:rPr>
  </w:style>
  <w:style w:type="character" w:customStyle="1" w:styleId="NormalWebChar">
    <w:name w:val="Normal (Web) Char"/>
    <w:aliases w:val="sākums Char"/>
    <w:link w:val="NormalWeb"/>
    <w:uiPriority w:val="99"/>
    <w:locked/>
    <w:rsid w:val="00D209CC"/>
    <w:rPr>
      <w:rFonts w:eastAsia="Calibri" w:cs="Times New Roman"/>
      <w:sz w:val="24"/>
      <w:szCs w:val="24"/>
      <w:lang w:eastAsia="lv-LV"/>
    </w:rPr>
  </w:style>
  <w:style w:type="table" w:styleId="LightShading-Accent1">
    <w:name w:val="Light Shading Accent 1"/>
    <w:basedOn w:val="TableNormal"/>
    <w:uiPriority w:val="60"/>
    <w:rsid w:val="00D209CC"/>
    <w:rPr>
      <w:rFonts w:asciiTheme="minorHAnsi" w:eastAsiaTheme="minorEastAsia" w:hAnsiTheme="minorHAnsi"/>
      <w:color w:val="2E74B5" w:themeColor="accent1" w:themeShade="BF"/>
      <w:sz w:val="22"/>
      <w:lang w:eastAsia="lv-L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HeaderChar">
    <w:name w:val="Header Char"/>
    <w:basedOn w:val="DefaultParagraphFont"/>
    <w:link w:val="Header"/>
    <w:uiPriority w:val="99"/>
    <w:rsid w:val="00D209CC"/>
    <w:rPr>
      <w:rFonts w:asciiTheme="minorHAnsi" w:eastAsiaTheme="minorEastAsia" w:hAnsiTheme="minorHAnsi"/>
      <w:sz w:val="22"/>
      <w:lang w:eastAsia="lv-LV"/>
    </w:rPr>
  </w:style>
  <w:style w:type="paragraph" w:styleId="Footer">
    <w:name w:val="footer"/>
    <w:basedOn w:val="Normal"/>
    <w:link w:val="Foot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FooterChar">
    <w:name w:val="Footer Char"/>
    <w:basedOn w:val="DefaultParagraphFont"/>
    <w:link w:val="Footer"/>
    <w:uiPriority w:val="99"/>
    <w:rsid w:val="00D209CC"/>
    <w:rPr>
      <w:rFonts w:asciiTheme="minorHAnsi" w:eastAsiaTheme="minorEastAsia" w:hAnsiTheme="minorHAnsi"/>
      <w:sz w:val="22"/>
      <w:lang w:eastAsia="lv-LV"/>
    </w:rPr>
  </w:style>
  <w:style w:type="paragraph" w:styleId="Quote">
    <w:name w:val="Quote"/>
    <w:basedOn w:val="Normal"/>
    <w:next w:val="Normal"/>
    <w:link w:val="QuoteChar"/>
    <w:uiPriority w:val="29"/>
    <w:qFormat/>
    <w:rsid w:val="00D209CC"/>
    <w:pPr>
      <w:spacing w:before="200" w:after="160" w:line="276" w:lineRule="auto"/>
      <w:ind w:left="864" w:right="864"/>
      <w:jc w:val="center"/>
    </w:pPr>
    <w:rPr>
      <w:rFonts w:asciiTheme="minorHAnsi" w:eastAsiaTheme="minorEastAsia" w:hAnsiTheme="minorHAnsi"/>
      <w:i/>
      <w:iCs/>
      <w:color w:val="404040" w:themeColor="text1" w:themeTint="BF"/>
      <w:sz w:val="22"/>
      <w:lang w:eastAsia="lv-LV"/>
    </w:rPr>
  </w:style>
  <w:style w:type="character" w:customStyle="1" w:styleId="QuoteChar">
    <w:name w:val="Quote Char"/>
    <w:basedOn w:val="DefaultParagraphFont"/>
    <w:link w:val="Quote"/>
    <w:uiPriority w:val="29"/>
    <w:rsid w:val="00D209CC"/>
    <w:rPr>
      <w:rFonts w:asciiTheme="minorHAnsi" w:eastAsiaTheme="minorEastAsia" w:hAnsiTheme="minorHAnsi"/>
      <w:i/>
      <w:iCs/>
      <w:color w:val="404040" w:themeColor="text1" w:themeTint="BF"/>
      <w:sz w:val="22"/>
      <w:lang w:eastAsia="lv-LV"/>
    </w:rPr>
  </w:style>
  <w:style w:type="character" w:customStyle="1" w:styleId="Heading2Char">
    <w:name w:val="Heading 2 Char"/>
    <w:basedOn w:val="DefaultParagraphFont"/>
    <w:link w:val="Heading2"/>
    <w:uiPriority w:val="9"/>
    <w:rsid w:val="00033948"/>
    <w:rPr>
      <w:rFonts w:eastAsiaTheme="majorEastAsia" w:cstheme="majorBidi"/>
      <w:sz w:val="24"/>
      <w:szCs w:val="26"/>
    </w:rPr>
  </w:style>
  <w:style w:type="character" w:styleId="FollowedHyperlink">
    <w:name w:val="FollowedHyperlink"/>
    <w:basedOn w:val="DefaultParagraphFont"/>
    <w:uiPriority w:val="99"/>
    <w:semiHidden/>
    <w:unhideWhenUsed/>
    <w:rsid w:val="0007420B"/>
    <w:rPr>
      <w:color w:val="954F72" w:themeColor="followedHyperlink"/>
      <w:u w:val="single"/>
    </w:rPr>
  </w:style>
  <w:style w:type="paragraph" w:styleId="BodyText">
    <w:name w:val="Body Text"/>
    <w:aliases w:val="OT Body Text,Body,Tekst,Body Text Char Char,Body Text Char Char Char"/>
    <w:basedOn w:val="Normal"/>
    <w:link w:val="BodyTextChar1"/>
    <w:rsid w:val="004738C7"/>
    <w:pPr>
      <w:spacing w:after="120"/>
    </w:pPr>
    <w:rPr>
      <w:rFonts w:eastAsia="Times New Roman" w:cs="Times New Roman"/>
      <w:sz w:val="24"/>
      <w:szCs w:val="24"/>
      <w:lang w:eastAsia="zh-CN"/>
    </w:rPr>
  </w:style>
  <w:style w:type="character" w:customStyle="1" w:styleId="BodyTextChar">
    <w:name w:val="Body Text Char"/>
    <w:basedOn w:val="DefaultParagraphFont"/>
    <w:uiPriority w:val="99"/>
    <w:semiHidden/>
    <w:rsid w:val="004738C7"/>
  </w:style>
  <w:style w:type="character" w:customStyle="1" w:styleId="BodyTextChar1">
    <w:name w:val="Body Text Char1"/>
    <w:aliases w:val="OT Body Text Char,Body Char,Tekst Char,Body Text Char Char Char1,Body Text Char Char Char Char"/>
    <w:link w:val="BodyText"/>
    <w:locked/>
    <w:rsid w:val="004738C7"/>
    <w:rPr>
      <w:rFonts w:eastAsia="Times New Roman" w:cs="Times New Roman"/>
      <w:sz w:val="24"/>
      <w:szCs w:val="24"/>
      <w:lang w:eastAsia="zh-CN"/>
    </w:rPr>
  </w:style>
  <w:style w:type="paragraph" w:customStyle="1" w:styleId="Default">
    <w:name w:val="Default"/>
    <w:link w:val="DefaultChar"/>
    <w:rsid w:val="004738C7"/>
    <w:pPr>
      <w:autoSpaceDE w:val="0"/>
      <w:autoSpaceDN w:val="0"/>
      <w:adjustRightInd w:val="0"/>
    </w:pPr>
    <w:rPr>
      <w:rFonts w:eastAsia="Times New Roman" w:cs="Times New Roman"/>
      <w:color w:val="000000"/>
      <w:sz w:val="24"/>
      <w:szCs w:val="24"/>
      <w:lang w:eastAsia="zh-CN"/>
    </w:rPr>
  </w:style>
  <w:style w:type="character" w:customStyle="1" w:styleId="DefaultChar">
    <w:name w:val="Default Char"/>
    <w:link w:val="Default"/>
    <w:uiPriority w:val="99"/>
    <w:locked/>
    <w:rsid w:val="004738C7"/>
    <w:rPr>
      <w:rFonts w:eastAsia="Times New Roman" w:cs="Times New Roman"/>
      <w:color w:val="000000"/>
      <w:sz w:val="24"/>
      <w:szCs w:val="24"/>
      <w:lang w:eastAsia="zh-CN"/>
    </w:rPr>
  </w:style>
  <w:style w:type="paragraph" w:styleId="ListParagraph">
    <w:name w:val="List Paragraph"/>
    <w:aliases w:val="2,H&amp;P List Paragraph,Strip,Saraksta rindkopa,Saraksta rindkopa1"/>
    <w:basedOn w:val="Normal"/>
    <w:link w:val="ListParagraphChar"/>
    <w:uiPriority w:val="34"/>
    <w:qFormat/>
    <w:rsid w:val="004738C7"/>
    <w:pPr>
      <w:spacing w:line="276" w:lineRule="auto"/>
      <w:ind w:left="720"/>
      <w:contextualSpacing/>
    </w:pPr>
    <w:rPr>
      <w:rFonts w:ascii="Calibri" w:eastAsia="Calibri" w:hAnsi="Calibri" w:cs="Times New Roman"/>
      <w:sz w:val="22"/>
    </w:rPr>
  </w:style>
  <w:style w:type="character" w:customStyle="1" w:styleId="ListParagraphChar">
    <w:name w:val="List Paragraph Char"/>
    <w:aliases w:val="2 Char,H&amp;P List Paragraph Char,Strip Char,Saraksta rindkopa Char,Saraksta rindkopa1 Char"/>
    <w:link w:val="ListParagraph"/>
    <w:uiPriority w:val="34"/>
    <w:locked/>
    <w:rsid w:val="004738C7"/>
    <w:rPr>
      <w:rFonts w:ascii="Calibri" w:eastAsia="Calibri" w:hAnsi="Calibri" w:cs="Times New Roman"/>
      <w:sz w:val="22"/>
    </w:rPr>
  </w:style>
  <w:style w:type="table" w:customStyle="1" w:styleId="GridTable2-Accent31">
    <w:name w:val="Grid Table 2 - Accent 31"/>
    <w:basedOn w:val="TableNormal"/>
    <w:uiPriority w:val="47"/>
    <w:rsid w:val="00735CF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735C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1">
    <w:name w:val="Grid Table 31"/>
    <w:basedOn w:val="TableNormal"/>
    <w:uiPriority w:val="48"/>
    <w:rsid w:val="00735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735C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6247B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6247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6247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51">
    <w:name w:val="List Table 4 - Accent 51"/>
    <w:basedOn w:val="TableNormal"/>
    <w:uiPriority w:val="49"/>
    <w:rsid w:val="006247B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uiPriority w:val="10"/>
    <w:qFormat/>
    <w:rsid w:val="00034C53"/>
    <w:pPr>
      <w:spacing w:before="120" w:after="120" w:line="276" w:lineRule="auto"/>
      <w:jc w:val="center"/>
    </w:pPr>
    <w:rPr>
      <w:rFonts w:eastAsia="Times New Roman" w:cs="Times New Roman"/>
      <w:b/>
      <w:szCs w:val="28"/>
    </w:rPr>
  </w:style>
  <w:style w:type="character" w:customStyle="1" w:styleId="TitleChar">
    <w:name w:val="Title Char"/>
    <w:basedOn w:val="DefaultParagraphFont"/>
    <w:link w:val="Title"/>
    <w:uiPriority w:val="10"/>
    <w:rsid w:val="00034C53"/>
    <w:rPr>
      <w:rFonts w:eastAsia="Times New Roman" w:cs="Times New Roman"/>
      <w:b/>
      <w:szCs w:val="28"/>
    </w:rPr>
  </w:style>
  <w:style w:type="character" w:styleId="Emphasis">
    <w:name w:val="Emphasis"/>
    <w:basedOn w:val="DefaultParagraphFont"/>
    <w:uiPriority w:val="20"/>
    <w:qFormat/>
    <w:rsid w:val="005D26D0"/>
    <w:rPr>
      <w:i/>
      <w:iCs/>
    </w:rPr>
  </w:style>
  <w:style w:type="character" w:customStyle="1" w:styleId="apple-converted-space">
    <w:name w:val="apple-converted-space"/>
    <w:basedOn w:val="DefaultParagraphFont"/>
    <w:rsid w:val="00072026"/>
  </w:style>
  <w:style w:type="character" w:customStyle="1" w:styleId="cspklasifikatorscodename">
    <w:name w:val="csp_klasifikators_code_name"/>
    <w:basedOn w:val="DefaultParagraphFont"/>
    <w:rsid w:val="00072026"/>
  </w:style>
  <w:style w:type="character" w:customStyle="1" w:styleId="cspklasifikatorscode">
    <w:name w:val="csp_klasifikators_code"/>
    <w:basedOn w:val="DefaultParagraphFont"/>
    <w:rsid w:val="00C4308E"/>
  </w:style>
  <w:style w:type="table" w:customStyle="1" w:styleId="ListTable3-Accent51">
    <w:name w:val="List Table 3 - Accent 51"/>
    <w:basedOn w:val="TableNormal"/>
    <w:uiPriority w:val="48"/>
    <w:rsid w:val="00284C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1Light-Accent51">
    <w:name w:val="List Table 1 Light - Accent 51"/>
    <w:basedOn w:val="TableNormal"/>
    <w:uiPriority w:val="46"/>
    <w:rsid w:val="00284C2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284C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284C2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B71F4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61">
    <w:name w:val="List Table 4 - Accent 61"/>
    <w:basedOn w:val="TableNormal"/>
    <w:uiPriority w:val="49"/>
    <w:rsid w:val="007F19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7F19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6643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ad">
    <w:name w:val="vad"/>
    <w:basedOn w:val="PlainText"/>
    <w:qFormat/>
    <w:rsid w:val="008D1235"/>
    <w:pPr>
      <w:jc w:val="both"/>
    </w:pPr>
    <w:rPr>
      <w:rFonts w:ascii="Times New Roman" w:eastAsia="Calibri" w:hAnsi="Times New Roman" w:cs="Times New Roman"/>
      <w:iCs/>
      <w:sz w:val="24"/>
      <w:szCs w:val="20"/>
      <w:lang w:eastAsia="pl-PL"/>
    </w:rPr>
  </w:style>
  <w:style w:type="paragraph" w:styleId="PlainText">
    <w:name w:val="Plain Text"/>
    <w:basedOn w:val="Normal"/>
    <w:link w:val="PlainTextChar"/>
    <w:uiPriority w:val="99"/>
    <w:unhideWhenUsed/>
    <w:rsid w:val="008D1235"/>
    <w:rPr>
      <w:rFonts w:ascii="Consolas" w:hAnsi="Consolas" w:cs="Consolas"/>
      <w:sz w:val="21"/>
      <w:szCs w:val="21"/>
    </w:rPr>
  </w:style>
  <w:style w:type="character" w:customStyle="1" w:styleId="PlainTextChar">
    <w:name w:val="Plain Text Char"/>
    <w:basedOn w:val="DefaultParagraphFont"/>
    <w:link w:val="PlainText"/>
    <w:uiPriority w:val="99"/>
    <w:rsid w:val="008D1235"/>
    <w:rPr>
      <w:rFonts w:ascii="Consolas" w:hAnsi="Consolas" w:cs="Consolas"/>
      <w:sz w:val="21"/>
      <w:szCs w:val="21"/>
    </w:rPr>
  </w:style>
  <w:style w:type="paragraph" w:styleId="BodyTextIndent">
    <w:name w:val="Body Text Indent"/>
    <w:basedOn w:val="Normal"/>
    <w:link w:val="BodyTextIndentChar"/>
    <w:uiPriority w:val="99"/>
    <w:semiHidden/>
    <w:unhideWhenUsed/>
    <w:rsid w:val="0077432B"/>
    <w:pPr>
      <w:spacing w:after="120"/>
      <w:ind w:left="283"/>
    </w:pPr>
  </w:style>
  <w:style w:type="character" w:customStyle="1" w:styleId="BodyTextIndentChar">
    <w:name w:val="Body Text Indent Char"/>
    <w:basedOn w:val="DefaultParagraphFont"/>
    <w:link w:val="BodyTextIndent"/>
    <w:uiPriority w:val="99"/>
    <w:semiHidden/>
    <w:rsid w:val="0077432B"/>
  </w:style>
  <w:style w:type="paragraph" w:customStyle="1" w:styleId="Proj">
    <w:name w:val="Proj"/>
    <w:basedOn w:val="Normal"/>
    <w:link w:val="ProjChar"/>
    <w:qFormat/>
    <w:rsid w:val="0077432B"/>
    <w:pPr>
      <w:spacing w:line="259" w:lineRule="auto"/>
      <w:ind w:firstLine="720"/>
      <w:jc w:val="both"/>
    </w:pPr>
    <w:rPr>
      <w:rFonts w:cs="Times New Roman"/>
      <w:sz w:val="24"/>
      <w:szCs w:val="24"/>
    </w:rPr>
  </w:style>
  <w:style w:type="character" w:customStyle="1" w:styleId="ProjChar">
    <w:name w:val="Proj Char"/>
    <w:basedOn w:val="DefaultParagraphFont"/>
    <w:link w:val="Proj"/>
    <w:rsid w:val="0077432B"/>
    <w:rPr>
      <w:rFonts w:cs="Times New Roman"/>
      <w:sz w:val="24"/>
      <w:szCs w:val="24"/>
    </w:rPr>
  </w:style>
  <w:style w:type="table" w:customStyle="1" w:styleId="TableGridLight1">
    <w:name w:val="Table Grid Light1"/>
    <w:basedOn w:val="TableNormal"/>
    <w:uiPriority w:val="40"/>
    <w:rsid w:val="004D23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340B8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9B585C"/>
  </w:style>
  <w:style w:type="paragraph" w:customStyle="1" w:styleId="naisf">
    <w:name w:val="naisf"/>
    <w:basedOn w:val="Normal"/>
    <w:uiPriority w:val="99"/>
    <w:rsid w:val="004E5EDA"/>
    <w:pPr>
      <w:spacing w:before="94" w:after="94"/>
      <w:ind w:firstLine="468"/>
      <w:jc w:val="both"/>
    </w:pPr>
    <w:rPr>
      <w:rFonts w:eastAsia="Times New Roman" w:cs="Times New Roman"/>
      <w:sz w:val="24"/>
      <w:szCs w:val="24"/>
      <w:lang w:eastAsia="zh-CN"/>
    </w:rPr>
  </w:style>
  <w:style w:type="paragraph" w:customStyle="1" w:styleId="naisc">
    <w:name w:val="naisc"/>
    <w:basedOn w:val="Normal"/>
    <w:rsid w:val="004E5EDA"/>
    <w:pPr>
      <w:spacing w:before="100" w:beforeAutospacing="1" w:after="100" w:afterAutospacing="1"/>
    </w:pPr>
    <w:rPr>
      <w:rFonts w:eastAsia="Times New Roman" w:cs="Times New Roman"/>
      <w:sz w:val="24"/>
      <w:szCs w:val="24"/>
      <w:lang w:eastAsia="zh-CN"/>
    </w:rPr>
  </w:style>
  <w:style w:type="character" w:customStyle="1" w:styleId="Heading3Char">
    <w:name w:val="Heading 3 Char"/>
    <w:basedOn w:val="DefaultParagraphFont"/>
    <w:link w:val="Heading3"/>
    <w:uiPriority w:val="9"/>
    <w:rsid w:val="0095397B"/>
    <w:rPr>
      <w:rFonts w:eastAsiaTheme="majorEastAsia" w:cstheme="majorBidi"/>
      <w:sz w:val="24"/>
      <w:szCs w:val="24"/>
    </w:rPr>
  </w:style>
  <w:style w:type="paragraph" w:styleId="TOCHeading">
    <w:name w:val="TOC Heading"/>
    <w:basedOn w:val="Heading1"/>
    <w:next w:val="Normal"/>
    <w:uiPriority w:val="39"/>
    <w:unhideWhenUsed/>
    <w:qFormat/>
    <w:rsid w:val="0095397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24514E"/>
    <w:pPr>
      <w:spacing w:after="100"/>
    </w:pPr>
    <w:rPr>
      <w:sz w:val="24"/>
    </w:rPr>
  </w:style>
  <w:style w:type="paragraph" w:styleId="TOC2">
    <w:name w:val="toc 2"/>
    <w:basedOn w:val="Normal"/>
    <w:next w:val="Normal"/>
    <w:autoRedefine/>
    <w:uiPriority w:val="39"/>
    <w:unhideWhenUsed/>
    <w:rsid w:val="0024514E"/>
    <w:pPr>
      <w:spacing w:after="100"/>
      <w:ind w:left="280"/>
    </w:pPr>
    <w:rPr>
      <w:sz w:val="24"/>
    </w:rPr>
  </w:style>
  <w:style w:type="paragraph" w:styleId="TOC3">
    <w:name w:val="toc 3"/>
    <w:basedOn w:val="Normal"/>
    <w:next w:val="Normal"/>
    <w:autoRedefine/>
    <w:uiPriority w:val="39"/>
    <w:unhideWhenUsed/>
    <w:rsid w:val="0095397B"/>
    <w:pPr>
      <w:spacing w:after="100"/>
      <w:ind w:left="560"/>
    </w:pPr>
  </w:style>
  <w:style w:type="character" w:customStyle="1" w:styleId="longtext1">
    <w:name w:val="long_text1"/>
    <w:basedOn w:val="DefaultParagraphFont"/>
    <w:rsid w:val="00241D38"/>
    <w:rPr>
      <w:sz w:val="12"/>
      <w:szCs w:val="12"/>
    </w:rPr>
  </w:style>
  <w:style w:type="table" w:customStyle="1" w:styleId="MediumGrid3-Accent41">
    <w:name w:val="Medium Grid 3 - Accent 4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1">
    <w:name w:val="Medium Grid 3 - Accent 41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2">
    <w:name w:val="Medium Grid 3 - Accent 412"/>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stTable5Dark-Accent11">
    <w:name w:val="List Table 5 Dark - Accent 11"/>
    <w:basedOn w:val="TableNormal"/>
    <w:uiPriority w:val="50"/>
    <w:rsid w:val="005C5B40"/>
    <w:rPr>
      <w:rFonts w:asciiTheme="minorHAnsi" w:hAnsiTheme="minorHAnsi"/>
      <w:color w:val="FFFFFF" w:themeColor="background1"/>
      <w:sz w:val="22"/>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111">
    <w:name w:val="List Table 5 Dark - Accent 111"/>
    <w:basedOn w:val="TableNormal"/>
    <w:uiPriority w:val="50"/>
    <w:rsid w:val="00237CF4"/>
    <w:rPr>
      <w:rFonts w:ascii="Calibri" w:hAnsi="Calibri"/>
      <w:color w:val="FFFFFF"/>
      <w:sz w:val="22"/>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41">
    <w:name w:val="Plain Table 41"/>
    <w:basedOn w:val="TableNormal"/>
    <w:uiPriority w:val="44"/>
    <w:rsid w:val="002366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F3243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754">
      <w:bodyDiv w:val="1"/>
      <w:marLeft w:val="0"/>
      <w:marRight w:val="0"/>
      <w:marTop w:val="0"/>
      <w:marBottom w:val="0"/>
      <w:divBdr>
        <w:top w:val="none" w:sz="0" w:space="0" w:color="auto"/>
        <w:left w:val="none" w:sz="0" w:space="0" w:color="auto"/>
        <w:bottom w:val="none" w:sz="0" w:space="0" w:color="auto"/>
        <w:right w:val="none" w:sz="0" w:space="0" w:color="auto"/>
      </w:divBdr>
    </w:div>
    <w:div w:id="196353162">
      <w:bodyDiv w:val="1"/>
      <w:marLeft w:val="0"/>
      <w:marRight w:val="0"/>
      <w:marTop w:val="0"/>
      <w:marBottom w:val="0"/>
      <w:divBdr>
        <w:top w:val="none" w:sz="0" w:space="0" w:color="auto"/>
        <w:left w:val="none" w:sz="0" w:space="0" w:color="auto"/>
        <w:bottom w:val="none" w:sz="0" w:space="0" w:color="auto"/>
        <w:right w:val="none" w:sz="0" w:space="0" w:color="auto"/>
      </w:divBdr>
      <w:divsChild>
        <w:div w:id="269171026">
          <w:marLeft w:val="0"/>
          <w:marRight w:val="0"/>
          <w:marTop w:val="0"/>
          <w:marBottom w:val="0"/>
          <w:divBdr>
            <w:top w:val="none" w:sz="0" w:space="0" w:color="auto"/>
            <w:left w:val="none" w:sz="0" w:space="0" w:color="auto"/>
            <w:bottom w:val="none" w:sz="0" w:space="0" w:color="auto"/>
            <w:right w:val="none" w:sz="0" w:space="0" w:color="auto"/>
          </w:divBdr>
          <w:divsChild>
            <w:div w:id="1014838586">
              <w:marLeft w:val="0"/>
              <w:marRight w:val="0"/>
              <w:marTop w:val="0"/>
              <w:marBottom w:val="0"/>
              <w:divBdr>
                <w:top w:val="none" w:sz="0" w:space="0" w:color="auto"/>
                <w:left w:val="none" w:sz="0" w:space="0" w:color="auto"/>
                <w:bottom w:val="none" w:sz="0" w:space="0" w:color="auto"/>
                <w:right w:val="none" w:sz="0" w:space="0" w:color="auto"/>
              </w:divBdr>
              <w:divsChild>
                <w:div w:id="452092122">
                  <w:marLeft w:val="-3735"/>
                  <w:marRight w:val="0"/>
                  <w:marTop w:val="0"/>
                  <w:marBottom w:val="0"/>
                  <w:divBdr>
                    <w:top w:val="none" w:sz="0" w:space="0" w:color="auto"/>
                    <w:left w:val="none" w:sz="0" w:space="0" w:color="auto"/>
                    <w:bottom w:val="none" w:sz="0" w:space="0" w:color="auto"/>
                    <w:right w:val="none" w:sz="0" w:space="0" w:color="auto"/>
                  </w:divBdr>
                  <w:divsChild>
                    <w:div w:id="1122114446">
                      <w:marLeft w:val="3735"/>
                      <w:marRight w:val="0"/>
                      <w:marTop w:val="0"/>
                      <w:marBottom w:val="0"/>
                      <w:divBdr>
                        <w:top w:val="none" w:sz="0" w:space="0" w:color="auto"/>
                        <w:left w:val="none" w:sz="0" w:space="0" w:color="auto"/>
                        <w:bottom w:val="none" w:sz="0" w:space="0" w:color="auto"/>
                        <w:right w:val="none" w:sz="0" w:space="0" w:color="auto"/>
                      </w:divBdr>
                      <w:divsChild>
                        <w:div w:id="1156266226">
                          <w:marLeft w:val="0"/>
                          <w:marRight w:val="0"/>
                          <w:marTop w:val="0"/>
                          <w:marBottom w:val="0"/>
                          <w:divBdr>
                            <w:top w:val="single" w:sz="6" w:space="0" w:color="E3E3E3"/>
                            <w:left w:val="none" w:sz="0" w:space="0" w:color="auto"/>
                            <w:bottom w:val="none" w:sz="0" w:space="0" w:color="auto"/>
                            <w:right w:val="none" w:sz="0" w:space="0" w:color="auto"/>
                          </w:divBdr>
                          <w:divsChild>
                            <w:div w:id="1524661982">
                              <w:marLeft w:val="0"/>
                              <w:marRight w:val="0"/>
                              <w:marTop w:val="0"/>
                              <w:marBottom w:val="0"/>
                              <w:divBdr>
                                <w:top w:val="none" w:sz="0" w:space="0" w:color="auto"/>
                                <w:left w:val="none" w:sz="0" w:space="0" w:color="auto"/>
                                <w:bottom w:val="none" w:sz="0" w:space="0" w:color="auto"/>
                                <w:right w:val="none" w:sz="0" w:space="0" w:color="auto"/>
                              </w:divBdr>
                              <w:divsChild>
                                <w:div w:id="1247765016">
                                  <w:marLeft w:val="0"/>
                                  <w:marRight w:val="0"/>
                                  <w:marTop w:val="0"/>
                                  <w:marBottom w:val="0"/>
                                  <w:divBdr>
                                    <w:top w:val="none" w:sz="0" w:space="0" w:color="auto"/>
                                    <w:left w:val="none" w:sz="0" w:space="0" w:color="auto"/>
                                    <w:bottom w:val="none" w:sz="0" w:space="0" w:color="auto"/>
                                    <w:right w:val="none" w:sz="0" w:space="0" w:color="auto"/>
                                  </w:divBdr>
                                  <w:divsChild>
                                    <w:div w:id="669064876">
                                      <w:marLeft w:val="0"/>
                                      <w:marRight w:val="0"/>
                                      <w:marTop w:val="0"/>
                                      <w:marBottom w:val="0"/>
                                      <w:divBdr>
                                        <w:top w:val="none" w:sz="0" w:space="0" w:color="auto"/>
                                        <w:left w:val="none" w:sz="0" w:space="0" w:color="auto"/>
                                        <w:bottom w:val="none" w:sz="0" w:space="0" w:color="auto"/>
                                        <w:right w:val="none" w:sz="0" w:space="0" w:color="auto"/>
                                      </w:divBdr>
                                      <w:divsChild>
                                        <w:div w:id="2117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360710">
      <w:bodyDiv w:val="1"/>
      <w:marLeft w:val="0"/>
      <w:marRight w:val="0"/>
      <w:marTop w:val="0"/>
      <w:marBottom w:val="0"/>
      <w:divBdr>
        <w:top w:val="none" w:sz="0" w:space="0" w:color="auto"/>
        <w:left w:val="none" w:sz="0" w:space="0" w:color="auto"/>
        <w:bottom w:val="none" w:sz="0" w:space="0" w:color="auto"/>
        <w:right w:val="none" w:sz="0" w:space="0" w:color="auto"/>
      </w:divBdr>
    </w:div>
    <w:div w:id="455029584">
      <w:bodyDiv w:val="1"/>
      <w:marLeft w:val="0"/>
      <w:marRight w:val="0"/>
      <w:marTop w:val="0"/>
      <w:marBottom w:val="0"/>
      <w:divBdr>
        <w:top w:val="none" w:sz="0" w:space="0" w:color="auto"/>
        <w:left w:val="none" w:sz="0" w:space="0" w:color="auto"/>
        <w:bottom w:val="none" w:sz="0" w:space="0" w:color="auto"/>
        <w:right w:val="none" w:sz="0" w:space="0" w:color="auto"/>
      </w:divBdr>
    </w:div>
    <w:div w:id="540557013">
      <w:bodyDiv w:val="1"/>
      <w:marLeft w:val="0"/>
      <w:marRight w:val="0"/>
      <w:marTop w:val="0"/>
      <w:marBottom w:val="0"/>
      <w:divBdr>
        <w:top w:val="none" w:sz="0" w:space="0" w:color="auto"/>
        <w:left w:val="none" w:sz="0" w:space="0" w:color="auto"/>
        <w:bottom w:val="none" w:sz="0" w:space="0" w:color="auto"/>
        <w:right w:val="none" w:sz="0" w:space="0" w:color="auto"/>
      </w:divBdr>
    </w:div>
    <w:div w:id="646472365">
      <w:bodyDiv w:val="1"/>
      <w:marLeft w:val="0"/>
      <w:marRight w:val="0"/>
      <w:marTop w:val="0"/>
      <w:marBottom w:val="0"/>
      <w:divBdr>
        <w:top w:val="none" w:sz="0" w:space="0" w:color="auto"/>
        <w:left w:val="none" w:sz="0" w:space="0" w:color="auto"/>
        <w:bottom w:val="none" w:sz="0" w:space="0" w:color="auto"/>
        <w:right w:val="none" w:sz="0" w:space="0" w:color="auto"/>
      </w:divBdr>
    </w:div>
    <w:div w:id="704915187">
      <w:bodyDiv w:val="1"/>
      <w:marLeft w:val="0"/>
      <w:marRight w:val="0"/>
      <w:marTop w:val="0"/>
      <w:marBottom w:val="0"/>
      <w:divBdr>
        <w:top w:val="none" w:sz="0" w:space="0" w:color="auto"/>
        <w:left w:val="none" w:sz="0" w:space="0" w:color="auto"/>
        <w:bottom w:val="none" w:sz="0" w:space="0" w:color="auto"/>
        <w:right w:val="none" w:sz="0" w:space="0" w:color="auto"/>
      </w:divBdr>
    </w:div>
    <w:div w:id="788013327">
      <w:bodyDiv w:val="1"/>
      <w:marLeft w:val="0"/>
      <w:marRight w:val="0"/>
      <w:marTop w:val="0"/>
      <w:marBottom w:val="0"/>
      <w:divBdr>
        <w:top w:val="none" w:sz="0" w:space="0" w:color="auto"/>
        <w:left w:val="none" w:sz="0" w:space="0" w:color="auto"/>
        <w:bottom w:val="none" w:sz="0" w:space="0" w:color="auto"/>
        <w:right w:val="none" w:sz="0" w:space="0" w:color="auto"/>
      </w:divBdr>
    </w:div>
    <w:div w:id="826745399">
      <w:bodyDiv w:val="1"/>
      <w:marLeft w:val="0"/>
      <w:marRight w:val="0"/>
      <w:marTop w:val="0"/>
      <w:marBottom w:val="0"/>
      <w:divBdr>
        <w:top w:val="none" w:sz="0" w:space="0" w:color="auto"/>
        <w:left w:val="none" w:sz="0" w:space="0" w:color="auto"/>
        <w:bottom w:val="none" w:sz="0" w:space="0" w:color="auto"/>
        <w:right w:val="none" w:sz="0" w:space="0" w:color="auto"/>
      </w:divBdr>
    </w:div>
    <w:div w:id="883909190">
      <w:bodyDiv w:val="1"/>
      <w:marLeft w:val="0"/>
      <w:marRight w:val="0"/>
      <w:marTop w:val="0"/>
      <w:marBottom w:val="0"/>
      <w:divBdr>
        <w:top w:val="none" w:sz="0" w:space="0" w:color="auto"/>
        <w:left w:val="none" w:sz="0" w:space="0" w:color="auto"/>
        <w:bottom w:val="none" w:sz="0" w:space="0" w:color="auto"/>
        <w:right w:val="none" w:sz="0" w:space="0" w:color="auto"/>
      </w:divBdr>
    </w:div>
    <w:div w:id="912817690">
      <w:bodyDiv w:val="1"/>
      <w:marLeft w:val="0"/>
      <w:marRight w:val="0"/>
      <w:marTop w:val="0"/>
      <w:marBottom w:val="0"/>
      <w:divBdr>
        <w:top w:val="none" w:sz="0" w:space="0" w:color="auto"/>
        <w:left w:val="none" w:sz="0" w:space="0" w:color="auto"/>
        <w:bottom w:val="none" w:sz="0" w:space="0" w:color="auto"/>
        <w:right w:val="none" w:sz="0" w:space="0" w:color="auto"/>
      </w:divBdr>
    </w:div>
    <w:div w:id="942224996">
      <w:bodyDiv w:val="1"/>
      <w:marLeft w:val="0"/>
      <w:marRight w:val="0"/>
      <w:marTop w:val="0"/>
      <w:marBottom w:val="0"/>
      <w:divBdr>
        <w:top w:val="none" w:sz="0" w:space="0" w:color="auto"/>
        <w:left w:val="none" w:sz="0" w:space="0" w:color="auto"/>
        <w:bottom w:val="none" w:sz="0" w:space="0" w:color="auto"/>
        <w:right w:val="none" w:sz="0" w:space="0" w:color="auto"/>
      </w:divBdr>
      <w:divsChild>
        <w:div w:id="8339515">
          <w:marLeft w:val="0"/>
          <w:marRight w:val="0"/>
          <w:marTop w:val="0"/>
          <w:marBottom w:val="0"/>
          <w:divBdr>
            <w:top w:val="none" w:sz="0" w:space="0" w:color="auto"/>
            <w:left w:val="none" w:sz="0" w:space="0" w:color="auto"/>
            <w:bottom w:val="none" w:sz="0" w:space="0" w:color="auto"/>
            <w:right w:val="none" w:sz="0" w:space="0" w:color="auto"/>
          </w:divBdr>
        </w:div>
        <w:div w:id="165749031">
          <w:marLeft w:val="0"/>
          <w:marRight w:val="0"/>
          <w:marTop w:val="0"/>
          <w:marBottom w:val="0"/>
          <w:divBdr>
            <w:top w:val="none" w:sz="0" w:space="0" w:color="auto"/>
            <w:left w:val="none" w:sz="0" w:space="0" w:color="auto"/>
            <w:bottom w:val="none" w:sz="0" w:space="0" w:color="auto"/>
            <w:right w:val="none" w:sz="0" w:space="0" w:color="auto"/>
          </w:divBdr>
        </w:div>
        <w:div w:id="341589599">
          <w:marLeft w:val="0"/>
          <w:marRight w:val="0"/>
          <w:marTop w:val="0"/>
          <w:marBottom w:val="0"/>
          <w:divBdr>
            <w:top w:val="none" w:sz="0" w:space="0" w:color="auto"/>
            <w:left w:val="none" w:sz="0" w:space="0" w:color="auto"/>
            <w:bottom w:val="none" w:sz="0" w:space="0" w:color="auto"/>
            <w:right w:val="none" w:sz="0" w:space="0" w:color="auto"/>
          </w:divBdr>
        </w:div>
        <w:div w:id="401099102">
          <w:marLeft w:val="0"/>
          <w:marRight w:val="0"/>
          <w:marTop w:val="0"/>
          <w:marBottom w:val="0"/>
          <w:divBdr>
            <w:top w:val="none" w:sz="0" w:space="0" w:color="auto"/>
            <w:left w:val="none" w:sz="0" w:space="0" w:color="auto"/>
            <w:bottom w:val="none" w:sz="0" w:space="0" w:color="auto"/>
            <w:right w:val="none" w:sz="0" w:space="0" w:color="auto"/>
          </w:divBdr>
        </w:div>
        <w:div w:id="1117676418">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1504124023">
          <w:marLeft w:val="0"/>
          <w:marRight w:val="0"/>
          <w:marTop w:val="0"/>
          <w:marBottom w:val="0"/>
          <w:divBdr>
            <w:top w:val="none" w:sz="0" w:space="0" w:color="auto"/>
            <w:left w:val="none" w:sz="0" w:space="0" w:color="auto"/>
            <w:bottom w:val="none" w:sz="0" w:space="0" w:color="auto"/>
            <w:right w:val="none" w:sz="0" w:space="0" w:color="auto"/>
          </w:divBdr>
        </w:div>
        <w:div w:id="1622226217">
          <w:marLeft w:val="0"/>
          <w:marRight w:val="0"/>
          <w:marTop w:val="0"/>
          <w:marBottom w:val="0"/>
          <w:divBdr>
            <w:top w:val="none" w:sz="0" w:space="0" w:color="auto"/>
            <w:left w:val="none" w:sz="0" w:space="0" w:color="auto"/>
            <w:bottom w:val="none" w:sz="0" w:space="0" w:color="auto"/>
            <w:right w:val="none" w:sz="0" w:space="0" w:color="auto"/>
          </w:divBdr>
        </w:div>
      </w:divsChild>
    </w:div>
    <w:div w:id="1006907507">
      <w:bodyDiv w:val="1"/>
      <w:marLeft w:val="0"/>
      <w:marRight w:val="0"/>
      <w:marTop w:val="0"/>
      <w:marBottom w:val="0"/>
      <w:divBdr>
        <w:top w:val="none" w:sz="0" w:space="0" w:color="auto"/>
        <w:left w:val="none" w:sz="0" w:space="0" w:color="auto"/>
        <w:bottom w:val="none" w:sz="0" w:space="0" w:color="auto"/>
        <w:right w:val="none" w:sz="0" w:space="0" w:color="auto"/>
      </w:divBdr>
      <w:divsChild>
        <w:div w:id="903757486">
          <w:marLeft w:val="0"/>
          <w:marRight w:val="0"/>
          <w:marTop w:val="0"/>
          <w:marBottom w:val="0"/>
          <w:divBdr>
            <w:top w:val="none" w:sz="0" w:space="0" w:color="auto"/>
            <w:left w:val="none" w:sz="0" w:space="0" w:color="auto"/>
            <w:bottom w:val="none" w:sz="0" w:space="0" w:color="auto"/>
            <w:right w:val="none" w:sz="0" w:space="0" w:color="auto"/>
          </w:divBdr>
          <w:divsChild>
            <w:div w:id="900024313">
              <w:marLeft w:val="0"/>
              <w:marRight w:val="0"/>
              <w:marTop w:val="0"/>
              <w:marBottom w:val="0"/>
              <w:divBdr>
                <w:top w:val="none" w:sz="0" w:space="0" w:color="auto"/>
                <w:left w:val="none" w:sz="0" w:space="0" w:color="auto"/>
                <w:bottom w:val="none" w:sz="0" w:space="0" w:color="auto"/>
                <w:right w:val="none" w:sz="0" w:space="0" w:color="auto"/>
              </w:divBdr>
            </w:div>
          </w:divsChild>
        </w:div>
        <w:div w:id="1071539872">
          <w:marLeft w:val="0"/>
          <w:marRight w:val="0"/>
          <w:marTop w:val="0"/>
          <w:marBottom w:val="0"/>
          <w:divBdr>
            <w:top w:val="none" w:sz="0" w:space="0" w:color="auto"/>
            <w:left w:val="none" w:sz="0" w:space="0" w:color="auto"/>
            <w:bottom w:val="none" w:sz="0" w:space="0" w:color="auto"/>
            <w:right w:val="none" w:sz="0" w:space="0" w:color="auto"/>
          </w:divBdr>
        </w:div>
      </w:divsChild>
    </w:div>
    <w:div w:id="1041587572">
      <w:bodyDiv w:val="1"/>
      <w:marLeft w:val="0"/>
      <w:marRight w:val="0"/>
      <w:marTop w:val="0"/>
      <w:marBottom w:val="0"/>
      <w:divBdr>
        <w:top w:val="none" w:sz="0" w:space="0" w:color="auto"/>
        <w:left w:val="none" w:sz="0" w:space="0" w:color="auto"/>
        <w:bottom w:val="none" w:sz="0" w:space="0" w:color="auto"/>
        <w:right w:val="none" w:sz="0" w:space="0" w:color="auto"/>
      </w:divBdr>
    </w:div>
    <w:div w:id="1180698454">
      <w:bodyDiv w:val="1"/>
      <w:marLeft w:val="0"/>
      <w:marRight w:val="0"/>
      <w:marTop w:val="0"/>
      <w:marBottom w:val="0"/>
      <w:divBdr>
        <w:top w:val="none" w:sz="0" w:space="0" w:color="auto"/>
        <w:left w:val="none" w:sz="0" w:space="0" w:color="auto"/>
        <w:bottom w:val="none" w:sz="0" w:space="0" w:color="auto"/>
        <w:right w:val="none" w:sz="0" w:space="0" w:color="auto"/>
      </w:divBdr>
    </w:div>
    <w:div w:id="1224873741">
      <w:bodyDiv w:val="1"/>
      <w:marLeft w:val="0"/>
      <w:marRight w:val="0"/>
      <w:marTop w:val="0"/>
      <w:marBottom w:val="0"/>
      <w:divBdr>
        <w:top w:val="none" w:sz="0" w:space="0" w:color="auto"/>
        <w:left w:val="none" w:sz="0" w:space="0" w:color="auto"/>
        <w:bottom w:val="none" w:sz="0" w:space="0" w:color="auto"/>
        <w:right w:val="none" w:sz="0" w:space="0" w:color="auto"/>
      </w:divBdr>
    </w:div>
    <w:div w:id="1228690370">
      <w:bodyDiv w:val="1"/>
      <w:marLeft w:val="0"/>
      <w:marRight w:val="0"/>
      <w:marTop w:val="0"/>
      <w:marBottom w:val="0"/>
      <w:divBdr>
        <w:top w:val="none" w:sz="0" w:space="0" w:color="auto"/>
        <w:left w:val="none" w:sz="0" w:space="0" w:color="auto"/>
        <w:bottom w:val="none" w:sz="0" w:space="0" w:color="auto"/>
        <w:right w:val="none" w:sz="0" w:space="0" w:color="auto"/>
      </w:divBdr>
    </w:div>
    <w:div w:id="1274363476">
      <w:bodyDiv w:val="1"/>
      <w:marLeft w:val="0"/>
      <w:marRight w:val="0"/>
      <w:marTop w:val="0"/>
      <w:marBottom w:val="0"/>
      <w:divBdr>
        <w:top w:val="none" w:sz="0" w:space="0" w:color="auto"/>
        <w:left w:val="none" w:sz="0" w:space="0" w:color="auto"/>
        <w:bottom w:val="none" w:sz="0" w:space="0" w:color="auto"/>
        <w:right w:val="none" w:sz="0" w:space="0" w:color="auto"/>
      </w:divBdr>
    </w:div>
    <w:div w:id="1318729311">
      <w:bodyDiv w:val="1"/>
      <w:marLeft w:val="0"/>
      <w:marRight w:val="0"/>
      <w:marTop w:val="0"/>
      <w:marBottom w:val="0"/>
      <w:divBdr>
        <w:top w:val="none" w:sz="0" w:space="0" w:color="auto"/>
        <w:left w:val="none" w:sz="0" w:space="0" w:color="auto"/>
        <w:bottom w:val="none" w:sz="0" w:space="0" w:color="auto"/>
        <w:right w:val="none" w:sz="0" w:space="0" w:color="auto"/>
      </w:divBdr>
    </w:div>
    <w:div w:id="1323892878">
      <w:bodyDiv w:val="1"/>
      <w:marLeft w:val="0"/>
      <w:marRight w:val="0"/>
      <w:marTop w:val="0"/>
      <w:marBottom w:val="0"/>
      <w:divBdr>
        <w:top w:val="none" w:sz="0" w:space="0" w:color="auto"/>
        <w:left w:val="none" w:sz="0" w:space="0" w:color="auto"/>
        <w:bottom w:val="none" w:sz="0" w:space="0" w:color="auto"/>
        <w:right w:val="none" w:sz="0" w:space="0" w:color="auto"/>
      </w:divBdr>
    </w:div>
    <w:div w:id="1474299908">
      <w:bodyDiv w:val="1"/>
      <w:marLeft w:val="0"/>
      <w:marRight w:val="0"/>
      <w:marTop w:val="0"/>
      <w:marBottom w:val="0"/>
      <w:divBdr>
        <w:top w:val="none" w:sz="0" w:space="0" w:color="auto"/>
        <w:left w:val="none" w:sz="0" w:space="0" w:color="auto"/>
        <w:bottom w:val="none" w:sz="0" w:space="0" w:color="auto"/>
        <w:right w:val="none" w:sz="0" w:space="0" w:color="auto"/>
      </w:divBdr>
    </w:div>
    <w:div w:id="1528256594">
      <w:bodyDiv w:val="1"/>
      <w:marLeft w:val="0"/>
      <w:marRight w:val="0"/>
      <w:marTop w:val="0"/>
      <w:marBottom w:val="0"/>
      <w:divBdr>
        <w:top w:val="none" w:sz="0" w:space="0" w:color="auto"/>
        <w:left w:val="none" w:sz="0" w:space="0" w:color="auto"/>
        <w:bottom w:val="none" w:sz="0" w:space="0" w:color="auto"/>
        <w:right w:val="none" w:sz="0" w:space="0" w:color="auto"/>
      </w:divBdr>
    </w:div>
    <w:div w:id="1620843287">
      <w:bodyDiv w:val="1"/>
      <w:marLeft w:val="0"/>
      <w:marRight w:val="0"/>
      <w:marTop w:val="0"/>
      <w:marBottom w:val="0"/>
      <w:divBdr>
        <w:top w:val="none" w:sz="0" w:space="0" w:color="auto"/>
        <w:left w:val="none" w:sz="0" w:space="0" w:color="auto"/>
        <w:bottom w:val="none" w:sz="0" w:space="0" w:color="auto"/>
        <w:right w:val="none" w:sz="0" w:space="0" w:color="auto"/>
      </w:divBdr>
    </w:div>
    <w:div w:id="1624801070">
      <w:bodyDiv w:val="1"/>
      <w:marLeft w:val="0"/>
      <w:marRight w:val="0"/>
      <w:marTop w:val="0"/>
      <w:marBottom w:val="0"/>
      <w:divBdr>
        <w:top w:val="none" w:sz="0" w:space="0" w:color="auto"/>
        <w:left w:val="none" w:sz="0" w:space="0" w:color="auto"/>
        <w:bottom w:val="none" w:sz="0" w:space="0" w:color="auto"/>
        <w:right w:val="none" w:sz="0" w:space="0" w:color="auto"/>
      </w:divBdr>
    </w:div>
    <w:div w:id="1631862619">
      <w:bodyDiv w:val="1"/>
      <w:marLeft w:val="0"/>
      <w:marRight w:val="0"/>
      <w:marTop w:val="0"/>
      <w:marBottom w:val="0"/>
      <w:divBdr>
        <w:top w:val="none" w:sz="0" w:space="0" w:color="auto"/>
        <w:left w:val="none" w:sz="0" w:space="0" w:color="auto"/>
        <w:bottom w:val="none" w:sz="0" w:space="0" w:color="auto"/>
        <w:right w:val="none" w:sz="0" w:space="0" w:color="auto"/>
      </w:divBdr>
    </w:div>
    <w:div w:id="1637639684">
      <w:bodyDiv w:val="1"/>
      <w:marLeft w:val="0"/>
      <w:marRight w:val="0"/>
      <w:marTop w:val="0"/>
      <w:marBottom w:val="0"/>
      <w:divBdr>
        <w:top w:val="none" w:sz="0" w:space="0" w:color="auto"/>
        <w:left w:val="none" w:sz="0" w:space="0" w:color="auto"/>
        <w:bottom w:val="none" w:sz="0" w:space="0" w:color="auto"/>
        <w:right w:val="none" w:sz="0" w:space="0" w:color="auto"/>
      </w:divBdr>
    </w:div>
    <w:div w:id="1697806251">
      <w:bodyDiv w:val="1"/>
      <w:marLeft w:val="0"/>
      <w:marRight w:val="0"/>
      <w:marTop w:val="0"/>
      <w:marBottom w:val="0"/>
      <w:divBdr>
        <w:top w:val="none" w:sz="0" w:space="0" w:color="auto"/>
        <w:left w:val="none" w:sz="0" w:space="0" w:color="auto"/>
        <w:bottom w:val="none" w:sz="0" w:space="0" w:color="auto"/>
        <w:right w:val="none" w:sz="0" w:space="0" w:color="auto"/>
      </w:divBdr>
    </w:div>
    <w:div w:id="1736471883">
      <w:bodyDiv w:val="1"/>
      <w:marLeft w:val="0"/>
      <w:marRight w:val="0"/>
      <w:marTop w:val="0"/>
      <w:marBottom w:val="0"/>
      <w:divBdr>
        <w:top w:val="none" w:sz="0" w:space="0" w:color="auto"/>
        <w:left w:val="none" w:sz="0" w:space="0" w:color="auto"/>
        <w:bottom w:val="none" w:sz="0" w:space="0" w:color="auto"/>
        <w:right w:val="none" w:sz="0" w:space="0" w:color="auto"/>
      </w:divBdr>
    </w:div>
    <w:div w:id="1834450049">
      <w:bodyDiv w:val="1"/>
      <w:marLeft w:val="0"/>
      <w:marRight w:val="0"/>
      <w:marTop w:val="0"/>
      <w:marBottom w:val="0"/>
      <w:divBdr>
        <w:top w:val="none" w:sz="0" w:space="0" w:color="auto"/>
        <w:left w:val="none" w:sz="0" w:space="0" w:color="auto"/>
        <w:bottom w:val="none" w:sz="0" w:space="0" w:color="auto"/>
        <w:right w:val="none" w:sz="0" w:space="0" w:color="auto"/>
      </w:divBdr>
    </w:div>
    <w:div w:id="1879663855">
      <w:bodyDiv w:val="1"/>
      <w:marLeft w:val="0"/>
      <w:marRight w:val="0"/>
      <w:marTop w:val="0"/>
      <w:marBottom w:val="0"/>
      <w:divBdr>
        <w:top w:val="none" w:sz="0" w:space="0" w:color="auto"/>
        <w:left w:val="none" w:sz="0" w:space="0" w:color="auto"/>
        <w:bottom w:val="none" w:sz="0" w:space="0" w:color="auto"/>
        <w:right w:val="none" w:sz="0" w:space="0" w:color="auto"/>
      </w:divBdr>
    </w:div>
    <w:div w:id="1983387114">
      <w:bodyDiv w:val="1"/>
      <w:marLeft w:val="0"/>
      <w:marRight w:val="0"/>
      <w:marTop w:val="0"/>
      <w:marBottom w:val="0"/>
      <w:divBdr>
        <w:top w:val="none" w:sz="0" w:space="0" w:color="auto"/>
        <w:left w:val="none" w:sz="0" w:space="0" w:color="auto"/>
        <w:bottom w:val="none" w:sz="0" w:space="0" w:color="auto"/>
        <w:right w:val="none" w:sz="0" w:space="0" w:color="auto"/>
      </w:divBdr>
    </w:div>
    <w:div w:id="2065174586">
      <w:bodyDiv w:val="1"/>
      <w:marLeft w:val="0"/>
      <w:marRight w:val="0"/>
      <w:marTop w:val="0"/>
      <w:marBottom w:val="0"/>
      <w:divBdr>
        <w:top w:val="none" w:sz="0" w:space="0" w:color="auto"/>
        <w:left w:val="none" w:sz="0" w:space="0" w:color="auto"/>
        <w:bottom w:val="none" w:sz="0" w:space="0" w:color="auto"/>
        <w:right w:val="none" w:sz="0" w:space="0" w:color="auto"/>
      </w:divBdr>
    </w:div>
    <w:div w:id="21035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mailto:madara.ambrena@em.gov.lv" TargetMode="Externa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ey.com/Publication/vwLUAssets/EY-european-attractiveness-survey-2015/$FILE/EY-european-attractiveness-survey-2015.pdf" TargetMode="External"/><Relationship Id="rId2" Type="http://schemas.openxmlformats.org/officeDocument/2006/relationships/hyperlink" Target="http://www.ficil.lv/f/FICIL%20Sentiment%20Index%20Report%202015.pdf" TargetMode="External"/><Relationship Id="rId1" Type="http://schemas.openxmlformats.org/officeDocument/2006/relationships/hyperlink" Target="http://reports.weforum.org/global-competitiveness-report-2015-2016/" TargetMode="External"/><Relationship Id="rId4" Type="http://schemas.openxmlformats.org/officeDocument/2006/relationships/hyperlink" Target="https://www.em.gov.lv/files/tautsaimniecibas_attistiba/dsp/EMZino_06_160616.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mbrenaM\AppData\Local\Microsoft\Windows\Temporary%20Internet%20Files\Content.Outlook\N45LZ34S\FDI_dinamika_un_m&#275;r&#311;a_r&#257;d&#299;t&#257;ji.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mbrenaM\AppData\Local\Microsoft\Windows\Temporary%20Internet%20Files\Content.Outlook\N45LZ34S\FDI_dinamika_un_m&#275;r&#311;a_r&#257;d&#299;t&#257;ji%20(002).xlsx" TargetMode="External"/><Relationship Id="rId2" Type="http://schemas.microsoft.com/office/2011/relationships/chartColorStyle" Target="colors2.xml"/><Relationship Id="rId1" Type="http://schemas.microsoft.com/office/2011/relationships/chartStyle" Target="style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mbrenaM\AppData\Local\Microsoft\Windows\Temporary%20Internet%20Files\Content.Outlook\N45LZ34S\FDI_dinamika_un_m&#275;r&#311;a_r&#257;d&#299;t&#257;ji%20(002).xlsx" TargetMode="External"/><Relationship Id="rId2" Type="http://schemas.microsoft.com/office/2011/relationships/chartColorStyle" Target="colors3.xml"/><Relationship Id="rId1" Type="http://schemas.microsoft.com/office/2011/relationships/chartStyle" Target="style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mbrenaM\AppData\Local\Microsoft\Windows\Temporary%20Internet%20Files\Content.Outlook\N45LZ34S\FDI_dinamika_un_m&#275;r&#311;a_r&#257;d&#299;t&#257;ji%20(002).xlsx" TargetMode="External"/><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910802927377911E-2"/>
          <c:y val="5.7644602982192303E-2"/>
          <c:w val="0.90822528849253525"/>
          <c:h val="0.8322824225710207"/>
        </c:manualLayout>
      </c:layout>
      <c:lineChart>
        <c:grouping val="standard"/>
        <c:varyColors val="0"/>
        <c:ser>
          <c:idx val="0"/>
          <c:order val="0"/>
          <c:tx>
            <c:strRef>
              <c:f>Sheet1!$A$4</c:f>
              <c:strCache>
                <c:ptCount val="1"/>
                <c:pt idx="0">
                  <c:v>IKP</c:v>
                </c:pt>
              </c:strCache>
            </c:strRef>
          </c:tx>
          <c:spPr>
            <a:ln w="28575">
              <a:solidFill>
                <a:srgbClr val="2C92AA"/>
              </a:solidFill>
              <a:prstDash val="solid"/>
            </a:ln>
          </c:spPr>
          <c:marker>
            <c:symbol val="none"/>
          </c:marker>
          <c:cat>
            <c:strRef>
              <c:f>Sheet1!$B$3:$M$3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Sheet1!$B$4:$M$4</c:f>
              <c:numCache>
                <c:formatCode>0</c:formatCode>
                <c:ptCount val="12"/>
                <c:pt idx="0">
                  <c:v>100</c:v>
                </c:pt>
                <c:pt idx="1">
                  <c:v>110.70158747507917</c:v>
                </c:pt>
                <c:pt idx="2">
                  <c:v>123.87754307155006</c:v>
                </c:pt>
                <c:pt idx="3">
                  <c:v>136.21641859317771</c:v>
                </c:pt>
                <c:pt idx="4">
                  <c:v>131.31584676156837</c:v>
                </c:pt>
                <c:pt idx="5">
                  <c:v>112.47344722461337</c:v>
                </c:pt>
                <c:pt idx="6">
                  <c:v>108.22167585701523</c:v>
                </c:pt>
                <c:pt idx="7">
                  <c:v>114.94385398019138</c:v>
                </c:pt>
                <c:pt idx="8">
                  <c:v>119.54762530914203</c:v>
                </c:pt>
                <c:pt idx="9">
                  <c:v>123.15993803119517</c:v>
                </c:pt>
                <c:pt idx="10">
                  <c:v>126.0655213528789</c:v>
                </c:pt>
                <c:pt idx="11">
                  <c:v>129.51466324314484</c:v>
                </c:pt>
              </c:numCache>
            </c:numRef>
          </c:val>
          <c:smooth val="0"/>
        </c:ser>
        <c:dLbls>
          <c:showLegendKey val="0"/>
          <c:showVal val="0"/>
          <c:showCatName val="0"/>
          <c:showSerName val="0"/>
          <c:showPercent val="0"/>
          <c:showBubbleSize val="0"/>
        </c:dLbls>
        <c:smooth val="0"/>
        <c:axId val="290803096"/>
        <c:axId val="290803488"/>
      </c:lineChart>
      <c:catAx>
        <c:axId val="290803096"/>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700"/>
            </a:pPr>
            <a:endParaRPr lang="lv-LV"/>
          </a:p>
        </c:txPr>
        <c:crossAx val="290803488"/>
        <c:crosses val="autoZero"/>
        <c:auto val="0"/>
        <c:lblAlgn val="ctr"/>
        <c:lblOffset val="0"/>
        <c:tickLblSkip val="1"/>
        <c:tickMarkSkip val="1"/>
        <c:noMultiLvlLbl val="0"/>
      </c:catAx>
      <c:valAx>
        <c:axId val="290803488"/>
        <c:scaling>
          <c:orientation val="minMax"/>
          <c:min val="90"/>
        </c:scaling>
        <c:delete val="0"/>
        <c:axPos val="l"/>
        <c:numFmt formatCode="0" sourceLinked="0"/>
        <c:majorTickMark val="out"/>
        <c:minorTickMark val="none"/>
        <c:tickLblPos val="nextTo"/>
        <c:spPr>
          <a:ln w="3159">
            <a:solidFill>
              <a:srgbClr val="000000"/>
            </a:solidFill>
            <a:prstDash val="solid"/>
          </a:ln>
        </c:spPr>
        <c:txPr>
          <a:bodyPr rot="0" vert="horz"/>
          <a:lstStyle/>
          <a:p>
            <a:pPr>
              <a:defRPr/>
            </a:pPr>
            <a:endParaRPr lang="lv-LV"/>
          </a:p>
        </c:txPr>
        <c:crossAx val="290803096"/>
        <c:crosses val="autoZero"/>
        <c:crossBetween val="between"/>
        <c:majorUnit val="10"/>
      </c:valAx>
      <c:spPr>
        <a:solidFill>
          <a:srgbClr val="FFFFFF"/>
        </a:solidFill>
        <a:ln w="24972">
          <a:noFill/>
        </a:ln>
      </c:spPr>
    </c:plotArea>
    <c:plotVisOnly val="1"/>
    <c:dispBlanksAs val="gap"/>
    <c:showDLblsOverMax val="0"/>
  </c:chart>
  <c:spPr>
    <a:noFill/>
    <a:ln>
      <a:noFill/>
    </a:ln>
  </c:spPr>
  <c:txPr>
    <a:bodyPr/>
    <a:lstStyle/>
    <a:p>
      <a:pPr>
        <a:defRPr sz="8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936391330046794E-2"/>
          <c:y val="4.6005165816941182E-2"/>
          <c:w val="0.85762258292899962"/>
          <c:h val="0.83127986337207604"/>
        </c:manualLayout>
      </c:layout>
      <c:barChart>
        <c:barDir val="col"/>
        <c:grouping val="clustered"/>
        <c:varyColors val="0"/>
        <c:ser>
          <c:idx val="0"/>
          <c:order val="0"/>
          <c:tx>
            <c:strRef>
              <c:f>Sheet1!$A$2</c:f>
              <c:strCache>
                <c:ptCount val="1"/>
                <c:pt idx="0">
                  <c:v>Tautsaimniecībā kopā</c:v>
                </c:pt>
              </c:strCache>
            </c:strRef>
          </c:tx>
          <c:spPr>
            <a:solidFill>
              <a:schemeClr val="accent5">
                <a:lumMod val="75000"/>
              </a:schemeClr>
            </a:solidFill>
            <a:ln>
              <a:solidFill>
                <a:sysClr val="windowText" lastClr="000000"/>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2007</c:v>
                </c:pt>
                <c:pt idx="1">
                  <c:v>2013</c:v>
                </c:pt>
                <c:pt idx="2">
                  <c:v>2014</c:v>
                </c:pt>
                <c:pt idx="3">
                  <c:v>2015</c:v>
                </c:pt>
              </c:strCache>
            </c:strRef>
          </c:cat>
          <c:val>
            <c:numRef>
              <c:f>Sheet1!$B$2:$F$2</c:f>
              <c:numCache>
                <c:formatCode>0.0</c:formatCode>
                <c:ptCount val="4"/>
                <c:pt idx="0">
                  <c:v>35.4</c:v>
                </c:pt>
                <c:pt idx="1">
                  <c:v>36</c:v>
                </c:pt>
                <c:pt idx="2" formatCode="General">
                  <c:v>38.299999999999997</c:v>
                </c:pt>
                <c:pt idx="3" formatCode="0">
                  <c:v>39.200000000000003</c:v>
                </c:pt>
              </c:numCache>
            </c:numRef>
          </c:val>
        </c:ser>
        <c:ser>
          <c:idx val="1"/>
          <c:order val="1"/>
          <c:tx>
            <c:strRef>
              <c:f>Sheet1!$A$3</c:f>
              <c:strCache>
                <c:ptCount val="1"/>
                <c:pt idx="0">
                  <c:v>Apstrādes rūpniecībā</c:v>
                </c:pt>
              </c:strCache>
            </c:strRef>
          </c:tx>
          <c:spPr>
            <a:ln>
              <a:solidFill>
                <a:sysClr val="windowText" lastClr="000000"/>
              </a:solidFill>
            </a:ln>
          </c:spPr>
          <c:invertIfNegative val="0"/>
          <c:dLbls>
            <c:numFmt formatCode="#,##0" sourceLinked="0"/>
            <c:spPr>
              <a:noFill/>
              <a:ln>
                <a:noFill/>
              </a:ln>
              <a:effectLst/>
            </c:spPr>
            <c:txPr>
              <a:bodyPr/>
              <a:lstStyle/>
              <a:p>
                <a:pPr>
                  <a:defRPr>
                    <a:solidFill>
                      <a:schemeClr val="bg1"/>
                    </a:solidFil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2007</c:v>
                </c:pt>
                <c:pt idx="1">
                  <c:v>2013</c:v>
                </c:pt>
                <c:pt idx="2">
                  <c:v>2014</c:v>
                </c:pt>
                <c:pt idx="3">
                  <c:v>2015</c:v>
                </c:pt>
              </c:strCache>
            </c:strRef>
          </c:cat>
          <c:val>
            <c:numRef>
              <c:f>Sheet1!$B$3:$F$3</c:f>
              <c:numCache>
                <c:formatCode>General</c:formatCode>
                <c:ptCount val="4"/>
                <c:pt idx="0">
                  <c:v>25.8</c:v>
                </c:pt>
                <c:pt idx="1">
                  <c:v>27</c:v>
                </c:pt>
                <c:pt idx="2">
                  <c:v>29.1</c:v>
                </c:pt>
                <c:pt idx="3" formatCode="0">
                  <c:v>29.8</c:v>
                </c:pt>
              </c:numCache>
            </c:numRef>
          </c:val>
        </c:ser>
        <c:dLbls>
          <c:showLegendKey val="0"/>
          <c:showVal val="0"/>
          <c:showCatName val="0"/>
          <c:showSerName val="0"/>
          <c:showPercent val="0"/>
          <c:showBubbleSize val="0"/>
        </c:dLbls>
        <c:gapWidth val="50"/>
        <c:overlap val="52"/>
        <c:axId val="319764024"/>
        <c:axId val="319764416"/>
      </c:barChart>
      <c:catAx>
        <c:axId val="319764024"/>
        <c:scaling>
          <c:orientation val="minMax"/>
        </c:scaling>
        <c:delete val="0"/>
        <c:axPos val="b"/>
        <c:numFmt formatCode="General" sourceLinked="0"/>
        <c:majorTickMark val="out"/>
        <c:minorTickMark val="none"/>
        <c:tickLblPos val="nextTo"/>
        <c:txPr>
          <a:bodyPr/>
          <a:lstStyle/>
          <a:p>
            <a:pPr>
              <a:defRPr sz="800"/>
            </a:pPr>
            <a:endParaRPr lang="lv-LV"/>
          </a:p>
        </c:txPr>
        <c:crossAx val="319764416"/>
        <c:crosses val="autoZero"/>
        <c:auto val="1"/>
        <c:lblAlgn val="ctr"/>
        <c:lblOffset val="100"/>
        <c:noMultiLvlLbl val="0"/>
      </c:catAx>
      <c:valAx>
        <c:axId val="319764416"/>
        <c:scaling>
          <c:orientation val="minMax"/>
          <c:max val="100"/>
        </c:scaling>
        <c:delete val="0"/>
        <c:axPos val="l"/>
        <c:numFmt formatCode="0" sourceLinked="0"/>
        <c:majorTickMark val="out"/>
        <c:minorTickMark val="none"/>
        <c:tickLblPos val="nextTo"/>
        <c:txPr>
          <a:bodyPr/>
          <a:lstStyle/>
          <a:p>
            <a:pPr>
              <a:defRPr sz="800"/>
            </a:pPr>
            <a:endParaRPr lang="lv-LV"/>
          </a:p>
        </c:txPr>
        <c:crossAx val="319764024"/>
        <c:crosses val="autoZero"/>
        <c:crossBetween val="between"/>
        <c:majorUnit val="20"/>
      </c:valAx>
      <c:spPr>
        <a:ln>
          <a:noFill/>
        </a:ln>
      </c:spPr>
    </c:plotArea>
    <c:legend>
      <c:legendPos val="r"/>
      <c:layout>
        <c:manualLayout>
          <c:xMode val="edge"/>
          <c:yMode val="edge"/>
          <c:x val="0.1972511805244323"/>
          <c:y val="4.9528317790409886E-2"/>
          <c:w val="0.42407295543560891"/>
          <c:h val="0.26879419951477324"/>
        </c:manualLayout>
      </c:layout>
      <c:overlay val="0"/>
    </c:legend>
    <c:plotVisOnly val="1"/>
    <c:dispBlanksAs val="gap"/>
    <c:showDLblsOverMax val="0"/>
  </c:chart>
  <c:spPr>
    <a:ln>
      <a:noFill/>
    </a:ln>
  </c:spPr>
  <c:txPr>
    <a:bodyPr/>
    <a:lstStyle/>
    <a:p>
      <a:pPr>
        <a:defRPr sz="900">
          <a:latin typeface="Arial Narrow" pitchFamily="34" charset="0"/>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1760804007692"/>
          <c:y val="0.14179096962383561"/>
          <c:w val="0.6048565175922983"/>
          <c:h val="0.68048025419093849"/>
        </c:manualLayout>
      </c:layout>
      <c:radarChart>
        <c:radarStyle val="marker"/>
        <c:varyColors val="0"/>
        <c:ser>
          <c:idx val="0"/>
          <c:order val="0"/>
          <c:tx>
            <c:strRef>
              <c:f>Sheet1!$B$1</c:f>
              <c:strCache>
                <c:ptCount val="1"/>
                <c:pt idx="0">
                  <c:v>Latvija</c:v>
                </c:pt>
              </c:strCache>
            </c:strRef>
          </c:tx>
          <c:spPr>
            <a:ln>
              <a:solidFill>
                <a:srgbClr val="C00000"/>
              </a:solidFill>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Tehnoloģiskā sagatavotība</c:v>
                </c:pt>
                <c:pt idx="9">
                  <c:v>Atvērtība un tirgus lielums</c:v>
                </c:pt>
                <c:pt idx="10">
                  <c:v>Uzņēmējdar-bības kvalitāte</c:v>
                </c:pt>
                <c:pt idx="11">
                  <c:v>Inovācijas potenciāls</c:v>
                </c:pt>
              </c:strCache>
            </c:strRef>
          </c:cat>
          <c:val>
            <c:numRef>
              <c:f>Sheet1!$B$2:$B$13</c:f>
              <c:numCache>
                <c:formatCode>0.00</c:formatCode>
                <c:ptCount val="12"/>
                <c:pt idx="0">
                  <c:v>4.1820245150329516</c:v>
                </c:pt>
                <c:pt idx="1">
                  <c:v>4.4706209368860206</c:v>
                </c:pt>
                <c:pt idx="2">
                  <c:v>5.5593374789915968</c:v>
                </c:pt>
                <c:pt idx="3">
                  <c:v>6.1822442110459725</c:v>
                </c:pt>
                <c:pt idx="4">
                  <c:v>5.0503101758377449</c:v>
                </c:pt>
                <c:pt idx="5">
                  <c:v>4.6396002981454005</c:v>
                </c:pt>
                <c:pt idx="6">
                  <c:v>4.7171362528131819</c:v>
                </c:pt>
                <c:pt idx="7">
                  <c:v>4.3949750128578939</c:v>
                </c:pt>
                <c:pt idx="8">
                  <c:v>5.2945569661545111</c:v>
                </c:pt>
                <c:pt idx="9">
                  <c:v>3.244095441034605</c:v>
                </c:pt>
                <c:pt idx="10">
                  <c:v>4.0627183067657455</c:v>
                </c:pt>
                <c:pt idx="11">
                  <c:v>3.3269690813867729</c:v>
                </c:pt>
              </c:numCache>
            </c:numRef>
          </c:val>
        </c:ser>
        <c:ser>
          <c:idx val="1"/>
          <c:order val="1"/>
          <c:tx>
            <c:strRef>
              <c:f>Sheet1!$C$1</c:f>
              <c:strCache>
                <c:ptCount val="1"/>
                <c:pt idx="0">
                  <c:v>Lietuva</c:v>
                </c:pt>
              </c:strCache>
            </c:strRef>
          </c:tx>
          <c:spPr>
            <a:ln w="19050">
              <a:solidFill>
                <a:schemeClr val="accent6">
                  <a:lumMod val="50000"/>
                </a:schemeClr>
              </a:solidFill>
              <a:prstDash val="sysDash"/>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Tehnoloģiskā sagatavotība</c:v>
                </c:pt>
                <c:pt idx="9">
                  <c:v>Atvērtība un tirgus lielums</c:v>
                </c:pt>
                <c:pt idx="10">
                  <c:v>Uzņēmējdar-bības kvalitāte</c:v>
                </c:pt>
                <c:pt idx="11">
                  <c:v>Inovācijas potenciāls</c:v>
                </c:pt>
              </c:strCache>
            </c:strRef>
          </c:cat>
          <c:val>
            <c:numRef>
              <c:f>Sheet1!$C$2:$C$13</c:f>
              <c:numCache>
                <c:formatCode>0.00</c:formatCode>
                <c:ptCount val="12"/>
                <c:pt idx="0">
                  <c:v>4.1154570658874174</c:v>
                </c:pt>
                <c:pt idx="1">
                  <c:v>4.6797771425398036</c:v>
                </c:pt>
                <c:pt idx="2">
                  <c:v>5.5620052130325819</c:v>
                </c:pt>
                <c:pt idx="3">
                  <c:v>6.189788436026987</c:v>
                </c:pt>
                <c:pt idx="4">
                  <c:v>5.3493853480521762</c:v>
                </c:pt>
                <c:pt idx="5">
                  <c:v>4.6378962219289237</c:v>
                </c:pt>
                <c:pt idx="6">
                  <c:v>4.3475151959657268</c:v>
                </c:pt>
                <c:pt idx="7">
                  <c:v>3.9923272838067199</c:v>
                </c:pt>
                <c:pt idx="8">
                  <c:v>5.6268733448981978</c:v>
                </c:pt>
                <c:pt idx="9">
                  <c:v>3.6119823779395719</c:v>
                </c:pt>
                <c:pt idx="10">
                  <c:v>4.3163023512118235</c:v>
                </c:pt>
                <c:pt idx="11">
                  <c:v>3.7282047394290987</c:v>
                </c:pt>
              </c:numCache>
            </c:numRef>
          </c:val>
        </c:ser>
        <c:ser>
          <c:idx val="2"/>
          <c:order val="2"/>
          <c:tx>
            <c:strRef>
              <c:f>Sheet1!$D$1</c:f>
              <c:strCache>
                <c:ptCount val="1"/>
                <c:pt idx="0">
                  <c:v>Igaunija</c:v>
                </c:pt>
              </c:strCache>
            </c:strRef>
          </c:tx>
          <c:spPr>
            <a:ln>
              <a:solidFill>
                <a:schemeClr val="accent1">
                  <a:lumMod val="50000"/>
                </a:schemeClr>
              </a:solidFill>
            </a:ln>
          </c:spPr>
          <c:marker>
            <c:symbol val="none"/>
          </c:marker>
          <c:cat>
            <c:strRef>
              <c:f>Sheet1!$A$2:$A$13</c:f>
              <c:strCache>
                <c:ptCount val="12"/>
                <c:pt idx="0">
                  <c:v>Institucionā-lais ietvars</c:v>
                </c:pt>
                <c:pt idx="1">
                  <c:v>Sabiedrisko tīklu infrastruktūra</c:v>
                </c:pt>
                <c:pt idx="2">
                  <c:v>Makroekono-miskā stabilitāte</c:v>
                </c:pt>
                <c:pt idx="3">
                  <c:v>Veselības stāvoklis un pamatizglītība</c:v>
                </c:pt>
                <c:pt idx="4">
                  <c:v>Augstākā izglītība un apmācība</c:v>
                </c:pt>
                <c:pt idx="5">
                  <c:v>Produktu tirgus efektivitāte</c:v>
                </c:pt>
                <c:pt idx="6">
                  <c:v>Darba tirgus efektivitāte</c:v>
                </c:pt>
                <c:pt idx="7">
                  <c:v>Finanšu tirgus attīstības līmenis</c:v>
                </c:pt>
                <c:pt idx="8">
                  <c:v>Tehnoloģiskā sagatavotība</c:v>
                </c:pt>
                <c:pt idx="9">
                  <c:v>Atvērtība un tirgus lielums</c:v>
                </c:pt>
                <c:pt idx="10">
                  <c:v>Uzņēmējdar-bības kvalitāte</c:v>
                </c:pt>
                <c:pt idx="11">
                  <c:v>Inovācijas potenciāls</c:v>
                </c:pt>
              </c:strCache>
            </c:strRef>
          </c:cat>
          <c:val>
            <c:numRef>
              <c:f>Sheet1!$D$2:$D$13</c:f>
              <c:numCache>
                <c:formatCode>0.00</c:formatCode>
                <c:ptCount val="12"/>
                <c:pt idx="0">
                  <c:v>5.0316157347537498</c:v>
                </c:pt>
                <c:pt idx="1">
                  <c:v>4.8740378380617981</c:v>
                </c:pt>
                <c:pt idx="2">
                  <c:v>6.152583661971831</c:v>
                </c:pt>
                <c:pt idx="3">
                  <c:v>6.3398381273473685</c:v>
                </c:pt>
                <c:pt idx="4">
                  <c:v>5.5044625614113905</c:v>
                </c:pt>
                <c:pt idx="5">
                  <c:v>4.9319152493167557</c:v>
                </c:pt>
                <c:pt idx="6">
                  <c:v>4.9960907396848313</c:v>
                </c:pt>
                <c:pt idx="7">
                  <c:v>4.6267292160544926</c:v>
                </c:pt>
                <c:pt idx="8">
                  <c:v>5.317863102689472</c:v>
                </c:pt>
                <c:pt idx="9">
                  <c:v>3.086713167772996</c:v>
                </c:pt>
                <c:pt idx="10">
                  <c:v>4.2633916327335841</c:v>
                </c:pt>
                <c:pt idx="11">
                  <c:v>4.0276210538796793</c:v>
                </c:pt>
              </c:numCache>
            </c:numRef>
          </c:val>
        </c:ser>
        <c:dLbls>
          <c:showLegendKey val="0"/>
          <c:showVal val="0"/>
          <c:showCatName val="0"/>
          <c:showSerName val="0"/>
          <c:showPercent val="0"/>
          <c:showBubbleSize val="0"/>
        </c:dLbls>
        <c:axId val="319765200"/>
        <c:axId val="319765592"/>
      </c:radarChart>
      <c:catAx>
        <c:axId val="319765200"/>
        <c:scaling>
          <c:orientation val="minMax"/>
        </c:scaling>
        <c:delete val="0"/>
        <c:axPos val="b"/>
        <c:majorGridlines/>
        <c:numFmt formatCode="General" sourceLinked="1"/>
        <c:majorTickMark val="out"/>
        <c:minorTickMark val="none"/>
        <c:tickLblPos val="nextTo"/>
        <c:txPr>
          <a:bodyPr/>
          <a:lstStyle/>
          <a:p>
            <a:pPr>
              <a:defRPr sz="800"/>
            </a:pPr>
            <a:endParaRPr lang="lv-LV"/>
          </a:p>
        </c:txPr>
        <c:crossAx val="319765592"/>
        <c:crosses val="autoZero"/>
        <c:auto val="1"/>
        <c:lblAlgn val="ctr"/>
        <c:lblOffset val="100"/>
        <c:noMultiLvlLbl val="0"/>
      </c:catAx>
      <c:valAx>
        <c:axId val="319765592"/>
        <c:scaling>
          <c:orientation val="minMax"/>
          <c:max val="6.5"/>
          <c:min val="2"/>
        </c:scaling>
        <c:delete val="0"/>
        <c:axPos val="l"/>
        <c:majorGridlines/>
        <c:numFmt formatCode="0" sourceLinked="0"/>
        <c:majorTickMark val="cross"/>
        <c:minorTickMark val="none"/>
        <c:tickLblPos val="nextTo"/>
        <c:txPr>
          <a:bodyPr/>
          <a:lstStyle/>
          <a:p>
            <a:pPr>
              <a:defRPr sz="800"/>
            </a:pPr>
            <a:endParaRPr lang="lv-LV"/>
          </a:p>
        </c:txPr>
        <c:crossAx val="319765200"/>
        <c:crosses val="autoZero"/>
        <c:crossBetween val="between"/>
        <c:majorUnit val="1"/>
      </c:valAx>
      <c:spPr>
        <a:solidFill>
          <a:schemeClr val="bg1"/>
        </a:solidFill>
      </c:spPr>
    </c:plotArea>
    <c:legend>
      <c:legendPos val="r"/>
      <c:layout>
        <c:manualLayout>
          <c:xMode val="edge"/>
          <c:yMode val="edge"/>
          <c:x val="4.0091630881906197E-2"/>
          <c:y val="0.9074499046401554"/>
          <c:w val="0.94106229422052168"/>
          <c:h val="9.0635870393468515E-2"/>
        </c:manualLayout>
      </c:layout>
      <c:overlay val="0"/>
    </c:legend>
    <c:plotVisOnly val="1"/>
    <c:dispBlanksAs val="gap"/>
    <c:showDLblsOverMax val="0"/>
  </c:chart>
  <c:spPr>
    <a:ln>
      <a:noFill/>
    </a:ln>
  </c:spPr>
  <c:txPr>
    <a:bodyPr/>
    <a:lstStyle/>
    <a:p>
      <a:pPr>
        <a:defRPr sz="1000">
          <a:latin typeface="Arial Narrow" pitchFamily="34" charset="0"/>
          <a:cs typeface="Times New Roman" panose="02020603050405020304" pitchFamily="18" charset="0"/>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923112647620794E-2"/>
          <c:y val="2.9765740740740742E-2"/>
          <c:w val="0.90466770249036599"/>
          <c:h val="0.88912500000000005"/>
        </c:manualLayout>
      </c:layout>
      <c:barChart>
        <c:barDir val="col"/>
        <c:grouping val="stacked"/>
        <c:varyColors val="0"/>
        <c:ser>
          <c:idx val="1"/>
          <c:order val="0"/>
          <c:tx>
            <c:strRef>
              <c:f>Sheet1!$A$2</c:f>
              <c:strCache>
                <c:ptCount val="1"/>
                <c:pt idx="0">
                  <c:v>Igaunija</c:v>
                </c:pt>
              </c:strCache>
            </c:strRef>
          </c:tx>
          <c:spPr>
            <a:solidFill>
              <a:srgbClr val="4F81BD">
                <a:lumMod val="75000"/>
              </a:srgbClr>
            </a:solidFill>
            <a:ln w="3175" cap="sq">
              <a:noFill/>
              <a:prstDash val="solid"/>
            </a:ln>
            <a:effectLst/>
          </c:spPr>
          <c:invertIfNegative val="0"/>
          <c:dPt>
            <c:idx val="0"/>
            <c:invertIfNegative val="0"/>
            <c:bubble3D val="0"/>
            <c:spPr>
              <a:solidFill>
                <a:srgbClr val="4F81BD">
                  <a:lumMod val="75000"/>
                </a:srgbClr>
              </a:solidFill>
              <a:ln w="3175" cap="flat">
                <a:noFill/>
                <a:prstDash val="solid"/>
              </a:ln>
              <a:effectLst/>
            </c:spPr>
          </c:dPt>
          <c:cat>
            <c:strRef>
              <c:f>Sheet1!$B$1:$J$1</c:f>
              <c:strCache>
                <c:ptCount val="9"/>
                <c:pt idx="0">
                  <c:v>2007</c:v>
                </c:pt>
                <c:pt idx="1">
                  <c:v>2008</c:v>
                </c:pt>
                <c:pt idx="2">
                  <c:v>2009</c:v>
                </c:pt>
                <c:pt idx="3">
                  <c:v>2010</c:v>
                </c:pt>
                <c:pt idx="4">
                  <c:v>2011</c:v>
                </c:pt>
                <c:pt idx="5">
                  <c:v>2012</c:v>
                </c:pt>
                <c:pt idx="6">
                  <c:v>2013</c:v>
                </c:pt>
                <c:pt idx="7">
                  <c:v>2014</c:v>
                </c:pt>
                <c:pt idx="8">
                  <c:v>2015</c:v>
                </c:pt>
              </c:strCache>
            </c:strRef>
          </c:cat>
          <c:val>
            <c:numRef>
              <c:f>Sheet1!$B$2:$J$2</c:f>
              <c:numCache>
                <c:formatCode>0.00</c:formatCode>
                <c:ptCount val="9"/>
                <c:pt idx="0">
                  <c:v>1.6887000000000001</c:v>
                </c:pt>
                <c:pt idx="1">
                  <c:v>1.2490999999999999</c:v>
                </c:pt>
                <c:pt idx="2">
                  <c:v>1.3240999999999998</c:v>
                </c:pt>
                <c:pt idx="3">
                  <c:v>1.139</c:v>
                </c:pt>
                <c:pt idx="4">
                  <c:v>0.72270000000000001</c:v>
                </c:pt>
                <c:pt idx="5">
                  <c:v>1.218</c:v>
                </c:pt>
                <c:pt idx="6">
                  <c:v>0.41120000000000001</c:v>
                </c:pt>
                <c:pt idx="7">
                  <c:v>0.38219999999999998</c:v>
                </c:pt>
                <c:pt idx="8">
                  <c:v>0.18730000000000002</c:v>
                </c:pt>
              </c:numCache>
            </c:numRef>
          </c:val>
        </c:ser>
        <c:ser>
          <c:idx val="0"/>
          <c:order val="1"/>
          <c:tx>
            <c:strRef>
              <c:f>Sheet1!$A$3</c:f>
              <c:strCache>
                <c:ptCount val="1"/>
                <c:pt idx="0">
                  <c:v>Latvija</c:v>
                </c:pt>
              </c:strCache>
            </c:strRef>
          </c:tx>
          <c:spPr>
            <a:solidFill>
              <a:srgbClr val="C0504D">
                <a:lumMod val="75000"/>
              </a:srgbClr>
            </a:solidFill>
            <a:ln w="3175" cap="sq" cmpd="sng">
              <a:noFill/>
            </a:ln>
          </c:spPr>
          <c:invertIfNegative val="0"/>
          <c:cat>
            <c:strRef>
              <c:f>Sheet1!$B$1:$J$1</c:f>
              <c:strCache>
                <c:ptCount val="9"/>
                <c:pt idx="0">
                  <c:v>2007</c:v>
                </c:pt>
                <c:pt idx="1">
                  <c:v>2008</c:v>
                </c:pt>
                <c:pt idx="2">
                  <c:v>2009</c:v>
                </c:pt>
                <c:pt idx="3">
                  <c:v>2010</c:v>
                </c:pt>
                <c:pt idx="4">
                  <c:v>2011</c:v>
                </c:pt>
                <c:pt idx="5">
                  <c:v>2012</c:v>
                </c:pt>
                <c:pt idx="6">
                  <c:v>2013</c:v>
                </c:pt>
                <c:pt idx="7">
                  <c:v>2014</c:v>
                </c:pt>
                <c:pt idx="8">
                  <c:v>2015</c:v>
                </c:pt>
              </c:strCache>
            </c:strRef>
          </c:cat>
          <c:val>
            <c:numRef>
              <c:f>Sheet1!$B$3:$J$3</c:f>
              <c:numCache>
                <c:formatCode>0.00</c:formatCode>
                <c:ptCount val="9"/>
                <c:pt idx="0">
                  <c:v>1.6977599999999997</c:v>
                </c:pt>
                <c:pt idx="1">
                  <c:v>0.86296000000000006</c:v>
                </c:pt>
                <c:pt idx="2">
                  <c:v>6.7580000000000098E-2</c:v>
                </c:pt>
                <c:pt idx="3">
                  <c:v>0.28645999999999999</c:v>
                </c:pt>
                <c:pt idx="4">
                  <c:v>1.0453600000000001</c:v>
                </c:pt>
                <c:pt idx="5">
                  <c:v>0.86319000000000001</c:v>
                </c:pt>
                <c:pt idx="6">
                  <c:v>0.68019000000000007</c:v>
                </c:pt>
                <c:pt idx="7">
                  <c:v>0.44862000000000002</c:v>
                </c:pt>
                <c:pt idx="8">
                  <c:v>0.57792999999999994</c:v>
                </c:pt>
              </c:numCache>
            </c:numRef>
          </c:val>
        </c:ser>
        <c:ser>
          <c:idx val="2"/>
          <c:order val="2"/>
          <c:tx>
            <c:strRef>
              <c:f>Sheet1!$A$4</c:f>
              <c:strCache>
                <c:ptCount val="1"/>
                <c:pt idx="0">
                  <c:v>Lietuva</c:v>
                </c:pt>
              </c:strCache>
            </c:strRef>
          </c:tx>
          <c:spPr>
            <a:solidFill>
              <a:schemeClr val="accent3">
                <a:lumMod val="75000"/>
              </a:schemeClr>
            </a:solidFill>
            <a:ln w="3175" cmpd="sng">
              <a:noFill/>
              <a:prstDash val="solid"/>
            </a:ln>
          </c:spPr>
          <c:invertIfNegative val="0"/>
          <c:cat>
            <c:strRef>
              <c:f>Sheet1!$B$1:$J$1</c:f>
              <c:strCache>
                <c:ptCount val="9"/>
                <c:pt idx="0">
                  <c:v>2007</c:v>
                </c:pt>
                <c:pt idx="1">
                  <c:v>2008</c:v>
                </c:pt>
                <c:pt idx="2">
                  <c:v>2009</c:v>
                </c:pt>
                <c:pt idx="3">
                  <c:v>2010</c:v>
                </c:pt>
                <c:pt idx="4">
                  <c:v>2011</c:v>
                </c:pt>
                <c:pt idx="5">
                  <c:v>2012</c:v>
                </c:pt>
                <c:pt idx="6">
                  <c:v>2013</c:v>
                </c:pt>
                <c:pt idx="7">
                  <c:v>2014</c:v>
                </c:pt>
                <c:pt idx="8">
                  <c:v>2015</c:v>
                </c:pt>
              </c:strCache>
            </c:strRef>
          </c:cat>
          <c:val>
            <c:numRef>
              <c:f>Sheet1!$B$4:$J$4</c:f>
              <c:numCache>
                <c:formatCode>0.00</c:formatCode>
                <c:ptCount val="9"/>
                <c:pt idx="0">
                  <c:v>1.4728200000000002</c:v>
                </c:pt>
                <c:pt idx="1">
                  <c:v>1.3410899999999999</c:v>
                </c:pt>
                <c:pt idx="2">
                  <c:v>-9.8699999999999899E-3</c:v>
                </c:pt>
                <c:pt idx="3">
                  <c:v>0.60358000000000001</c:v>
                </c:pt>
                <c:pt idx="4">
                  <c:v>1.0404899999999999</c:v>
                </c:pt>
                <c:pt idx="5">
                  <c:v>0.54479</c:v>
                </c:pt>
                <c:pt idx="6">
                  <c:v>0.35327999999999998</c:v>
                </c:pt>
                <c:pt idx="7">
                  <c:v>-0.11812000000000002</c:v>
                </c:pt>
                <c:pt idx="8">
                  <c:v>0.77546999999999999</c:v>
                </c:pt>
              </c:numCache>
            </c:numRef>
          </c:val>
        </c:ser>
        <c:dLbls>
          <c:showLegendKey val="0"/>
          <c:showVal val="0"/>
          <c:showCatName val="0"/>
          <c:showSerName val="0"/>
          <c:showPercent val="0"/>
          <c:showBubbleSize val="0"/>
        </c:dLbls>
        <c:gapWidth val="40"/>
        <c:overlap val="100"/>
        <c:axId val="319766376"/>
        <c:axId val="319766768"/>
      </c:barChart>
      <c:catAx>
        <c:axId val="319766376"/>
        <c:scaling>
          <c:orientation val="minMax"/>
        </c:scaling>
        <c:delete val="0"/>
        <c:axPos val="b"/>
        <c:numFmt formatCode="General" sourceLinked="0"/>
        <c:majorTickMark val="out"/>
        <c:minorTickMark val="none"/>
        <c:tickLblPos val="low"/>
        <c:spPr>
          <a:ln w="3175">
            <a:solidFill>
              <a:schemeClr val="bg1">
                <a:lumMod val="50000"/>
              </a:schemeClr>
            </a:solidFill>
          </a:ln>
        </c:spPr>
        <c:crossAx val="319766768"/>
        <c:crosses val="autoZero"/>
        <c:auto val="1"/>
        <c:lblAlgn val="ctr"/>
        <c:lblOffset val="0"/>
        <c:noMultiLvlLbl val="0"/>
      </c:catAx>
      <c:valAx>
        <c:axId val="319766768"/>
        <c:scaling>
          <c:orientation val="minMax"/>
          <c:max val="6"/>
          <c:min val="0"/>
        </c:scaling>
        <c:delete val="0"/>
        <c:axPos val="l"/>
        <c:numFmt formatCode="0.0" sourceLinked="0"/>
        <c:majorTickMark val="out"/>
        <c:minorTickMark val="none"/>
        <c:tickLblPos val="nextTo"/>
        <c:spPr>
          <a:ln w="3175">
            <a:solidFill>
              <a:schemeClr val="bg1">
                <a:lumMod val="50000"/>
              </a:schemeClr>
            </a:solidFill>
          </a:ln>
        </c:spPr>
        <c:crossAx val="319766376"/>
        <c:crosses val="autoZero"/>
        <c:crossBetween val="between"/>
        <c:majorUnit val="1.5"/>
      </c:valAx>
      <c:spPr>
        <a:noFill/>
      </c:spPr>
    </c:plotArea>
    <c:legend>
      <c:legendPos val="l"/>
      <c:layout>
        <c:manualLayout>
          <c:xMode val="edge"/>
          <c:yMode val="edge"/>
          <c:x val="0.6703678302615701"/>
          <c:y val="0.10970789045371095"/>
          <c:w val="0.1921405689779406"/>
          <c:h val="0.27120326175444287"/>
        </c:manualLayout>
      </c:layout>
      <c:overlay val="1"/>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txPr>
    <a:bodyPr/>
    <a:lstStyle/>
    <a:p>
      <a:pPr>
        <a:defRPr sz="800">
          <a:latin typeface="Arial Narrow" panose="020B0606020202030204" pitchFamily="34" charset="0"/>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15857011973367"/>
          <c:y val="2.9765740740740742E-2"/>
          <c:w val="0.85750949367093099"/>
          <c:h val="0.8771394240230409"/>
        </c:manualLayout>
      </c:layout>
      <c:barChart>
        <c:barDir val="col"/>
        <c:grouping val="stacked"/>
        <c:varyColors val="0"/>
        <c:ser>
          <c:idx val="0"/>
          <c:order val="0"/>
          <c:tx>
            <c:strRef>
              <c:f>Sheet1!$A$3</c:f>
              <c:strCache>
                <c:ptCount val="1"/>
                <c:pt idx="0">
                  <c:v>Pašu kapitāls</c:v>
                </c:pt>
              </c:strCache>
            </c:strRef>
          </c:tx>
          <c:spPr>
            <a:solidFill>
              <a:schemeClr val="accent6"/>
            </a:solidFill>
            <a:ln>
              <a:noFill/>
            </a:ln>
            <a:effectLst/>
          </c:spPr>
          <c:invertIfNegative val="0"/>
          <c:cat>
            <c:strRef>
              <c:f>Sheet1!$B$1:$J$2</c:f>
              <c:strCache>
                <c:ptCount val="9"/>
                <c:pt idx="0">
                  <c:v>2007</c:v>
                </c:pt>
                <c:pt idx="1">
                  <c:v>2008</c:v>
                </c:pt>
                <c:pt idx="2">
                  <c:v>2009</c:v>
                </c:pt>
                <c:pt idx="3">
                  <c:v>2010</c:v>
                </c:pt>
                <c:pt idx="4">
                  <c:v>2011</c:v>
                </c:pt>
                <c:pt idx="5">
                  <c:v>2012</c:v>
                </c:pt>
                <c:pt idx="6">
                  <c:v>2013</c:v>
                </c:pt>
                <c:pt idx="7">
                  <c:v>2014</c:v>
                </c:pt>
                <c:pt idx="8">
                  <c:v>2015</c:v>
                </c:pt>
              </c:strCache>
            </c:strRef>
          </c:cat>
          <c:val>
            <c:numRef>
              <c:f>Sheet1!$B$3:$J$3</c:f>
              <c:numCache>
                <c:formatCode>0</c:formatCode>
                <c:ptCount val="9"/>
                <c:pt idx="0">
                  <c:v>943.5</c:v>
                </c:pt>
                <c:pt idx="1">
                  <c:v>378.09999999999997</c:v>
                </c:pt>
                <c:pt idx="2" formatCode="0.0">
                  <c:v>1098.29</c:v>
                </c:pt>
                <c:pt idx="3" formatCode="0.0">
                  <c:v>490.44</c:v>
                </c:pt>
                <c:pt idx="4" formatCode="0.0">
                  <c:v>665.40000000000009</c:v>
                </c:pt>
                <c:pt idx="5" formatCode="0.0">
                  <c:v>263.63</c:v>
                </c:pt>
                <c:pt idx="6" formatCode="0.0">
                  <c:v>549.74</c:v>
                </c:pt>
                <c:pt idx="7" formatCode="0.0">
                  <c:v>287.07</c:v>
                </c:pt>
                <c:pt idx="8" formatCode="0.00">
                  <c:v>121.37</c:v>
                </c:pt>
              </c:numCache>
            </c:numRef>
          </c:val>
        </c:ser>
        <c:ser>
          <c:idx val="1"/>
          <c:order val="1"/>
          <c:tx>
            <c:strRef>
              <c:f>Sheet1!$A$4</c:f>
              <c:strCache>
                <c:ptCount val="1"/>
                <c:pt idx="0">
                  <c:v>Reinvestētā peļņa</c:v>
                </c:pt>
              </c:strCache>
            </c:strRef>
          </c:tx>
          <c:spPr>
            <a:solidFill>
              <a:schemeClr val="accent5"/>
            </a:solidFill>
            <a:ln>
              <a:noFill/>
            </a:ln>
            <a:effectLst/>
          </c:spPr>
          <c:invertIfNegative val="0"/>
          <c:cat>
            <c:strRef>
              <c:f>Sheet1!$B$1:$J$2</c:f>
              <c:strCache>
                <c:ptCount val="9"/>
                <c:pt idx="0">
                  <c:v>2007</c:v>
                </c:pt>
                <c:pt idx="1">
                  <c:v>2008</c:v>
                </c:pt>
                <c:pt idx="2">
                  <c:v>2009</c:v>
                </c:pt>
                <c:pt idx="3">
                  <c:v>2010</c:v>
                </c:pt>
                <c:pt idx="4">
                  <c:v>2011</c:v>
                </c:pt>
                <c:pt idx="5">
                  <c:v>2012</c:v>
                </c:pt>
                <c:pt idx="6">
                  <c:v>2013</c:v>
                </c:pt>
                <c:pt idx="7">
                  <c:v>2014</c:v>
                </c:pt>
                <c:pt idx="8">
                  <c:v>2015</c:v>
                </c:pt>
              </c:strCache>
            </c:strRef>
          </c:cat>
          <c:val>
            <c:numRef>
              <c:f>Sheet1!$B$4:$J$4</c:f>
              <c:numCache>
                <c:formatCode>0</c:formatCode>
                <c:ptCount val="9"/>
                <c:pt idx="0">
                  <c:v>481.19999999999993</c:v>
                </c:pt>
                <c:pt idx="1">
                  <c:v>-24.600000000000023</c:v>
                </c:pt>
                <c:pt idx="2" formatCode="0.0">
                  <c:v>-1557.33</c:v>
                </c:pt>
                <c:pt idx="3" formatCode="0.0">
                  <c:v>-275.45</c:v>
                </c:pt>
                <c:pt idx="4" formatCode="0.0">
                  <c:v>141.44000000000003</c:v>
                </c:pt>
                <c:pt idx="5" formatCode="0.0">
                  <c:v>357.28999999999996</c:v>
                </c:pt>
                <c:pt idx="6" formatCode="0.0">
                  <c:v>231.64</c:v>
                </c:pt>
                <c:pt idx="7" formatCode="0.0">
                  <c:v>251.65</c:v>
                </c:pt>
                <c:pt idx="8" formatCode="0.00">
                  <c:v>457.01999999999953</c:v>
                </c:pt>
              </c:numCache>
            </c:numRef>
          </c:val>
        </c:ser>
        <c:ser>
          <c:idx val="2"/>
          <c:order val="2"/>
          <c:tx>
            <c:strRef>
              <c:f>Sheet1!$A$5</c:f>
              <c:strCache>
                <c:ptCount val="1"/>
                <c:pt idx="0">
                  <c:v>Parāda instrumenti</c:v>
                </c:pt>
              </c:strCache>
            </c:strRef>
          </c:tx>
          <c:spPr>
            <a:solidFill>
              <a:schemeClr val="accent4"/>
            </a:solidFill>
            <a:ln>
              <a:noFill/>
            </a:ln>
            <a:effectLst/>
          </c:spPr>
          <c:invertIfNegative val="0"/>
          <c:cat>
            <c:strRef>
              <c:f>Sheet1!$B$1:$J$2</c:f>
              <c:strCache>
                <c:ptCount val="9"/>
                <c:pt idx="0">
                  <c:v>2007</c:v>
                </c:pt>
                <c:pt idx="1">
                  <c:v>2008</c:v>
                </c:pt>
                <c:pt idx="2">
                  <c:v>2009</c:v>
                </c:pt>
                <c:pt idx="3">
                  <c:v>2010</c:v>
                </c:pt>
                <c:pt idx="4">
                  <c:v>2011</c:v>
                </c:pt>
                <c:pt idx="5">
                  <c:v>2012</c:v>
                </c:pt>
                <c:pt idx="6">
                  <c:v>2013</c:v>
                </c:pt>
                <c:pt idx="7">
                  <c:v>2014</c:v>
                </c:pt>
                <c:pt idx="8">
                  <c:v>2015</c:v>
                </c:pt>
              </c:strCache>
            </c:strRef>
          </c:cat>
          <c:val>
            <c:numRef>
              <c:f>Sheet1!$B$5:$J$5</c:f>
              <c:numCache>
                <c:formatCode>0</c:formatCode>
                <c:ptCount val="9"/>
                <c:pt idx="0">
                  <c:v>273.2</c:v>
                </c:pt>
                <c:pt idx="1">
                  <c:v>509.6</c:v>
                </c:pt>
                <c:pt idx="2" formatCode="0.0">
                  <c:v>526.61</c:v>
                </c:pt>
                <c:pt idx="3" formatCode="0.0">
                  <c:v>71.47</c:v>
                </c:pt>
                <c:pt idx="4" formatCode="0.0">
                  <c:v>238.51999999999995</c:v>
                </c:pt>
                <c:pt idx="5" formatCode="0.0">
                  <c:v>242.27</c:v>
                </c:pt>
                <c:pt idx="6" formatCode="0.0">
                  <c:v>-101.21000000000001</c:v>
                </c:pt>
                <c:pt idx="7" formatCode="0.0">
                  <c:v>-90.110000000000014</c:v>
                </c:pt>
                <c:pt idx="8" formatCode="0.00">
                  <c:v>-0.47000000000002551</c:v>
                </c:pt>
              </c:numCache>
            </c:numRef>
          </c:val>
        </c:ser>
        <c:dLbls>
          <c:showLegendKey val="0"/>
          <c:showVal val="0"/>
          <c:showCatName val="0"/>
          <c:showSerName val="0"/>
          <c:showPercent val="0"/>
          <c:showBubbleSize val="0"/>
        </c:dLbls>
        <c:gapWidth val="40"/>
        <c:overlap val="100"/>
        <c:axId val="319767944"/>
        <c:axId val="319768336"/>
      </c:barChart>
      <c:lineChart>
        <c:grouping val="standard"/>
        <c:varyColors val="0"/>
        <c:ser>
          <c:idx val="3"/>
          <c:order val="3"/>
          <c:tx>
            <c:strRef>
              <c:f>Sheet1!$A$6</c:f>
              <c:strCache>
                <c:ptCount val="1"/>
                <c:pt idx="0">
                  <c:v>ĀTI Latvijā</c:v>
                </c:pt>
              </c:strCache>
            </c:strRef>
          </c:tx>
          <c:spPr>
            <a:ln w="28575" cap="rnd" cmpd="sng" algn="ctr">
              <a:solidFill>
                <a:schemeClr val="accent6">
                  <a:lumMod val="60000"/>
                  <a:shade val="95000"/>
                  <a:satMod val="105000"/>
                </a:schemeClr>
              </a:solidFill>
              <a:prstDash val="solid"/>
              <a:round/>
            </a:ln>
            <a:effectLst/>
          </c:spPr>
          <c:marker>
            <c:symbol val="none"/>
          </c:marker>
          <c:cat>
            <c:strRef>
              <c:f>Sheet1!$B$1:$J$2</c:f>
              <c:strCache>
                <c:ptCount val="9"/>
                <c:pt idx="0">
                  <c:v>2007</c:v>
                </c:pt>
                <c:pt idx="1">
                  <c:v>2008</c:v>
                </c:pt>
                <c:pt idx="2">
                  <c:v>2009</c:v>
                </c:pt>
                <c:pt idx="3">
                  <c:v>2010</c:v>
                </c:pt>
                <c:pt idx="4">
                  <c:v>2011</c:v>
                </c:pt>
                <c:pt idx="5">
                  <c:v>2012</c:v>
                </c:pt>
                <c:pt idx="6">
                  <c:v>2013</c:v>
                </c:pt>
                <c:pt idx="7">
                  <c:v>2014</c:v>
                </c:pt>
                <c:pt idx="8">
                  <c:v>2015</c:v>
                </c:pt>
              </c:strCache>
            </c:strRef>
          </c:cat>
          <c:val>
            <c:numRef>
              <c:f>Sheet1!$B$6:$J$6</c:f>
              <c:numCache>
                <c:formatCode>General</c:formatCode>
                <c:ptCount val="9"/>
                <c:pt idx="0">
                  <c:v>1697.8999999999999</c:v>
                </c:pt>
                <c:pt idx="1">
                  <c:v>863.09999999999991</c:v>
                </c:pt>
                <c:pt idx="2" formatCode="0">
                  <c:v>67.57000000000005</c:v>
                </c:pt>
                <c:pt idx="3" formatCode="0">
                  <c:v>286.46000000000004</c:v>
                </c:pt>
                <c:pt idx="4" formatCode="0">
                  <c:v>1045.3600000000001</c:v>
                </c:pt>
                <c:pt idx="5" formatCode="0">
                  <c:v>863.18999999999994</c:v>
                </c:pt>
                <c:pt idx="6" formatCode="0">
                  <c:v>680.17</c:v>
                </c:pt>
                <c:pt idx="7" formatCode="0">
                  <c:v>448.61</c:v>
                </c:pt>
                <c:pt idx="8" formatCode="0.00">
                  <c:v>577.92999999999995</c:v>
                </c:pt>
              </c:numCache>
            </c:numRef>
          </c:val>
          <c:smooth val="0"/>
        </c:ser>
        <c:dLbls>
          <c:showLegendKey val="0"/>
          <c:showVal val="0"/>
          <c:showCatName val="0"/>
          <c:showSerName val="0"/>
          <c:showPercent val="0"/>
          <c:showBubbleSize val="0"/>
        </c:dLbls>
        <c:marker val="1"/>
        <c:smooth val="0"/>
        <c:axId val="319767944"/>
        <c:axId val="319768336"/>
      </c:lineChart>
      <c:catAx>
        <c:axId val="319767944"/>
        <c:scaling>
          <c:orientation val="minMax"/>
        </c:scaling>
        <c:delete val="0"/>
        <c:axPos val="b"/>
        <c:numFmt formatCode="General" sourceLinked="1"/>
        <c:majorTickMark val="out"/>
        <c:minorTickMark val="none"/>
        <c:tickLblPos val="low"/>
        <c:spPr>
          <a:noFill/>
          <a:ln w="3111" cap="flat" cmpd="sng" algn="ctr">
            <a:solidFill>
              <a:sysClr val="window" lastClr="FFFFFF">
                <a:lumMod val="50000"/>
              </a:sysClr>
            </a:solidFill>
            <a:prstDash val="solid"/>
            <a:round/>
          </a:ln>
          <a:effectLst/>
        </c:spPr>
        <c:txPr>
          <a:bodyPr rot="0"/>
          <a:lstStyle/>
          <a:p>
            <a:pPr>
              <a:defRPr/>
            </a:pPr>
            <a:endParaRPr lang="lv-LV"/>
          </a:p>
        </c:txPr>
        <c:crossAx val="319768336"/>
        <c:crosses val="autoZero"/>
        <c:auto val="1"/>
        <c:lblAlgn val="ctr"/>
        <c:lblOffset val="0"/>
        <c:tickLblSkip val="1"/>
        <c:tickMarkSkip val="1"/>
        <c:noMultiLvlLbl val="1"/>
      </c:catAx>
      <c:valAx>
        <c:axId val="319768336"/>
        <c:scaling>
          <c:orientation val="minMax"/>
          <c:max val="1800"/>
          <c:min val="-1800"/>
        </c:scaling>
        <c:delete val="0"/>
        <c:axPos val="l"/>
        <c:numFmt formatCode="0" sourceLinked="0"/>
        <c:majorTickMark val="out"/>
        <c:minorTickMark val="none"/>
        <c:tickLblPos val="nextTo"/>
        <c:spPr>
          <a:noFill/>
          <a:ln w="3111" cap="flat" cmpd="sng" algn="ctr">
            <a:solidFill>
              <a:sysClr val="window" lastClr="FFFFFF">
                <a:lumMod val="50000"/>
              </a:sysClr>
            </a:solidFill>
            <a:prstDash val="solid"/>
            <a:round/>
          </a:ln>
          <a:effectLst/>
        </c:spPr>
        <c:txPr>
          <a:bodyPr rot="0"/>
          <a:lstStyle/>
          <a:p>
            <a:pPr>
              <a:defRPr/>
            </a:pPr>
            <a:endParaRPr lang="lv-LV"/>
          </a:p>
        </c:txPr>
        <c:crossAx val="319767944"/>
        <c:crosses val="autoZero"/>
        <c:crossBetween val="between"/>
        <c:majorUnit val="600"/>
        <c:minorUnit val="100"/>
      </c:valAx>
      <c:spPr>
        <a:noFill/>
        <a:ln w="3111">
          <a:noFill/>
          <a:prstDash val="solid"/>
        </a:ln>
        <a:effectLst/>
      </c:spPr>
    </c:plotArea>
    <c:legend>
      <c:legendPos val="r"/>
      <c:layout>
        <c:manualLayout>
          <c:xMode val="edge"/>
          <c:yMode val="edge"/>
          <c:x val="0.50770090894095787"/>
          <c:y val="0.54864178437560052"/>
          <c:w val="0.46583823108109279"/>
          <c:h val="0.31076696593737591"/>
        </c:manualLayout>
      </c:layout>
      <c:overlay val="0"/>
      <c:spPr>
        <a:noFill/>
        <a:ln w="3111">
          <a:noFill/>
          <a:prstDash val="solid"/>
        </a:ln>
        <a:effectLst/>
      </c:spPr>
      <c:txPr>
        <a:bodyPr rot="0" vert="horz"/>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44839977418417E-2"/>
          <c:y val="7.0362265371514063E-2"/>
          <c:w val="0.89106955087514461"/>
          <c:h val="0.83545948415559568"/>
        </c:manualLayout>
      </c:layout>
      <c:barChart>
        <c:barDir val="col"/>
        <c:grouping val="stacked"/>
        <c:varyColors val="0"/>
        <c:ser>
          <c:idx val="1"/>
          <c:order val="0"/>
          <c:tx>
            <c:strRef>
              <c:f>Sheet1!$B$1</c:f>
              <c:strCache>
                <c:ptCount val="1"/>
                <c:pt idx="0">
                  <c:v>ES-15</c:v>
                </c:pt>
              </c:strCache>
            </c:strRef>
          </c:tx>
          <c:spPr>
            <a:ln w="3175">
              <a:noFill/>
            </a:ln>
          </c:spPr>
          <c:invertIfNegative val="0"/>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0</c:formatCode>
                <c:ptCount val="6"/>
                <c:pt idx="0">
                  <c:v>2010</c:v>
                </c:pt>
                <c:pt idx="1">
                  <c:v>2011</c:v>
                </c:pt>
                <c:pt idx="2">
                  <c:v>2012</c:v>
                </c:pt>
                <c:pt idx="3">
                  <c:v>2013</c:v>
                </c:pt>
                <c:pt idx="4">
                  <c:v>2014</c:v>
                </c:pt>
                <c:pt idx="5">
                  <c:v>2015</c:v>
                </c:pt>
              </c:numCache>
            </c:numRef>
          </c:cat>
          <c:val>
            <c:numRef>
              <c:f>Sheet1!$B$2:$B$9</c:f>
              <c:numCache>
                <c:formatCode>0.0</c:formatCode>
                <c:ptCount val="6"/>
                <c:pt idx="0">
                  <c:v>4.0682</c:v>
                </c:pt>
                <c:pt idx="1">
                  <c:v>5.2812000000000001</c:v>
                </c:pt>
                <c:pt idx="2">
                  <c:v>5.6512999999999991</c:v>
                </c:pt>
                <c:pt idx="3">
                  <c:v>5.8673999999999999</c:v>
                </c:pt>
                <c:pt idx="4">
                  <c:v>5.8370600000000019</c:v>
                </c:pt>
                <c:pt idx="5">
                  <c:v>6.1239999999999997</c:v>
                </c:pt>
              </c:numCache>
            </c:numRef>
          </c:val>
          <c:extLst/>
        </c:ser>
        <c:ser>
          <c:idx val="2"/>
          <c:order val="1"/>
          <c:tx>
            <c:strRef>
              <c:f>Sheet1!$C$1</c:f>
              <c:strCache>
                <c:ptCount val="1"/>
                <c:pt idx="0">
                  <c:v>Jaunās ES dalībvalstis</c:v>
                </c:pt>
              </c:strCache>
            </c:strRef>
          </c:tx>
          <c:spPr>
            <a:ln w="3175">
              <a:noFill/>
            </a:ln>
          </c:spPr>
          <c:invertIfNegative val="0"/>
          <c:dLbls>
            <c:dLbl>
              <c:idx val="0"/>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0</c:formatCode>
                <c:ptCount val="6"/>
                <c:pt idx="0">
                  <c:v>2010</c:v>
                </c:pt>
                <c:pt idx="1">
                  <c:v>2011</c:v>
                </c:pt>
                <c:pt idx="2">
                  <c:v>2012</c:v>
                </c:pt>
                <c:pt idx="3">
                  <c:v>2013</c:v>
                </c:pt>
                <c:pt idx="4">
                  <c:v>2014</c:v>
                </c:pt>
                <c:pt idx="5">
                  <c:v>2015</c:v>
                </c:pt>
              </c:numCache>
            </c:numRef>
          </c:cat>
          <c:val>
            <c:numRef>
              <c:f>Sheet1!$C$2:$C$9</c:f>
              <c:numCache>
                <c:formatCode>0.0</c:formatCode>
                <c:ptCount val="6"/>
                <c:pt idx="0">
                  <c:v>1.9748999999999997</c:v>
                </c:pt>
                <c:pt idx="1">
                  <c:v>1.5219000000000005</c:v>
                </c:pt>
                <c:pt idx="2">
                  <c:v>1.7407999999999992</c:v>
                </c:pt>
                <c:pt idx="3">
                  <c:v>2.1103999999999998</c:v>
                </c:pt>
                <c:pt idx="4">
                  <c:v>2.3820999999999994</c:v>
                </c:pt>
                <c:pt idx="5">
                  <c:v>2.8660000000000001</c:v>
                </c:pt>
              </c:numCache>
            </c:numRef>
          </c:val>
          <c:extLst/>
        </c:ser>
        <c:ser>
          <c:idx val="0"/>
          <c:order val="2"/>
          <c:tx>
            <c:strRef>
              <c:f>Sheet1!$D$1</c:f>
              <c:strCache>
                <c:ptCount val="1"/>
                <c:pt idx="0">
                  <c:v>Citas attīstītās valstis</c:v>
                </c:pt>
              </c:strCache>
            </c:strRef>
          </c:tx>
          <c:spPr>
            <a:ln w="3175">
              <a:noFill/>
            </a:ln>
          </c:spPr>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0</c:formatCode>
                <c:ptCount val="6"/>
                <c:pt idx="0">
                  <c:v>2010</c:v>
                </c:pt>
                <c:pt idx="1">
                  <c:v>2011</c:v>
                </c:pt>
                <c:pt idx="2">
                  <c:v>2012</c:v>
                </c:pt>
                <c:pt idx="3">
                  <c:v>2013</c:v>
                </c:pt>
                <c:pt idx="4">
                  <c:v>2014</c:v>
                </c:pt>
                <c:pt idx="5">
                  <c:v>2015</c:v>
                </c:pt>
              </c:numCache>
            </c:numRef>
          </c:cat>
          <c:val>
            <c:numRef>
              <c:f>Sheet1!$D$2:$D$9</c:f>
              <c:numCache>
                <c:formatCode>0.0</c:formatCode>
                <c:ptCount val="6"/>
                <c:pt idx="0">
                  <c:v>0.94060000000000032</c:v>
                </c:pt>
                <c:pt idx="1">
                  <c:v>1.1558000000000002</c:v>
                </c:pt>
                <c:pt idx="2">
                  <c:v>1.1547000000000007</c:v>
                </c:pt>
                <c:pt idx="3">
                  <c:v>1.1066000000000005</c:v>
                </c:pt>
                <c:pt idx="4">
                  <c:v>1.1018999999999997</c:v>
                </c:pt>
                <c:pt idx="5" formatCode="0">
                  <c:v>1.1359999999999997</c:v>
                </c:pt>
              </c:numCache>
            </c:numRef>
          </c:val>
          <c:extLst/>
        </c:ser>
        <c:ser>
          <c:idx val="3"/>
          <c:order val="3"/>
          <c:tx>
            <c:strRef>
              <c:f>Sheet1!$E$1</c:f>
              <c:strCache>
                <c:ptCount val="1"/>
                <c:pt idx="0">
                  <c:v>Pārējās valstis</c:v>
                </c:pt>
              </c:strCache>
            </c:strRef>
          </c:tx>
          <c:spPr>
            <a:solidFill>
              <a:srgbClr val="EEECE1">
                <a:lumMod val="50000"/>
              </a:srgbClr>
            </a:solidFill>
            <a:ln w="3175">
              <a:noFill/>
            </a:ln>
          </c:spPr>
          <c:invertIfNegative val="0"/>
          <c:dLbls>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Sheet1!$A$2:$A$9</c:f>
              <c:numCache>
                <c:formatCode>0</c:formatCode>
                <c:ptCount val="6"/>
                <c:pt idx="0">
                  <c:v>2010</c:v>
                </c:pt>
                <c:pt idx="1">
                  <c:v>2011</c:v>
                </c:pt>
                <c:pt idx="2">
                  <c:v>2012</c:v>
                </c:pt>
                <c:pt idx="3">
                  <c:v>2013</c:v>
                </c:pt>
                <c:pt idx="4">
                  <c:v>2014</c:v>
                </c:pt>
                <c:pt idx="5">
                  <c:v>2015</c:v>
                </c:pt>
              </c:numCache>
            </c:numRef>
          </c:cat>
          <c:val>
            <c:numRef>
              <c:f>Sheet1!$E$2:$E$9</c:f>
              <c:numCache>
                <c:formatCode>0.0</c:formatCode>
                <c:ptCount val="6"/>
                <c:pt idx="0">
                  <c:v>0.60630000000000128</c:v>
                </c:pt>
                <c:pt idx="1">
                  <c:v>0.69000000000000028</c:v>
                </c:pt>
                <c:pt idx="2">
                  <c:v>0.76839999999999664</c:v>
                </c:pt>
                <c:pt idx="3">
                  <c:v>1.0135999999999981</c:v>
                </c:pt>
                <c:pt idx="4">
                  <c:v>1.3162400000000001</c:v>
                </c:pt>
                <c:pt idx="5" formatCode="0">
                  <c:v>1.4470000000000001</c:v>
                </c:pt>
              </c:numCache>
            </c:numRef>
          </c:val>
        </c:ser>
        <c:ser>
          <c:idx val="4"/>
          <c:order val="4"/>
          <c:tx>
            <c:strRef>
              <c:f>Sheet1!$F$1</c:f>
              <c:strCache>
                <c:ptCount val="1"/>
                <c:pt idx="0">
                  <c:v>Bez valsts norādes</c:v>
                </c:pt>
              </c:strCache>
            </c:strRef>
          </c:tx>
          <c:spPr>
            <a:solidFill>
              <a:srgbClr val="FFC000"/>
            </a:solidFill>
            <a:ln w="3175">
              <a:noFill/>
            </a:ln>
          </c:spPr>
          <c:invertIfNegative val="0"/>
          <c:dLbls>
            <c:dLbl>
              <c:idx val="2"/>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Sheet1!$A$2:$A$9</c:f>
              <c:numCache>
                <c:formatCode>0</c:formatCode>
                <c:ptCount val="6"/>
                <c:pt idx="0">
                  <c:v>2010</c:v>
                </c:pt>
                <c:pt idx="1">
                  <c:v>2011</c:v>
                </c:pt>
                <c:pt idx="2">
                  <c:v>2012</c:v>
                </c:pt>
                <c:pt idx="3">
                  <c:v>2013</c:v>
                </c:pt>
                <c:pt idx="4">
                  <c:v>2014</c:v>
                </c:pt>
                <c:pt idx="5">
                  <c:v>2015</c:v>
                </c:pt>
              </c:numCache>
            </c:numRef>
          </c:cat>
          <c:val>
            <c:numRef>
              <c:f>Sheet1!$F$2:$F$9</c:f>
              <c:numCache>
                <c:formatCode>0.0</c:formatCode>
                <c:ptCount val="6"/>
                <c:pt idx="0">
                  <c:v>0.59329999999999994</c:v>
                </c:pt>
                <c:pt idx="1">
                  <c:v>0.71079999999999999</c:v>
                </c:pt>
                <c:pt idx="2">
                  <c:v>0.94270000000000009</c:v>
                </c:pt>
                <c:pt idx="3">
                  <c:v>1.3739000000000001</c:v>
                </c:pt>
                <c:pt idx="4">
                  <c:v>1.3607</c:v>
                </c:pt>
                <c:pt idx="5" formatCode="0">
                  <c:v>1.4470000000000001</c:v>
                </c:pt>
              </c:numCache>
            </c:numRef>
          </c:val>
        </c:ser>
        <c:dLbls>
          <c:showLegendKey val="0"/>
          <c:showVal val="0"/>
          <c:showCatName val="0"/>
          <c:showSerName val="0"/>
          <c:showPercent val="0"/>
          <c:showBubbleSize val="0"/>
        </c:dLbls>
        <c:gapWidth val="40"/>
        <c:overlap val="100"/>
        <c:axId val="319768728"/>
        <c:axId val="319769120"/>
      </c:barChart>
      <c:catAx>
        <c:axId val="319768728"/>
        <c:scaling>
          <c:orientation val="minMax"/>
        </c:scaling>
        <c:delete val="0"/>
        <c:axPos val="b"/>
        <c:numFmt formatCode="0" sourceLinked="1"/>
        <c:majorTickMark val="out"/>
        <c:minorTickMark val="none"/>
        <c:tickLblPos val="low"/>
        <c:spPr>
          <a:ln w="3175"/>
        </c:spPr>
        <c:txPr>
          <a:bodyPr rot="0" vert="horz"/>
          <a:lstStyle/>
          <a:p>
            <a:pPr>
              <a:defRPr/>
            </a:pPr>
            <a:endParaRPr lang="lv-LV"/>
          </a:p>
        </c:txPr>
        <c:crossAx val="319769120"/>
        <c:crosses val="autoZero"/>
        <c:auto val="0"/>
        <c:lblAlgn val="ctr"/>
        <c:lblOffset val="0"/>
        <c:tickLblSkip val="1"/>
        <c:noMultiLvlLbl val="1"/>
      </c:catAx>
      <c:valAx>
        <c:axId val="319769120"/>
        <c:scaling>
          <c:orientation val="minMax"/>
          <c:max val="15"/>
          <c:min val="0"/>
        </c:scaling>
        <c:delete val="0"/>
        <c:axPos val="l"/>
        <c:numFmt formatCode="0" sourceLinked="0"/>
        <c:majorTickMark val="out"/>
        <c:minorTickMark val="none"/>
        <c:tickLblPos val="nextTo"/>
        <c:spPr>
          <a:ln w="3175"/>
        </c:spPr>
        <c:txPr>
          <a:bodyPr rot="0" vert="horz"/>
          <a:lstStyle/>
          <a:p>
            <a:pPr>
              <a:defRPr/>
            </a:pPr>
            <a:endParaRPr lang="lv-LV"/>
          </a:p>
        </c:txPr>
        <c:crossAx val="319768728"/>
        <c:crosses val="autoZero"/>
        <c:crossBetween val="between"/>
        <c:majorUnit val="5"/>
      </c:valAx>
      <c:spPr>
        <a:noFill/>
        <a:ln w="24631">
          <a:noFill/>
        </a:ln>
      </c:spPr>
    </c:plotArea>
    <c:legend>
      <c:legendPos val="l"/>
      <c:layout>
        <c:manualLayout>
          <c:xMode val="edge"/>
          <c:yMode val="edge"/>
          <c:x val="7.1834289732526549E-2"/>
          <c:y val="4.3637929557540971E-2"/>
          <c:w val="0.46868751164925293"/>
          <c:h val="0.33762510794648171"/>
        </c:manualLayout>
      </c:layout>
      <c:overlay val="1"/>
      <c:txPr>
        <a:bodyPr/>
        <a:lstStyle/>
        <a:p>
          <a:pPr>
            <a:defRPr sz="7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txPr>
    <a:bodyPr/>
    <a:lstStyle/>
    <a:p>
      <a:pPr>
        <a:defRPr sz="8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825556777630735"/>
          <c:y val="0.18265316941689871"/>
          <c:w val="0.43051414689668682"/>
          <c:h val="0.63046858479182666"/>
        </c:manualLayout>
      </c:layout>
      <c:pieChart>
        <c:varyColors val="1"/>
        <c:ser>
          <c:idx val="0"/>
          <c:order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Pt>
            <c:idx val="10"/>
            <c:bubble3D val="0"/>
            <c:spPr>
              <a:solidFill>
                <a:schemeClr val="accent5">
                  <a:lumMod val="60000"/>
                </a:schemeClr>
              </a:solidFill>
              <a:ln>
                <a:noFill/>
              </a:ln>
              <a:effectLst/>
            </c:spPr>
          </c:dPt>
          <c:dPt>
            <c:idx val="11"/>
            <c:bubble3D val="0"/>
            <c:spPr>
              <a:solidFill>
                <a:schemeClr val="accent6">
                  <a:lumMod val="60000"/>
                </a:schemeClr>
              </a:solidFill>
              <a:ln>
                <a:noFill/>
              </a:ln>
              <a:effectLst/>
            </c:spPr>
          </c:dPt>
          <c:dPt>
            <c:idx val="12"/>
            <c:bubble3D val="0"/>
            <c:spPr>
              <a:solidFill>
                <a:schemeClr val="accent1">
                  <a:lumMod val="80000"/>
                  <a:lumOff val="20000"/>
                </a:schemeClr>
              </a:solidFill>
              <a:ln>
                <a:noFill/>
              </a:ln>
              <a:effectLst/>
            </c:spPr>
          </c:dPt>
          <c:dLbls>
            <c:dLbl>
              <c:idx val="4"/>
              <c:layout>
                <c:manualLayout>
                  <c:x val="3.0204962243797196E-2"/>
                  <c:y val="2.940311673037341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8.6299892125134836E-3"/>
                  <c:y val="4.116436342252267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1.1041753625843543E-2"/>
                  <c:y val="-9.793429462525000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7.8178078543732044E-2"/>
                  <c:y val="5.292569334694619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
                  <c:y val="5.880623346074684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1.8224502939771008E-2"/>
                  <c:y val="-5.928644354624410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1"/>
              <c:layout>
                <c:manualLayout>
                  <c:x val="-6.2183759771693202E-3"/>
                  <c:y val="-0.1523928336666620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2"/>
              <c:layout>
                <c:manualLayout>
                  <c:x val="9.9244875943905075E-2"/>
                  <c:y val="-6.468685680682154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Sheet1!$A$1:$A$13</c:f>
              <c:strCache>
                <c:ptCount val="13"/>
                <c:pt idx="0">
                  <c:v>Zviedrija</c:v>
                </c:pt>
                <c:pt idx="1">
                  <c:v>Nīderlande</c:v>
                </c:pt>
                <c:pt idx="2">
                  <c:v>Kipra</c:v>
                </c:pt>
                <c:pt idx="3">
                  <c:v>Vācija</c:v>
                </c:pt>
                <c:pt idx="4">
                  <c:v>Igaunija</c:v>
                </c:pt>
                <c:pt idx="5">
                  <c:v>Dānija</c:v>
                </c:pt>
                <c:pt idx="6">
                  <c:v>Lietuva</c:v>
                </c:pt>
                <c:pt idx="7">
                  <c:v>Apvienotā Karaliste</c:v>
                </c:pt>
                <c:pt idx="8">
                  <c:v>Somija</c:v>
                </c:pt>
                <c:pt idx="9">
                  <c:v>Luksemburga</c:v>
                </c:pt>
                <c:pt idx="10">
                  <c:v>Malta</c:v>
                </c:pt>
                <c:pt idx="11">
                  <c:v>Ungārija</c:v>
                </c:pt>
                <c:pt idx="12">
                  <c:v>Citas ES valstis</c:v>
                </c:pt>
              </c:strCache>
            </c:strRef>
          </c:cat>
          <c:val>
            <c:numRef>
              <c:f>Sheet1!$B$1:$B$13</c:f>
              <c:numCache>
                <c:formatCode>0.0</c:formatCode>
                <c:ptCount val="13"/>
                <c:pt idx="0">
                  <c:v>28</c:v>
                </c:pt>
                <c:pt idx="1">
                  <c:v>10.7</c:v>
                </c:pt>
                <c:pt idx="2">
                  <c:v>12.9</c:v>
                </c:pt>
                <c:pt idx="3">
                  <c:v>7.4</c:v>
                </c:pt>
                <c:pt idx="4">
                  <c:v>8.1</c:v>
                </c:pt>
                <c:pt idx="5">
                  <c:v>5.7</c:v>
                </c:pt>
                <c:pt idx="6">
                  <c:v>4.8</c:v>
                </c:pt>
                <c:pt idx="7">
                  <c:v>4.5999999999999996</c:v>
                </c:pt>
                <c:pt idx="8">
                  <c:v>3.8</c:v>
                </c:pt>
                <c:pt idx="9">
                  <c:v>4.4000000000000004</c:v>
                </c:pt>
                <c:pt idx="10">
                  <c:v>3.3</c:v>
                </c:pt>
                <c:pt idx="11">
                  <c:v>2</c:v>
                </c:pt>
                <c:pt idx="12">
                  <c:v>4.3000000000000114</c:v>
                </c:pt>
              </c:numCache>
            </c:numRef>
          </c:val>
        </c:ser>
        <c:dLbls>
          <c:showLegendKey val="0"/>
          <c:showVal val="0"/>
          <c:showCatName val="0"/>
          <c:showSerName val="0"/>
          <c:showPercent val="0"/>
          <c:showBubbleSize val="0"/>
          <c:showLeaderLines val="0"/>
        </c:dLbls>
        <c:firstSliceAng val="320"/>
      </c:pieChart>
      <c:spPr>
        <a:noFill/>
        <a:ln>
          <a:noFill/>
        </a:ln>
        <a:effectLst/>
      </c:spPr>
    </c:plotArea>
    <c:plotVisOnly val="1"/>
    <c:dispBlanksAs val="zero"/>
    <c:showDLblsOverMax val="0"/>
  </c:chart>
  <c:spPr>
    <a:noFill/>
    <a:ln w="9525" cap="flat" cmpd="sng" algn="ctr">
      <a:noFill/>
      <a:prstDash val="solid"/>
      <a:round/>
    </a:ln>
    <a:effectLst/>
  </c:spPr>
  <c:txPr>
    <a:bodyPr/>
    <a:lstStyle/>
    <a:p>
      <a:pPr>
        <a:defRPr sz="800">
          <a:latin typeface="Arial Narrow" panose="020B0606020202030204" pitchFamily="34" charset="0"/>
        </a:defRPr>
      </a:pPr>
      <a:endParaRPr lang="lv-LV"/>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471638374317714E-2"/>
          <c:y val="2.9770771449805208E-2"/>
          <c:w val="0.92473722692185212"/>
          <c:h val="0.87146439097347472"/>
        </c:manualLayout>
      </c:layout>
      <c:barChart>
        <c:barDir val="col"/>
        <c:grouping val="stacked"/>
        <c:varyColors val="0"/>
        <c:ser>
          <c:idx val="0"/>
          <c:order val="0"/>
          <c:tx>
            <c:strRef>
              <c:f>Sheet1!$B$1</c:f>
              <c:strCache>
                <c:ptCount val="1"/>
                <c:pt idx="0">
                  <c:v>Vieta DB 2016</c:v>
                </c:pt>
              </c:strCache>
            </c:strRef>
          </c:tx>
          <c:spPr>
            <a:solidFill>
              <a:srgbClr val="FFC000"/>
            </a:solidFill>
            <a:ln w="3175">
              <a:noFill/>
            </a:ln>
          </c:spPr>
          <c:invertIfNegative val="0"/>
          <c:dPt>
            <c:idx val="5"/>
            <c:invertIfNegative val="0"/>
            <c:bubble3D val="0"/>
            <c:spPr>
              <a:solidFill>
                <a:srgbClr val="ED7D31">
                  <a:lumMod val="75000"/>
                </a:srgbClr>
              </a:solidFill>
              <a:ln w="3175">
                <a:noFill/>
              </a:ln>
            </c:spPr>
          </c:dPt>
          <c:dPt>
            <c:idx val="7"/>
            <c:invertIfNegative val="0"/>
            <c:bubble3D val="0"/>
          </c:dPt>
          <c:dPt>
            <c:idx val="8"/>
            <c:invertIfNegative val="0"/>
            <c:bubble3D val="0"/>
          </c:dPt>
          <c:dPt>
            <c:idx val="9"/>
            <c:invertIfNegative val="0"/>
            <c:bubble3D val="0"/>
          </c:dPt>
          <c:dLbls>
            <c:dLbl>
              <c:idx val="0"/>
              <c:layout>
                <c:manualLayout>
                  <c:x val="0"/>
                  <c:y val="2.9535787904378238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Sheet1!$A$2:$A$29</c:f>
              <c:strCache>
                <c:ptCount val="28"/>
                <c:pt idx="0">
                  <c:v>DK</c:v>
                </c:pt>
                <c:pt idx="1">
                  <c:v>UK</c:v>
                </c:pt>
                <c:pt idx="2">
                  <c:v>SE</c:v>
                </c:pt>
                <c:pt idx="3">
                  <c:v>EE</c:v>
                </c:pt>
                <c:pt idx="4">
                  <c:v>FI</c:v>
                </c:pt>
                <c:pt idx="5">
                  <c:v>LV</c:v>
                </c:pt>
                <c:pt idx="6">
                  <c:v>DE</c:v>
                </c:pt>
                <c:pt idx="7">
                  <c:v>IE</c:v>
                </c:pt>
                <c:pt idx="8">
                  <c:v>AT</c:v>
                </c:pt>
                <c:pt idx="9">
                  <c:v>LT</c:v>
                </c:pt>
                <c:pt idx="10">
                  <c:v>PL</c:v>
                </c:pt>
                <c:pt idx="11">
                  <c:v>PT</c:v>
                </c:pt>
                <c:pt idx="12">
                  <c:v>CZ</c:v>
                </c:pt>
                <c:pt idx="13">
                  <c:v>NL</c:v>
                </c:pt>
                <c:pt idx="14">
                  <c:v>FR</c:v>
                </c:pt>
                <c:pt idx="15">
                  <c:v>SI</c:v>
                </c:pt>
                <c:pt idx="16">
                  <c:v>ES</c:v>
                </c:pt>
                <c:pt idx="17">
                  <c:v>SK</c:v>
                </c:pt>
                <c:pt idx="18">
                  <c:v>RO</c:v>
                </c:pt>
                <c:pt idx="19">
                  <c:v>BG</c:v>
                </c:pt>
                <c:pt idx="20">
                  <c:v>HU</c:v>
                </c:pt>
                <c:pt idx="21">
                  <c:v>BE</c:v>
                </c:pt>
                <c:pt idx="22">
                  <c:v>CR</c:v>
                </c:pt>
                <c:pt idx="23">
                  <c:v>CY</c:v>
                </c:pt>
                <c:pt idx="24">
                  <c:v>IT</c:v>
                </c:pt>
                <c:pt idx="25">
                  <c:v>LU</c:v>
                </c:pt>
                <c:pt idx="26">
                  <c:v>EL</c:v>
                </c:pt>
                <c:pt idx="27">
                  <c:v>MT</c:v>
                </c:pt>
              </c:strCache>
            </c:strRef>
          </c:cat>
          <c:val>
            <c:numRef>
              <c:f>Sheet1!$B$2:$B$29</c:f>
              <c:numCache>
                <c:formatCode>General</c:formatCode>
                <c:ptCount val="28"/>
                <c:pt idx="0">
                  <c:v>3</c:v>
                </c:pt>
                <c:pt idx="1">
                  <c:v>7</c:v>
                </c:pt>
                <c:pt idx="2">
                  <c:v>9</c:v>
                </c:pt>
                <c:pt idx="3">
                  <c:v>12</c:v>
                </c:pt>
                <c:pt idx="4">
                  <c:v>13</c:v>
                </c:pt>
                <c:pt idx="5">
                  <c:v>14</c:v>
                </c:pt>
                <c:pt idx="6">
                  <c:v>17</c:v>
                </c:pt>
                <c:pt idx="7">
                  <c:v>18</c:v>
                </c:pt>
                <c:pt idx="8">
                  <c:v>19</c:v>
                </c:pt>
                <c:pt idx="9">
                  <c:v>21</c:v>
                </c:pt>
                <c:pt idx="10">
                  <c:v>24</c:v>
                </c:pt>
                <c:pt idx="11">
                  <c:v>25</c:v>
                </c:pt>
                <c:pt idx="12">
                  <c:v>27</c:v>
                </c:pt>
                <c:pt idx="13">
                  <c:v>28</c:v>
                </c:pt>
                <c:pt idx="14">
                  <c:v>29</c:v>
                </c:pt>
                <c:pt idx="15">
                  <c:v>30</c:v>
                </c:pt>
                <c:pt idx="16">
                  <c:v>32</c:v>
                </c:pt>
                <c:pt idx="17">
                  <c:v>33</c:v>
                </c:pt>
                <c:pt idx="18">
                  <c:v>36</c:v>
                </c:pt>
                <c:pt idx="19">
                  <c:v>39</c:v>
                </c:pt>
                <c:pt idx="20">
                  <c:v>41</c:v>
                </c:pt>
                <c:pt idx="21">
                  <c:v>42</c:v>
                </c:pt>
                <c:pt idx="22">
                  <c:v>43</c:v>
                </c:pt>
                <c:pt idx="23">
                  <c:v>45</c:v>
                </c:pt>
                <c:pt idx="24">
                  <c:v>50</c:v>
                </c:pt>
                <c:pt idx="25">
                  <c:v>59</c:v>
                </c:pt>
                <c:pt idx="26">
                  <c:v>61</c:v>
                </c:pt>
                <c:pt idx="27">
                  <c:v>76</c:v>
                </c:pt>
              </c:numCache>
            </c:numRef>
          </c:val>
        </c:ser>
        <c:ser>
          <c:idx val="1"/>
          <c:order val="1"/>
          <c:tx>
            <c:strRef>
              <c:f>Sheet1!$C$1</c:f>
              <c:strCache>
                <c:ptCount val="1"/>
                <c:pt idx="0">
                  <c:v>Column1</c:v>
                </c:pt>
              </c:strCache>
            </c:strRef>
          </c:tx>
          <c:invertIfNegative val="0"/>
          <c:cat>
            <c:strRef>
              <c:f>Sheet1!$A$2:$A$29</c:f>
              <c:strCache>
                <c:ptCount val="28"/>
                <c:pt idx="0">
                  <c:v>DK</c:v>
                </c:pt>
                <c:pt idx="1">
                  <c:v>UK</c:v>
                </c:pt>
                <c:pt idx="2">
                  <c:v>SE</c:v>
                </c:pt>
                <c:pt idx="3">
                  <c:v>EE</c:v>
                </c:pt>
                <c:pt idx="4">
                  <c:v>FI</c:v>
                </c:pt>
                <c:pt idx="5">
                  <c:v>LV</c:v>
                </c:pt>
                <c:pt idx="6">
                  <c:v>DE</c:v>
                </c:pt>
                <c:pt idx="7">
                  <c:v>IE</c:v>
                </c:pt>
                <c:pt idx="8">
                  <c:v>AT</c:v>
                </c:pt>
                <c:pt idx="9">
                  <c:v>LT</c:v>
                </c:pt>
                <c:pt idx="10">
                  <c:v>PL</c:v>
                </c:pt>
                <c:pt idx="11">
                  <c:v>PT</c:v>
                </c:pt>
                <c:pt idx="12">
                  <c:v>CZ</c:v>
                </c:pt>
                <c:pt idx="13">
                  <c:v>NL</c:v>
                </c:pt>
                <c:pt idx="14">
                  <c:v>FR</c:v>
                </c:pt>
                <c:pt idx="15">
                  <c:v>SI</c:v>
                </c:pt>
                <c:pt idx="16">
                  <c:v>ES</c:v>
                </c:pt>
                <c:pt idx="17">
                  <c:v>SK</c:v>
                </c:pt>
                <c:pt idx="18">
                  <c:v>RO</c:v>
                </c:pt>
                <c:pt idx="19">
                  <c:v>BG</c:v>
                </c:pt>
                <c:pt idx="20">
                  <c:v>HU</c:v>
                </c:pt>
                <c:pt idx="21">
                  <c:v>BE</c:v>
                </c:pt>
                <c:pt idx="22">
                  <c:v>CR</c:v>
                </c:pt>
                <c:pt idx="23">
                  <c:v>CY</c:v>
                </c:pt>
                <c:pt idx="24">
                  <c:v>IT</c:v>
                </c:pt>
                <c:pt idx="25">
                  <c:v>LU</c:v>
                </c:pt>
                <c:pt idx="26">
                  <c:v>EL</c:v>
                </c:pt>
                <c:pt idx="27">
                  <c:v>MT</c:v>
                </c:pt>
              </c:strCache>
            </c:strRef>
          </c:cat>
          <c:val>
            <c:numRef>
              <c:f>Sheet1!$C$2:$C$29</c:f>
              <c:numCache>
                <c:formatCode>General</c:formatCode>
                <c:ptCount val="28"/>
              </c:numCache>
            </c:numRef>
          </c:val>
        </c:ser>
        <c:dLbls>
          <c:showLegendKey val="0"/>
          <c:showVal val="0"/>
          <c:showCatName val="0"/>
          <c:showSerName val="0"/>
          <c:showPercent val="0"/>
          <c:showBubbleSize val="0"/>
        </c:dLbls>
        <c:gapWidth val="40"/>
        <c:overlap val="100"/>
        <c:axId val="299757912"/>
        <c:axId val="299758304"/>
      </c:barChart>
      <c:catAx>
        <c:axId val="299757912"/>
        <c:scaling>
          <c:orientation val="minMax"/>
        </c:scaling>
        <c:delete val="0"/>
        <c:axPos val="b"/>
        <c:numFmt formatCode="General" sourceLinked="1"/>
        <c:majorTickMark val="out"/>
        <c:minorTickMark val="none"/>
        <c:tickLblPos val="nextTo"/>
        <c:spPr>
          <a:ln w="3175"/>
        </c:spPr>
        <c:txPr>
          <a:bodyPr/>
          <a:lstStyle/>
          <a:p>
            <a:pPr>
              <a:defRPr sz="700"/>
            </a:pPr>
            <a:endParaRPr lang="lv-LV"/>
          </a:p>
        </c:txPr>
        <c:crossAx val="299758304"/>
        <c:crosses val="autoZero"/>
        <c:auto val="1"/>
        <c:lblAlgn val="ctr"/>
        <c:lblOffset val="100"/>
        <c:noMultiLvlLbl val="0"/>
      </c:catAx>
      <c:valAx>
        <c:axId val="299758304"/>
        <c:scaling>
          <c:orientation val="minMax"/>
          <c:max val="80"/>
          <c:min val="0"/>
        </c:scaling>
        <c:delete val="0"/>
        <c:axPos val="l"/>
        <c:numFmt formatCode="General" sourceLinked="1"/>
        <c:majorTickMark val="out"/>
        <c:minorTickMark val="none"/>
        <c:tickLblPos val="nextTo"/>
        <c:spPr>
          <a:ln w="3175"/>
        </c:spPr>
        <c:crossAx val="299757912"/>
        <c:crosses val="autoZero"/>
        <c:crossBetween val="between"/>
        <c:majorUnit val="20"/>
        <c:minorUnit val="5"/>
      </c:valAx>
      <c:spPr>
        <a:noFill/>
      </c:spPr>
    </c:plotArea>
    <c:plotVisOnly val="1"/>
    <c:dispBlanksAs val="gap"/>
    <c:showDLblsOverMax val="0"/>
  </c:chart>
  <c:spPr>
    <a:noFill/>
    <a:ln>
      <a:noFill/>
    </a:ln>
  </c:spPr>
  <c:txPr>
    <a:bodyPr/>
    <a:lstStyle/>
    <a:p>
      <a:pPr>
        <a:defRPr sz="800">
          <a:latin typeface="Arial Narrow" panose="020B0606020202030204" pitchFamily="34" charset="0"/>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4782471293631"/>
          <c:y val="8.3699477050996465E-2"/>
          <c:w val="0.812057585437584"/>
          <c:h val="0.79166283488391476"/>
        </c:manualLayout>
      </c:layout>
      <c:lineChart>
        <c:grouping val="standard"/>
        <c:varyColors val="0"/>
        <c:ser>
          <c:idx val="0"/>
          <c:order val="0"/>
          <c:tx>
            <c:strRef>
              <c:f>'Mēķa rādītāji_vecie'!$B$12</c:f>
              <c:strCache>
                <c:ptCount val="1"/>
                <c:pt idx="0">
                  <c:v>Fakts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rādītāji_vecie'!$E$16:$H$16</c:f>
              <c:numCache>
                <c:formatCode>0.0</c:formatCode>
                <c:ptCount val="4"/>
                <c:pt idx="0">
                  <c:v>100</c:v>
                </c:pt>
                <c:pt idx="1">
                  <c:v>101.08092698668511</c:v>
                </c:pt>
                <c:pt idx="2">
                  <c:v>104.22629266564211</c:v>
                </c:pt>
                <c:pt idx="3">
                  <c:v>105.65687741495169</c:v>
                </c:pt>
              </c:numCache>
            </c:numRef>
          </c:val>
          <c:smooth val="0"/>
        </c:ser>
        <c:ser>
          <c:idx val="1"/>
          <c:order val="1"/>
          <c:tx>
            <c:strRef>
              <c:f>'Mēķa rādītāji_vecie'!$B$13</c:f>
              <c:strCache>
                <c:ptCount val="1"/>
                <c:pt idx="0">
                  <c:v>Mērķis</c:v>
                </c:pt>
              </c:strCache>
            </c:strRef>
          </c:tx>
          <c:spPr>
            <a:ln w="28575" cap="rnd">
              <a:noFill/>
              <a:round/>
            </a:ln>
            <a:effectLst/>
          </c:spPr>
          <c:marker>
            <c:symbol val="circle"/>
            <c:size val="5"/>
            <c:spPr>
              <a:solidFill>
                <a:srgbClr val="C00000"/>
              </a:solidFill>
              <a:ln w="9525">
                <a:solidFill>
                  <a:schemeClr val="accent2"/>
                </a:solidFill>
              </a:ln>
              <a:effectLst/>
            </c:spPr>
          </c:marker>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rādītāji_vecie'!$E$17:$L$17</c:f>
              <c:numCache>
                <c:formatCode>0.0</c:formatCode>
                <c:ptCount val="8"/>
                <c:pt idx="0">
                  <c:v>100</c:v>
                </c:pt>
                <c:pt idx="1">
                  <c:v>103</c:v>
                </c:pt>
                <c:pt idx="2">
                  <c:v>107.1</c:v>
                </c:pt>
                <c:pt idx="3">
                  <c:v>112.5</c:v>
                </c:pt>
                <c:pt idx="4">
                  <c:v>118.1</c:v>
                </c:pt>
                <c:pt idx="5">
                  <c:v>123.5</c:v>
                </c:pt>
                <c:pt idx="6">
                  <c:v>128.4</c:v>
                </c:pt>
                <c:pt idx="7">
                  <c:v>132.9</c:v>
                </c:pt>
              </c:numCache>
            </c:numRef>
          </c:val>
          <c:smooth val="0"/>
        </c:ser>
        <c:dLbls>
          <c:showLegendKey val="0"/>
          <c:showVal val="0"/>
          <c:showCatName val="0"/>
          <c:showSerName val="0"/>
          <c:showPercent val="0"/>
          <c:showBubbleSize val="0"/>
        </c:dLbls>
        <c:marker val="1"/>
        <c:smooth val="0"/>
        <c:axId val="299759088"/>
        <c:axId val="299759480"/>
      </c:lineChart>
      <c:catAx>
        <c:axId val="29975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Times New Roman" panose="02020603050405020304" pitchFamily="18" charset="0"/>
              </a:defRPr>
            </a:pPr>
            <a:endParaRPr lang="lv-LV"/>
          </a:p>
        </c:txPr>
        <c:crossAx val="299759480"/>
        <c:crosses val="autoZero"/>
        <c:auto val="1"/>
        <c:lblAlgn val="ctr"/>
        <c:lblOffset val="100"/>
        <c:noMultiLvlLbl val="0"/>
      </c:catAx>
      <c:valAx>
        <c:axId val="299759480"/>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Narrow" panose="020B0606020202030204" pitchFamily="34" charset="0"/>
                <a:ea typeface="+mn-ea"/>
                <a:cs typeface="Times New Roman" panose="02020603050405020304" pitchFamily="18" charset="0"/>
              </a:defRPr>
            </a:pPr>
            <a:endParaRPr lang="lv-LV"/>
          </a:p>
        </c:txPr>
        <c:crossAx val="299759088"/>
        <c:crosses val="autoZero"/>
        <c:crossBetween val="between"/>
        <c:majorUnit val="7"/>
      </c:valAx>
      <c:spPr>
        <a:noFill/>
        <a:ln>
          <a:noFill/>
        </a:ln>
        <a:effectLst/>
      </c:spPr>
    </c:plotArea>
    <c:legend>
      <c:legendPos val="b"/>
      <c:layout>
        <c:manualLayout>
          <c:xMode val="edge"/>
          <c:yMode val="edge"/>
          <c:x val="0.70970029608367924"/>
          <c:y val="0.54180382527899096"/>
          <c:w val="0.26188375160001554"/>
          <c:h val="0.316043031076527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200"/>
      </a:pPr>
      <a:endParaRPr lang="lv-LV"/>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1647912154012E-2"/>
          <c:y val="0.11965368076944555"/>
          <c:w val="0.89115333053908674"/>
          <c:h val="0.75402531040356202"/>
        </c:manualLayout>
      </c:layout>
      <c:barChart>
        <c:barDir val="col"/>
        <c:grouping val="clustered"/>
        <c:varyColors val="0"/>
        <c:ser>
          <c:idx val="9"/>
          <c:order val="0"/>
          <c:tx>
            <c:strRef>
              <c:f>Sheet1!$A$3</c:f>
              <c:strCache>
                <c:ptCount val="1"/>
                <c:pt idx="0">
                  <c:v>Eksports</c:v>
                </c:pt>
              </c:strCache>
            </c:strRef>
          </c:tx>
          <c:spPr>
            <a:solidFill>
              <a:srgbClr val="5B9BD5"/>
            </a:solidFill>
            <a:ln w="6350">
              <a:solidFill>
                <a:sysClr val="windowText" lastClr="000000"/>
              </a:solidFill>
            </a:ln>
            <a:effectLst/>
          </c:spPr>
          <c:invertIfNegative val="0"/>
          <c:dLbls>
            <c:dLbl>
              <c:idx val="5"/>
              <c:layout>
                <c:manualLayout>
                  <c:x val="0"/>
                  <c:y val="1.3145861615481627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800">
                    <a:latin typeface="Arial Narrow"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Sheet1!$B$2:$M$2</c:f>
              <c:numCache>
                <c:formatCode>0</c:formatCode>
                <c:ptCount val="9"/>
                <c:pt idx="0">
                  <c:v>2007</c:v>
                </c:pt>
                <c:pt idx="1">
                  <c:v>2008</c:v>
                </c:pt>
                <c:pt idx="2">
                  <c:v>2009</c:v>
                </c:pt>
                <c:pt idx="3">
                  <c:v>2010</c:v>
                </c:pt>
                <c:pt idx="4">
                  <c:v>2011</c:v>
                </c:pt>
                <c:pt idx="5">
                  <c:v>2012</c:v>
                </c:pt>
                <c:pt idx="6">
                  <c:v>2013</c:v>
                </c:pt>
                <c:pt idx="7">
                  <c:v>2014</c:v>
                </c:pt>
                <c:pt idx="8">
                  <c:v>2015</c:v>
                </c:pt>
              </c:numCache>
            </c:numRef>
          </c:cat>
          <c:val>
            <c:numRef>
              <c:f>Sheet1!$B$3:$M$3</c:f>
              <c:numCache>
                <c:formatCode>0.0</c:formatCode>
                <c:ptCount val="9"/>
                <c:pt idx="0">
                  <c:v>13.757281901664427</c:v>
                </c:pt>
                <c:pt idx="1">
                  <c:v>2.3718094727956469</c:v>
                </c:pt>
                <c:pt idx="2">
                  <c:v>-12.885150897945749</c:v>
                </c:pt>
                <c:pt idx="3">
                  <c:v>13.442515676599868</c:v>
                </c:pt>
                <c:pt idx="4">
                  <c:v>12.04574219640422</c:v>
                </c:pt>
                <c:pt idx="5">
                  <c:v>9.7791186462429494</c:v>
                </c:pt>
                <c:pt idx="6">
                  <c:v>1.0809269866851139</c:v>
                </c:pt>
                <c:pt idx="7">
                  <c:v>3.11173014803407</c:v>
                </c:pt>
                <c:pt idx="8">
                  <c:v>1.4</c:v>
                </c:pt>
              </c:numCache>
            </c:numRef>
          </c:val>
        </c:ser>
        <c:dLbls>
          <c:showLegendKey val="0"/>
          <c:showVal val="0"/>
          <c:showCatName val="0"/>
          <c:showSerName val="0"/>
          <c:showPercent val="0"/>
          <c:showBubbleSize val="0"/>
        </c:dLbls>
        <c:gapWidth val="150"/>
        <c:axId val="299760264"/>
        <c:axId val="299760656"/>
      </c:barChart>
      <c:catAx>
        <c:axId val="299760264"/>
        <c:scaling>
          <c:orientation val="minMax"/>
        </c:scaling>
        <c:delete val="0"/>
        <c:axPos val="b"/>
        <c:numFmt formatCode="0" sourceLinked="1"/>
        <c:majorTickMark val="out"/>
        <c:minorTickMark val="none"/>
        <c:tickLblPos val="low"/>
        <c:spPr>
          <a:noFill/>
          <a:ln w="3175" cap="flat" cmpd="sng" algn="ctr">
            <a:solidFill>
              <a:sysClr val="window" lastClr="FFFFFF">
                <a:lumMod val="50000"/>
              </a:sysClr>
            </a:solidFill>
            <a:prstDash val="solid"/>
            <a:round/>
          </a:ln>
          <a:effectLst/>
        </c:spPr>
        <c:txPr>
          <a:bodyPr rot="0" spcFirstLastPara="1" vertOverflow="ellipsis" vert="horz"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299760656"/>
        <c:crosses val="autoZero"/>
        <c:auto val="0"/>
        <c:lblAlgn val="ctr"/>
        <c:lblOffset val="100"/>
        <c:noMultiLvlLbl val="0"/>
      </c:catAx>
      <c:valAx>
        <c:axId val="299760656"/>
        <c:scaling>
          <c:orientation val="minMax"/>
          <c:min val="-20"/>
        </c:scaling>
        <c:delete val="0"/>
        <c:axPos val="l"/>
        <c:numFmt formatCode="0" sourceLinked="0"/>
        <c:majorTickMark val="out"/>
        <c:minorTickMark val="none"/>
        <c:tickLblPos val="nextTo"/>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299760264"/>
        <c:crosses val="autoZero"/>
        <c:crossBetween val="between"/>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1071003994536"/>
          <c:y val="0.11420853095117497"/>
          <c:w val="0.82939134520605973"/>
          <c:h val="0.75470645116728829"/>
        </c:manualLayout>
      </c:layout>
      <c:lineChart>
        <c:grouping val="standard"/>
        <c:varyColors val="0"/>
        <c:ser>
          <c:idx val="0"/>
          <c:order val="0"/>
          <c:tx>
            <c:strRef>
              <c:f>'Mēķa rādītāji_vecie'!$B$8</c:f>
              <c:strCache>
                <c:ptCount val="1"/>
                <c:pt idx="0">
                  <c:v>Fakts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rādītāji_vecie'!$E$8:$L$8</c:f>
              <c:numCache>
                <c:formatCode>0.0</c:formatCode>
                <c:ptCount val="8"/>
                <c:pt idx="0">
                  <c:v>25.397999495585346</c:v>
                </c:pt>
                <c:pt idx="1">
                  <c:v>26.255243073496427</c:v>
                </c:pt>
                <c:pt idx="2">
                  <c:v>28.11832065662216</c:v>
                </c:pt>
                <c:pt idx="3">
                  <c:v>31.141154046613632</c:v>
                </c:pt>
              </c:numCache>
            </c:numRef>
          </c:val>
          <c:smooth val="0"/>
        </c:ser>
        <c:ser>
          <c:idx val="1"/>
          <c:order val="1"/>
          <c:tx>
            <c:strRef>
              <c:f>'Mēķa rādītāji_vecie'!$B$9</c:f>
              <c:strCache>
                <c:ptCount val="1"/>
                <c:pt idx="0">
                  <c:v>Mērķis</c:v>
                </c:pt>
              </c:strCache>
            </c:strRef>
          </c:tx>
          <c:spPr>
            <a:ln w="28575" cap="rnd">
              <a:noFill/>
              <a:round/>
            </a:ln>
            <a:effectLst/>
          </c:spPr>
          <c:marker>
            <c:symbol val="circle"/>
            <c:size val="5"/>
            <c:spPr>
              <a:solidFill>
                <a:srgbClr val="C00000"/>
              </a:solidFill>
              <a:ln w="9525">
                <a:solidFill>
                  <a:schemeClr val="accent2"/>
                </a:solidFill>
              </a:ln>
              <a:effectLst/>
            </c:spPr>
          </c:marker>
          <c:dLbls>
            <c:dLbl>
              <c:idx val="7"/>
              <c:layout>
                <c:manualLayout>
                  <c:x val="-6.9489685124864281E-2"/>
                  <c:y val="6.82170542635658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rādītāji_vecie'!$E$9:$L$9</c:f>
              <c:numCache>
                <c:formatCode>General</c:formatCode>
                <c:ptCount val="8"/>
                <c:pt idx="3">
                  <c:v>27.5</c:v>
                </c:pt>
                <c:pt idx="7">
                  <c:v>31</c:v>
                </c:pt>
              </c:numCache>
            </c:numRef>
          </c:val>
          <c:smooth val="0"/>
        </c:ser>
        <c:dLbls>
          <c:showLegendKey val="0"/>
          <c:showVal val="0"/>
          <c:showCatName val="0"/>
          <c:showSerName val="0"/>
          <c:showPercent val="0"/>
          <c:showBubbleSize val="0"/>
        </c:dLbls>
        <c:marker val="1"/>
        <c:smooth val="0"/>
        <c:axId val="299761440"/>
        <c:axId val="299761832"/>
      </c:lineChart>
      <c:catAx>
        <c:axId val="29976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99761832"/>
        <c:crosses val="autoZero"/>
        <c:auto val="1"/>
        <c:lblAlgn val="ctr"/>
        <c:lblOffset val="100"/>
        <c:noMultiLvlLbl val="0"/>
      </c:catAx>
      <c:valAx>
        <c:axId val="299761832"/>
        <c:scaling>
          <c:orientation val="minMax"/>
          <c:min val="2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lv-LV"/>
          </a:p>
        </c:txPr>
        <c:crossAx val="299761440"/>
        <c:crosses val="autoZero"/>
        <c:crossBetween val="between"/>
        <c:majorUnit val="2"/>
      </c:valAx>
      <c:spPr>
        <a:noFill/>
        <a:ln>
          <a:noFill/>
        </a:ln>
        <a:effectLst/>
      </c:spPr>
    </c:plotArea>
    <c:legend>
      <c:legendPos val="b"/>
      <c:layout>
        <c:manualLayout>
          <c:xMode val="edge"/>
          <c:yMode val="edge"/>
          <c:x val="0.62944112441970812"/>
          <c:y val="0.6772185802356101"/>
          <c:w val="0.3210247802699609"/>
          <c:h val="0.18872642321841013"/>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noFill/>
      <a:round/>
    </a:ln>
    <a:effectLst/>
  </c:spPr>
  <c:txPr>
    <a:bodyPr/>
    <a:lstStyle/>
    <a:p>
      <a:pPr algn="just">
        <a:defRPr sz="800">
          <a:latin typeface="Arial Narrow" panose="020B0606020202030204" pitchFamily="34"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910802927377911E-2"/>
          <c:y val="5.7644602982192303E-2"/>
          <c:w val="0.6075548040144757"/>
          <c:h val="0.8322824225710207"/>
        </c:manualLayout>
      </c:layout>
      <c:barChart>
        <c:barDir val="col"/>
        <c:grouping val="stacked"/>
        <c:varyColors val="0"/>
        <c:ser>
          <c:idx val="0"/>
          <c:order val="0"/>
          <c:tx>
            <c:strRef>
              <c:f>Sheet1!$A$4</c:f>
              <c:strCache>
                <c:ptCount val="1"/>
                <c:pt idx="0">
                  <c:v>Privātais patēriņš</c:v>
                </c:pt>
              </c:strCache>
            </c:strRef>
          </c:tx>
          <c:spPr>
            <a:solidFill>
              <a:srgbClr val="2C92AA"/>
            </a:solidFill>
            <a:ln w="1270">
              <a:solidFill>
                <a:sysClr val="windowText" lastClr="000000"/>
              </a:solidFill>
              <a:prstDash val="solid"/>
            </a:ln>
          </c:spPr>
          <c:invertIfNegative val="0"/>
          <c:cat>
            <c:numRef>
              <c:f>Sheet1!$B$3:$F$3</c:f>
              <c:numCache>
                <c:formatCode>General</c:formatCode>
                <c:ptCount val="5"/>
                <c:pt idx="0">
                  <c:v>2011</c:v>
                </c:pt>
                <c:pt idx="1">
                  <c:v>2012</c:v>
                </c:pt>
                <c:pt idx="2">
                  <c:v>2013</c:v>
                </c:pt>
                <c:pt idx="3">
                  <c:v>2014</c:v>
                </c:pt>
                <c:pt idx="4">
                  <c:v>2015</c:v>
                </c:pt>
              </c:numCache>
            </c:numRef>
          </c:cat>
          <c:val>
            <c:numRef>
              <c:f>Sheet1!$B$4:$F$4</c:f>
              <c:numCache>
                <c:formatCode>0.0</c:formatCode>
                <c:ptCount val="5"/>
                <c:pt idx="0">
                  <c:v>1.8901037583454388</c:v>
                </c:pt>
                <c:pt idx="1">
                  <c:v>1.9428649816352825</c:v>
                </c:pt>
                <c:pt idx="2">
                  <c:v>3.0796007337196127</c:v>
                </c:pt>
                <c:pt idx="3">
                  <c:v>1.4047052822637016</c:v>
                </c:pt>
                <c:pt idx="4">
                  <c:v>2.0274936434124138</c:v>
                </c:pt>
              </c:numCache>
            </c:numRef>
          </c:val>
        </c:ser>
        <c:ser>
          <c:idx val="1"/>
          <c:order val="1"/>
          <c:tx>
            <c:strRef>
              <c:f>Sheet1!$A$5</c:f>
              <c:strCache>
                <c:ptCount val="1"/>
                <c:pt idx="0">
                  <c:v>Sabiedriskais patēriņš</c:v>
                </c:pt>
              </c:strCache>
            </c:strRef>
          </c:tx>
          <c:spPr>
            <a:solidFill>
              <a:sysClr val="window" lastClr="FFFFFF"/>
            </a:solidFill>
            <a:ln w="1270">
              <a:solidFill>
                <a:srgbClr val="000000"/>
              </a:solidFill>
            </a:ln>
          </c:spPr>
          <c:invertIfNegative val="0"/>
          <c:cat>
            <c:numRef>
              <c:f>Sheet1!$B$3:$F$3</c:f>
              <c:numCache>
                <c:formatCode>General</c:formatCode>
                <c:ptCount val="5"/>
                <c:pt idx="0">
                  <c:v>2011</c:v>
                </c:pt>
                <c:pt idx="1">
                  <c:v>2012</c:v>
                </c:pt>
                <c:pt idx="2">
                  <c:v>2013</c:v>
                </c:pt>
                <c:pt idx="3">
                  <c:v>2014</c:v>
                </c:pt>
                <c:pt idx="4">
                  <c:v>2015</c:v>
                </c:pt>
              </c:numCache>
            </c:numRef>
          </c:cat>
          <c:val>
            <c:numRef>
              <c:f>Sheet1!$B$5:$F$5</c:f>
              <c:numCache>
                <c:formatCode>0.0</c:formatCode>
                <c:ptCount val="5"/>
                <c:pt idx="0">
                  <c:v>0.55796266485133938</c:v>
                </c:pt>
                <c:pt idx="1">
                  <c:v>5.1087000188495719E-2</c:v>
                </c:pt>
                <c:pt idx="2">
                  <c:v>0.28545568433950641</c:v>
                </c:pt>
                <c:pt idx="3">
                  <c:v>0.87423649639335721</c:v>
                </c:pt>
                <c:pt idx="4">
                  <c:v>0.5378801810627587</c:v>
                </c:pt>
              </c:numCache>
            </c:numRef>
          </c:val>
        </c:ser>
        <c:ser>
          <c:idx val="2"/>
          <c:order val="2"/>
          <c:tx>
            <c:strRef>
              <c:f>Sheet1!$A$6</c:f>
              <c:strCache>
                <c:ptCount val="1"/>
                <c:pt idx="0">
                  <c:v>Bruto pamatkapitāla veidošana</c:v>
                </c:pt>
              </c:strCache>
            </c:strRef>
          </c:tx>
          <c:spPr>
            <a:solidFill>
              <a:srgbClr val="FFC000"/>
            </a:solidFill>
            <a:ln w="1270">
              <a:solidFill>
                <a:sysClr val="windowText" lastClr="000000"/>
              </a:solidFill>
            </a:ln>
          </c:spPr>
          <c:invertIfNegative val="0"/>
          <c:cat>
            <c:numRef>
              <c:f>Sheet1!$B$3:$F$3</c:f>
              <c:numCache>
                <c:formatCode>General</c:formatCode>
                <c:ptCount val="5"/>
                <c:pt idx="0">
                  <c:v>2011</c:v>
                </c:pt>
                <c:pt idx="1">
                  <c:v>2012</c:v>
                </c:pt>
                <c:pt idx="2">
                  <c:v>2013</c:v>
                </c:pt>
                <c:pt idx="3">
                  <c:v>2014</c:v>
                </c:pt>
                <c:pt idx="4">
                  <c:v>2015</c:v>
                </c:pt>
              </c:numCache>
            </c:numRef>
          </c:cat>
          <c:val>
            <c:numRef>
              <c:f>Sheet1!$B$6:$F$6</c:f>
              <c:numCache>
                <c:formatCode>0.0</c:formatCode>
                <c:ptCount val="5"/>
                <c:pt idx="0">
                  <c:v>4.6785361528704978</c:v>
                </c:pt>
                <c:pt idx="1">
                  <c:v>3.2038512358855362</c:v>
                </c:pt>
                <c:pt idx="2">
                  <c:v>-1.5351542667831886</c:v>
                </c:pt>
                <c:pt idx="3">
                  <c:v>0.10490965605967355</c:v>
                </c:pt>
                <c:pt idx="4">
                  <c:v>0.58829444794372687</c:v>
                </c:pt>
              </c:numCache>
            </c:numRef>
          </c:val>
        </c:ser>
        <c:ser>
          <c:idx val="3"/>
          <c:order val="3"/>
          <c:tx>
            <c:strRef>
              <c:f>Sheet1!$A$7</c:f>
              <c:strCache>
                <c:ptCount val="1"/>
                <c:pt idx="0">
                  <c:v>Krājumi</c:v>
                </c:pt>
              </c:strCache>
            </c:strRef>
          </c:tx>
          <c:spPr>
            <a:solidFill>
              <a:sysClr val="window" lastClr="FFFFFF">
                <a:lumMod val="85000"/>
              </a:sysClr>
            </a:solidFill>
            <a:ln w="1270">
              <a:solidFill>
                <a:srgbClr val="000000"/>
              </a:solidFill>
            </a:ln>
          </c:spPr>
          <c:invertIfNegative val="0"/>
          <c:cat>
            <c:numRef>
              <c:f>Sheet1!$B$3:$F$3</c:f>
              <c:numCache>
                <c:formatCode>General</c:formatCode>
                <c:ptCount val="5"/>
                <c:pt idx="0">
                  <c:v>2011</c:v>
                </c:pt>
                <c:pt idx="1">
                  <c:v>2012</c:v>
                </c:pt>
                <c:pt idx="2">
                  <c:v>2013</c:v>
                </c:pt>
                <c:pt idx="3">
                  <c:v>2014</c:v>
                </c:pt>
                <c:pt idx="4">
                  <c:v>2015</c:v>
                </c:pt>
              </c:numCache>
            </c:numRef>
          </c:cat>
          <c:val>
            <c:numRef>
              <c:f>Sheet1!$B$7:$F$7</c:f>
              <c:numCache>
                <c:formatCode>0.0</c:formatCode>
                <c:ptCount val="5"/>
                <c:pt idx="0">
                  <c:v>4.7729349012509976</c:v>
                </c:pt>
                <c:pt idx="1">
                  <c:v>-3.474025123331252</c:v>
                </c:pt>
                <c:pt idx="2">
                  <c:v>0.40640929359252204</c:v>
                </c:pt>
                <c:pt idx="3">
                  <c:v>-1.421105724627366</c:v>
                </c:pt>
                <c:pt idx="4">
                  <c:v>-0.1</c:v>
                </c:pt>
              </c:numCache>
            </c:numRef>
          </c:val>
        </c:ser>
        <c:ser>
          <c:idx val="4"/>
          <c:order val="4"/>
          <c:tx>
            <c:strRef>
              <c:f>Sheet1!$A$8</c:f>
              <c:strCache>
                <c:ptCount val="1"/>
                <c:pt idx="0">
                  <c:v>Eksports</c:v>
                </c:pt>
              </c:strCache>
            </c:strRef>
          </c:tx>
          <c:spPr>
            <a:solidFill>
              <a:srgbClr val="C00000"/>
            </a:solidFill>
            <a:ln w="1270">
              <a:solidFill>
                <a:srgbClr val="000000"/>
              </a:solidFill>
            </a:ln>
          </c:spPr>
          <c:invertIfNegative val="0"/>
          <c:cat>
            <c:numRef>
              <c:f>Sheet1!$B$3:$F$3</c:f>
              <c:numCache>
                <c:formatCode>General</c:formatCode>
                <c:ptCount val="5"/>
                <c:pt idx="0">
                  <c:v>2011</c:v>
                </c:pt>
                <c:pt idx="1">
                  <c:v>2012</c:v>
                </c:pt>
                <c:pt idx="2">
                  <c:v>2013</c:v>
                </c:pt>
                <c:pt idx="3">
                  <c:v>2014</c:v>
                </c:pt>
                <c:pt idx="4">
                  <c:v>2015</c:v>
                </c:pt>
              </c:numCache>
            </c:numRef>
          </c:cat>
          <c:val>
            <c:numRef>
              <c:f>Sheet1!$B$8:$F$8</c:f>
              <c:numCache>
                <c:formatCode>0.0</c:formatCode>
                <c:ptCount val="5"/>
                <c:pt idx="0">
                  <c:v>6.4693488554632586</c:v>
                </c:pt>
                <c:pt idx="1">
                  <c:v>5.6702654562841337</c:v>
                </c:pt>
                <c:pt idx="2">
                  <c:v>0.66499270679872957</c:v>
                </c:pt>
                <c:pt idx="3">
                  <c:v>1.8784567695803116</c:v>
                </c:pt>
                <c:pt idx="4">
                  <c:v>0.8</c:v>
                </c:pt>
              </c:numCache>
            </c:numRef>
          </c:val>
        </c:ser>
        <c:ser>
          <c:idx val="5"/>
          <c:order val="5"/>
          <c:tx>
            <c:strRef>
              <c:f>Sheet1!$A$9</c:f>
              <c:strCache>
                <c:ptCount val="1"/>
                <c:pt idx="0">
                  <c:v>Imports</c:v>
                </c:pt>
              </c:strCache>
            </c:strRef>
          </c:tx>
          <c:spPr>
            <a:solidFill>
              <a:srgbClr val="002060"/>
            </a:solidFill>
            <a:ln w="1270">
              <a:solidFill>
                <a:srgbClr val="000000"/>
              </a:solidFill>
            </a:ln>
          </c:spPr>
          <c:invertIfNegative val="0"/>
          <c:cat>
            <c:numRef>
              <c:f>Sheet1!$B$3:$F$3</c:f>
              <c:numCache>
                <c:formatCode>General</c:formatCode>
                <c:ptCount val="5"/>
                <c:pt idx="0">
                  <c:v>2011</c:v>
                </c:pt>
                <c:pt idx="1">
                  <c:v>2012</c:v>
                </c:pt>
                <c:pt idx="2">
                  <c:v>2013</c:v>
                </c:pt>
                <c:pt idx="3">
                  <c:v>2014</c:v>
                </c:pt>
                <c:pt idx="4">
                  <c:v>2015</c:v>
                </c:pt>
              </c:numCache>
            </c:numRef>
          </c:cat>
          <c:val>
            <c:numRef>
              <c:f>Sheet1!$B$9:$F$9</c:f>
              <c:numCache>
                <c:formatCode>0.0</c:formatCode>
                <c:ptCount val="5"/>
                <c:pt idx="0">
                  <c:v>-12.157396749070386</c:v>
                </c:pt>
                <c:pt idx="1">
                  <c:v>-3.3888086733419391</c:v>
                </c:pt>
                <c:pt idx="2">
                  <c:v>0.1203474392464053</c:v>
                </c:pt>
                <c:pt idx="3">
                  <c:v>-0.48200729970152473</c:v>
                </c:pt>
                <c:pt idx="4">
                  <c:v>-1.1000000000000001</c:v>
                </c:pt>
              </c:numCache>
            </c:numRef>
          </c:val>
        </c:ser>
        <c:dLbls>
          <c:showLegendKey val="0"/>
          <c:showVal val="0"/>
          <c:showCatName val="0"/>
          <c:showSerName val="0"/>
          <c:showPercent val="0"/>
          <c:showBubbleSize val="0"/>
        </c:dLbls>
        <c:gapWidth val="20"/>
        <c:overlap val="100"/>
        <c:axId val="290804272"/>
        <c:axId val="290804664"/>
      </c:barChart>
      <c:catAx>
        <c:axId val="290804272"/>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a:pPr>
            <a:endParaRPr lang="lv-LV"/>
          </a:p>
        </c:txPr>
        <c:crossAx val="290804664"/>
        <c:crosses val="autoZero"/>
        <c:auto val="0"/>
        <c:lblAlgn val="ctr"/>
        <c:lblOffset val="0"/>
        <c:tickLblSkip val="1"/>
        <c:tickMarkSkip val="1"/>
        <c:noMultiLvlLbl val="0"/>
      </c:catAx>
      <c:valAx>
        <c:axId val="290804664"/>
        <c:scaling>
          <c:orientation val="minMax"/>
          <c:max val="20"/>
          <c:min val="-15"/>
        </c:scaling>
        <c:delete val="0"/>
        <c:axPos val="l"/>
        <c:numFmt formatCode="0" sourceLinked="0"/>
        <c:majorTickMark val="out"/>
        <c:minorTickMark val="none"/>
        <c:tickLblPos val="nextTo"/>
        <c:spPr>
          <a:ln w="3159">
            <a:solidFill>
              <a:srgbClr val="000000"/>
            </a:solidFill>
            <a:prstDash val="solid"/>
          </a:ln>
        </c:spPr>
        <c:txPr>
          <a:bodyPr rot="0" vert="horz"/>
          <a:lstStyle/>
          <a:p>
            <a:pPr>
              <a:defRPr/>
            </a:pPr>
            <a:endParaRPr lang="lv-LV"/>
          </a:p>
        </c:txPr>
        <c:crossAx val="290804272"/>
        <c:crosses val="autoZero"/>
        <c:crossBetween val="between"/>
        <c:majorUnit val="5"/>
      </c:valAx>
      <c:spPr>
        <a:solidFill>
          <a:srgbClr val="FFFFFF"/>
        </a:solidFill>
        <a:ln w="24972">
          <a:noFill/>
        </a:ln>
      </c:spPr>
    </c:plotArea>
    <c:legend>
      <c:legendPos val="t"/>
      <c:layout>
        <c:manualLayout>
          <c:xMode val="edge"/>
          <c:yMode val="edge"/>
          <c:x val="0.68391103189228142"/>
          <c:y val="7.8068235325938054E-2"/>
          <c:w val="0.31177560661105347"/>
          <c:h val="0.84995626702989002"/>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Arial Narrow" panose="020B0606020202030204" pitchFamily="34" charset="0"/>
          <a:ea typeface="Arial"/>
          <a:cs typeface="Arial"/>
        </a:defRPr>
      </a:pPr>
      <a:endParaRPr lang="lv-LV"/>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dLbl>
              <c:idx val="1"/>
              <c:layout>
                <c:manualLayout>
                  <c:x val="0"/>
                  <c:y val="3.70370370370369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742729306489334E-3"/>
                  <c:y val="5.55555555555554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Sheet1!$H$4:$M$4</c:f>
              <c:numCache>
                <c:formatCode>General</c:formatCode>
                <c:ptCount val="6"/>
                <c:pt idx="0">
                  <c:v>2010</c:v>
                </c:pt>
                <c:pt idx="1">
                  <c:v>2011</c:v>
                </c:pt>
                <c:pt idx="2">
                  <c:v>2012</c:v>
                </c:pt>
                <c:pt idx="3">
                  <c:v>2013</c:v>
                </c:pt>
                <c:pt idx="4">
                  <c:v>2014</c:v>
                </c:pt>
                <c:pt idx="5">
                  <c:v>2015</c:v>
                </c:pt>
              </c:numCache>
            </c:numRef>
          </c:cat>
          <c:val>
            <c:numRef>
              <c:f>Sheet1!$H$14:$M$14</c:f>
              <c:numCache>
                <c:formatCode>0.0</c:formatCode>
                <c:ptCount val="6"/>
                <c:pt idx="0">
                  <c:v>25.193253689388612</c:v>
                </c:pt>
                <c:pt idx="1">
                  <c:v>17.533774073009482</c:v>
                </c:pt>
                <c:pt idx="2">
                  <c:v>19.881889763779533</c:v>
                </c:pt>
                <c:pt idx="3">
                  <c:v>19.354365370506237</c:v>
                </c:pt>
                <c:pt idx="4">
                  <c:v>4.9613301535649779</c:v>
                </c:pt>
                <c:pt idx="5">
                  <c:v>6.6392194851923518</c:v>
                </c:pt>
              </c:numCache>
            </c:numRef>
          </c:val>
          <c:smooth val="0"/>
        </c:ser>
        <c:ser>
          <c:idx val="1"/>
          <c:order val="1"/>
          <c:tx>
            <c:strRef>
              <c:f>Sheet1!$A$14</c:f>
              <c:strCache>
                <c:ptCount val="1"/>
                <c:pt idx="0">
                  <c:v>ĀTI uz ārējo pieprasījumu orientētajās nozarēs (% no visām ienākošajām neto ĀTI) (2012.gadā – 17,5%, 2015.gadā – 20,0%; 2019.gadā – 22,0%)</c:v>
                </c:pt>
              </c:strCache>
            </c:strRef>
          </c:tx>
          <c:spPr>
            <a:ln w="28575" cap="rnd">
              <a:solidFill>
                <a:schemeClr val="accent2"/>
              </a:solidFill>
              <a:round/>
            </a:ln>
            <a:effectLst/>
          </c:spPr>
          <c:marker>
            <c:symbol val="none"/>
          </c:marker>
          <c:val>
            <c:numLit>
              <c:formatCode>General</c:formatCode>
              <c:ptCount val="1"/>
              <c:pt idx="0">
                <c:v>1</c:v>
              </c:pt>
            </c:numLit>
          </c:val>
          <c:smooth val="0"/>
        </c:ser>
        <c:dLbls>
          <c:showLegendKey val="0"/>
          <c:showVal val="0"/>
          <c:showCatName val="0"/>
          <c:showSerName val="0"/>
          <c:showPercent val="0"/>
          <c:showBubbleSize val="0"/>
        </c:dLbls>
        <c:smooth val="0"/>
        <c:axId val="299762616"/>
        <c:axId val="299763008"/>
      </c:lineChart>
      <c:catAx>
        <c:axId val="2997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299763008"/>
        <c:crosses val="autoZero"/>
        <c:auto val="1"/>
        <c:lblAlgn val="ctr"/>
        <c:lblOffset val="100"/>
        <c:noMultiLvlLbl val="0"/>
      </c:catAx>
      <c:valAx>
        <c:axId val="29976300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99762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lv-LV"/>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97672971802301"/>
          <c:y val="0.1066718973295598"/>
          <c:w val="0.83445892743153427"/>
          <c:h val="0.76154846302575163"/>
        </c:manualLayout>
      </c:layout>
      <c:lineChart>
        <c:grouping val="standard"/>
        <c:varyColors val="0"/>
        <c:ser>
          <c:idx val="0"/>
          <c:order val="0"/>
          <c:tx>
            <c:strRef>
              <c:f>'Mēķa rādītāji_vecie'!$B$34</c:f>
              <c:strCache>
                <c:ptCount val="1"/>
                <c:pt idx="0">
                  <c:v>Fakts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rādītāji_vecie'!$E$34:$L$34</c:f>
              <c:numCache>
                <c:formatCode>0.00</c:formatCode>
                <c:ptCount val="8"/>
                <c:pt idx="0">
                  <c:v>0.71094689823572133</c:v>
                </c:pt>
                <c:pt idx="1">
                  <c:v>0.75071980236537517</c:v>
                </c:pt>
                <c:pt idx="2">
                  <c:v>0.47812117306632179</c:v>
                </c:pt>
                <c:pt idx="3">
                  <c:v>0.27225112056491124</c:v>
                </c:pt>
              </c:numCache>
            </c:numRef>
          </c:val>
          <c:smooth val="0"/>
        </c:ser>
        <c:ser>
          <c:idx val="1"/>
          <c:order val="1"/>
          <c:tx>
            <c:strRef>
              <c:f>'Mēķa rādītāji_vecie'!$B$35</c:f>
              <c:strCache>
                <c:ptCount val="1"/>
                <c:pt idx="0">
                  <c:v>Mērķis</c:v>
                </c:pt>
              </c:strCache>
            </c:strRef>
          </c:tx>
          <c:spPr>
            <a:ln w="28575" cap="rnd">
              <a:noFill/>
              <a:round/>
            </a:ln>
            <a:effectLst/>
          </c:spPr>
          <c:marker>
            <c:symbol val="circle"/>
            <c:size val="5"/>
            <c:spPr>
              <a:solidFill>
                <a:srgbClr val="C00000"/>
              </a:solidFill>
              <a:ln w="9525">
                <a:solidFill>
                  <a:schemeClr val="accent2"/>
                </a:solidFill>
              </a:ln>
              <a:effectLst/>
            </c:spPr>
          </c:marker>
          <c:dLbls>
            <c:dLbl>
              <c:idx val="0"/>
              <c:layout>
                <c:manualLayout>
                  <c:x val="-6.8368277119416607E-2"/>
                  <c:y val="-6.40569395017794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b="1">
                    <a:latin typeface="Arial Narrow" panose="020B060602020203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'Mēķa rādītāji_vecie'!$E$3:$L$3</c:f>
              <c:strCache>
                <c:ptCount val="8"/>
                <c:pt idx="0">
                  <c:v>2012</c:v>
                </c:pt>
                <c:pt idx="1">
                  <c:v>2013</c:v>
                </c:pt>
                <c:pt idx="2">
                  <c:v>2014</c:v>
                </c:pt>
                <c:pt idx="3">
                  <c:v>2015</c:v>
                </c:pt>
                <c:pt idx="4">
                  <c:v>2016</c:v>
                </c:pt>
                <c:pt idx="5">
                  <c:v>2017</c:v>
                </c:pt>
                <c:pt idx="6">
                  <c:v>2018</c:v>
                </c:pt>
                <c:pt idx="7">
                  <c:v>2019</c:v>
                </c:pt>
              </c:strCache>
            </c:strRef>
          </c:cat>
          <c:val>
            <c:numRef>
              <c:f>'Mēķa rādītāji_vecie'!$E$35:$L$35</c:f>
              <c:numCache>
                <c:formatCode>General</c:formatCode>
                <c:ptCount val="8"/>
                <c:pt idx="0" formatCode="0.00">
                  <c:v>0.71094689823572133</c:v>
                </c:pt>
                <c:pt idx="3">
                  <c:v>1.5</c:v>
                </c:pt>
                <c:pt idx="7">
                  <c:v>1.5</c:v>
                </c:pt>
              </c:numCache>
            </c:numRef>
          </c:val>
          <c:smooth val="0"/>
        </c:ser>
        <c:dLbls>
          <c:showLegendKey val="0"/>
          <c:showVal val="0"/>
          <c:showCatName val="0"/>
          <c:showSerName val="0"/>
          <c:showPercent val="0"/>
          <c:showBubbleSize val="0"/>
        </c:dLbls>
        <c:marker val="1"/>
        <c:smooth val="0"/>
        <c:axId val="299763792"/>
        <c:axId val="299764184"/>
      </c:lineChart>
      <c:catAx>
        <c:axId val="29976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Times New Roman" panose="02020603050405020304" pitchFamily="18" charset="0"/>
              </a:defRPr>
            </a:pPr>
            <a:endParaRPr lang="lv-LV"/>
          </a:p>
        </c:txPr>
        <c:crossAx val="299764184"/>
        <c:crosses val="autoZero"/>
        <c:auto val="1"/>
        <c:lblAlgn val="ctr"/>
        <c:lblOffset val="100"/>
        <c:noMultiLvlLbl val="0"/>
      </c:catAx>
      <c:valAx>
        <c:axId val="299764184"/>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Times New Roman" panose="02020603050405020304" pitchFamily="18" charset="0"/>
              </a:defRPr>
            </a:pPr>
            <a:endParaRPr lang="lv-LV"/>
          </a:p>
        </c:txPr>
        <c:crossAx val="299763792"/>
        <c:crosses val="autoZero"/>
        <c:crossBetween val="between"/>
        <c:majorUnit val="0.30000000000000004"/>
      </c:valAx>
      <c:spPr>
        <a:noFill/>
        <a:ln>
          <a:noFill/>
        </a:ln>
        <a:effectLst/>
      </c:spPr>
    </c:plotArea>
    <c:legend>
      <c:legendPos val="b"/>
      <c:layout>
        <c:manualLayout>
          <c:xMode val="edge"/>
          <c:yMode val="edge"/>
          <c:x val="0.63172505789717459"/>
          <c:y val="0.56926802386579201"/>
          <c:w val="0.31583547938860584"/>
          <c:h val="0.235871281567596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200"/>
      </a:pPr>
      <a:endParaRPr lang="lv-LV"/>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b="1">
                <a:solidFill>
                  <a:sysClr val="windowText" lastClr="000000"/>
                </a:solidFill>
                <a:latin typeface="Times New Roman" panose="02020603050405020304" pitchFamily="18" charset="0"/>
                <a:cs typeface="Times New Roman" panose="02020603050405020304" pitchFamily="18" charset="0"/>
              </a:rPr>
              <a:t>ĀTI</a:t>
            </a:r>
            <a:r>
              <a:rPr lang="lv-LV" sz="1100" b="1" baseline="0">
                <a:solidFill>
                  <a:sysClr val="windowText" lastClr="000000"/>
                </a:solidFill>
                <a:latin typeface="Times New Roman" panose="02020603050405020304" pitchFamily="18" charset="0"/>
                <a:cs typeface="Times New Roman" panose="02020603050405020304" pitchFamily="18" charset="0"/>
              </a:rPr>
              <a:t> snieguma indekss </a:t>
            </a:r>
            <a:r>
              <a:rPr lang="lv-LV" sz="1100" b="1">
                <a:solidFill>
                  <a:sysClr val="windowText" lastClr="000000"/>
                </a:solidFill>
                <a:latin typeface="Times New Roman" panose="02020603050405020304" pitchFamily="18" charset="0"/>
                <a:cs typeface="Times New Roman" panose="02020603050405020304" pitchFamily="18" charset="0"/>
              </a:rPr>
              <a:t>Latvijā</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848369857382283"/>
          <c:y val="5.28634361233480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Sheet1!$A$44</c:f>
              <c:strCache>
                <c:ptCount val="1"/>
                <c:pt idx="0">
                  <c:v>ĀTI SNIEGUMA INDEKSS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Sheet1!$O$4:$X$4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Sheet1!$O$45:$X$45</c:f>
              <c:numCache>
                <c:formatCode>0.0</c:formatCode>
                <c:ptCount val="10"/>
                <c:pt idx="0">
                  <c:v>0.85163521277614085</c:v>
                </c:pt>
                <c:pt idx="1">
                  <c:v>0.9202644685879583</c:v>
                </c:pt>
                <c:pt idx="2">
                  <c:v>0.98001747209576695</c:v>
                </c:pt>
                <c:pt idx="3">
                  <c:v>0.83034280279786188</c:v>
                </c:pt>
                <c:pt idx="4">
                  <c:v>0.56299135158310043</c:v>
                </c:pt>
                <c:pt idx="5">
                  <c:v>0.7435257551090243</c:v>
                </c:pt>
                <c:pt idx="6">
                  <c:v>0.98834358378268061</c:v>
                </c:pt>
                <c:pt idx="7">
                  <c:v>1.2366855801742469</c:v>
                </c:pt>
                <c:pt idx="8">
                  <c:v>1.3132753203417373</c:v>
                </c:pt>
                <c:pt idx="9">
                  <c:v>1.4528853025546491</c:v>
                </c:pt>
              </c:numCache>
            </c:numRef>
          </c:val>
          <c:smooth val="0"/>
        </c:ser>
        <c:dLbls>
          <c:showLegendKey val="0"/>
          <c:showVal val="0"/>
          <c:showCatName val="0"/>
          <c:showSerName val="0"/>
          <c:showPercent val="0"/>
          <c:showBubbleSize val="0"/>
        </c:dLbls>
        <c:smooth val="0"/>
        <c:axId val="299764968"/>
        <c:axId val="299765360"/>
      </c:lineChart>
      <c:catAx>
        <c:axId val="29976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v-LV"/>
          </a:p>
        </c:txPr>
        <c:crossAx val="299765360"/>
        <c:crosses val="autoZero"/>
        <c:auto val="1"/>
        <c:lblAlgn val="ctr"/>
        <c:lblOffset val="100"/>
        <c:noMultiLvlLbl val="0"/>
      </c:catAx>
      <c:valAx>
        <c:axId val="29976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764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900" b="1">
                <a:solidFill>
                  <a:sysClr val="windowText" lastClr="000000"/>
                </a:solidFill>
                <a:latin typeface="Times New Roman" panose="02020603050405020304" pitchFamily="18" charset="0"/>
                <a:cs typeface="Times New Roman" panose="02020603050405020304" pitchFamily="18" charset="0"/>
              </a:rPr>
              <a:t>Latvijas sniegums ĀTI piesaistē</a:t>
            </a:r>
            <a:r>
              <a:rPr lang="lv-LV" sz="900" b="1" baseline="0">
                <a:solidFill>
                  <a:sysClr val="windowText" lastClr="000000"/>
                </a:solidFill>
                <a:latin typeface="Times New Roman" panose="02020603050405020304" pitchFamily="18" charset="0"/>
                <a:cs typeface="Times New Roman" panose="02020603050405020304" pitchFamily="18" charset="0"/>
              </a:rPr>
              <a:t> Baltijas reģionā un reģiona daļa IKP (%, 3 gadu vidējais rādītājs)</a:t>
            </a:r>
            <a:endParaRPr lang="lv-LV"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Sheet1!$A$42</c:f>
              <c:strCache>
                <c:ptCount val="1"/>
                <c:pt idx="0">
                  <c:v>ĀTI Latvijā (% no ĀTI plūsmām Baltijas valstīs)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Sheet1!$E$4:$M$4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Sheet1!$P$42:$X$42</c:f>
              <c:numCache>
                <c:formatCode>0.0</c:formatCode>
                <c:ptCount val="9"/>
                <c:pt idx="0">
                  <c:v>29.114699277722149</c:v>
                </c:pt>
                <c:pt idx="1">
                  <c:v>31.999170519881602</c:v>
                </c:pt>
                <c:pt idx="2">
                  <c:v>27.122500422870488</c:v>
                </c:pt>
                <c:pt idx="3">
                  <c:v>17.721795637667014</c:v>
                </c:pt>
                <c:pt idx="4">
                  <c:v>22.460667288697273</c:v>
                </c:pt>
                <c:pt idx="5">
                  <c:v>29.380225884194811</c:v>
                </c:pt>
                <c:pt idx="6">
                  <c:v>36.810583611555067</c:v>
                </c:pt>
                <c:pt idx="7">
                  <c:v>39.000539889205349</c:v>
                </c:pt>
                <c:pt idx="8">
                  <c:v>43.077687359255172</c:v>
                </c:pt>
              </c:numCache>
            </c:numRef>
          </c:val>
        </c:ser>
        <c:ser>
          <c:idx val="1"/>
          <c:order val="1"/>
          <c:tx>
            <c:strRef>
              <c:f>Sheet1!$A$43</c:f>
              <c:strCache>
                <c:ptCount val="1"/>
                <c:pt idx="0">
                  <c:v>IKP Latvijas (% no IKP Baltijas valstīs)</c:v>
                </c:pt>
              </c:strCache>
            </c:strRef>
          </c:tx>
          <c:spPr>
            <a:solidFill>
              <a:schemeClr val="accent2"/>
            </a:solidFill>
            <a:ln>
              <a:noFill/>
            </a:ln>
            <a:effectLst/>
          </c:spPr>
          <c:invertIfNegative val="0"/>
          <c:cat>
            <c:numRef>
              <c:f>Sheet1!$E$4:$M$4</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Sheet1!$P$43:$X$43</c:f>
              <c:numCache>
                <c:formatCode>0.0</c:formatCode>
                <c:ptCount val="9"/>
                <c:pt idx="0">
                  <c:v>31.637317609790326</c:v>
                </c:pt>
                <c:pt idx="1">
                  <c:v>32.651632681049442</c:v>
                </c:pt>
                <c:pt idx="2">
                  <c:v>32.66422052612549</c:v>
                </c:pt>
                <c:pt idx="3">
                  <c:v>31.477918067185772</c:v>
                </c:pt>
                <c:pt idx="4">
                  <c:v>30.208324505724526</c:v>
                </c:pt>
                <c:pt idx="5">
                  <c:v>29.726733057494108</c:v>
                </c:pt>
                <c:pt idx="6">
                  <c:v>29.765515343332876</c:v>
                </c:pt>
                <c:pt idx="7">
                  <c:v>29.697154347693616</c:v>
                </c:pt>
                <c:pt idx="8">
                  <c:v>29.649750935955137</c:v>
                </c:pt>
              </c:numCache>
            </c:numRef>
          </c:val>
        </c:ser>
        <c:dLbls>
          <c:showLegendKey val="0"/>
          <c:showVal val="0"/>
          <c:showCatName val="0"/>
          <c:showSerName val="0"/>
          <c:showPercent val="0"/>
          <c:showBubbleSize val="0"/>
        </c:dLbls>
        <c:gapWidth val="219"/>
        <c:overlap val="-27"/>
        <c:axId val="299765752"/>
        <c:axId val="299766144"/>
      </c:barChart>
      <c:catAx>
        <c:axId val="29976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766144"/>
        <c:crosses val="autoZero"/>
        <c:auto val="1"/>
        <c:lblAlgn val="ctr"/>
        <c:lblOffset val="100"/>
        <c:noMultiLvlLbl val="0"/>
      </c:catAx>
      <c:valAx>
        <c:axId val="29976614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7657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solidFill>
                  <a:sysClr val="windowText" lastClr="000000"/>
                </a:solidFill>
                <a:latin typeface="Times New Roman" panose="02020603050405020304" pitchFamily="18" charset="0"/>
                <a:cs typeface="Times New Roman" panose="02020603050405020304" pitchFamily="18" charset="0"/>
              </a:rPr>
              <a:t>ĀTI snieguma indekss</a:t>
            </a:r>
            <a:r>
              <a:rPr lang="lv-LV" sz="1000" b="1" baseline="0">
                <a:solidFill>
                  <a:sysClr val="windowText" lastClr="000000"/>
                </a:solidFill>
                <a:latin typeface="Times New Roman" panose="02020603050405020304" pitchFamily="18" charset="0"/>
                <a:cs typeface="Times New Roman" panose="02020603050405020304" pitchFamily="18" charset="0"/>
              </a:rPr>
              <a:t> tirgojamās nozarēs Latvijā</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Sheet1!$A$68</c:f>
              <c:strCache>
                <c:ptCount val="1"/>
                <c:pt idx="0">
                  <c:v>LV</c:v>
                </c:pt>
              </c:strCache>
            </c:strRef>
          </c:tx>
          <c:spPr>
            <a:ln w="28575" cap="rnd">
              <a:solidFill>
                <a:schemeClr val="accent1"/>
              </a:solidFill>
              <a:round/>
            </a:ln>
            <a:effectLst/>
          </c:spPr>
          <c:marker>
            <c:symbol val="none"/>
          </c:marker>
          <c:cat>
            <c:numRef>
              <c:f>Sheet1!$O$4:$W$4</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Sheet1!$O$68:$W$68</c:f>
              <c:numCache>
                <c:formatCode>0.0</c:formatCode>
                <c:ptCount val="9"/>
                <c:pt idx="0">
                  <c:v>0.3965897644226668</c:v>
                </c:pt>
                <c:pt idx="1">
                  <c:v>0.55884886940174228</c:v>
                </c:pt>
                <c:pt idx="2">
                  <c:v>0.82736208700777669</c:v>
                </c:pt>
                <c:pt idx="3">
                  <c:v>0.96508891639482353</c:v>
                </c:pt>
                <c:pt idx="4">
                  <c:v>0.8924127765958404</c:v>
                </c:pt>
                <c:pt idx="5">
                  <c:v>0.56954267882218534</c:v>
                </c:pt>
                <c:pt idx="6">
                  <c:v>0.84499327313000649</c:v>
                </c:pt>
                <c:pt idx="7">
                  <c:v>1.3525043627605848</c:v>
                </c:pt>
                <c:pt idx="8">
                  <c:v>-3.1028933865095065</c:v>
                </c:pt>
              </c:numCache>
            </c:numRef>
          </c:val>
          <c:smooth val="0"/>
        </c:ser>
        <c:dLbls>
          <c:showLegendKey val="0"/>
          <c:showVal val="0"/>
          <c:showCatName val="0"/>
          <c:showSerName val="0"/>
          <c:showPercent val="0"/>
          <c:showBubbleSize val="0"/>
        </c:dLbls>
        <c:smooth val="0"/>
        <c:axId val="299766928"/>
        <c:axId val="299767320"/>
      </c:lineChart>
      <c:catAx>
        <c:axId val="2997669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lv-LV"/>
          </a:p>
        </c:txPr>
        <c:crossAx val="299767320"/>
        <c:crosses val="autoZero"/>
        <c:auto val="1"/>
        <c:lblAlgn val="ctr"/>
        <c:lblOffset val="100"/>
        <c:noMultiLvlLbl val="0"/>
      </c:catAx>
      <c:valAx>
        <c:axId val="299767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9976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54822834645707E-2"/>
          <c:y val="5.418703703704033E-2"/>
          <c:w val="0.8789631193571017"/>
          <c:h val="0.79032454276548769"/>
        </c:manualLayout>
      </c:layout>
      <c:barChart>
        <c:barDir val="col"/>
        <c:grouping val="clustered"/>
        <c:varyColors val="0"/>
        <c:ser>
          <c:idx val="9"/>
          <c:order val="0"/>
          <c:tx>
            <c:strRef>
              <c:f>Sheet1!$A$3</c:f>
              <c:strCache>
                <c:ptCount val="1"/>
                <c:pt idx="0">
                  <c:v>Eksports</c:v>
                </c:pt>
              </c:strCache>
            </c:strRef>
          </c:tx>
          <c:spPr>
            <a:solidFill>
              <a:schemeClr val="accent5">
                <a:lumMod val="75000"/>
              </a:schemeClr>
            </a:solidFill>
            <a:ln>
              <a:noFill/>
            </a:ln>
            <a:effectLst/>
          </c:spPr>
          <c:invertIfNegative val="0"/>
          <c:dLbls>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Sheet1!$B$2:$M$2</c:f>
              <c:numCache>
                <c:formatCode>0</c:formatCode>
                <c:ptCount val="9"/>
                <c:pt idx="0">
                  <c:v>2007</c:v>
                </c:pt>
                <c:pt idx="1">
                  <c:v>2008</c:v>
                </c:pt>
                <c:pt idx="2">
                  <c:v>2009</c:v>
                </c:pt>
                <c:pt idx="3">
                  <c:v>2010</c:v>
                </c:pt>
                <c:pt idx="4">
                  <c:v>2011</c:v>
                </c:pt>
                <c:pt idx="5">
                  <c:v>2012</c:v>
                </c:pt>
                <c:pt idx="6">
                  <c:v>2013</c:v>
                </c:pt>
                <c:pt idx="7">
                  <c:v>2014</c:v>
                </c:pt>
                <c:pt idx="8">
                  <c:v>2015</c:v>
                </c:pt>
              </c:numCache>
            </c:numRef>
          </c:cat>
          <c:val>
            <c:numRef>
              <c:f>Sheet1!$B$3:$M$3</c:f>
              <c:numCache>
                <c:formatCode>0.0</c:formatCode>
                <c:ptCount val="9"/>
                <c:pt idx="0">
                  <c:v>13.757295503789877</c:v>
                </c:pt>
                <c:pt idx="1">
                  <c:v>2.3717989616921784</c:v>
                </c:pt>
                <c:pt idx="2">
                  <c:v>-12.885141953361384</c:v>
                </c:pt>
                <c:pt idx="3">
                  <c:v>13.442527462852397</c:v>
                </c:pt>
                <c:pt idx="4">
                  <c:v>12.045730555272456</c:v>
                </c:pt>
                <c:pt idx="5">
                  <c:v>9.7791093735786632</c:v>
                </c:pt>
                <c:pt idx="6">
                  <c:v>1.0809270779872975</c:v>
                </c:pt>
                <c:pt idx="7">
                  <c:v>3.1117387643911627</c:v>
                </c:pt>
                <c:pt idx="8">
                  <c:v>1.3725756838525456</c:v>
                </c:pt>
              </c:numCache>
            </c:numRef>
          </c:val>
        </c:ser>
        <c:dLbls>
          <c:showLegendKey val="0"/>
          <c:showVal val="0"/>
          <c:showCatName val="0"/>
          <c:showSerName val="0"/>
          <c:showPercent val="0"/>
          <c:showBubbleSize val="0"/>
        </c:dLbls>
        <c:gapWidth val="20"/>
        <c:axId val="290805448"/>
        <c:axId val="290805840"/>
      </c:barChart>
      <c:catAx>
        <c:axId val="290805448"/>
        <c:scaling>
          <c:orientation val="minMax"/>
        </c:scaling>
        <c:delete val="0"/>
        <c:axPos val="b"/>
        <c:numFmt formatCode="0" sourceLinked="1"/>
        <c:majorTickMark val="out"/>
        <c:minorTickMark val="none"/>
        <c:tickLblPos val="low"/>
        <c:spPr>
          <a:noFill/>
          <a:ln w="3175" cap="flat" cmpd="sng" algn="ctr">
            <a:solidFill>
              <a:sysClr val="window" lastClr="FFFFFF">
                <a:lumMod val="50000"/>
              </a:sysClr>
            </a:solidFill>
            <a:prstDash val="solid"/>
            <a:round/>
          </a:ln>
          <a:effectLst/>
        </c:spPr>
        <c:txPr>
          <a:bodyPr rot="-5400000" spcFirstLastPara="1" vertOverflow="ellipsis" vert="horz"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290805840"/>
        <c:crosses val="autoZero"/>
        <c:auto val="0"/>
        <c:lblAlgn val="ctr"/>
        <c:lblOffset val="100"/>
        <c:noMultiLvlLbl val="0"/>
      </c:catAx>
      <c:valAx>
        <c:axId val="290805840"/>
        <c:scaling>
          <c:orientation val="minMax"/>
          <c:max val="15"/>
          <c:min val="-15"/>
        </c:scaling>
        <c:delete val="0"/>
        <c:axPos val="l"/>
        <c:numFmt formatCode="0" sourceLinked="0"/>
        <c:majorTickMark val="out"/>
        <c:minorTickMark val="none"/>
        <c:tickLblPos val="nextTo"/>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Times New Roman" panose="02020603050405020304" pitchFamily="18" charset="0"/>
                <a:ea typeface="Arial"/>
                <a:cs typeface="Times New Roman" panose="02020603050405020304" pitchFamily="18" charset="0"/>
              </a:defRPr>
            </a:pPr>
            <a:endParaRPr lang="lv-LV"/>
          </a:p>
        </c:txPr>
        <c:crossAx val="290805448"/>
        <c:crosses val="autoZero"/>
        <c:crossBetween val="between"/>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54822834645707E-2"/>
          <c:y val="5.4187037037040378E-2"/>
          <c:w val="0.8789631193571017"/>
          <c:h val="0.77943417934371095"/>
        </c:manualLayout>
      </c:layout>
      <c:lineChart>
        <c:grouping val="standard"/>
        <c:varyColors val="0"/>
        <c:ser>
          <c:idx val="9"/>
          <c:order val="0"/>
          <c:tx>
            <c:strRef>
              <c:f>Sheet1!$A$3</c:f>
              <c:strCache>
                <c:ptCount val="1"/>
                <c:pt idx="0">
                  <c:v>Eksports, kopā</c:v>
                </c:pt>
              </c:strCache>
            </c:strRef>
          </c:tx>
          <c:spPr>
            <a:ln w="22225">
              <a:solidFill>
                <a:schemeClr val="tx1"/>
              </a:solidFill>
            </a:ln>
            <a:effectLst/>
          </c:spPr>
          <c:marker>
            <c:symbol val="none"/>
          </c:marker>
          <c:cat>
            <c:numRef>
              <c:f>Sheet1!$B$2:$M$2</c:f>
              <c:numCache>
                <c:formatCode>0</c:formatCode>
                <c:ptCount val="9"/>
                <c:pt idx="0">
                  <c:v>2007</c:v>
                </c:pt>
                <c:pt idx="1">
                  <c:v>2008</c:v>
                </c:pt>
                <c:pt idx="2">
                  <c:v>2009</c:v>
                </c:pt>
                <c:pt idx="3">
                  <c:v>2010</c:v>
                </c:pt>
                <c:pt idx="4">
                  <c:v>2011</c:v>
                </c:pt>
                <c:pt idx="5">
                  <c:v>2012</c:v>
                </c:pt>
                <c:pt idx="6">
                  <c:v>2013</c:v>
                </c:pt>
                <c:pt idx="7">
                  <c:v>2014</c:v>
                </c:pt>
                <c:pt idx="8">
                  <c:v>2015</c:v>
                </c:pt>
              </c:numCache>
            </c:numRef>
          </c:cat>
          <c:val>
            <c:numRef>
              <c:f>Sheet1!$B$3:$M$3</c:f>
              <c:numCache>
                <c:formatCode>0.0</c:formatCode>
                <c:ptCount val="9"/>
                <c:pt idx="0">
                  <c:v>151.01253608547211</c:v>
                </c:pt>
                <c:pt idx="1">
                  <c:v>154.59426572145628</c:v>
                </c:pt>
                <c:pt idx="2">
                  <c:v>134.6745613036754</c:v>
                </c:pt>
                <c:pt idx="3">
                  <c:v>152.77821031931407</c:v>
                </c:pt>
                <c:pt idx="4">
                  <c:v>171.18147966665887</c:v>
                </c:pt>
                <c:pt idx="5">
                  <c:v>187.92151966365569</c:v>
                </c:pt>
                <c:pt idx="6">
                  <c:v>189.95281408348893</c:v>
                </c:pt>
                <c:pt idx="7">
                  <c:v>195.86363306636397</c:v>
                </c:pt>
                <c:pt idx="8">
                  <c:v>197.72592676190837</c:v>
                </c:pt>
              </c:numCache>
            </c:numRef>
          </c:val>
          <c:smooth val="0"/>
        </c:ser>
        <c:ser>
          <c:idx val="0"/>
          <c:order val="1"/>
          <c:tx>
            <c:strRef>
              <c:f>Sheet1!$A$4</c:f>
              <c:strCache>
                <c:ptCount val="1"/>
                <c:pt idx="0">
                  <c:v>Preču eksports</c:v>
                </c:pt>
              </c:strCache>
            </c:strRef>
          </c:tx>
          <c:spPr>
            <a:ln w="22225">
              <a:solidFill>
                <a:srgbClr val="C00000"/>
              </a:solidFill>
            </a:ln>
          </c:spPr>
          <c:marker>
            <c:symbol val="none"/>
          </c:marker>
          <c:cat>
            <c:numRef>
              <c:f>Sheet1!$B$2:$M$2</c:f>
              <c:numCache>
                <c:formatCode>0</c:formatCode>
                <c:ptCount val="9"/>
                <c:pt idx="0">
                  <c:v>2007</c:v>
                </c:pt>
                <c:pt idx="1">
                  <c:v>2008</c:v>
                </c:pt>
                <c:pt idx="2">
                  <c:v>2009</c:v>
                </c:pt>
                <c:pt idx="3">
                  <c:v>2010</c:v>
                </c:pt>
                <c:pt idx="4">
                  <c:v>2011</c:v>
                </c:pt>
                <c:pt idx="5">
                  <c:v>2012</c:v>
                </c:pt>
                <c:pt idx="6">
                  <c:v>2013</c:v>
                </c:pt>
                <c:pt idx="7">
                  <c:v>2014</c:v>
                </c:pt>
                <c:pt idx="8">
                  <c:v>2015</c:v>
                </c:pt>
              </c:numCache>
            </c:numRef>
          </c:cat>
          <c:val>
            <c:numRef>
              <c:f>Sheet1!$B$4:$M$4</c:f>
              <c:numCache>
                <c:formatCode>0</c:formatCode>
                <c:ptCount val="9"/>
                <c:pt idx="0">
                  <c:v>153.12340251508024</c:v>
                </c:pt>
                <c:pt idx="1">
                  <c:v>154.77456292812596</c:v>
                </c:pt>
                <c:pt idx="2">
                  <c:v>139.25212145997344</c:v>
                </c:pt>
                <c:pt idx="3">
                  <c:v>170.15131377159801</c:v>
                </c:pt>
                <c:pt idx="4">
                  <c:v>189.19588999079849</c:v>
                </c:pt>
                <c:pt idx="5">
                  <c:v>211.74982108168896</c:v>
                </c:pt>
                <c:pt idx="6">
                  <c:v>211.6578059503118</c:v>
                </c:pt>
                <c:pt idx="7">
                  <c:v>222.71495757080052</c:v>
                </c:pt>
                <c:pt idx="8">
                  <c:v>224.44535323586541</c:v>
                </c:pt>
              </c:numCache>
            </c:numRef>
          </c:val>
          <c:smooth val="0"/>
        </c:ser>
        <c:ser>
          <c:idx val="1"/>
          <c:order val="2"/>
          <c:tx>
            <c:strRef>
              <c:f>Sheet1!$A$5</c:f>
              <c:strCache>
                <c:ptCount val="1"/>
                <c:pt idx="0">
                  <c:v>Pakalpojumu eksports</c:v>
                </c:pt>
              </c:strCache>
            </c:strRef>
          </c:tx>
          <c:spPr>
            <a:ln w="22225">
              <a:solidFill>
                <a:schemeClr val="accent5">
                  <a:lumMod val="75000"/>
                </a:schemeClr>
              </a:solidFill>
              <a:prstDash val="sysDash"/>
            </a:ln>
          </c:spPr>
          <c:marker>
            <c:symbol val="none"/>
          </c:marker>
          <c:cat>
            <c:numRef>
              <c:f>Sheet1!$B$2:$M$2</c:f>
              <c:numCache>
                <c:formatCode>0</c:formatCode>
                <c:ptCount val="9"/>
                <c:pt idx="0">
                  <c:v>2007</c:v>
                </c:pt>
                <c:pt idx="1">
                  <c:v>2008</c:v>
                </c:pt>
                <c:pt idx="2">
                  <c:v>2009</c:v>
                </c:pt>
                <c:pt idx="3">
                  <c:v>2010</c:v>
                </c:pt>
                <c:pt idx="4">
                  <c:v>2011</c:v>
                </c:pt>
                <c:pt idx="5">
                  <c:v>2012</c:v>
                </c:pt>
                <c:pt idx="6">
                  <c:v>2013</c:v>
                </c:pt>
                <c:pt idx="7">
                  <c:v>2014</c:v>
                </c:pt>
                <c:pt idx="8">
                  <c:v>2015</c:v>
                </c:pt>
              </c:numCache>
            </c:numRef>
          </c:cat>
          <c:val>
            <c:numRef>
              <c:f>Sheet1!$B$5:$M$5</c:f>
              <c:numCache>
                <c:formatCode>0</c:formatCode>
                <c:ptCount val="9"/>
                <c:pt idx="0">
                  <c:v>147.72842639593907</c:v>
                </c:pt>
                <c:pt idx="1">
                  <c:v>154.79272419627748</c:v>
                </c:pt>
                <c:pt idx="2">
                  <c:v>127.00084602368867</c:v>
                </c:pt>
                <c:pt idx="3">
                  <c:v>125.54568527918779</c:v>
                </c:pt>
                <c:pt idx="4">
                  <c:v>143.07952622673432</c:v>
                </c:pt>
                <c:pt idx="5">
                  <c:v>149.67005076142129</c:v>
                </c:pt>
                <c:pt idx="6">
                  <c:v>155.59221658206425</c:v>
                </c:pt>
                <c:pt idx="7">
                  <c:v>152.22927241962773</c:v>
                </c:pt>
                <c:pt idx="8">
                  <c:v>154.37394247038915</c:v>
                </c:pt>
              </c:numCache>
            </c:numRef>
          </c:val>
          <c:smooth val="0"/>
        </c:ser>
        <c:dLbls>
          <c:showLegendKey val="0"/>
          <c:showVal val="0"/>
          <c:showCatName val="0"/>
          <c:showSerName val="0"/>
          <c:showPercent val="0"/>
          <c:showBubbleSize val="0"/>
        </c:dLbls>
        <c:smooth val="0"/>
        <c:axId val="300316344"/>
        <c:axId val="300316736"/>
      </c:lineChart>
      <c:catAx>
        <c:axId val="300316344"/>
        <c:scaling>
          <c:orientation val="minMax"/>
        </c:scaling>
        <c:delete val="0"/>
        <c:axPos val="b"/>
        <c:numFmt formatCode="0" sourceLinked="1"/>
        <c:majorTickMark val="out"/>
        <c:minorTickMark val="none"/>
        <c:tickLblPos val="low"/>
        <c:spPr>
          <a:noFill/>
          <a:ln w="3175" cap="flat" cmpd="sng" algn="ctr">
            <a:solidFill>
              <a:sysClr val="window" lastClr="FFFFFF">
                <a:lumMod val="50000"/>
              </a:sysClr>
            </a:solidFill>
            <a:prstDash val="solid"/>
            <a:round/>
          </a:ln>
          <a:effectLst/>
        </c:spPr>
        <c:txPr>
          <a:bodyPr rot="-5400000" spcFirstLastPara="1" vertOverflow="ellipsis" vert="horz"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300316736"/>
        <c:crosses val="autoZero"/>
        <c:auto val="0"/>
        <c:lblAlgn val="ctr"/>
        <c:lblOffset val="100"/>
        <c:noMultiLvlLbl val="0"/>
      </c:catAx>
      <c:valAx>
        <c:axId val="300316736"/>
        <c:scaling>
          <c:orientation val="minMax"/>
          <c:max val="240"/>
          <c:min val="120"/>
        </c:scaling>
        <c:delete val="0"/>
        <c:axPos val="l"/>
        <c:numFmt formatCode="0" sourceLinked="0"/>
        <c:majorTickMark val="out"/>
        <c:minorTickMark val="none"/>
        <c:tickLblPos val="nextTo"/>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300316344"/>
        <c:crosses val="autoZero"/>
        <c:crossBetween val="between"/>
        <c:majorUnit val="20"/>
      </c:valAx>
      <c:spPr>
        <a:noFill/>
        <a:ln w="24631">
          <a:noFill/>
        </a:ln>
        <a:effectLst/>
      </c:spPr>
    </c:plotArea>
    <c:legend>
      <c:legendPos val="r"/>
      <c:layout>
        <c:manualLayout>
          <c:xMode val="edge"/>
          <c:yMode val="edge"/>
          <c:x val="0.13678567472697553"/>
          <c:y val="2.6722845385517953E-2"/>
          <c:w val="0.62350610769187265"/>
          <c:h val="0.20381793991727368"/>
        </c:manualLayout>
      </c:layout>
      <c:overlay val="0"/>
      <c:txPr>
        <a:bodyPr/>
        <a:lstStyle/>
        <a:p>
          <a:pPr>
            <a:defRPr sz="700">
              <a:latin typeface="Arial Narrow" pitchFamily="34" charset="0"/>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40281E-2"/>
          <c:w val="0.8789631193571017"/>
          <c:h val="0.84682690397827365"/>
        </c:manualLayout>
      </c:layout>
      <c:barChart>
        <c:barDir val="col"/>
        <c:grouping val="stacked"/>
        <c:varyColors val="0"/>
        <c:ser>
          <c:idx val="9"/>
          <c:order val="0"/>
          <c:tx>
            <c:strRef>
              <c:f>Sheet1!$A$2</c:f>
              <c:strCache>
                <c:ptCount val="1"/>
                <c:pt idx="0">
                  <c:v>Preces</c:v>
                </c:pt>
              </c:strCache>
            </c:strRef>
          </c:tx>
          <c:spPr>
            <a:solidFill>
              <a:schemeClr val="accent6">
                <a:lumMod val="80000"/>
              </a:schemeClr>
            </a:solidFill>
            <a:ln>
              <a:noFill/>
            </a:ln>
            <a:effectLst/>
          </c:spPr>
          <c:invertIfNegative val="0"/>
          <c:dLbls>
            <c:dLbl>
              <c:idx val="0"/>
              <c:tx>
                <c:rich>
                  <a:bodyPr/>
                  <a:lstStyle/>
                  <a:p>
                    <a:r>
                      <a:rPr lang="en-US" sz="700">
                        <a:latin typeface="Arial Narrow" pitchFamily="34" charset="0"/>
                      </a:rPr>
                      <a:t>6</a:t>
                    </a:r>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700">
                        <a:latin typeface="Arial Narrow" pitchFamily="34" charset="0"/>
                      </a:rPr>
                      <a:t>7</a:t>
                    </a:r>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700">
                        <a:latin typeface="Arial Narrow" pitchFamily="34" charset="0"/>
                      </a:rPr>
                      <a:t>7</a:t>
                    </a:r>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700">
                        <a:latin typeface="Arial Narrow" pitchFamily="34" charset="0"/>
                      </a:rPr>
                      <a:t>7</a:t>
                    </a:r>
                    <a:r>
                      <a:rPr lang="en-US"/>
                      <a:t>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700">
                        <a:latin typeface="Arial Narrow" pitchFamily="34" charset="0"/>
                      </a:rPr>
                      <a:t>7</a:t>
                    </a:r>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700">
                        <a:latin typeface="Arial Narrow" pitchFamily="34" charset="0"/>
                      </a:rPr>
                      <a:t>7</a:t>
                    </a:r>
                    <a:r>
                      <a:rPr lang="en-US"/>
                      <a:t>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Narrow"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0</c:formatCode>
                <c:ptCount val="6"/>
                <c:pt idx="0">
                  <c:v>2010</c:v>
                </c:pt>
                <c:pt idx="1">
                  <c:v>2011</c:v>
                </c:pt>
                <c:pt idx="2">
                  <c:v>2012</c:v>
                </c:pt>
                <c:pt idx="3">
                  <c:v>2013</c:v>
                </c:pt>
                <c:pt idx="4">
                  <c:v>2014</c:v>
                </c:pt>
                <c:pt idx="5">
                  <c:v>2015</c:v>
                </c:pt>
              </c:numCache>
            </c:numRef>
          </c:cat>
          <c:val>
            <c:numRef>
              <c:f>Sheet1!$B$2:$G$2</c:f>
              <c:numCache>
                <c:formatCode>0.000</c:formatCode>
                <c:ptCount val="6"/>
                <c:pt idx="0">
                  <c:v>6.6570400000000003</c:v>
                </c:pt>
                <c:pt idx="1">
                  <c:v>8.3004099999999994</c:v>
                </c:pt>
                <c:pt idx="2">
                  <c:v>9.64541</c:v>
                </c:pt>
                <c:pt idx="3">
                  <c:v>9.8098899999999993</c:v>
                </c:pt>
                <c:pt idx="4">
                  <c:v>10.18</c:v>
                </c:pt>
                <c:pt idx="5">
                  <c:v>10.282</c:v>
                </c:pt>
              </c:numCache>
            </c:numRef>
          </c:val>
        </c:ser>
        <c:ser>
          <c:idx val="10"/>
          <c:order val="1"/>
          <c:tx>
            <c:strRef>
              <c:f>Sheet1!$A$3</c:f>
              <c:strCache>
                <c:ptCount val="1"/>
                <c:pt idx="0">
                  <c:v>Pakalpojumi</c:v>
                </c:pt>
              </c:strCache>
            </c:strRef>
          </c:tx>
          <c:spPr>
            <a:solidFill>
              <a:schemeClr val="accent5">
                <a:lumMod val="80000"/>
              </a:schemeClr>
            </a:solidFill>
            <a:ln>
              <a:noFill/>
            </a:ln>
            <a:effectLst/>
          </c:spPr>
          <c:invertIfNegative val="0"/>
          <c:dLbls>
            <c:dLbl>
              <c:idx val="0"/>
              <c:tx>
                <c:rich>
                  <a:bodyPr/>
                  <a:lstStyle/>
                  <a:p>
                    <a:r>
                      <a:rPr lang="en-US" sz="700">
                        <a:solidFill>
                          <a:schemeClr val="bg1"/>
                        </a:solidFill>
                        <a:latin typeface="Arial Narrow" pitchFamily="34" charset="0"/>
                      </a:rPr>
                      <a:t>3</a:t>
                    </a:r>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700">
                        <a:solidFill>
                          <a:schemeClr val="bg1"/>
                        </a:solidFill>
                        <a:latin typeface="Arial Narrow" pitchFamily="34" charset="0"/>
                      </a:rPr>
                      <a:t>2</a:t>
                    </a:r>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700">
                        <a:solidFill>
                          <a:schemeClr val="bg1"/>
                        </a:solidFill>
                        <a:latin typeface="Arial Narrow" pitchFamily="34" charset="0"/>
                      </a:rPr>
                      <a:t>2</a:t>
                    </a:r>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700">
                        <a:solidFill>
                          <a:schemeClr val="bg1"/>
                        </a:solidFill>
                        <a:latin typeface="Arial Narrow" pitchFamily="34" charset="0"/>
                      </a:rPr>
                      <a:t>2</a:t>
                    </a:r>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700">
                        <a:solidFill>
                          <a:schemeClr val="bg1"/>
                        </a:solidFill>
                        <a:latin typeface="Arial Narrow" pitchFamily="34" charset="0"/>
                      </a:rPr>
                      <a:t>2</a:t>
                    </a:r>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700">
                        <a:solidFill>
                          <a:schemeClr val="bg1"/>
                        </a:solidFill>
                        <a:latin typeface="Arial Narrow" pitchFamily="34" charset="0"/>
                      </a:rPr>
                      <a:t>2</a:t>
                    </a:r>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Narrow"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0</c:formatCode>
                <c:ptCount val="6"/>
                <c:pt idx="0">
                  <c:v>2010</c:v>
                </c:pt>
                <c:pt idx="1">
                  <c:v>2011</c:v>
                </c:pt>
                <c:pt idx="2">
                  <c:v>2012</c:v>
                </c:pt>
                <c:pt idx="3">
                  <c:v>2013</c:v>
                </c:pt>
                <c:pt idx="4">
                  <c:v>2014</c:v>
                </c:pt>
                <c:pt idx="5">
                  <c:v>2015</c:v>
                </c:pt>
              </c:numCache>
            </c:numRef>
          </c:cat>
          <c:val>
            <c:numRef>
              <c:f>Sheet1!$B$3:$G$3</c:f>
              <c:numCache>
                <c:formatCode>0.000</c:formatCode>
                <c:ptCount val="6"/>
                <c:pt idx="0">
                  <c:v>3.0500700000000003</c:v>
                </c:pt>
                <c:pt idx="1">
                  <c:v>3.47098</c:v>
                </c:pt>
                <c:pt idx="2">
                  <c:v>3.7674499999999997</c:v>
                </c:pt>
                <c:pt idx="3">
                  <c:v>3.9004899999999996</c:v>
                </c:pt>
                <c:pt idx="4">
                  <c:v>3.8519999999999999</c:v>
                </c:pt>
                <c:pt idx="5">
                  <c:v>4.0419999999999998</c:v>
                </c:pt>
              </c:numCache>
            </c:numRef>
          </c:val>
        </c:ser>
        <c:dLbls>
          <c:showLegendKey val="0"/>
          <c:showVal val="0"/>
          <c:showCatName val="0"/>
          <c:showSerName val="0"/>
          <c:showPercent val="0"/>
          <c:showBubbleSize val="0"/>
        </c:dLbls>
        <c:gapWidth val="20"/>
        <c:overlap val="100"/>
        <c:axId val="300317520"/>
        <c:axId val="300317912"/>
      </c:barChart>
      <c:catAx>
        <c:axId val="300317520"/>
        <c:scaling>
          <c:orientation val="minMax"/>
        </c:scaling>
        <c:delete val="0"/>
        <c:axPos val="b"/>
        <c:numFmt formatCode="0" sourceLinked="1"/>
        <c:majorTickMark val="out"/>
        <c:minorTickMark val="none"/>
        <c:tickLblPos val="low"/>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Times New Roman" panose="02020603050405020304" pitchFamily="18" charset="0"/>
                <a:ea typeface="Arial"/>
                <a:cs typeface="Times New Roman" panose="02020603050405020304" pitchFamily="18" charset="0"/>
              </a:defRPr>
            </a:pPr>
            <a:endParaRPr lang="lv-LV"/>
          </a:p>
        </c:txPr>
        <c:crossAx val="300317912"/>
        <c:crosses val="autoZero"/>
        <c:auto val="0"/>
        <c:lblAlgn val="ctr"/>
        <c:lblOffset val="100"/>
        <c:noMultiLvlLbl val="0"/>
      </c:catAx>
      <c:valAx>
        <c:axId val="300317912"/>
        <c:scaling>
          <c:orientation val="minMax"/>
          <c:max val="16"/>
          <c:min val="0"/>
        </c:scaling>
        <c:delete val="0"/>
        <c:axPos val="l"/>
        <c:numFmt formatCode="0" sourceLinked="0"/>
        <c:majorTickMark val="out"/>
        <c:minorTickMark val="none"/>
        <c:tickLblPos val="nextTo"/>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300317520"/>
        <c:crosses val="autoZero"/>
        <c:crossBetween val="between"/>
        <c:majorUnit val="4"/>
      </c:valAx>
      <c:spPr>
        <a:noFill/>
        <a:ln w="24631">
          <a:noFill/>
        </a:ln>
        <a:effectLst/>
      </c:spPr>
    </c:plotArea>
    <c:legend>
      <c:legendPos val="l"/>
      <c:layout>
        <c:manualLayout>
          <c:xMode val="edge"/>
          <c:yMode val="edge"/>
          <c:x val="0.13350479431277121"/>
          <c:y val="6.7409606586061998E-3"/>
          <c:w val="0.85848296601115814"/>
          <c:h val="0.16558598754149637"/>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Times New Roman" panose="02020603050405020304" pitchFamily="18" charset="0"/>
              <a:ea typeface="Arial"/>
              <a:cs typeface="Times New Roman" panose="02020603050405020304" pitchFamily="18" charset="0"/>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4033E-2"/>
          <c:w val="0.8789631193571017"/>
          <c:h val="0.84682690397827365"/>
        </c:manualLayout>
      </c:layout>
      <c:barChart>
        <c:barDir val="col"/>
        <c:grouping val="stacked"/>
        <c:varyColors val="0"/>
        <c:ser>
          <c:idx val="9"/>
          <c:order val="0"/>
          <c:tx>
            <c:strRef>
              <c:f>Sheet1!$A$2</c:f>
              <c:strCache>
                <c:ptCount val="1"/>
                <c:pt idx="0">
                  <c:v>Ārējā pieprasījuma efekts</c:v>
                </c:pt>
              </c:strCache>
            </c:strRef>
          </c:tx>
          <c:spPr>
            <a:solidFill>
              <a:schemeClr val="bg1">
                <a:lumMod val="75000"/>
              </a:schemeClr>
            </a:solidFill>
            <a:ln w="3175">
              <a:solidFill>
                <a:schemeClr val="tx1"/>
              </a:solidFill>
            </a:ln>
            <a:effectLst/>
          </c:spPr>
          <c:invertIfNegative val="0"/>
          <c:dLbls>
            <c:dLbl>
              <c:idx val="0"/>
              <c:tx>
                <c:rich>
                  <a:bodyPr/>
                  <a:lstStyle/>
                  <a:p>
                    <a:r>
                      <a:rPr lang="en-US">
                        <a:solidFill>
                          <a:schemeClr val="tx1"/>
                        </a:solidFill>
                        <a:latin typeface="Arial Narrow" pitchFamily="34" charset="0"/>
                      </a:rPr>
                      <a:t>6</a:t>
                    </a:r>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tx1"/>
                        </a:solidFill>
                        <a:latin typeface="Arial Narrow" pitchFamily="34" charset="0"/>
                      </a:rPr>
                      <a:t>3</a:t>
                    </a:r>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r>
                      <a:rPr lang="en-US">
                        <a:solidFill>
                          <a:schemeClr val="tx1"/>
                        </a:solidFill>
                        <a:latin typeface="Arial Narrow" pitchFamily="34" charset="0"/>
                      </a:rPr>
                      <a:t>8</a:t>
                    </a:r>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solidFill>
                          <a:schemeClr val="tx1"/>
                        </a:solidFill>
                        <a:latin typeface="Arial Narrow" pitchFamily="34" charset="0"/>
                      </a:rPr>
                      <a:t>&gt;</a:t>
                    </a:r>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Narrow"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Sheet1!$B$1:$G$1</c:f>
              <c:numCache>
                <c:formatCode>0</c:formatCode>
                <c:ptCount val="6"/>
                <c:pt idx="0">
                  <c:v>2010</c:v>
                </c:pt>
                <c:pt idx="1">
                  <c:v>2011</c:v>
                </c:pt>
                <c:pt idx="2">
                  <c:v>2012</c:v>
                </c:pt>
                <c:pt idx="3">
                  <c:v>2013</c:v>
                </c:pt>
                <c:pt idx="4">
                  <c:v>2014</c:v>
                </c:pt>
                <c:pt idx="5">
                  <c:v>2015</c:v>
                </c:pt>
              </c:numCache>
            </c:numRef>
          </c:cat>
          <c:val>
            <c:numRef>
              <c:f>Sheet1!$B$2:$G$2</c:f>
              <c:numCache>
                <c:formatCode>0.0</c:formatCode>
                <c:ptCount val="6"/>
                <c:pt idx="0">
                  <c:v>15.914819078643907</c:v>
                </c:pt>
                <c:pt idx="1">
                  <c:v>10.492587021972415</c:v>
                </c:pt>
                <c:pt idx="2">
                  <c:v>0.39653441986203508</c:v>
                </c:pt>
                <c:pt idx="3">
                  <c:v>1.1927465131524333</c:v>
                </c:pt>
                <c:pt idx="4">
                  <c:v>2.7435528772538915</c:v>
                </c:pt>
                <c:pt idx="5">
                  <c:v>2.3973015446432018</c:v>
                </c:pt>
              </c:numCache>
            </c:numRef>
          </c:val>
        </c:ser>
        <c:ser>
          <c:idx val="10"/>
          <c:order val="1"/>
          <c:tx>
            <c:strRef>
              <c:f>Sheet1!$A$3</c:f>
              <c:strCache>
                <c:ptCount val="1"/>
                <c:pt idx="0">
                  <c:v>Konkurētspējas efekts</c:v>
                </c:pt>
              </c:strCache>
            </c:strRef>
          </c:tx>
          <c:spPr>
            <a:solidFill>
              <a:schemeClr val="accent5">
                <a:lumMod val="75000"/>
              </a:schemeClr>
            </a:solidFill>
            <a:ln w="3175">
              <a:solidFill>
                <a:schemeClr val="tx1"/>
              </a:solidFill>
            </a:ln>
            <a:effectLst/>
          </c:spPr>
          <c:invertIfNegative val="0"/>
          <c:dLbls>
            <c:dLbl>
              <c:idx val="0"/>
              <c:tx>
                <c:rich>
                  <a:bodyPr/>
                  <a:lstStyle/>
                  <a:p>
                    <a:r>
                      <a:rPr lang="en-US">
                        <a:solidFill>
                          <a:schemeClr val="bg1"/>
                        </a:solidFill>
                        <a:latin typeface="Arial Narrow" pitchFamily="34" charset="0"/>
                      </a:rPr>
                      <a:t>4</a:t>
                    </a:r>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bg1"/>
                        </a:solidFill>
                        <a:latin typeface="Arial Narrow" pitchFamily="34" charset="0"/>
                      </a:rPr>
                      <a:t>6</a:t>
                    </a:r>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solidFill>
                          <a:schemeClr val="bg1"/>
                        </a:solidFill>
                        <a:latin typeface="Arial Narrow" pitchFamily="34" charset="0"/>
                      </a:rPr>
                      <a:t>9</a:t>
                    </a:r>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chemeClr val="bg1"/>
                        </a:solidFill>
                        <a:latin typeface="Arial Narrow" pitchFamily="34" charset="0"/>
                      </a:rPr>
                      <a:t>6</a:t>
                    </a:r>
                    <a:r>
                      <a:rPr lang="en-US"/>
                      <a:t>9%</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Narrow" pitchFamily="34" charset="0"/>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Sheet1!$B$1:$G$1</c:f>
              <c:numCache>
                <c:formatCode>0</c:formatCode>
                <c:ptCount val="6"/>
                <c:pt idx="0">
                  <c:v>2010</c:v>
                </c:pt>
                <c:pt idx="1">
                  <c:v>2011</c:v>
                </c:pt>
                <c:pt idx="2">
                  <c:v>2012</c:v>
                </c:pt>
                <c:pt idx="3">
                  <c:v>2013</c:v>
                </c:pt>
                <c:pt idx="4">
                  <c:v>2014</c:v>
                </c:pt>
                <c:pt idx="5">
                  <c:v>2015</c:v>
                </c:pt>
              </c:numCache>
            </c:numRef>
          </c:cat>
          <c:val>
            <c:numRef>
              <c:f>Sheet1!$B$3:$G$3</c:f>
              <c:numCache>
                <c:formatCode>0.0</c:formatCode>
                <c:ptCount val="6"/>
                <c:pt idx="0">
                  <c:v>13.809980670214673</c:v>
                </c:pt>
                <c:pt idx="1">
                  <c:v>18.473161279645606</c:v>
                </c:pt>
                <c:pt idx="2">
                  <c:v>11.768658515590039</c:v>
                </c:pt>
                <c:pt idx="3">
                  <c:v>2.4024036709708225</c:v>
                </c:pt>
                <c:pt idx="4">
                  <c:v>0.82209359686016104</c:v>
                </c:pt>
                <c:pt idx="5">
                  <c:v>-2.2058426982705415</c:v>
                </c:pt>
              </c:numCache>
            </c:numRef>
          </c:val>
        </c:ser>
        <c:dLbls>
          <c:showLegendKey val="0"/>
          <c:showVal val="0"/>
          <c:showCatName val="0"/>
          <c:showSerName val="0"/>
          <c:showPercent val="0"/>
          <c:showBubbleSize val="0"/>
        </c:dLbls>
        <c:gapWidth val="40"/>
        <c:overlap val="100"/>
        <c:axId val="300318696"/>
        <c:axId val="300319088"/>
      </c:barChart>
      <c:catAx>
        <c:axId val="300318696"/>
        <c:scaling>
          <c:orientation val="minMax"/>
        </c:scaling>
        <c:delete val="0"/>
        <c:axPos val="b"/>
        <c:numFmt formatCode="0" sourceLinked="1"/>
        <c:majorTickMark val="out"/>
        <c:minorTickMark val="none"/>
        <c:tickLblPos val="low"/>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300319088"/>
        <c:crosses val="autoZero"/>
        <c:auto val="0"/>
        <c:lblAlgn val="ctr"/>
        <c:lblOffset val="100"/>
        <c:noMultiLvlLbl val="0"/>
      </c:catAx>
      <c:valAx>
        <c:axId val="300319088"/>
        <c:scaling>
          <c:orientation val="minMax"/>
          <c:max val="30"/>
          <c:min val="-5"/>
        </c:scaling>
        <c:delete val="0"/>
        <c:axPos val="l"/>
        <c:numFmt formatCode="0" sourceLinked="0"/>
        <c:majorTickMark val="out"/>
        <c:minorTickMark val="none"/>
        <c:tickLblPos val="nextTo"/>
        <c:spPr>
          <a:noFill/>
          <a:ln w="3175" cap="flat" cmpd="sng" algn="ctr">
            <a:solidFill>
              <a:sysClr val="window" lastClr="FFFFFF">
                <a:lumMod val="50000"/>
              </a:sys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crossAx val="300318696"/>
        <c:crosses val="autoZero"/>
        <c:crossBetween val="between"/>
        <c:majorUnit val="5"/>
      </c:valAx>
      <c:spPr>
        <a:noFill/>
        <a:ln w="24631">
          <a:noFill/>
        </a:ln>
        <a:effectLst/>
      </c:spPr>
    </c:plotArea>
    <c:legend>
      <c:legendPos val="l"/>
      <c:layout>
        <c:manualLayout>
          <c:xMode val="edge"/>
          <c:yMode val="edge"/>
          <c:x val="0.45971767486187942"/>
          <c:y val="0.14510798683262632"/>
          <c:w val="0.49756684630049403"/>
          <c:h val="0.17735925109979131"/>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pitchFamily="34" charset="0"/>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54822834645707E-2"/>
          <c:y val="5.418703703704033E-2"/>
          <c:w val="0.8789631193571017"/>
          <c:h val="0.84225054448132841"/>
        </c:manualLayout>
      </c:layout>
      <c:barChart>
        <c:barDir val="col"/>
        <c:grouping val="stacked"/>
        <c:varyColors val="0"/>
        <c:ser>
          <c:idx val="9"/>
          <c:order val="0"/>
          <c:tx>
            <c:strRef>
              <c:f>Sheet1!$A$2</c:f>
              <c:strCache>
                <c:ptCount val="1"/>
                <c:pt idx="0">
                  <c:v>Eksporta diversifikācijas pakāpe (kreisā ass)</c:v>
                </c:pt>
              </c:strCache>
            </c:strRef>
          </c:tx>
          <c:spPr>
            <a:solidFill>
              <a:srgbClr val="4BACC6">
                <a:lumMod val="75000"/>
              </a:srgbClr>
            </a:solidFill>
            <a:ln w="3175">
              <a:noFill/>
              <a:prstDash val="solid"/>
            </a:ln>
          </c:spPr>
          <c:invertIfNegative val="0"/>
          <c:dLbls>
            <c:spPr>
              <a:noFill/>
              <a:ln>
                <a:noFill/>
              </a:ln>
              <a:effectLst/>
            </c:spPr>
            <c:txPr>
              <a:bodyPr/>
              <a:lstStyle/>
              <a:p>
                <a:pPr>
                  <a:defRPr>
                    <a:solidFill>
                      <a:schemeClr val="bg1"/>
                    </a:solidFill>
                    <a:latin typeface="Arial Narrow"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0</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Sheet1!$B$2:$K$2</c:f>
              <c:numCache>
                <c:formatCode>0.0</c:formatCode>
                <c:ptCount val="10"/>
                <c:pt idx="0">
                  <c:v>7.72901785370565</c:v>
                </c:pt>
                <c:pt idx="1">
                  <c:v>7.725589442725445</c:v>
                </c:pt>
                <c:pt idx="2">
                  <c:v>6.0642604099819417</c:v>
                </c:pt>
                <c:pt idx="3">
                  <c:v>5.7181250100388334</c:v>
                </c:pt>
                <c:pt idx="4">
                  <c:v>6.5501950773497564</c:v>
                </c:pt>
                <c:pt idx="5">
                  <c:v>6.1772341324493674</c:v>
                </c:pt>
                <c:pt idx="6">
                  <c:v>5.688783670620067</c:v>
                </c:pt>
                <c:pt idx="7">
                  <c:v>5.8375783175772753</c:v>
                </c:pt>
                <c:pt idx="8">
                  <c:v>6.223564639130533</c:v>
                </c:pt>
                <c:pt idx="9">
                  <c:v>6.4202070110345177</c:v>
                </c:pt>
              </c:numCache>
            </c:numRef>
          </c:val>
        </c:ser>
        <c:dLbls>
          <c:showLegendKey val="0"/>
          <c:showVal val="0"/>
          <c:showCatName val="0"/>
          <c:showSerName val="0"/>
          <c:showPercent val="0"/>
          <c:showBubbleSize val="0"/>
        </c:dLbls>
        <c:gapWidth val="40"/>
        <c:overlap val="100"/>
        <c:axId val="300319872"/>
        <c:axId val="300320264"/>
      </c:barChart>
      <c:lineChart>
        <c:grouping val="standard"/>
        <c:varyColors val="0"/>
        <c:ser>
          <c:idx val="0"/>
          <c:order val="1"/>
          <c:tx>
            <c:strRef>
              <c:f>Sheet1!$A$3</c:f>
              <c:strCache>
                <c:ptCount val="1"/>
                <c:pt idx="0">
                  <c:v>Eksports, mljrd. eiro (labā ass)</c:v>
                </c:pt>
              </c:strCache>
            </c:strRef>
          </c:tx>
          <c:spPr>
            <a:ln w="25400">
              <a:solidFill>
                <a:srgbClr val="C00000"/>
              </a:solidFill>
            </a:ln>
          </c:spPr>
          <c:marker>
            <c:symbol val="none"/>
          </c:marker>
          <c:cat>
            <c:numRef>
              <c:f>Sheet1!$B$1:$K$1</c:f>
              <c:numCache>
                <c:formatCode>0</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Sheet1!$B$3:$K$3</c:f>
              <c:numCache>
                <c:formatCode>0.0</c:formatCode>
                <c:ptCount val="10"/>
                <c:pt idx="0">
                  <c:v>4.6858149999999998</c:v>
                </c:pt>
                <c:pt idx="1">
                  <c:v>5.7488187999999987</c:v>
                </c:pt>
                <c:pt idx="2">
                  <c:v>6.3018219100000001</c:v>
                </c:pt>
                <c:pt idx="3">
                  <c:v>5.1255306300000001</c:v>
                </c:pt>
                <c:pt idx="4">
                  <c:v>6.6802198200000014</c:v>
                </c:pt>
                <c:pt idx="5">
                  <c:v>8.5351190199999998</c:v>
                </c:pt>
                <c:pt idx="6">
                  <c:v>9.871053719999999</c:v>
                </c:pt>
                <c:pt idx="7">
                  <c:v>10.021291183000001</c:v>
                </c:pt>
                <c:pt idx="8">
                  <c:v>10.248603773999999</c:v>
                </c:pt>
                <c:pt idx="9">
                  <c:v>10.363211979000001</c:v>
                </c:pt>
              </c:numCache>
            </c:numRef>
          </c:val>
          <c:smooth val="0"/>
        </c:ser>
        <c:dLbls>
          <c:showLegendKey val="0"/>
          <c:showVal val="0"/>
          <c:showCatName val="0"/>
          <c:showSerName val="0"/>
          <c:showPercent val="0"/>
          <c:showBubbleSize val="0"/>
        </c:dLbls>
        <c:marker val="1"/>
        <c:smooth val="0"/>
        <c:axId val="300321048"/>
        <c:axId val="300320656"/>
      </c:lineChart>
      <c:catAx>
        <c:axId val="300319872"/>
        <c:scaling>
          <c:orientation val="minMax"/>
        </c:scaling>
        <c:delete val="0"/>
        <c:axPos val="b"/>
        <c:numFmt formatCode="0" sourceLinked="1"/>
        <c:majorTickMark val="out"/>
        <c:minorTickMark val="none"/>
        <c:tickLblPos val="low"/>
        <c:spPr>
          <a:ln w="3175">
            <a:solidFill>
              <a:sysClr val="window" lastClr="FFFFFF">
                <a:lumMod val="50000"/>
              </a:sysClr>
            </a:solidFill>
            <a:prstDash val="solid"/>
          </a:ln>
        </c:spPr>
        <c:txPr>
          <a:bodyPr rot="0" vert="horz"/>
          <a:lstStyle/>
          <a:p>
            <a:pPr>
              <a:defRPr>
                <a:latin typeface="Arial Narrow" pitchFamily="34" charset="0"/>
              </a:defRPr>
            </a:pPr>
            <a:endParaRPr lang="lv-LV"/>
          </a:p>
        </c:txPr>
        <c:crossAx val="300320264"/>
        <c:crosses val="autoZero"/>
        <c:auto val="0"/>
        <c:lblAlgn val="ctr"/>
        <c:lblOffset val="100"/>
        <c:tickLblSkip val="1"/>
        <c:noMultiLvlLbl val="0"/>
      </c:catAx>
      <c:valAx>
        <c:axId val="300320264"/>
        <c:scaling>
          <c:orientation val="minMax"/>
          <c:max val="9"/>
          <c:min val="4"/>
        </c:scaling>
        <c:delete val="0"/>
        <c:axPos val="l"/>
        <c:numFmt formatCode="0" sourceLinked="0"/>
        <c:majorTickMark val="out"/>
        <c:minorTickMark val="none"/>
        <c:tickLblPos val="nextTo"/>
        <c:spPr>
          <a:ln w="3175">
            <a:solidFill>
              <a:sysClr val="window" lastClr="FFFFFF">
                <a:lumMod val="50000"/>
              </a:sysClr>
            </a:solidFill>
            <a:prstDash val="solid"/>
          </a:ln>
        </c:spPr>
        <c:txPr>
          <a:bodyPr rot="0" vert="horz"/>
          <a:lstStyle/>
          <a:p>
            <a:pPr>
              <a:defRPr>
                <a:latin typeface="Arial Narrow" pitchFamily="34" charset="0"/>
              </a:defRPr>
            </a:pPr>
            <a:endParaRPr lang="lv-LV"/>
          </a:p>
        </c:txPr>
        <c:crossAx val="300319872"/>
        <c:crosses val="autoZero"/>
        <c:crossBetween val="between"/>
        <c:majorUnit val="1"/>
      </c:valAx>
      <c:valAx>
        <c:axId val="300320656"/>
        <c:scaling>
          <c:orientation val="minMax"/>
          <c:max val="12"/>
          <c:min val="2"/>
        </c:scaling>
        <c:delete val="0"/>
        <c:axPos val="r"/>
        <c:numFmt formatCode="0" sourceLinked="0"/>
        <c:majorTickMark val="out"/>
        <c:minorTickMark val="none"/>
        <c:tickLblPos val="nextTo"/>
        <c:spPr>
          <a:ln w="3175"/>
        </c:spPr>
        <c:txPr>
          <a:bodyPr/>
          <a:lstStyle/>
          <a:p>
            <a:pPr>
              <a:defRPr>
                <a:latin typeface="Arial Narrow" pitchFamily="34" charset="0"/>
              </a:defRPr>
            </a:pPr>
            <a:endParaRPr lang="lv-LV"/>
          </a:p>
        </c:txPr>
        <c:crossAx val="300321048"/>
        <c:crosses val="max"/>
        <c:crossBetween val="between"/>
        <c:majorUnit val="2"/>
      </c:valAx>
      <c:catAx>
        <c:axId val="300321048"/>
        <c:scaling>
          <c:orientation val="minMax"/>
        </c:scaling>
        <c:delete val="1"/>
        <c:axPos val="b"/>
        <c:numFmt formatCode="0" sourceLinked="1"/>
        <c:majorTickMark val="out"/>
        <c:minorTickMark val="none"/>
        <c:tickLblPos val="none"/>
        <c:crossAx val="300320656"/>
        <c:crosses val="autoZero"/>
        <c:auto val="1"/>
        <c:lblAlgn val="ctr"/>
        <c:lblOffset val="100"/>
        <c:noMultiLvlLbl val="0"/>
      </c:catAx>
      <c:spPr>
        <a:noFill/>
        <a:ln w="24631">
          <a:noFill/>
        </a:ln>
      </c:spPr>
    </c:plotArea>
    <c:legend>
      <c:legendPos val="l"/>
      <c:layout>
        <c:manualLayout>
          <c:xMode val="edge"/>
          <c:yMode val="edge"/>
          <c:x val="6.4492563481745813E-2"/>
          <c:y val="3.0358008955863606E-2"/>
          <c:w val="0.8519534476795052"/>
          <c:h val="0.18775410057983441"/>
        </c:manualLayout>
      </c:layout>
      <c:overlay val="1"/>
      <c:txPr>
        <a:bodyPr/>
        <a:lstStyle/>
        <a:p>
          <a:pPr>
            <a:defRPr>
              <a:latin typeface="Arial Narrow" pitchFamily="34" charset="0"/>
            </a:defRPr>
          </a:pPr>
          <a:endParaRPr lang="lv-LV"/>
        </a:p>
      </c:txPr>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232844118184165E-2"/>
          <c:y val="7.0877717762492284E-2"/>
          <c:w val="0.85860042443778173"/>
          <c:h val="0.80784762239915553"/>
        </c:manualLayout>
      </c:layout>
      <c:barChart>
        <c:barDir val="col"/>
        <c:grouping val="clustered"/>
        <c:varyColors val="0"/>
        <c:ser>
          <c:idx val="0"/>
          <c:order val="1"/>
          <c:tx>
            <c:strRef>
              <c:f>Sheet1!$A$2</c:f>
              <c:strCache>
                <c:ptCount val="1"/>
                <c:pt idx="0">
                  <c:v>Nominālais ULC (kriesā ass)</c:v>
                </c:pt>
              </c:strCache>
            </c:strRef>
          </c:tx>
          <c:spPr>
            <a:solidFill>
              <a:srgbClr val="4BACC6">
                <a:lumMod val="75000"/>
              </a:srgbClr>
            </a:solidFill>
            <a:ln>
              <a:solidFill>
                <a:sysClr val="windowText" lastClr="000000"/>
              </a:solidFill>
            </a:ln>
            <a:effectLst/>
          </c:spPr>
          <c:invertIfNegative val="0"/>
          <c:cat>
            <c:numRef>
              <c:f>Sheet1!$B$1:$K$1</c:f>
              <c:numCache>
                <c:formatCode>General</c:formatCode>
                <c:ptCount val="8"/>
                <c:pt idx="0">
                  <c:v>2007</c:v>
                </c:pt>
                <c:pt idx="1">
                  <c:v>2008</c:v>
                </c:pt>
                <c:pt idx="2">
                  <c:v>2009</c:v>
                </c:pt>
                <c:pt idx="3">
                  <c:v>2010</c:v>
                </c:pt>
                <c:pt idx="4">
                  <c:v>2011</c:v>
                </c:pt>
                <c:pt idx="5">
                  <c:v>2012</c:v>
                </c:pt>
                <c:pt idx="6">
                  <c:v>2013</c:v>
                </c:pt>
                <c:pt idx="7">
                  <c:v>2014</c:v>
                </c:pt>
              </c:numCache>
              <c:extLst/>
            </c:numRef>
          </c:cat>
          <c:val>
            <c:numRef>
              <c:f>Sheet1!$B$2:$K$2</c:f>
              <c:numCache>
                <c:formatCode>General</c:formatCode>
                <c:ptCount val="8"/>
                <c:pt idx="0">
                  <c:v>30.7</c:v>
                </c:pt>
                <c:pt idx="1">
                  <c:v>25.3</c:v>
                </c:pt>
                <c:pt idx="2">
                  <c:v>-11.1</c:v>
                </c:pt>
                <c:pt idx="3">
                  <c:v>-14.2</c:v>
                </c:pt>
                <c:pt idx="4">
                  <c:v>3.1</c:v>
                </c:pt>
                <c:pt idx="5">
                  <c:v>6.6</c:v>
                </c:pt>
                <c:pt idx="6">
                  <c:v>5.8</c:v>
                </c:pt>
                <c:pt idx="7">
                  <c:v>5.8</c:v>
                </c:pt>
              </c:numCache>
              <c:extLst/>
            </c:numRef>
          </c:val>
        </c:ser>
        <c:dLbls>
          <c:showLegendKey val="0"/>
          <c:showVal val="0"/>
          <c:showCatName val="0"/>
          <c:showSerName val="0"/>
          <c:showPercent val="0"/>
          <c:showBubbleSize val="0"/>
        </c:dLbls>
        <c:gapWidth val="30"/>
        <c:axId val="300323400"/>
        <c:axId val="300323008"/>
      </c:barChart>
      <c:lineChart>
        <c:grouping val="standard"/>
        <c:varyColors val="0"/>
        <c:ser>
          <c:idx val="1"/>
          <c:order val="2"/>
          <c:tx>
            <c:strRef>
              <c:f>Sheet1!$A$3</c:f>
              <c:strCache>
                <c:ptCount val="1"/>
                <c:pt idx="0">
                  <c:v>Produktivitāte (labā ass)</c:v>
                </c:pt>
              </c:strCache>
            </c:strRef>
          </c:tx>
          <c:spPr>
            <a:ln w="22225" cap="rnd" cmpd="sng" algn="ctr">
              <a:solidFill>
                <a:srgbClr val="0066FF"/>
              </a:solidFill>
              <a:prstDash val="solid"/>
              <a:round/>
            </a:ln>
            <a:effectLst/>
          </c:spPr>
          <c:marker>
            <c:symbol val="none"/>
          </c:marker>
          <c:cat>
            <c:numRef>
              <c:f>Sheet1!$B$1:$K$1</c:f>
              <c:numCache>
                <c:formatCode>General</c:formatCode>
                <c:ptCount val="8"/>
                <c:pt idx="0">
                  <c:v>2007</c:v>
                </c:pt>
                <c:pt idx="1">
                  <c:v>2008</c:v>
                </c:pt>
                <c:pt idx="2">
                  <c:v>2009</c:v>
                </c:pt>
                <c:pt idx="3">
                  <c:v>2010</c:v>
                </c:pt>
                <c:pt idx="4">
                  <c:v>2011</c:v>
                </c:pt>
                <c:pt idx="5">
                  <c:v>2012</c:v>
                </c:pt>
                <c:pt idx="6">
                  <c:v>2013</c:v>
                </c:pt>
                <c:pt idx="7">
                  <c:v>2014</c:v>
                </c:pt>
              </c:numCache>
              <c:extLst/>
            </c:numRef>
          </c:cat>
          <c:val>
            <c:numRef>
              <c:f>Sheet1!$B$3:$K$3</c:f>
              <c:numCache>
                <c:formatCode>0.0</c:formatCode>
                <c:ptCount val="8"/>
                <c:pt idx="0">
                  <c:v>115.85650165550281</c:v>
                </c:pt>
                <c:pt idx="1">
                  <c:v>109.55269236288032</c:v>
                </c:pt>
                <c:pt idx="2">
                  <c:v>109.95746797553454</c:v>
                </c:pt>
                <c:pt idx="3">
                  <c:v>126.6826637587271</c:v>
                </c:pt>
                <c:pt idx="4">
                  <c:v>127.19373651013328</c:v>
                </c:pt>
                <c:pt idx="5">
                  <c:v>126.66086170415755</c:v>
                </c:pt>
                <c:pt idx="6">
                  <c:v>125.10373311053897</c:v>
                </c:pt>
                <c:pt idx="7">
                  <c:v>131.55527112362074</c:v>
                </c:pt>
              </c:numCache>
              <c:extLst/>
            </c:numRef>
          </c:val>
          <c:smooth val="0"/>
        </c:ser>
        <c:ser>
          <c:idx val="3"/>
          <c:order val="3"/>
          <c:tx>
            <c:strRef>
              <c:f>Sheet1!$A$4</c:f>
              <c:strCache>
                <c:ptCount val="1"/>
                <c:pt idx="0">
                  <c:v>Darbaspēka izmaksas (labā ass)</c:v>
                </c:pt>
              </c:strCache>
            </c:strRef>
          </c:tx>
          <c:spPr>
            <a:ln w="22225" cap="rnd" cmpd="sng" algn="ctr">
              <a:solidFill>
                <a:srgbClr val="C00000"/>
              </a:solidFill>
              <a:prstDash val="solid"/>
              <a:round/>
            </a:ln>
            <a:effectLst/>
          </c:spPr>
          <c:marker>
            <c:symbol val="none"/>
          </c:marker>
          <c:cat>
            <c:numRef>
              <c:f>Sheet1!$B$1:$K$1</c:f>
              <c:numCache>
                <c:formatCode>General</c:formatCode>
                <c:ptCount val="8"/>
                <c:pt idx="0">
                  <c:v>2007</c:v>
                </c:pt>
                <c:pt idx="1">
                  <c:v>2008</c:v>
                </c:pt>
                <c:pt idx="2">
                  <c:v>2009</c:v>
                </c:pt>
                <c:pt idx="3">
                  <c:v>2010</c:v>
                </c:pt>
                <c:pt idx="4">
                  <c:v>2011</c:v>
                </c:pt>
                <c:pt idx="5">
                  <c:v>2012</c:v>
                </c:pt>
                <c:pt idx="6">
                  <c:v>2013</c:v>
                </c:pt>
                <c:pt idx="7">
                  <c:v>2014</c:v>
                </c:pt>
              </c:numCache>
              <c:extLst/>
            </c:numRef>
          </c:cat>
          <c:val>
            <c:numRef>
              <c:f>Sheet1!$B$4:$K$4</c:f>
              <c:numCache>
                <c:formatCode>0.0</c:formatCode>
                <c:ptCount val="8"/>
                <c:pt idx="0">
                  <c:v>189.05133059702715</c:v>
                </c:pt>
                <c:pt idx="1">
                  <c:v>221.78308463847935</c:v>
                </c:pt>
                <c:pt idx="2">
                  <c:v>198.09560373913527</c:v>
                </c:pt>
                <c:pt idx="3">
                  <c:v>195.27821177889811</c:v>
                </c:pt>
                <c:pt idx="4">
                  <c:v>201.43809636601091</c:v>
                </c:pt>
                <c:pt idx="5">
                  <c:v>213.20811533371261</c:v>
                </c:pt>
                <c:pt idx="6">
                  <c:v>225.18939006977075</c:v>
                </c:pt>
                <c:pt idx="7">
                  <c:v>246.30555892763533</c:v>
                </c:pt>
              </c:numCache>
              <c:extLst/>
            </c:numRef>
          </c:val>
          <c:smooth val="0"/>
        </c:ser>
        <c:dLbls>
          <c:showLegendKey val="0"/>
          <c:showVal val="0"/>
          <c:showCatName val="0"/>
          <c:showSerName val="0"/>
          <c:showPercent val="0"/>
          <c:showBubbleSize val="0"/>
        </c:dLbls>
        <c:marker val="1"/>
        <c:smooth val="0"/>
        <c:axId val="300322224"/>
        <c:axId val="300322616"/>
        <c:extLst>
          <c:ext xmlns:c15="http://schemas.microsoft.com/office/drawing/2012/chart" uri="{02D57815-91ED-43cb-92C2-25804820EDAC}">
            <c15:filteredLineSeries>
              <c15:ser>
                <c:idx val="2"/>
                <c:order val="0"/>
                <c:tx>
                  <c:strRef>
                    <c:extLst>
                      <c:ext uri="{02D57815-91ED-43cb-92C2-25804820EDAC}">
                        <c15:formulaRef>
                          <c15:sqref>Sheet1!#REF!</c15:sqref>
                        </c15:formulaRef>
                      </c:ext>
                    </c:extLst>
                    <c:strCache>
                      <c:ptCount val="1"/>
                      <c:pt idx="0">
                        <c:v>#REF!</c:v>
                      </c:pt>
                    </c:strCache>
                  </c:strRef>
                </c:tx>
                <c:spPr>
                  <a:ln w="28575" cap="rnd" cmpd="sng" algn="ctr">
                    <a:solidFill>
                      <a:schemeClr val="accent4">
                        <a:shade val="95000"/>
                        <a:satMod val="105000"/>
                      </a:schemeClr>
                    </a:solidFill>
                    <a:prstDash val="solid"/>
                    <a:round/>
                  </a:ln>
                  <a:effectLst/>
                </c:spPr>
                <c:marker>
                  <c:symbol val="none"/>
                </c:marker>
                <c:cat>
                  <c:numRef>
                    <c:extLst>
                      <c:ext uri="{02D57815-91ED-43cb-92C2-25804820EDAC}">
                        <c15:formulaRef>
                          <c15:sqref>Sheet1!$B$1:$K$1</c15:sqref>
                        </c15:formulaRef>
                      </c:ext>
                    </c:extLst>
                    <c:numCache>
                      <c:formatCode>General</c:formatCode>
                      <c:ptCount val="8"/>
                      <c:pt idx="0">
                        <c:v>2007</c:v>
                      </c:pt>
                      <c:pt idx="1">
                        <c:v>2008</c:v>
                      </c:pt>
                      <c:pt idx="2">
                        <c:v>2009</c:v>
                      </c:pt>
                      <c:pt idx="3">
                        <c:v>2010</c:v>
                      </c:pt>
                      <c:pt idx="4">
                        <c:v>2011</c:v>
                      </c:pt>
                      <c:pt idx="5">
                        <c:v>2012</c:v>
                      </c:pt>
                      <c:pt idx="6">
                        <c:v>2013</c:v>
                      </c:pt>
                      <c:pt idx="7">
                        <c:v>2014</c:v>
                      </c:pt>
                    </c:numCache>
                  </c:numRef>
                </c:cat>
                <c:val>
                  <c:numRef>
                    <c:extLst>
                      <c:ext uri="{02D57815-91ED-43cb-92C2-25804820EDAC}">
                        <c15:formulaRef>
                          <c15:sqref>Sheet1!#REF!</c15:sqref>
                        </c15:formulaRef>
                      </c:ext>
                    </c:extLst>
                  </c:numRef>
                </c:val>
                <c:smooth val="1"/>
              </c15:ser>
            </c15:filteredLineSeries>
          </c:ext>
        </c:extLst>
      </c:lineChart>
      <c:catAx>
        <c:axId val="300322224"/>
        <c:scaling>
          <c:orientation val="minMax"/>
        </c:scaling>
        <c:delete val="0"/>
        <c:axPos val="b"/>
        <c:numFmt formatCode="General" sourceLinked="1"/>
        <c:majorTickMark val="out"/>
        <c:minorTickMark val="none"/>
        <c:tickLblPos val="low"/>
        <c:spPr>
          <a:noFill/>
          <a:ln w="3175" cap="flat" cmpd="sng" algn="ctr">
            <a:solidFill>
              <a:schemeClr val="tx1">
                <a:tint val="75000"/>
                <a:shade val="95000"/>
                <a:satMod val="105000"/>
              </a:schemeClr>
            </a:solidFill>
            <a:prstDash val="solid"/>
            <a:round/>
          </a:ln>
          <a:effectLst/>
        </c:spPr>
        <c:txPr>
          <a:bodyPr rot="-5400000"/>
          <a:lstStyle/>
          <a:p>
            <a:pPr>
              <a:defRPr sz="800"/>
            </a:pPr>
            <a:endParaRPr lang="lv-LV"/>
          </a:p>
        </c:txPr>
        <c:crossAx val="300322616"/>
        <c:crosses val="autoZero"/>
        <c:auto val="1"/>
        <c:lblAlgn val="ctr"/>
        <c:lblOffset val="0"/>
        <c:tickLblSkip val="1"/>
        <c:tickMarkSkip val="1"/>
        <c:noMultiLvlLbl val="1"/>
      </c:catAx>
      <c:valAx>
        <c:axId val="300322616"/>
        <c:scaling>
          <c:orientation val="minMax"/>
          <c:max val="280"/>
          <c:min val="0"/>
        </c:scaling>
        <c:delete val="0"/>
        <c:axPos val="l"/>
        <c:numFmt formatCode="0" sourceLinked="0"/>
        <c:majorTickMark val="out"/>
        <c:minorTickMark val="none"/>
        <c:tickLblPos val="nextTo"/>
        <c:spPr>
          <a:noFill/>
          <a:ln w="3175" cap="flat" cmpd="sng" algn="ctr">
            <a:solidFill>
              <a:schemeClr val="tx1">
                <a:tint val="75000"/>
                <a:shade val="95000"/>
                <a:satMod val="105000"/>
              </a:schemeClr>
            </a:solidFill>
            <a:prstDash val="solid"/>
            <a:round/>
          </a:ln>
          <a:effectLst/>
        </c:spPr>
        <c:txPr>
          <a:bodyPr rot="0"/>
          <a:lstStyle/>
          <a:p>
            <a:pPr>
              <a:defRPr sz="800"/>
            </a:pPr>
            <a:endParaRPr lang="lv-LV"/>
          </a:p>
        </c:txPr>
        <c:crossAx val="300322224"/>
        <c:crossesAt val="1"/>
        <c:crossBetween val="between"/>
        <c:majorUnit val="70"/>
      </c:valAx>
      <c:valAx>
        <c:axId val="300323008"/>
        <c:scaling>
          <c:orientation val="minMax"/>
          <c:max val="60"/>
        </c:scaling>
        <c:delete val="0"/>
        <c:axPos val="r"/>
        <c:numFmt formatCode="General" sourceLinked="1"/>
        <c:majorTickMark val="out"/>
        <c:minorTickMark val="none"/>
        <c:tickLblPos val="nextTo"/>
        <c:txPr>
          <a:bodyPr/>
          <a:lstStyle/>
          <a:p>
            <a:pPr>
              <a:defRPr sz="800"/>
            </a:pPr>
            <a:endParaRPr lang="lv-LV"/>
          </a:p>
        </c:txPr>
        <c:crossAx val="300323400"/>
        <c:crosses val="max"/>
        <c:crossBetween val="between"/>
        <c:majorUnit val="20"/>
      </c:valAx>
      <c:catAx>
        <c:axId val="300323400"/>
        <c:scaling>
          <c:orientation val="minMax"/>
        </c:scaling>
        <c:delete val="1"/>
        <c:axPos val="b"/>
        <c:numFmt formatCode="General" sourceLinked="1"/>
        <c:majorTickMark val="out"/>
        <c:minorTickMark val="none"/>
        <c:tickLblPos val="none"/>
        <c:crossAx val="300323008"/>
        <c:crosses val="autoZero"/>
        <c:auto val="1"/>
        <c:lblAlgn val="ctr"/>
        <c:lblOffset val="100"/>
        <c:noMultiLvlLbl val="0"/>
      </c:catAx>
      <c:spPr>
        <a:noFill/>
        <a:ln w="6350">
          <a:noFill/>
        </a:ln>
        <a:effectLst/>
      </c:spPr>
    </c:plotArea>
    <c:legend>
      <c:legendPos val="l"/>
      <c:layout>
        <c:manualLayout>
          <c:xMode val="edge"/>
          <c:yMode val="edge"/>
          <c:x val="7.3648699094531589E-2"/>
          <c:y val="6.0936223019167595E-4"/>
          <c:w val="0.7582293448159112"/>
          <c:h val="0.24406129250707068"/>
        </c:manualLayout>
      </c:layout>
      <c:overlay val="0"/>
      <c:spPr>
        <a:noFill/>
        <a:ln>
          <a:noFill/>
        </a:ln>
        <a:effectLst/>
      </c:spPr>
      <c:txPr>
        <a:bodyPr rot="0" vert="horz"/>
        <a:lstStyle/>
        <a:p>
          <a:pPr>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Arial Narrow" pitchFamily="34" charset="0"/>
          <a:ea typeface="Arial"/>
          <a:cs typeface="Calibri" pitchFamily="34" charset="0"/>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936391330046738E-2"/>
          <c:y val="4.6005165816941182E-2"/>
          <c:w val="0.85762258292899962"/>
          <c:h val="0.83127986337207582"/>
        </c:manualLayout>
      </c:layout>
      <c:barChart>
        <c:barDir val="col"/>
        <c:grouping val="clustered"/>
        <c:varyColors val="0"/>
        <c:ser>
          <c:idx val="0"/>
          <c:order val="0"/>
          <c:tx>
            <c:strRef>
              <c:f>Sheet1!$A$2</c:f>
              <c:strCache>
                <c:ptCount val="1"/>
                <c:pt idx="0">
                  <c:v>Tautsaimniecībā kopā</c:v>
                </c:pt>
              </c:strCache>
            </c:strRef>
          </c:tx>
          <c:spPr>
            <a:solidFill>
              <a:schemeClr val="accent5">
                <a:lumMod val="75000"/>
              </a:schemeClr>
            </a:solid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2007</c:v>
                </c:pt>
                <c:pt idx="1">
                  <c:v>2013</c:v>
                </c:pt>
                <c:pt idx="2">
                  <c:v>2014</c:v>
                </c:pt>
                <c:pt idx="3">
                  <c:v>2015</c:v>
                </c:pt>
              </c:strCache>
            </c:strRef>
          </c:cat>
          <c:val>
            <c:numRef>
              <c:f>Sheet1!$B$2:$F$2</c:f>
              <c:numCache>
                <c:formatCode>0</c:formatCode>
                <c:ptCount val="4"/>
                <c:pt idx="0">
                  <c:v>37.700000000000003</c:v>
                </c:pt>
                <c:pt idx="1">
                  <c:v>42</c:v>
                </c:pt>
                <c:pt idx="2">
                  <c:v>44</c:v>
                </c:pt>
                <c:pt idx="3">
                  <c:v>43</c:v>
                </c:pt>
              </c:numCache>
            </c:numRef>
          </c:val>
        </c:ser>
        <c:ser>
          <c:idx val="1"/>
          <c:order val="1"/>
          <c:tx>
            <c:strRef>
              <c:f>Sheet1!$A$3</c:f>
              <c:strCache>
                <c:ptCount val="1"/>
                <c:pt idx="0">
                  <c:v>Apstrādes rūpniecībā</c:v>
                </c:pt>
              </c:strCache>
            </c:strRef>
          </c:tx>
          <c:spPr>
            <a:ln>
              <a:solidFill>
                <a:sysClr val="windowText" lastClr="000000"/>
              </a:solidFill>
            </a:ln>
          </c:spPr>
          <c:invertIfNegative val="0"/>
          <c:dLbls>
            <c:spPr>
              <a:noFill/>
              <a:ln>
                <a:noFill/>
              </a:ln>
              <a:effectLst/>
            </c:spPr>
            <c:txPr>
              <a:bodyPr/>
              <a:lstStyle/>
              <a:p>
                <a:pPr>
                  <a:defRPr>
                    <a:solidFill>
                      <a:schemeClr val="bg1"/>
                    </a:solidFil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2007</c:v>
                </c:pt>
                <c:pt idx="1">
                  <c:v>2013</c:v>
                </c:pt>
                <c:pt idx="2">
                  <c:v>2014</c:v>
                </c:pt>
                <c:pt idx="3">
                  <c:v>2015</c:v>
                </c:pt>
              </c:strCache>
            </c:strRef>
          </c:cat>
          <c:val>
            <c:numRef>
              <c:f>Sheet1!$B$3:$F$3</c:f>
              <c:numCache>
                <c:formatCode>0</c:formatCode>
                <c:ptCount val="4"/>
                <c:pt idx="0">
                  <c:v>27</c:v>
                </c:pt>
                <c:pt idx="1">
                  <c:v>34.299999999999997</c:v>
                </c:pt>
                <c:pt idx="2">
                  <c:v>35.1</c:v>
                </c:pt>
                <c:pt idx="3">
                  <c:v>35</c:v>
                </c:pt>
              </c:numCache>
            </c:numRef>
          </c:val>
        </c:ser>
        <c:dLbls>
          <c:showLegendKey val="0"/>
          <c:showVal val="0"/>
          <c:showCatName val="0"/>
          <c:showSerName val="0"/>
          <c:showPercent val="0"/>
          <c:showBubbleSize val="0"/>
        </c:dLbls>
        <c:gapWidth val="50"/>
        <c:overlap val="52"/>
        <c:axId val="319762848"/>
        <c:axId val="319763240"/>
      </c:barChart>
      <c:catAx>
        <c:axId val="319762848"/>
        <c:scaling>
          <c:orientation val="minMax"/>
        </c:scaling>
        <c:delete val="0"/>
        <c:axPos val="b"/>
        <c:numFmt formatCode="General" sourceLinked="0"/>
        <c:majorTickMark val="out"/>
        <c:minorTickMark val="none"/>
        <c:tickLblPos val="nextTo"/>
        <c:txPr>
          <a:bodyPr/>
          <a:lstStyle/>
          <a:p>
            <a:pPr>
              <a:defRPr sz="800"/>
            </a:pPr>
            <a:endParaRPr lang="lv-LV"/>
          </a:p>
        </c:txPr>
        <c:crossAx val="319763240"/>
        <c:crosses val="autoZero"/>
        <c:auto val="1"/>
        <c:lblAlgn val="ctr"/>
        <c:lblOffset val="100"/>
        <c:noMultiLvlLbl val="0"/>
      </c:catAx>
      <c:valAx>
        <c:axId val="319763240"/>
        <c:scaling>
          <c:orientation val="minMax"/>
          <c:max val="100"/>
        </c:scaling>
        <c:delete val="0"/>
        <c:axPos val="l"/>
        <c:numFmt formatCode="0" sourceLinked="1"/>
        <c:majorTickMark val="out"/>
        <c:minorTickMark val="none"/>
        <c:tickLblPos val="nextTo"/>
        <c:txPr>
          <a:bodyPr/>
          <a:lstStyle/>
          <a:p>
            <a:pPr>
              <a:defRPr sz="800"/>
            </a:pPr>
            <a:endParaRPr lang="lv-LV"/>
          </a:p>
        </c:txPr>
        <c:crossAx val="319762848"/>
        <c:crosses val="autoZero"/>
        <c:crossBetween val="between"/>
        <c:majorUnit val="20"/>
      </c:valAx>
      <c:spPr>
        <a:ln>
          <a:noFill/>
        </a:ln>
      </c:spPr>
    </c:plotArea>
    <c:legend>
      <c:legendPos val="r"/>
      <c:layout>
        <c:manualLayout>
          <c:xMode val="edge"/>
          <c:yMode val="edge"/>
          <c:x val="0.19725118052443219"/>
          <c:y val="4.95283177904099E-2"/>
          <c:w val="0.42407295543560874"/>
          <c:h val="0.26188984319471414"/>
        </c:manualLayout>
      </c:layout>
      <c:overlay val="0"/>
    </c:legend>
    <c:plotVisOnly val="1"/>
    <c:dispBlanksAs val="gap"/>
    <c:showDLblsOverMax val="0"/>
  </c:chart>
  <c:spPr>
    <a:ln>
      <a:noFill/>
    </a:ln>
  </c:spPr>
  <c:txPr>
    <a:bodyPr/>
    <a:lstStyle/>
    <a:p>
      <a:pPr>
        <a:defRPr sz="900">
          <a:latin typeface="Arial Narrow" pitchFamily="34" charset="0"/>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0.10702</cdr:x>
      <cdr:y>0.35834</cdr:y>
    </cdr:from>
    <cdr:to>
      <cdr:x>0.29577</cdr:x>
      <cdr:y>0.51828</cdr:y>
    </cdr:to>
    <cdr:sp macro="" textlink="">
      <cdr:nvSpPr>
        <cdr:cNvPr id="2" name="Text Box 1"/>
        <cdr:cNvSpPr txBox="1"/>
      </cdr:nvSpPr>
      <cdr:spPr>
        <a:xfrm xmlns:a="http://schemas.openxmlformats.org/drawingml/2006/main">
          <a:off x="327420" y="773891"/>
          <a:ext cx="577455" cy="34541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lv-LV" sz="800">
              <a:latin typeface="Arial Narrow" panose="020B0606020202030204" pitchFamily="34" charset="0"/>
            </a:rPr>
            <a:t>Luksemburga</a:t>
          </a:r>
        </a:p>
        <a:p xmlns:a="http://schemas.openxmlformats.org/drawingml/2006/main">
          <a:pPr algn="ctr"/>
          <a:r>
            <a:rPr lang="lv-LV" sz="800">
              <a:latin typeface="Arial Narrow" panose="020B0606020202030204" pitchFamily="34" charset="0"/>
            </a:rPr>
            <a:t>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8A92-0F4B-4FC7-84DF-8CE32FD4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58780</Words>
  <Characters>33506</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Par Latvijas preču un pakalpojumu eksporta veicināšanas un ārvalstu investīciju piesaistes pamatnostādņu 2013.-2019.gadam starpposma novērtējumu</vt:lpstr>
    </vt:vector>
  </TitlesOfParts>
  <Company>Ekonomikas ministrija</Company>
  <LinksUpToDate>false</LinksUpToDate>
  <CharactersWithSpaces>92102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preču un pakalpojumu eksporta veicināšanas un ārvalstu investīciju piesaistes pamatnostādņu 2013.-2019.gadam starpposma novērtējumu</dc:title>
  <dc:subject>Informatīvais ziņojums</dc:subject>
  <dc:creator>Madara Ambrēna</dc:creator>
  <cp:keywords/>
  <dc:description>67013061, madara.ambrena@em.gov.lv</dc:description>
  <cp:lastModifiedBy>Madara Ambrēna</cp:lastModifiedBy>
  <cp:revision>32</cp:revision>
  <cp:lastPrinted>2016-08-22T10:23:00Z</cp:lastPrinted>
  <dcterms:created xsi:type="dcterms:W3CDTF">2016-10-31T13:38:00Z</dcterms:created>
  <dcterms:modified xsi:type="dcterms:W3CDTF">2017-01-30T06:50:00Z</dcterms:modified>
</cp:coreProperties>
</file>