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90A" w:rsidRPr="006E590A" w:rsidRDefault="006E590A" w:rsidP="006E590A">
      <w:pPr>
        <w:pStyle w:val="ListParagraph"/>
        <w:spacing w:line="240" w:lineRule="auto"/>
        <w:ind w:right="-13"/>
        <w:jc w:val="right"/>
        <w:rPr>
          <w:rFonts w:ascii="Times New Roman" w:hAnsi="Times New Roman"/>
          <w:szCs w:val="28"/>
        </w:rPr>
      </w:pPr>
      <w:bookmarkStart w:id="0" w:name="_Toc448154079"/>
      <w:r w:rsidRPr="006E590A">
        <w:rPr>
          <w:rFonts w:ascii="Times New Roman" w:hAnsi="Times New Roman"/>
          <w:i/>
          <w:szCs w:val="28"/>
        </w:rPr>
        <w:t>3</w:t>
      </w:r>
      <w:r w:rsidRPr="006E590A">
        <w:rPr>
          <w:rFonts w:ascii="Times New Roman" w:hAnsi="Times New Roman"/>
          <w:szCs w:val="28"/>
        </w:rPr>
        <w:t>.</w:t>
      </w:r>
      <w:r w:rsidRPr="006E590A">
        <w:rPr>
          <w:rFonts w:ascii="Times New Roman" w:hAnsi="Times New Roman"/>
          <w:i/>
          <w:szCs w:val="28"/>
        </w:rPr>
        <w:t>pielikums</w:t>
      </w:r>
      <w:r w:rsidRPr="006E590A">
        <w:rPr>
          <w:rFonts w:ascii="Times New Roman" w:hAnsi="Times New Roman"/>
          <w:szCs w:val="28"/>
        </w:rPr>
        <w:t xml:space="preserve"> </w:t>
      </w:r>
    </w:p>
    <w:p w:rsidR="006E590A" w:rsidRPr="006E590A" w:rsidRDefault="006E590A" w:rsidP="006E590A">
      <w:pPr>
        <w:pStyle w:val="ListParagraph"/>
        <w:spacing w:line="240" w:lineRule="auto"/>
        <w:ind w:right="-13"/>
        <w:jc w:val="right"/>
        <w:rPr>
          <w:rFonts w:ascii="Times New Roman" w:hAnsi="Times New Roman"/>
          <w:i/>
          <w:sz w:val="20"/>
          <w:szCs w:val="28"/>
        </w:rPr>
      </w:pPr>
      <w:r w:rsidRPr="006E590A">
        <w:rPr>
          <w:rFonts w:ascii="Times New Roman" w:hAnsi="Times New Roman"/>
          <w:i/>
          <w:sz w:val="20"/>
          <w:szCs w:val="28"/>
        </w:rPr>
        <w:t>Informatīvajam ziņojumam par Latvijas Preču un pakalpojumu eksporta veicināšanas un</w:t>
      </w:r>
    </w:p>
    <w:p w:rsidR="006E590A" w:rsidRPr="006E590A" w:rsidRDefault="006E590A" w:rsidP="006E590A">
      <w:pPr>
        <w:pStyle w:val="ListParagraph"/>
        <w:spacing w:line="240" w:lineRule="auto"/>
        <w:ind w:right="-13"/>
        <w:jc w:val="right"/>
        <w:rPr>
          <w:rFonts w:ascii="Times New Roman" w:hAnsi="Times New Roman"/>
          <w:i/>
          <w:szCs w:val="28"/>
        </w:rPr>
      </w:pPr>
      <w:r w:rsidRPr="006E590A">
        <w:rPr>
          <w:rFonts w:ascii="Times New Roman" w:hAnsi="Times New Roman"/>
          <w:i/>
          <w:sz w:val="20"/>
          <w:szCs w:val="28"/>
        </w:rPr>
        <w:t>Ārvalstu investīciju piesaistes pamatnostādņu īstenošanas starpposma novērtējumu  2013.-2015.gadā</w:t>
      </w:r>
    </w:p>
    <w:p w:rsidR="003D1082" w:rsidRPr="006E590A" w:rsidRDefault="003D1082" w:rsidP="003D1082">
      <w:pPr>
        <w:ind w:right="-143"/>
        <w:rPr>
          <w:b/>
          <w:sz w:val="32"/>
        </w:rPr>
      </w:pPr>
    </w:p>
    <w:p w:rsidR="006E590A" w:rsidRDefault="006E590A" w:rsidP="006E590A">
      <w:pPr>
        <w:ind w:right="-143"/>
        <w:jc w:val="center"/>
        <w:rPr>
          <w:b/>
          <w:sz w:val="24"/>
        </w:rPr>
      </w:pPr>
      <w:r>
        <w:rPr>
          <w:b/>
          <w:sz w:val="24"/>
        </w:rPr>
        <w:t>Eksporta un investīciju atbalsta instrumenti Latvijā</w:t>
      </w:r>
    </w:p>
    <w:p w:rsidR="006E590A" w:rsidRDefault="006E590A" w:rsidP="003D1082">
      <w:pPr>
        <w:ind w:right="-143"/>
        <w:rPr>
          <w:b/>
          <w:sz w:val="24"/>
        </w:rPr>
      </w:pPr>
    </w:p>
    <w:p w:rsidR="006E590A" w:rsidRPr="006E590A" w:rsidRDefault="006E590A" w:rsidP="006E590A">
      <w:pPr>
        <w:pStyle w:val="ListParagraph"/>
        <w:shd w:val="clear" w:color="auto" w:fill="1DA0A7"/>
        <w:ind w:left="0" w:right="-143"/>
        <w:rPr>
          <w:rFonts w:ascii="Times New Roman" w:hAnsi="Times New Roman"/>
          <w:b/>
          <w:color w:val="FFFFFF" w:themeColor="background1"/>
          <w:sz w:val="24"/>
        </w:rPr>
      </w:pPr>
      <w:r>
        <w:rPr>
          <w:rFonts w:ascii="Times New Roman" w:hAnsi="Times New Roman"/>
          <w:b/>
          <w:color w:val="FFFFFF" w:themeColor="background1"/>
          <w:sz w:val="24"/>
        </w:rPr>
        <w:t>1.</w:t>
      </w:r>
      <w:r w:rsidRPr="006E590A">
        <w:rPr>
          <w:rFonts w:ascii="Times New Roman" w:hAnsi="Times New Roman"/>
          <w:b/>
          <w:color w:val="FFFFFF" w:themeColor="background1"/>
          <w:sz w:val="24"/>
        </w:rPr>
        <w:t>Eksporta atbalsta instrumenti</w:t>
      </w:r>
    </w:p>
    <w:p w:rsidR="006E590A" w:rsidRPr="006E590A" w:rsidRDefault="006E590A" w:rsidP="006E590A">
      <w:pPr>
        <w:ind w:right="-143"/>
        <w:rPr>
          <w:b/>
          <w:sz w:val="8"/>
          <w:szCs w:val="8"/>
        </w:rPr>
      </w:pPr>
    </w:p>
    <w:p w:rsidR="003D1082" w:rsidRPr="008F1B7E" w:rsidRDefault="006E590A" w:rsidP="003D1082">
      <w:pPr>
        <w:shd w:val="clear" w:color="auto" w:fill="1DA0A7"/>
        <w:ind w:right="-143"/>
        <w:rPr>
          <w:b/>
          <w:color w:val="FFFFFF" w:themeColor="background1"/>
          <w:sz w:val="24"/>
        </w:rPr>
      </w:pPr>
      <w:r>
        <w:rPr>
          <w:b/>
          <w:color w:val="FFFFFF" w:themeColor="background1"/>
          <w:sz w:val="24"/>
        </w:rPr>
        <w:t>1.1.</w:t>
      </w:r>
      <w:r w:rsidR="005B6945">
        <w:rPr>
          <w:b/>
          <w:color w:val="FFFFFF" w:themeColor="background1"/>
          <w:sz w:val="24"/>
        </w:rPr>
        <w:t>Latvijas Investīciju un attīstības aģentūras</w:t>
      </w:r>
      <w:r w:rsidR="003D1082" w:rsidRPr="008F1B7E">
        <w:rPr>
          <w:b/>
          <w:color w:val="FFFFFF" w:themeColor="background1"/>
          <w:sz w:val="24"/>
        </w:rPr>
        <w:t xml:space="preserve"> sniegtais atbalsts</w:t>
      </w:r>
    </w:p>
    <w:p w:rsidR="003D1082" w:rsidRPr="006E590A" w:rsidRDefault="003D1082" w:rsidP="003D1082">
      <w:pPr>
        <w:ind w:right="-143"/>
        <w:rPr>
          <w:b/>
          <w:sz w:val="8"/>
          <w:szCs w:val="8"/>
        </w:rPr>
      </w:pPr>
    </w:p>
    <w:p w:rsidR="003D1082" w:rsidRPr="00D33B91" w:rsidRDefault="003D1082" w:rsidP="003D1082">
      <w:pPr>
        <w:shd w:val="clear" w:color="auto" w:fill="D9D9D9" w:themeFill="background1" w:themeFillShade="D9"/>
        <w:ind w:right="-143"/>
        <w:rPr>
          <w:b/>
          <w:sz w:val="24"/>
        </w:rPr>
      </w:pPr>
      <w:r w:rsidRPr="00D33B91">
        <w:rPr>
          <w:b/>
          <w:sz w:val="24"/>
        </w:rPr>
        <w:t>Konsultatīvs atbalsts un atbalsts sadarbības partneru meklēšanā un sadarbības veicināšanā</w:t>
      </w:r>
    </w:p>
    <w:p w:rsidR="003D1082" w:rsidRPr="006E590A" w:rsidRDefault="005B6945" w:rsidP="00370288">
      <w:pPr>
        <w:tabs>
          <w:tab w:val="left" w:pos="3828"/>
        </w:tabs>
        <w:ind w:right="-143" w:firstLine="567"/>
        <w:jc w:val="both"/>
        <w:rPr>
          <w:sz w:val="22"/>
        </w:rPr>
      </w:pPr>
      <w:r>
        <w:rPr>
          <w:sz w:val="22"/>
        </w:rPr>
        <w:t xml:space="preserve">Latvijas Investīciju un attīstības aģentūra (turpmāk – </w:t>
      </w:r>
      <w:r w:rsidR="003D1082" w:rsidRPr="006E590A">
        <w:rPr>
          <w:sz w:val="22"/>
        </w:rPr>
        <w:t>LIAA</w:t>
      </w:r>
      <w:r>
        <w:rPr>
          <w:sz w:val="22"/>
        </w:rPr>
        <w:t>)</w:t>
      </w:r>
      <w:r w:rsidR="003D1082" w:rsidRPr="006E590A">
        <w:rPr>
          <w:sz w:val="22"/>
        </w:rPr>
        <w:t xml:space="preserve"> mērķtiecīgi strādā pie Latvijas uzņēmumu konkurētspējas un eksportspējas veicināšanas starptautiskajos tirgos, gan piedāvājot daudzveidīgus eksporta atbalsta pasākumus, gan veidojot Latvijas tēlu starptautiski. Tiek nodrošināta informācijas un konsultāciju sniegšana par ārvalstu tirgiem, sniegts atbalsts sadarbības partneru meklēšanā, īstenoti eksporta atbalsta pasākumi ārvalstīs (tirdzniecības misijas, nacionālie stendi),  kā arī īstenotas Latvijas produktu mārketinga kampaņas. </w:t>
      </w:r>
    </w:p>
    <w:p w:rsidR="003D1082" w:rsidRPr="006E590A" w:rsidRDefault="003D1082" w:rsidP="003D1082">
      <w:pPr>
        <w:ind w:right="-143" w:firstLine="567"/>
        <w:jc w:val="both"/>
        <w:rPr>
          <w:sz w:val="22"/>
        </w:rPr>
      </w:pPr>
      <w:r w:rsidRPr="006E590A">
        <w:rPr>
          <w:sz w:val="22"/>
        </w:rPr>
        <w:t xml:space="preserve">2014.-2020.gada </w:t>
      </w:r>
      <w:r w:rsidR="005B6945">
        <w:rPr>
          <w:sz w:val="22"/>
        </w:rPr>
        <w:t xml:space="preserve">Eiropas Savienības (turpmāk – </w:t>
      </w:r>
      <w:r w:rsidRPr="006E590A">
        <w:rPr>
          <w:sz w:val="22"/>
        </w:rPr>
        <w:t>ES</w:t>
      </w:r>
      <w:r w:rsidR="005B6945">
        <w:rPr>
          <w:sz w:val="22"/>
        </w:rPr>
        <w:t>)</w:t>
      </w:r>
      <w:r w:rsidRPr="006E590A">
        <w:rPr>
          <w:sz w:val="22"/>
        </w:rPr>
        <w:t xml:space="preserve"> fondu plānošanas perioda ietvaros, L</w:t>
      </w:r>
      <w:r w:rsidR="005B6945">
        <w:rPr>
          <w:sz w:val="22"/>
        </w:rPr>
        <w:t>IAA īsteno Darbības programmas "</w:t>
      </w:r>
      <w:r w:rsidRPr="006E590A">
        <w:rPr>
          <w:sz w:val="22"/>
        </w:rPr>
        <w:t>Izaugsme un nodarbinātība" 3.2.1.specifiskā atbalsta mērķa "Palielināt augstas pievienotās vērtības produktu un pakalpojumu eksporta proporciju" 3.2.1.2.pasākumu "Starptautiskās konkurētspējas veicināšana". Ir izstrādāta Darbības programmas ieviešanas stratēģija, kurā ir noteikti prioritārie eksporta atbalsta pasākumi, kā arī kritēriji komersantu atbalstam, kuri ražo produktus ar augstāku pievienoto vērtību.</w:t>
      </w:r>
    </w:p>
    <w:p w:rsidR="003D1082" w:rsidRPr="006E590A" w:rsidRDefault="003D1082" w:rsidP="003D1082">
      <w:pPr>
        <w:ind w:right="-143" w:firstLine="567"/>
        <w:jc w:val="both"/>
        <w:rPr>
          <w:sz w:val="22"/>
        </w:rPr>
      </w:pPr>
    </w:p>
    <w:p w:rsidR="003D1082" w:rsidRPr="006E590A" w:rsidRDefault="003D1082" w:rsidP="003D1082">
      <w:pPr>
        <w:shd w:val="clear" w:color="auto" w:fill="D9D9D9" w:themeFill="background1" w:themeFillShade="D9"/>
        <w:ind w:right="-143"/>
        <w:jc w:val="both"/>
        <w:rPr>
          <w:b/>
          <w:sz w:val="22"/>
        </w:rPr>
      </w:pPr>
      <w:r w:rsidRPr="006E590A">
        <w:rPr>
          <w:b/>
          <w:sz w:val="22"/>
        </w:rPr>
        <w:t xml:space="preserve">Ārējo ekonomisko pārstāvniecību darbība </w:t>
      </w:r>
    </w:p>
    <w:p w:rsidR="003D1082" w:rsidRPr="006E590A" w:rsidRDefault="003D1082" w:rsidP="003D1082">
      <w:pPr>
        <w:ind w:right="-143" w:firstLine="567"/>
        <w:jc w:val="both"/>
        <w:rPr>
          <w:bCs/>
          <w:sz w:val="22"/>
        </w:rPr>
      </w:pPr>
      <w:r w:rsidRPr="006E590A">
        <w:rPr>
          <w:sz w:val="22"/>
        </w:rPr>
        <w:t>Eksporta veicināš</w:t>
      </w:r>
      <w:r w:rsidR="005B6945">
        <w:rPr>
          <w:sz w:val="22"/>
        </w:rPr>
        <w:t>ana noris, izmantojot Latvijas Ā</w:t>
      </w:r>
      <w:r w:rsidRPr="006E590A">
        <w:rPr>
          <w:sz w:val="22"/>
        </w:rPr>
        <w:t xml:space="preserve">rējo ekonomisko pārstāvniecību un diplomātisko un konsulāro pārstāvniecību tīklu. </w:t>
      </w:r>
      <w:r w:rsidRPr="006E590A">
        <w:rPr>
          <w:bCs/>
          <w:sz w:val="22"/>
        </w:rPr>
        <w:t xml:space="preserve">2016.gadā ārvalstīs tiek nodrošināta 21 Latvijas Ārējās ekonomiskās pārstāvniecības darbība – Apvienotajā Karalistē, Vācijā, Zviedrijā, Francijā, Nīderlandē, Norvēģijā, Dānijā, Polijā, Japānā, Krievijā, Lietuvā, Ukrainā, Baltkrievijā, Ķīnā (Pekinā un Šanhajā), Somijā, Itālijā, Singapūrā, Apvienotajos Arābu Emirātos, Azerbaidžānā un Kazahstānā. </w:t>
      </w:r>
      <w:r w:rsidR="00673329" w:rsidRPr="00673329">
        <w:rPr>
          <w:bCs/>
          <w:sz w:val="22"/>
        </w:rPr>
        <w:t>Ārlietu ministrijai ir 37 vēstniecības, viens ģenerālkonsulāts un divi konsulāti, viena konsulārā nodaļa (Kaļiņingradā), kā arī sešas pastāvīgās pārstāvniecības. 2016. gadā Latvijai ir 177 goda konsuli un 16 goda ģenerālkonsuli ārvalstīs. Ārlietu dienests veic eksporta atbalsta pasākumus Latvijas uzņēmējiem, ārvalstu investīciju piesaisti, nodarbojas ar ekonomiskās diplomātijas un tirdzniecības politikas jautājumiem. Valstīs, kurās nav Latvijas ārējās ekonomiskās pārstāvniecības, vēstniecības ir galvenais atbalsts Latvijas uzņēmējiem.</w:t>
      </w:r>
    </w:p>
    <w:p w:rsidR="00673329" w:rsidRPr="006E590A" w:rsidRDefault="00673329" w:rsidP="00673329">
      <w:pPr>
        <w:ind w:firstLine="720"/>
        <w:jc w:val="both"/>
        <w:rPr>
          <w:rFonts w:eastAsia="Calibri" w:cs="Times New Roman"/>
          <w:iCs/>
          <w:color w:val="000000" w:themeColor="text1"/>
          <w:sz w:val="22"/>
          <w:lang w:eastAsia="pl-PL"/>
        </w:rPr>
      </w:pPr>
      <w:r w:rsidRPr="006E590A">
        <w:rPr>
          <w:rFonts w:eastAsia="Calibri" w:cs="Times New Roman"/>
          <w:iCs/>
          <w:color w:val="000000" w:themeColor="text1"/>
          <w:sz w:val="22"/>
          <w:lang w:eastAsia="pl-PL"/>
        </w:rPr>
        <w:t xml:space="preserve">LIAA ārējās ekonomiskās pārstāvniecības ir turpinājušas aktīvi atbalstīt Latvijas uzņēmumus – Pamatnostādņu īstenošanas pārskata periodā sniegtas vairāk nekā 1800 konsultācijas Latvijas uzņēmumiem par ārējiem tirgiem un biznesa partneru meklēšanu. Visvairāk konsultāciju sniegušas pārstāvniecības šādās valstīs: Norvēģija (281), Lielbritānija (200), Zviedrija (173), Francija (165) un Vācija (123). Šajā laika periodā pārstāvniecības apstrādājušas arī vairāk nekā 1700 ārvalstu kompāniju ienākošos eksporta pieprasījumus un projektus. Visvairāk eksporta pieprasījumi saņemti un apstrādāti šādās pārstāvniecībās: Francija (281), Vācija (274), Lielbritānija (214), Zviedrija (202) un Japāna (120). </w:t>
      </w:r>
    </w:p>
    <w:p w:rsidR="00673329" w:rsidRDefault="00673329" w:rsidP="00673329">
      <w:pPr>
        <w:ind w:firstLine="567"/>
        <w:jc w:val="both"/>
        <w:rPr>
          <w:sz w:val="22"/>
        </w:rPr>
      </w:pPr>
      <w:r w:rsidRPr="006E590A">
        <w:rPr>
          <w:bCs/>
          <w:sz w:val="22"/>
        </w:rPr>
        <w:t xml:space="preserve">2016.gadā Ekonomikas ministrija sadarbībā ar LIAA ir uzsākusi darbu pie Latvijas Ārējās ekonomiskās pārstāvniecības ASV darbības atjaunošanas. </w:t>
      </w:r>
      <w:r w:rsidRPr="006E590A">
        <w:rPr>
          <w:rFonts w:eastAsia="Times New Roman" w:cs="Times New Roman"/>
          <w:sz w:val="22"/>
          <w:lang w:eastAsia="lv-LV"/>
        </w:rPr>
        <w:t xml:space="preserve">Latvijas Ārējā ekonomiskā pārstāvniecība ASV strādāja no 2005.gada līdz 2009.gadam. Saistībā </w:t>
      </w:r>
      <w:r w:rsidRPr="00BF32BA">
        <w:rPr>
          <w:rFonts w:eastAsia="Times New Roman" w:cs="Times New Roman"/>
          <w:sz w:val="22"/>
          <w:lang w:eastAsia="lv-LV"/>
        </w:rPr>
        <w:t>ar nepieciešamību optimizēt LIAA darbību ievērojami samazinātā 2009.-2011.gada budžeta ietvaros, LIAA pārstāvniecība ASV tika slēgta, izvērtējot tās efektivitāti salīdzinot ar citām pārstāvniecībām.</w:t>
      </w:r>
      <w:r w:rsidRPr="00BF32BA">
        <w:rPr>
          <w:bCs/>
          <w:sz w:val="22"/>
        </w:rPr>
        <w:t xml:space="preserve"> </w:t>
      </w:r>
    </w:p>
    <w:p w:rsidR="00A33173" w:rsidRPr="00A33173" w:rsidRDefault="00A33173" w:rsidP="00A33173">
      <w:pPr>
        <w:ind w:firstLine="567"/>
        <w:jc w:val="both"/>
        <w:rPr>
          <w:sz w:val="22"/>
        </w:rPr>
      </w:pPr>
      <w:r w:rsidRPr="00A33173">
        <w:rPr>
          <w:sz w:val="22"/>
        </w:rPr>
        <w:t>Taču pēdējo gadu laikā ASV kā eksporta mērķa tirgus loma Latvijas ražotājiem ir arvien palielinājusies, tādēļ šis eksporta virziens būtu jāattīsta, lai diversificētu eksporta mērķa tirgus. Pie nosacījuma, ka brīvais tirdzniecības līgums jeb Transatlantiskai Tirdzniecības un partnerības līgums (TTIP) starp ES un ASV tiks noslēgts uz abpusēji izdevīgiem nosacījumiem, ASV tirgus varētu kļūt par eksportējošiem uzņēmumiem vēl pievilcīgāku galamērķi. Pārstāvniecības atvēršana ASV veicinātu Latvijai nozīmīga eksporta tirgus sekmīgu apguvi, palielinātu Latvijas uzņēmumu īpatsvaru šajā valstī un informētu ASV uzņēmumus par investīciju iespējām Latvijā.</w:t>
      </w:r>
    </w:p>
    <w:p w:rsidR="003D1082" w:rsidRDefault="003D1082" w:rsidP="003D1082">
      <w:pPr>
        <w:jc w:val="both"/>
        <w:rPr>
          <w:b/>
          <w:bCs/>
          <w:sz w:val="22"/>
        </w:rPr>
      </w:pPr>
    </w:p>
    <w:p w:rsidR="005B6945" w:rsidRDefault="005B6945" w:rsidP="003D1082">
      <w:pPr>
        <w:jc w:val="both"/>
        <w:rPr>
          <w:b/>
          <w:bCs/>
          <w:sz w:val="22"/>
        </w:rPr>
      </w:pPr>
    </w:p>
    <w:p w:rsidR="005B6945" w:rsidRPr="006E590A" w:rsidRDefault="005B6945" w:rsidP="003D1082">
      <w:pPr>
        <w:jc w:val="both"/>
        <w:rPr>
          <w:b/>
          <w:bCs/>
          <w:sz w:val="22"/>
        </w:rPr>
      </w:pPr>
      <w:bookmarkStart w:id="1" w:name="_GoBack"/>
      <w:bookmarkEnd w:id="1"/>
    </w:p>
    <w:p w:rsidR="003D1082" w:rsidRPr="006E590A" w:rsidRDefault="003D1082" w:rsidP="003D1082">
      <w:pPr>
        <w:shd w:val="clear" w:color="auto" w:fill="D9D9D9" w:themeFill="background1" w:themeFillShade="D9"/>
        <w:jc w:val="both"/>
        <w:rPr>
          <w:b/>
          <w:bCs/>
          <w:sz w:val="22"/>
        </w:rPr>
      </w:pPr>
      <w:r w:rsidRPr="006E590A">
        <w:rPr>
          <w:b/>
          <w:bCs/>
          <w:sz w:val="22"/>
        </w:rPr>
        <w:lastRenderedPageBreak/>
        <w:t xml:space="preserve">Eiropas Biznesa atbalsta tīkls Latvijā (Enterprise </w:t>
      </w:r>
      <w:proofErr w:type="spellStart"/>
      <w:r w:rsidRPr="006E590A">
        <w:rPr>
          <w:b/>
          <w:bCs/>
          <w:sz w:val="22"/>
        </w:rPr>
        <w:t>Europe</w:t>
      </w:r>
      <w:proofErr w:type="spellEnd"/>
      <w:r w:rsidRPr="006E590A">
        <w:rPr>
          <w:b/>
          <w:bCs/>
          <w:sz w:val="22"/>
        </w:rPr>
        <w:t xml:space="preserve"> </w:t>
      </w:r>
      <w:proofErr w:type="spellStart"/>
      <w:r w:rsidRPr="006E590A">
        <w:rPr>
          <w:b/>
          <w:bCs/>
          <w:sz w:val="22"/>
        </w:rPr>
        <w:t>Network</w:t>
      </w:r>
      <w:proofErr w:type="spellEnd"/>
      <w:r w:rsidRPr="006E590A">
        <w:rPr>
          <w:b/>
          <w:bCs/>
          <w:sz w:val="22"/>
        </w:rPr>
        <w:t>).</w:t>
      </w:r>
    </w:p>
    <w:p w:rsidR="003D1082" w:rsidRPr="006E590A" w:rsidRDefault="003D1082" w:rsidP="003D1082">
      <w:pPr>
        <w:ind w:firstLine="567"/>
        <w:jc w:val="both"/>
        <w:rPr>
          <w:bCs/>
          <w:sz w:val="22"/>
        </w:rPr>
      </w:pPr>
      <w:r w:rsidRPr="006E590A">
        <w:rPr>
          <w:bCs/>
          <w:sz w:val="22"/>
        </w:rPr>
        <w:t>Eiropas Biznesa atbalsta tīkls (EEN) ir lielākais uzņēmējdarbības un inovācijas atbalsta kontaktpunktu tīkls pasaulē, kas sniedz praktisku informāciju uz specifiskiem jautājumiem ES uzņēmējiem par ES lietām, īpaši izceļot mazos un vidējos uzņēmējus.</w:t>
      </w:r>
    </w:p>
    <w:p w:rsidR="003D1082" w:rsidRPr="006E590A" w:rsidRDefault="003D1082" w:rsidP="003D1082">
      <w:pPr>
        <w:ind w:firstLine="567"/>
        <w:jc w:val="both"/>
        <w:rPr>
          <w:bCs/>
          <w:sz w:val="22"/>
        </w:rPr>
      </w:pPr>
      <w:r w:rsidRPr="006E590A">
        <w:rPr>
          <w:bCs/>
          <w:sz w:val="22"/>
        </w:rPr>
        <w:t>Eiropas Biznesa atbalsta tīkls ir viena no </w:t>
      </w:r>
      <w:r w:rsidRPr="005B6945">
        <w:rPr>
          <w:bCs/>
          <w:sz w:val="22"/>
        </w:rPr>
        <w:t xml:space="preserve">COSME - </w:t>
      </w:r>
      <w:r w:rsidR="005B6945" w:rsidRPr="005B6945">
        <w:rPr>
          <w:bCs/>
          <w:sz w:val="22"/>
        </w:rPr>
        <w:t>ES</w:t>
      </w:r>
      <w:r w:rsidRPr="005B6945">
        <w:rPr>
          <w:bCs/>
          <w:sz w:val="22"/>
        </w:rPr>
        <w:t xml:space="preserve"> Uzņēmumu konkurētspējas un mazo vidējo uzņēmumu programmās 2014-2020 (iepriekš - Eiropas Komisijas Konkurētspējas un Inovāciju </w:t>
      </w:r>
      <w:proofErr w:type="spellStart"/>
      <w:r w:rsidRPr="005B6945">
        <w:rPr>
          <w:bCs/>
          <w:sz w:val="22"/>
        </w:rPr>
        <w:t>ietvarprogramma</w:t>
      </w:r>
      <w:proofErr w:type="spellEnd"/>
      <w:r w:rsidRPr="005B6945">
        <w:rPr>
          <w:bCs/>
          <w:sz w:val="22"/>
        </w:rPr>
        <w:t xml:space="preserve"> (CIP) 2007-2013)</w:t>
      </w:r>
      <w:r w:rsidRPr="006E590A">
        <w:rPr>
          <w:bCs/>
          <w:sz w:val="22"/>
        </w:rPr>
        <w:t> sastāvdaļām, kas darbojas pēc vienas pieturvietas aģentūras principiem, lai sniegtu vienotus pakalpojumus.</w:t>
      </w:r>
    </w:p>
    <w:p w:rsidR="003D1082" w:rsidRPr="005B6945" w:rsidRDefault="003D1082" w:rsidP="003D1082">
      <w:pPr>
        <w:ind w:firstLine="567"/>
        <w:jc w:val="both"/>
        <w:rPr>
          <w:bCs/>
          <w:sz w:val="22"/>
        </w:rPr>
      </w:pPr>
      <w:r w:rsidRPr="006E590A">
        <w:rPr>
          <w:bCs/>
          <w:sz w:val="22"/>
        </w:rPr>
        <w:t xml:space="preserve">Latvijā šo Eiropas Komisijas projektu īsteno </w:t>
      </w:r>
      <w:r w:rsidR="005B6945">
        <w:rPr>
          <w:bCs/>
          <w:sz w:val="22"/>
        </w:rPr>
        <w:t>LIAA</w:t>
      </w:r>
      <w:r w:rsidRPr="006E590A">
        <w:rPr>
          <w:bCs/>
          <w:sz w:val="22"/>
        </w:rPr>
        <w:t xml:space="preserve"> un partneris Latvijas Tehnoloģiskais centrs (LTC). Tīkls darbojas pēc atvērto durvju principa (</w:t>
      </w:r>
      <w:r w:rsidR="005B6945">
        <w:rPr>
          <w:bCs/>
          <w:sz w:val="22"/>
        </w:rPr>
        <w:t>“</w:t>
      </w:r>
      <w:r w:rsidRPr="006E590A">
        <w:rPr>
          <w:bCs/>
          <w:i/>
          <w:sz w:val="22"/>
        </w:rPr>
        <w:t xml:space="preserve">no </w:t>
      </w:r>
      <w:proofErr w:type="spellStart"/>
      <w:r w:rsidRPr="006E590A">
        <w:rPr>
          <w:bCs/>
          <w:i/>
          <w:sz w:val="22"/>
        </w:rPr>
        <w:t>wrong</w:t>
      </w:r>
      <w:proofErr w:type="spellEnd"/>
      <w:r w:rsidRPr="006E590A">
        <w:rPr>
          <w:bCs/>
          <w:i/>
          <w:sz w:val="22"/>
        </w:rPr>
        <w:t xml:space="preserve"> </w:t>
      </w:r>
      <w:proofErr w:type="spellStart"/>
      <w:r w:rsidRPr="006E590A">
        <w:rPr>
          <w:bCs/>
          <w:i/>
          <w:sz w:val="22"/>
        </w:rPr>
        <w:t>door</w:t>
      </w:r>
      <w:proofErr w:type="spellEnd"/>
      <w:r w:rsidR="005B6945">
        <w:rPr>
          <w:bCs/>
          <w:i/>
          <w:sz w:val="22"/>
        </w:rPr>
        <w:t>”</w:t>
      </w:r>
      <w:r w:rsidRPr="006E590A">
        <w:rPr>
          <w:bCs/>
          <w:sz w:val="22"/>
        </w:rPr>
        <w:t xml:space="preserve">) – kas nodrošina vienotus pakalpojumus neatkarīgi no tā, kurā valstī vai kontaktpunktā griežas uzņēmējs. </w:t>
      </w:r>
      <w:r w:rsidRPr="005B6945">
        <w:rPr>
          <w:bCs/>
          <w:sz w:val="22"/>
        </w:rPr>
        <w:t xml:space="preserve">Tīkls piedāvā konkrētus un efektīvus risinājumus uzņēmējiem vairāk nekā 60 valstīs, iekļaujot 28 </w:t>
      </w:r>
      <w:r w:rsidR="005B6945">
        <w:rPr>
          <w:bCs/>
          <w:sz w:val="22"/>
        </w:rPr>
        <w:t>ES</w:t>
      </w:r>
      <w:r w:rsidRPr="005B6945">
        <w:rPr>
          <w:bCs/>
          <w:sz w:val="22"/>
        </w:rPr>
        <w:t xml:space="preserve"> valstis, kā arī kandidātvalstis, Eiropas ekonomiskās zonas valstis un citas trešās valstis.</w:t>
      </w:r>
    </w:p>
    <w:p w:rsidR="003D1082" w:rsidRPr="006E590A" w:rsidRDefault="003D1082" w:rsidP="003D1082">
      <w:pPr>
        <w:ind w:firstLine="567"/>
        <w:jc w:val="both"/>
        <w:rPr>
          <w:bCs/>
          <w:sz w:val="22"/>
        </w:rPr>
      </w:pPr>
      <w:r w:rsidRPr="006E590A">
        <w:rPr>
          <w:bCs/>
          <w:sz w:val="22"/>
        </w:rPr>
        <w:t xml:space="preserve">Eiropas Biznesa atbalsta tīkls ir vienreizējs gan pēc tā ģeogrāfiskā pārklājuma, gan pieejamajiem pakalpojumiem. Tīklā ir apvienotas un koordinēti darbojas aptuveni 600 </w:t>
      </w:r>
      <w:proofErr w:type="spellStart"/>
      <w:r w:rsidRPr="006E590A">
        <w:rPr>
          <w:bCs/>
          <w:sz w:val="22"/>
        </w:rPr>
        <w:t>partnerorganizāciju</w:t>
      </w:r>
      <w:proofErr w:type="spellEnd"/>
      <w:r w:rsidRPr="006E590A">
        <w:rPr>
          <w:bCs/>
          <w:sz w:val="22"/>
        </w:rPr>
        <w:t>, kurās nodarbināti ap 4000 speciālistu, lai veicinātu ES uzņēmējdarbību.</w:t>
      </w:r>
    </w:p>
    <w:p w:rsidR="003D1082" w:rsidRPr="00CE1FF7" w:rsidRDefault="003D1082" w:rsidP="003D1082">
      <w:pPr>
        <w:ind w:firstLine="567"/>
        <w:jc w:val="both"/>
        <w:rPr>
          <w:bCs/>
          <w:i/>
          <w:sz w:val="24"/>
          <w:szCs w:val="24"/>
        </w:rPr>
      </w:pPr>
    </w:p>
    <w:p w:rsidR="003D1082" w:rsidRPr="006E590A" w:rsidRDefault="006E590A" w:rsidP="003D1082">
      <w:pPr>
        <w:shd w:val="clear" w:color="auto" w:fill="1DA0A7"/>
        <w:rPr>
          <w:b/>
          <w:color w:val="FFFFFF" w:themeColor="background1"/>
          <w:sz w:val="22"/>
        </w:rPr>
      </w:pPr>
      <w:r>
        <w:rPr>
          <w:b/>
          <w:color w:val="FFFFFF" w:themeColor="background1"/>
          <w:sz w:val="24"/>
        </w:rPr>
        <w:t>1</w:t>
      </w:r>
      <w:r w:rsidRPr="006E590A">
        <w:rPr>
          <w:b/>
          <w:color w:val="FFFFFF" w:themeColor="background1"/>
          <w:sz w:val="22"/>
        </w:rPr>
        <w:t>.2.</w:t>
      </w:r>
      <w:r w:rsidR="003D1082" w:rsidRPr="006E590A">
        <w:rPr>
          <w:b/>
          <w:color w:val="FFFFFF" w:themeColor="background1"/>
          <w:sz w:val="22"/>
        </w:rPr>
        <w:t>ES fondu aktivitātes eksporta veicināšanai</w:t>
      </w:r>
      <w:bookmarkEnd w:id="0"/>
    </w:p>
    <w:p w:rsidR="003D1082" w:rsidRPr="006E590A" w:rsidRDefault="003D1082" w:rsidP="003D1082">
      <w:pPr>
        <w:jc w:val="both"/>
        <w:rPr>
          <w:b/>
          <w:sz w:val="8"/>
          <w:szCs w:val="8"/>
        </w:rPr>
      </w:pPr>
    </w:p>
    <w:p w:rsidR="003D1082" w:rsidRPr="006E590A" w:rsidRDefault="003D1082" w:rsidP="003D1082">
      <w:pPr>
        <w:shd w:val="clear" w:color="auto" w:fill="D9D9D9" w:themeFill="background1" w:themeFillShade="D9"/>
        <w:jc w:val="both"/>
        <w:rPr>
          <w:b/>
          <w:sz w:val="22"/>
        </w:rPr>
      </w:pPr>
      <w:r w:rsidRPr="006E590A">
        <w:rPr>
          <w:b/>
          <w:sz w:val="22"/>
        </w:rPr>
        <w:t>2013.-2015.gadā īstenotās aktivitātes eksporta veicināšanai</w:t>
      </w:r>
    </w:p>
    <w:p w:rsidR="003D1082" w:rsidRPr="006E590A" w:rsidRDefault="005B6945" w:rsidP="003D1082">
      <w:pPr>
        <w:ind w:firstLine="567"/>
        <w:jc w:val="both"/>
        <w:rPr>
          <w:sz w:val="22"/>
        </w:rPr>
      </w:pPr>
      <w:r>
        <w:rPr>
          <w:sz w:val="22"/>
        </w:rPr>
        <w:t>ES</w:t>
      </w:r>
      <w:r w:rsidR="003D1082" w:rsidRPr="006E590A">
        <w:rPr>
          <w:sz w:val="22"/>
        </w:rPr>
        <w:t xml:space="preserve"> fondu 2007.–2013.gada plānošanas periodā tika īstenota darbības programmas “Uzņēmējdarbība un inovācijas” papildinājuma 2.3.1.1.2.apakšaktivitāte “Ārējo tirgu apgūšana – nozaru konkurētspēja” (turpmāk – 2.3.1.1.2 </w:t>
      </w:r>
      <w:proofErr w:type="spellStart"/>
      <w:r w:rsidR="003D1082" w:rsidRPr="006E590A">
        <w:rPr>
          <w:sz w:val="22"/>
        </w:rPr>
        <w:t>apakšaktivitāte</w:t>
      </w:r>
      <w:proofErr w:type="spellEnd"/>
      <w:r w:rsidR="003D1082" w:rsidRPr="006E590A">
        <w:rPr>
          <w:sz w:val="22"/>
        </w:rPr>
        <w:t xml:space="preserve">), kurā atbalstāmās aktivitātes tika īstenotas arī Pamatnostādņu īstenošanas starpposma novērtējuma periodā. </w:t>
      </w:r>
    </w:p>
    <w:p w:rsidR="003D1082" w:rsidRPr="006E590A" w:rsidRDefault="003D1082" w:rsidP="003D1082">
      <w:pPr>
        <w:ind w:firstLine="567"/>
        <w:jc w:val="both"/>
        <w:rPr>
          <w:sz w:val="22"/>
        </w:rPr>
      </w:pPr>
      <w:r w:rsidRPr="006E590A">
        <w:rPr>
          <w:sz w:val="22"/>
        </w:rPr>
        <w:t xml:space="preserve">Kopš 2008. gada ārējo tirgu apgūšanas programmā ir atbalstīti 3786  iesniegtie projekti, savukārt nozaru starptautiskās konkurētspējas programmā Latvijas investīciju un attīstības aģentūra (LIAA) ir atbalstījusi 4596 projektus, tai skaitā nacionālajos stendos ir atbalstīti 739 projekti, 889 tirdzniecības misijas un uzņēmējiem ir sniegtas 1462 LIAA konsultācijas. </w:t>
      </w:r>
    </w:p>
    <w:p w:rsidR="003D1082" w:rsidRPr="006E590A" w:rsidRDefault="003D1082" w:rsidP="003D1082">
      <w:pPr>
        <w:ind w:firstLine="426"/>
        <w:jc w:val="both"/>
        <w:rPr>
          <w:b/>
          <w:color w:val="FFFFFF" w:themeColor="background1"/>
          <w:sz w:val="22"/>
        </w:rPr>
      </w:pPr>
      <w:r w:rsidRPr="006E590A">
        <w:rPr>
          <w:sz w:val="22"/>
        </w:rPr>
        <w:t>Visvairāk projektu īstenoti apstrādes rūpniecības nozarē (55%), informācijas un komunikācijas pakalpojumu nozarē (14%) un transporta un uzglabāšanas nozarē (8%). No rūpniecības nozarē īstenotajiem projektiem visvairāk projektu īstenots apģērbu ražošanas (36%), ķīmisko vielu un ķīmisko produktu ražošanas (11%) un datoru, elektronisko un optisko iekārtu ražošanas (8%) jomās. Tāpat norādāms, ka vislielākais atbalstīto projektu īpatsvars novērots Rīgā (64,92%) un R</w:t>
      </w:r>
      <w:r w:rsidR="005B6945">
        <w:rPr>
          <w:sz w:val="22"/>
        </w:rPr>
        <w:t>īgas reģionā (13,93%), savukārt</w:t>
      </w:r>
      <w:r w:rsidRPr="006E590A">
        <w:rPr>
          <w:sz w:val="22"/>
        </w:rPr>
        <w:t xml:space="preserve"> otrs lielākais atbalstīto projektu īpatsvars ir </w:t>
      </w:r>
      <w:r w:rsidR="005B6945">
        <w:rPr>
          <w:sz w:val="22"/>
        </w:rPr>
        <w:t>Kurzemē (8,43%), trešais Zemgalē (5,00%), ceturtais Vidzemē</w:t>
      </w:r>
      <w:r w:rsidRPr="006E590A">
        <w:rPr>
          <w:sz w:val="22"/>
        </w:rPr>
        <w:t xml:space="preserve"> (4,05%) vismazāk - Latgal</w:t>
      </w:r>
      <w:r w:rsidR="005B6945">
        <w:rPr>
          <w:sz w:val="22"/>
        </w:rPr>
        <w:t>ē</w:t>
      </w:r>
      <w:r w:rsidRPr="006E590A">
        <w:rPr>
          <w:sz w:val="22"/>
        </w:rPr>
        <w:t xml:space="preserve"> (3,68%). Detalizēti sasniegtie rezultāti, tai skaitā izlietotais finansējums, atspoguļots informatīvā ziņojuma 1.pielikumā 2. rīcības virzienā “Atbalsts ārējo tirgu apgūšanai” un 3.rīcības virziena “Turpmākā rīcība ĀTI piesaistei” ietvertajos apakšpunktos.</w:t>
      </w:r>
    </w:p>
    <w:p w:rsidR="003D1082" w:rsidRPr="006E590A" w:rsidRDefault="003D1082" w:rsidP="003D1082">
      <w:pPr>
        <w:pStyle w:val="Heading3"/>
        <w:spacing w:before="0"/>
        <w:ind w:firstLine="426"/>
        <w:jc w:val="both"/>
        <w:rPr>
          <w:sz w:val="22"/>
          <w:szCs w:val="22"/>
        </w:rPr>
      </w:pPr>
      <w:r w:rsidRPr="006E590A">
        <w:rPr>
          <w:sz w:val="22"/>
          <w:szCs w:val="22"/>
        </w:rPr>
        <w:t>Kā secināts E</w:t>
      </w:r>
      <w:r w:rsidR="005B6945">
        <w:rPr>
          <w:sz w:val="22"/>
          <w:szCs w:val="22"/>
        </w:rPr>
        <w:t>konomikas ministrijas</w:t>
      </w:r>
      <w:r w:rsidRPr="006E590A">
        <w:rPr>
          <w:sz w:val="22"/>
          <w:szCs w:val="22"/>
        </w:rPr>
        <w:t xml:space="preserve"> veiktajā sākotnējā novērtējumā par eksporta atbalsta pasākumu efektivitāti 2.3.1.1.2 </w:t>
      </w:r>
      <w:proofErr w:type="spellStart"/>
      <w:r w:rsidRPr="006E590A">
        <w:rPr>
          <w:sz w:val="22"/>
          <w:szCs w:val="22"/>
        </w:rPr>
        <w:t>apakšaktivitātes</w:t>
      </w:r>
      <w:proofErr w:type="spellEnd"/>
      <w:r w:rsidRPr="006E590A">
        <w:rPr>
          <w:sz w:val="22"/>
          <w:szCs w:val="22"/>
        </w:rPr>
        <w:t xml:space="preserve"> ietvaros</w:t>
      </w:r>
      <w:r w:rsidRPr="006E590A">
        <w:rPr>
          <w:rStyle w:val="FootnoteReference"/>
          <w:sz w:val="22"/>
          <w:szCs w:val="22"/>
        </w:rPr>
        <w:footnoteReference w:id="1"/>
      </w:r>
      <w:r w:rsidRPr="006E590A">
        <w:rPr>
          <w:sz w:val="22"/>
          <w:szCs w:val="22"/>
        </w:rPr>
        <w:t xml:space="preserve"> secināts, ka kopumā uzņēmumi pēc atbalsta saņemšanas uzrāda straujāku apgrozījuma pieaugumu nekā vidēji uzņēmumi Latvijā. </w:t>
      </w:r>
      <w:proofErr w:type="spellStart"/>
      <w:r w:rsidRPr="006E590A">
        <w:rPr>
          <w:sz w:val="22"/>
          <w:szCs w:val="22"/>
        </w:rPr>
        <w:t>Apakšaktivitāte</w:t>
      </w:r>
      <w:proofErr w:type="spellEnd"/>
      <w:r w:rsidRPr="006E590A">
        <w:rPr>
          <w:sz w:val="22"/>
          <w:szCs w:val="22"/>
        </w:rPr>
        <w:t xml:space="preserve"> daļēji tikusi izmantota kā noieta apjoma atgūšanas instruments ārvalstīs, līdz ar to veids kā pārorientēties uz jauniem eksporta tirgiem vai jaunu klientu vai sadarbības partneru iegūšana. Atbalsta saņēmēji pēc atbalsta saņemšanas uzrādījuši stabilu eksporta izaugsmi, vidējam eksportam sasniedzot 4% izaugsmi.</w:t>
      </w:r>
    </w:p>
    <w:p w:rsidR="003D1082" w:rsidRPr="006E590A" w:rsidRDefault="003D1082" w:rsidP="003D1082">
      <w:pPr>
        <w:ind w:firstLine="426"/>
        <w:jc w:val="both"/>
        <w:rPr>
          <w:sz w:val="22"/>
        </w:rPr>
      </w:pPr>
      <w:r w:rsidRPr="006E590A">
        <w:rPr>
          <w:sz w:val="22"/>
        </w:rPr>
        <w:t xml:space="preserve">Vienlaikus 2013.-2015.gadā  tika sniegts atbalsts dalībai starptautiskās izstādēs ar </w:t>
      </w:r>
      <w:proofErr w:type="spellStart"/>
      <w:r w:rsidRPr="006E590A">
        <w:rPr>
          <w:sz w:val="22"/>
        </w:rPr>
        <w:t>kopstendiem</w:t>
      </w:r>
      <w:proofErr w:type="spellEnd"/>
      <w:r w:rsidRPr="006E590A">
        <w:rPr>
          <w:sz w:val="22"/>
        </w:rPr>
        <w:t xml:space="preserve"> lauksaimniecības un pārtikas uzņēmumiem ikgadējā valsts atbalsta pasākuma „Atbalsts tirgus veicināšanai” ietvaros, kā arī zivsaimniecības uzņēmumiem Zivsaimniecības fonda atbalsta pasākuma „Jaunu noieta tirgu sekmēšana un reklāmas kampaņas” ietvaros. Ar Eiropas Zivsaimniecības fonda atbalstu 2013.gadā tika nodrošināta Latvijas zivsaimniecības produktu ražotāju dalība ar </w:t>
      </w:r>
      <w:proofErr w:type="spellStart"/>
      <w:r w:rsidRPr="006E590A">
        <w:rPr>
          <w:sz w:val="22"/>
        </w:rPr>
        <w:t>kopstendiem</w:t>
      </w:r>
      <w:proofErr w:type="spellEnd"/>
      <w:r w:rsidRPr="006E590A">
        <w:rPr>
          <w:sz w:val="22"/>
        </w:rPr>
        <w:t xml:space="preserve"> 5 starptautiskās izstādēs, savukārt laika posmā no 2013.-2015.gadam tika organizēti Latvijas lauksaimniecības un pārtikas sektora pārstāvniecības </w:t>
      </w:r>
      <w:proofErr w:type="spellStart"/>
      <w:r w:rsidRPr="006E590A">
        <w:rPr>
          <w:sz w:val="22"/>
        </w:rPr>
        <w:t>kopstendi</w:t>
      </w:r>
      <w:proofErr w:type="spellEnd"/>
      <w:r w:rsidRPr="006E590A">
        <w:rPr>
          <w:sz w:val="22"/>
        </w:rPr>
        <w:t xml:space="preserve"> 14 starptautiskajās lauksaimniecības, pārtikas produktu un dārzniecības izstādēs.</w:t>
      </w:r>
    </w:p>
    <w:p w:rsidR="003D1082" w:rsidRDefault="003D1082" w:rsidP="003D1082">
      <w:pPr>
        <w:rPr>
          <w:sz w:val="22"/>
        </w:rPr>
      </w:pPr>
    </w:p>
    <w:p w:rsidR="005B6945" w:rsidRDefault="005B6945" w:rsidP="003D1082">
      <w:pPr>
        <w:rPr>
          <w:sz w:val="22"/>
        </w:rPr>
      </w:pPr>
    </w:p>
    <w:p w:rsidR="005B6945" w:rsidRDefault="005B6945" w:rsidP="003D1082">
      <w:pPr>
        <w:rPr>
          <w:sz w:val="22"/>
        </w:rPr>
      </w:pPr>
    </w:p>
    <w:p w:rsidR="005B6945" w:rsidRPr="006E590A" w:rsidRDefault="005B6945" w:rsidP="003D1082">
      <w:pPr>
        <w:rPr>
          <w:sz w:val="22"/>
        </w:rPr>
      </w:pPr>
    </w:p>
    <w:p w:rsidR="003D1082" w:rsidRPr="006E590A" w:rsidRDefault="003D1082" w:rsidP="003D1082">
      <w:pPr>
        <w:shd w:val="clear" w:color="auto" w:fill="D9D9D9" w:themeFill="background1" w:themeFillShade="D9"/>
        <w:jc w:val="both"/>
        <w:rPr>
          <w:rFonts w:ascii="Calibri" w:hAnsi="Calibri"/>
          <w:sz w:val="22"/>
        </w:rPr>
      </w:pPr>
      <w:r w:rsidRPr="006E590A">
        <w:rPr>
          <w:b/>
          <w:sz w:val="22"/>
        </w:rPr>
        <w:lastRenderedPageBreak/>
        <w:t xml:space="preserve">2014.-2020.gada ES fondu plānošanas periodā īstenojamās aktivitātes </w:t>
      </w:r>
    </w:p>
    <w:p w:rsidR="003D1082" w:rsidRPr="006E590A" w:rsidRDefault="003D1082" w:rsidP="003D1082">
      <w:pPr>
        <w:ind w:firstLine="567"/>
        <w:jc w:val="both"/>
        <w:rPr>
          <w:sz w:val="22"/>
        </w:rPr>
      </w:pPr>
      <w:r w:rsidRPr="006E590A">
        <w:rPr>
          <w:sz w:val="22"/>
        </w:rPr>
        <w:t>2014.-2020.gada plānošanas periodā ES fondu atbalsta programmu aktivitātēs, kas vērstas uz konkurētspējas veicināšanu mazos un vidējos</w:t>
      </w:r>
      <w:r w:rsidR="005B6945">
        <w:rPr>
          <w:sz w:val="22"/>
        </w:rPr>
        <w:t xml:space="preserve"> uzņēmumos kopumā paredzēti 237,</w:t>
      </w:r>
      <w:r w:rsidRPr="006E590A">
        <w:rPr>
          <w:sz w:val="22"/>
        </w:rPr>
        <w:t xml:space="preserve">1 milj. </w:t>
      </w:r>
      <w:proofErr w:type="spellStart"/>
      <w:r w:rsidR="005B6945">
        <w:rPr>
          <w:i/>
          <w:sz w:val="22"/>
        </w:rPr>
        <w:t>euro</w:t>
      </w:r>
      <w:proofErr w:type="spellEnd"/>
      <w:r w:rsidRPr="006E590A">
        <w:rPr>
          <w:sz w:val="22"/>
        </w:rPr>
        <w:t>, no kurām vairākas aktivitātes vērstas uz arī eksporta veicināšanu.</w:t>
      </w:r>
    </w:p>
    <w:p w:rsidR="003D1082" w:rsidRPr="006E590A" w:rsidRDefault="003D1082" w:rsidP="003D1082">
      <w:pPr>
        <w:ind w:firstLine="567"/>
        <w:jc w:val="both"/>
        <w:rPr>
          <w:sz w:val="22"/>
        </w:rPr>
      </w:pPr>
      <w:r w:rsidRPr="006E590A">
        <w:rPr>
          <w:sz w:val="22"/>
        </w:rPr>
        <w:t xml:space="preserve">1) Starptautiskās konkurētspējas un ārējo tirgu apgūšanas veicināšanai Darbības programmas "Izaugsme un nodarbinātība" 3.2.1.specifiskā atbalsta mērķa "Palielināt augstas pievienotās vērtības produktu un pakalpojumu eksporta proporciju" </w:t>
      </w:r>
      <w:r w:rsidRPr="006E590A">
        <w:rPr>
          <w:b/>
          <w:sz w:val="22"/>
        </w:rPr>
        <w:t>3.2.1.2.pasākuma "Starptautiskās konkurētspējas veicināšana"</w:t>
      </w:r>
      <w:r w:rsidRPr="006E590A">
        <w:rPr>
          <w:sz w:val="22"/>
        </w:rPr>
        <w:t xml:space="preserve"> ietvaros ar kopējo finansējumu 36 268 775 </w:t>
      </w:r>
      <w:proofErr w:type="spellStart"/>
      <w:r w:rsidRPr="005B6945">
        <w:rPr>
          <w:i/>
          <w:sz w:val="22"/>
        </w:rPr>
        <w:t>euro</w:t>
      </w:r>
      <w:proofErr w:type="spellEnd"/>
      <w:r w:rsidRPr="006E590A">
        <w:rPr>
          <w:sz w:val="22"/>
        </w:rPr>
        <w:t xml:space="preserve"> eksporta veicināšanai atbalstāmas vairākas aktivitātes:</w:t>
      </w:r>
    </w:p>
    <w:p w:rsidR="003D1082" w:rsidRPr="006E590A" w:rsidRDefault="003D1082" w:rsidP="003D1082">
      <w:pPr>
        <w:pStyle w:val="Proj"/>
        <w:numPr>
          <w:ilvl w:val="0"/>
          <w:numId w:val="1"/>
        </w:numPr>
        <w:spacing w:line="240" w:lineRule="auto"/>
        <w:rPr>
          <w:rFonts w:eastAsia="Times New Roman"/>
          <w:sz w:val="22"/>
          <w:szCs w:val="22"/>
        </w:rPr>
      </w:pPr>
      <w:r w:rsidRPr="006E590A">
        <w:rPr>
          <w:rFonts w:eastAsia="Times New Roman"/>
          <w:sz w:val="22"/>
          <w:szCs w:val="22"/>
        </w:rPr>
        <w:t>dalība nacionālos stendos starptautiskās izstādēs ārvalstīs;</w:t>
      </w:r>
    </w:p>
    <w:p w:rsidR="003D1082" w:rsidRPr="006E590A" w:rsidRDefault="003D1082" w:rsidP="003D1082">
      <w:pPr>
        <w:pStyle w:val="Proj"/>
        <w:numPr>
          <w:ilvl w:val="0"/>
          <w:numId w:val="1"/>
        </w:numPr>
        <w:spacing w:line="240" w:lineRule="auto"/>
        <w:rPr>
          <w:rFonts w:eastAsia="Times New Roman"/>
          <w:sz w:val="22"/>
          <w:szCs w:val="22"/>
        </w:rPr>
      </w:pPr>
      <w:r w:rsidRPr="006E590A">
        <w:rPr>
          <w:rFonts w:eastAsia="Times New Roman"/>
          <w:sz w:val="22"/>
          <w:szCs w:val="22"/>
        </w:rPr>
        <w:t xml:space="preserve">organizēti uzņēmējdarbības veicināšanas un sagatavošanās ieiešanai jaunos ārējos tirgos pasākumus, t.sk. stendus starptautiskās izstādēs, seminārus, konferences, preses konferences, tirdzniecības misijas, Latvijas augstu valsts amatpersonu vizītes un starptautiskas mārketinga kampaņas, prezentācijas, degustācijas, iepircēju un žurnālistu vizītes, u.c. </w:t>
      </w:r>
    </w:p>
    <w:p w:rsidR="003D1082" w:rsidRPr="006E590A" w:rsidRDefault="003D1082" w:rsidP="003D1082">
      <w:pPr>
        <w:pStyle w:val="Proj"/>
        <w:numPr>
          <w:ilvl w:val="0"/>
          <w:numId w:val="1"/>
        </w:numPr>
        <w:spacing w:line="240" w:lineRule="auto"/>
        <w:rPr>
          <w:rFonts w:eastAsia="Times New Roman"/>
          <w:sz w:val="22"/>
          <w:szCs w:val="22"/>
        </w:rPr>
      </w:pPr>
      <w:r w:rsidRPr="006E590A">
        <w:rPr>
          <w:rFonts w:eastAsia="Times New Roman"/>
          <w:sz w:val="22"/>
          <w:szCs w:val="22"/>
        </w:rPr>
        <w:t>nodrošināta Latvijas Ārējo ekonomisko pārstāvniecību darbība;</w:t>
      </w:r>
    </w:p>
    <w:p w:rsidR="003D1082" w:rsidRPr="006E590A" w:rsidRDefault="003D1082" w:rsidP="006E590A">
      <w:pPr>
        <w:pStyle w:val="Proj"/>
        <w:numPr>
          <w:ilvl w:val="0"/>
          <w:numId w:val="1"/>
        </w:numPr>
        <w:spacing w:line="240" w:lineRule="auto"/>
        <w:rPr>
          <w:rFonts w:eastAsia="Times New Roman"/>
          <w:sz w:val="22"/>
          <w:szCs w:val="22"/>
        </w:rPr>
      </w:pPr>
      <w:r w:rsidRPr="006E590A">
        <w:rPr>
          <w:rFonts w:eastAsia="Times New Roman"/>
          <w:sz w:val="22"/>
          <w:szCs w:val="22"/>
        </w:rPr>
        <w:t>sniegts atbalsts komersantiem dalībai starptautiskajās izstādes ar individuāliem stendiem, dalībai tirdzniecības misijās un ražotņu un pr</w:t>
      </w:r>
      <w:r w:rsidR="006E590A">
        <w:rPr>
          <w:rFonts w:eastAsia="Times New Roman"/>
          <w:sz w:val="22"/>
          <w:szCs w:val="22"/>
        </w:rPr>
        <w:t>oduktu atbilstības novērtēšanai.</w:t>
      </w:r>
    </w:p>
    <w:p w:rsidR="003D1082" w:rsidRPr="006E590A" w:rsidRDefault="003D1082" w:rsidP="003D1082">
      <w:pPr>
        <w:pStyle w:val="ListParagraph"/>
        <w:numPr>
          <w:ilvl w:val="0"/>
          <w:numId w:val="2"/>
        </w:numPr>
        <w:spacing w:line="240" w:lineRule="auto"/>
        <w:contextualSpacing w:val="0"/>
        <w:jc w:val="both"/>
        <w:rPr>
          <w:rFonts w:ascii="Times New Roman" w:eastAsia="Times New Roman" w:hAnsi="Times New Roman"/>
        </w:rPr>
      </w:pPr>
      <w:r w:rsidRPr="006E590A">
        <w:rPr>
          <w:rFonts w:ascii="Times New Roman" w:eastAsia="Times New Roman" w:hAnsi="Times New Roman"/>
        </w:rPr>
        <w:t xml:space="preserve">Darbības programmas „Izaugsme un nodarbinātība” 3.2.1. specifiskā atbalsta mērķa „Palielināt augstas pievienotās vērtības produktu un pakalpojumu eksporta proporciju” </w:t>
      </w:r>
      <w:r w:rsidRPr="006E590A">
        <w:rPr>
          <w:rFonts w:ascii="Times New Roman" w:eastAsia="Times New Roman" w:hAnsi="Times New Roman"/>
          <w:b/>
        </w:rPr>
        <w:t>3.2.1.1. pasākuma</w:t>
      </w:r>
      <w:r w:rsidRPr="006E590A">
        <w:rPr>
          <w:rFonts w:ascii="Times New Roman" w:eastAsia="Times New Roman" w:hAnsi="Times New Roman"/>
        </w:rPr>
        <w:t xml:space="preserve"> „</w:t>
      </w:r>
      <w:r w:rsidRPr="006E590A">
        <w:rPr>
          <w:rFonts w:ascii="Times New Roman" w:eastAsia="Times New Roman" w:hAnsi="Times New Roman"/>
          <w:b/>
        </w:rPr>
        <w:t>Klasteru programma</w:t>
      </w:r>
      <w:r w:rsidRPr="006E590A">
        <w:rPr>
          <w:rFonts w:ascii="Times New Roman" w:eastAsia="Times New Roman" w:hAnsi="Times New Roman"/>
        </w:rPr>
        <w:t xml:space="preserve">” kopējais Eiropas Reģionālās attīstības fonda finansējums ir 6,2 miljoni </w:t>
      </w:r>
      <w:proofErr w:type="spellStart"/>
      <w:r w:rsidR="005B6945" w:rsidRPr="005B6945">
        <w:rPr>
          <w:rFonts w:ascii="Times New Roman" w:eastAsia="Times New Roman" w:hAnsi="Times New Roman"/>
          <w:i/>
        </w:rPr>
        <w:t>euro</w:t>
      </w:r>
      <w:proofErr w:type="spellEnd"/>
      <w:r w:rsidRPr="006E590A">
        <w:rPr>
          <w:rFonts w:ascii="Times New Roman" w:eastAsia="Times New Roman" w:hAnsi="Times New Roman"/>
        </w:rPr>
        <w:t>. Programmā tiks atbalstīti šādi pasākumi:</w:t>
      </w:r>
    </w:p>
    <w:p w:rsidR="003D1082" w:rsidRPr="006E590A" w:rsidRDefault="003D1082" w:rsidP="003D1082">
      <w:pPr>
        <w:pStyle w:val="ListParagraph"/>
        <w:numPr>
          <w:ilvl w:val="1"/>
          <w:numId w:val="2"/>
        </w:numPr>
        <w:spacing w:line="240" w:lineRule="auto"/>
        <w:ind w:left="1418" w:hanging="283"/>
        <w:contextualSpacing w:val="0"/>
        <w:jc w:val="both"/>
        <w:rPr>
          <w:rFonts w:ascii="Times New Roman" w:eastAsia="Times New Roman" w:hAnsi="Times New Roman"/>
        </w:rPr>
      </w:pPr>
      <w:r w:rsidRPr="006E590A">
        <w:rPr>
          <w:rFonts w:ascii="Times New Roman" w:eastAsia="Times New Roman" w:hAnsi="Times New Roman"/>
        </w:rPr>
        <w:t>eksporta un starptautiskās sadarbības veicināšana;</w:t>
      </w:r>
    </w:p>
    <w:p w:rsidR="003D1082" w:rsidRPr="006E590A" w:rsidRDefault="003D1082" w:rsidP="003D1082">
      <w:pPr>
        <w:pStyle w:val="ListParagraph"/>
        <w:numPr>
          <w:ilvl w:val="1"/>
          <w:numId w:val="2"/>
        </w:numPr>
        <w:spacing w:line="240" w:lineRule="auto"/>
        <w:ind w:left="1418" w:hanging="283"/>
        <w:contextualSpacing w:val="0"/>
        <w:jc w:val="both"/>
        <w:rPr>
          <w:rFonts w:ascii="Times New Roman" w:eastAsia="Times New Roman" w:hAnsi="Times New Roman"/>
        </w:rPr>
      </w:pPr>
      <w:r w:rsidRPr="006E590A">
        <w:rPr>
          <w:rFonts w:ascii="Times New Roman" w:eastAsia="Times New Roman" w:hAnsi="Times New Roman"/>
        </w:rPr>
        <w:t>sadarbības ar pētniecības organizācijām sekmēšana;</w:t>
      </w:r>
    </w:p>
    <w:p w:rsidR="003D1082" w:rsidRPr="006E590A" w:rsidRDefault="003D1082" w:rsidP="003D1082">
      <w:pPr>
        <w:pStyle w:val="ListParagraph"/>
        <w:numPr>
          <w:ilvl w:val="1"/>
          <w:numId w:val="2"/>
        </w:numPr>
        <w:spacing w:line="240" w:lineRule="auto"/>
        <w:ind w:left="1418" w:hanging="283"/>
        <w:contextualSpacing w:val="0"/>
        <w:jc w:val="both"/>
        <w:rPr>
          <w:rFonts w:ascii="Times New Roman" w:eastAsia="Times New Roman" w:hAnsi="Times New Roman"/>
        </w:rPr>
      </w:pPr>
      <w:r w:rsidRPr="006E590A">
        <w:rPr>
          <w:rFonts w:ascii="Times New Roman" w:eastAsia="Times New Roman" w:hAnsi="Times New Roman"/>
        </w:rPr>
        <w:t xml:space="preserve">zināšanu </w:t>
      </w:r>
      <w:proofErr w:type="spellStart"/>
      <w:r w:rsidRPr="006E590A">
        <w:rPr>
          <w:rFonts w:ascii="Times New Roman" w:eastAsia="Times New Roman" w:hAnsi="Times New Roman"/>
        </w:rPr>
        <w:t>pārneses</w:t>
      </w:r>
      <w:proofErr w:type="spellEnd"/>
      <w:r w:rsidRPr="006E590A">
        <w:rPr>
          <w:rFonts w:ascii="Times New Roman" w:eastAsia="Times New Roman" w:hAnsi="Times New Roman"/>
        </w:rPr>
        <w:t xml:space="preserve"> par klastera dalībniekiem saistošām inovācijām un jaunākajām tehnoloģijām sekmēšana un resursu efektivitātes un produktivitātes paaugstināšana produkta, pakalpojuma, piegādes vai vērtības ķēdes ietvaros.</w:t>
      </w:r>
    </w:p>
    <w:p w:rsidR="003D1082" w:rsidRPr="006E590A" w:rsidRDefault="003D1082" w:rsidP="003D1082">
      <w:pPr>
        <w:pStyle w:val="ListParagraph"/>
        <w:numPr>
          <w:ilvl w:val="0"/>
          <w:numId w:val="2"/>
        </w:numPr>
        <w:spacing w:line="240" w:lineRule="auto"/>
        <w:contextualSpacing w:val="0"/>
        <w:jc w:val="both"/>
        <w:rPr>
          <w:rFonts w:ascii="Times New Roman" w:eastAsia="Times New Roman" w:hAnsi="Times New Roman"/>
        </w:rPr>
      </w:pPr>
      <w:r w:rsidRPr="006E590A">
        <w:rPr>
          <w:rFonts w:ascii="Times New Roman" w:eastAsia="Times New Roman" w:hAnsi="Times New Roman"/>
        </w:rPr>
        <w:t xml:space="preserve">Uzņēmējiem pieejami aizdevumi un garantijas, kas specifiski orientētas eksporta atbalstam </w:t>
      </w:r>
      <w:r w:rsidRPr="006E590A">
        <w:rPr>
          <w:rFonts w:ascii="Times New Roman" w:eastAsia="Times New Roman" w:hAnsi="Times New Roman"/>
          <w:b/>
        </w:rPr>
        <w:t xml:space="preserve">eksporta kredīta garantijas ar kopējo </w:t>
      </w:r>
      <w:r w:rsidRPr="006E590A">
        <w:rPr>
          <w:rFonts w:ascii="Times New Roman" w:eastAsia="Times New Roman" w:hAnsi="Times New Roman"/>
        </w:rPr>
        <w:t>finansējumu 10 miljon</w:t>
      </w:r>
      <w:r w:rsidR="005B6945">
        <w:rPr>
          <w:rFonts w:ascii="Times New Roman" w:eastAsia="Times New Roman" w:hAnsi="Times New Roman"/>
        </w:rPr>
        <w:t>i</w:t>
      </w:r>
      <w:r w:rsidRPr="006E590A">
        <w:rPr>
          <w:rFonts w:ascii="Times New Roman" w:eastAsia="Times New Roman" w:hAnsi="Times New Roman"/>
        </w:rPr>
        <w:t xml:space="preserve"> </w:t>
      </w:r>
      <w:proofErr w:type="spellStart"/>
      <w:r w:rsidRPr="005B6945">
        <w:rPr>
          <w:rFonts w:ascii="Times New Roman" w:eastAsia="Times New Roman" w:hAnsi="Times New Roman"/>
          <w:i/>
        </w:rPr>
        <w:t>euro</w:t>
      </w:r>
      <w:proofErr w:type="spellEnd"/>
      <w:r w:rsidRPr="006E590A">
        <w:rPr>
          <w:rFonts w:ascii="Times New Roman" w:eastAsia="Times New Roman" w:hAnsi="Times New Roman"/>
        </w:rPr>
        <w:t xml:space="preserve">, un </w:t>
      </w:r>
      <w:r w:rsidRPr="006E590A">
        <w:rPr>
          <w:rFonts w:ascii="Times New Roman" w:eastAsia="Times New Roman" w:hAnsi="Times New Roman"/>
          <w:b/>
        </w:rPr>
        <w:t>izaugsmes kapitāla fondi</w:t>
      </w:r>
      <w:r w:rsidRPr="006E590A">
        <w:rPr>
          <w:rFonts w:ascii="Times New Roman" w:eastAsia="Times New Roman" w:hAnsi="Times New Roman"/>
        </w:rPr>
        <w:t xml:space="preserve"> strauji  augošiem uzņēmumiem ar eksporta potenciālu  ar kopējo finansējumu 30 miljoni </w:t>
      </w:r>
      <w:proofErr w:type="spellStart"/>
      <w:r w:rsidR="005B6945">
        <w:rPr>
          <w:rFonts w:ascii="Times New Roman" w:eastAsia="Times New Roman" w:hAnsi="Times New Roman"/>
          <w:i/>
        </w:rPr>
        <w:t>euro</w:t>
      </w:r>
      <w:proofErr w:type="spellEnd"/>
      <w:r w:rsidRPr="006E590A">
        <w:rPr>
          <w:rFonts w:ascii="Times New Roman" w:eastAsia="Times New Roman" w:hAnsi="Times New Roman"/>
        </w:rPr>
        <w:t>.</w:t>
      </w:r>
    </w:p>
    <w:p w:rsidR="003D1082" w:rsidRPr="006E590A" w:rsidRDefault="003D1082" w:rsidP="003D1082">
      <w:pPr>
        <w:pStyle w:val="ListParagraph"/>
        <w:numPr>
          <w:ilvl w:val="0"/>
          <w:numId w:val="2"/>
        </w:numPr>
        <w:spacing w:line="240" w:lineRule="auto"/>
        <w:contextualSpacing w:val="0"/>
        <w:jc w:val="both"/>
        <w:rPr>
          <w:rFonts w:ascii="Times New Roman" w:eastAsia="Times New Roman" w:hAnsi="Times New Roman"/>
        </w:rPr>
      </w:pPr>
      <w:r w:rsidRPr="006E590A">
        <w:t xml:space="preserve"> </w:t>
      </w:r>
      <w:r w:rsidRPr="006E590A">
        <w:rPr>
          <w:rFonts w:ascii="Times New Roman" w:hAnsi="Times New Roman"/>
        </w:rPr>
        <w:t xml:space="preserve">“Darbības programmas "Izaugsme un nodarbinātība" 1.2.2. specifiskā atbalsta mērķa "Veicināt inovāciju ieviešanu komersantos" </w:t>
      </w:r>
      <w:r w:rsidRPr="006E590A">
        <w:rPr>
          <w:rFonts w:ascii="Times New Roman" w:hAnsi="Times New Roman"/>
          <w:b/>
        </w:rPr>
        <w:t>1.2.2.1. pasākuma "Atbalsts nodarbināto apmācībām"</w:t>
      </w:r>
      <w:r w:rsidRPr="006E590A">
        <w:rPr>
          <w:rFonts w:ascii="Times New Roman" w:hAnsi="Times New Roman"/>
        </w:rPr>
        <w:t xml:space="preserve"> ietvaros tiek sniegts atbalsts komersantiem, to darbinieku prasmju pilnveidošanai, lai sekmētu tehnoloģisko inovāciju ieviešanu un darbaspēka produktivitātes paaugstināšanu. Finansējuma saņēmējas pasākuma ietvaros ir nozaru asociācijas, kuras pēc nozares komersantu pieprasījuma, nodrošina atbilstošās apmācības. Kopumā nodarbināto apmācību atbalstam 2014. – 2020. gada plānošanas periodā no ERAF paredzēti 18 miljoni </w:t>
      </w:r>
      <w:proofErr w:type="spellStart"/>
      <w:r w:rsidR="005B6945" w:rsidRPr="005B6945">
        <w:rPr>
          <w:rFonts w:ascii="Times New Roman" w:hAnsi="Times New Roman"/>
          <w:i/>
        </w:rPr>
        <w:t>euro</w:t>
      </w:r>
      <w:proofErr w:type="spellEnd"/>
      <w:r w:rsidRPr="006E590A">
        <w:rPr>
          <w:rFonts w:ascii="Times New Roman" w:hAnsi="Times New Roman"/>
        </w:rPr>
        <w:t>.</w:t>
      </w:r>
    </w:p>
    <w:p w:rsidR="003D1082" w:rsidRPr="006E590A" w:rsidRDefault="003D1082" w:rsidP="003D1082">
      <w:pPr>
        <w:ind w:firstLine="709"/>
        <w:jc w:val="both"/>
        <w:rPr>
          <w:sz w:val="22"/>
        </w:rPr>
      </w:pPr>
      <w:r w:rsidRPr="006E590A">
        <w:rPr>
          <w:sz w:val="22"/>
        </w:rPr>
        <w:t xml:space="preserve">2016.gada sākumā ir noslēgti līgumi ar 10 biedrībām (nozaru asociācijām), kas pārstāv apstrādes rūpniecības, informācijas un komunikācijas tehnoloģiju vai izmitināšanas un ēdināšanas pakalpojumu nozari, par atbalstu nodarbināto apmācībām. Kopumā līdz 2018.gada 31.decembrim atbalsta pasākuma ietvaros plānots atbalstīt 280 komersantus un apmācības nodrošināt 5620 nodarbinātajiem. Katram projektam ir pieejams ERAF atbalsts 0,9 milj. </w:t>
      </w:r>
      <w:proofErr w:type="spellStart"/>
      <w:r w:rsidR="005B6945" w:rsidRPr="005B6945">
        <w:rPr>
          <w:i/>
          <w:sz w:val="22"/>
        </w:rPr>
        <w:t>euro</w:t>
      </w:r>
      <w:proofErr w:type="spellEnd"/>
      <w:r w:rsidRPr="006E590A">
        <w:rPr>
          <w:sz w:val="22"/>
        </w:rPr>
        <w:t xml:space="preserve"> apmērā līdz 2018.gadam. Kopā  līdz 2018.gadam ir pieejami 9 miljoni </w:t>
      </w:r>
      <w:proofErr w:type="spellStart"/>
      <w:r w:rsidR="005B6945">
        <w:rPr>
          <w:i/>
          <w:sz w:val="22"/>
        </w:rPr>
        <w:t>euro</w:t>
      </w:r>
      <w:proofErr w:type="spellEnd"/>
      <w:r w:rsidRPr="006E590A">
        <w:rPr>
          <w:sz w:val="22"/>
        </w:rPr>
        <w:t xml:space="preserve">. </w:t>
      </w:r>
    </w:p>
    <w:p w:rsidR="003D1082" w:rsidRPr="006E590A" w:rsidRDefault="003D1082" w:rsidP="003D1082">
      <w:pPr>
        <w:pStyle w:val="Heading2"/>
        <w:rPr>
          <w:b/>
          <w:sz w:val="8"/>
          <w:szCs w:val="8"/>
          <w:highlight w:val="yellow"/>
        </w:rPr>
      </w:pPr>
    </w:p>
    <w:p w:rsidR="003D1082" w:rsidRPr="006E590A" w:rsidRDefault="006E590A" w:rsidP="003D1082">
      <w:pPr>
        <w:shd w:val="clear" w:color="auto" w:fill="1DA0A7"/>
        <w:rPr>
          <w:b/>
          <w:color w:val="FFFFFF" w:themeColor="background1"/>
          <w:sz w:val="22"/>
        </w:rPr>
      </w:pPr>
      <w:r>
        <w:rPr>
          <w:b/>
          <w:color w:val="FFFFFF" w:themeColor="background1"/>
          <w:sz w:val="22"/>
        </w:rPr>
        <w:t>1.3.</w:t>
      </w:r>
      <w:r w:rsidR="003D1082" w:rsidRPr="006E590A">
        <w:rPr>
          <w:b/>
          <w:color w:val="FFFFFF" w:themeColor="background1"/>
          <w:sz w:val="22"/>
        </w:rPr>
        <w:t>Atbalsts energoietilpīgiem apstrādes rūpniecības uzņēmumiem</w:t>
      </w:r>
    </w:p>
    <w:p w:rsidR="003D1082" w:rsidRPr="006E590A" w:rsidRDefault="003D1082" w:rsidP="003D1082">
      <w:pPr>
        <w:ind w:firstLine="426"/>
        <w:jc w:val="both"/>
        <w:rPr>
          <w:sz w:val="22"/>
        </w:rPr>
      </w:pPr>
      <w:r w:rsidRPr="006E590A">
        <w:rPr>
          <w:sz w:val="22"/>
        </w:rPr>
        <w:t xml:space="preserve">Ņemot vērā enerģijas izmaksu nozīmi energoietilpīgu apstrādes rūpniecības uzņēmumu izdevumu struktūrā (pārsniedz 20%), Ministru kabinets 2015.gada 14.jūlijā ir pieņēmis noteikumus Nr.395 “Kārtība, kādā energoietilpīgi apstrādes rūpniecības uzņēmumi iegūst tiesības uz samazinātu līdzdalību obligātā iepirkuma komponentes maksājumam”.  </w:t>
      </w:r>
    </w:p>
    <w:p w:rsidR="003D1082" w:rsidRPr="006E590A" w:rsidRDefault="003D1082" w:rsidP="003D1082">
      <w:pPr>
        <w:ind w:firstLine="426"/>
        <w:jc w:val="both"/>
        <w:rPr>
          <w:sz w:val="22"/>
        </w:rPr>
      </w:pPr>
      <w:r w:rsidRPr="006E590A">
        <w:rPr>
          <w:sz w:val="22"/>
        </w:rPr>
        <w:t xml:space="preserve">Noteikumi paredz par 85% samazināt </w:t>
      </w:r>
      <w:r w:rsidR="005B6945">
        <w:rPr>
          <w:sz w:val="22"/>
        </w:rPr>
        <w:t>Obligātās iepirkuma komponentes (turpmāk –</w:t>
      </w:r>
      <w:r w:rsidRPr="006E590A">
        <w:rPr>
          <w:sz w:val="22"/>
        </w:rPr>
        <w:t>OIK</w:t>
      </w:r>
      <w:r w:rsidR="005B6945">
        <w:rPr>
          <w:sz w:val="22"/>
        </w:rPr>
        <w:t>)</w:t>
      </w:r>
      <w:r w:rsidRPr="006E590A">
        <w:rPr>
          <w:sz w:val="22"/>
        </w:rPr>
        <w:t xml:space="preserve"> atjaunojamo energoresursu komponentes maksājumus atsevišķu apstrādes rūpniecības nozaru komersantiem, kuru patēriņš ir vismaz 0,5 </w:t>
      </w:r>
      <w:proofErr w:type="spellStart"/>
      <w:r w:rsidRPr="006E590A">
        <w:rPr>
          <w:sz w:val="22"/>
        </w:rPr>
        <w:t>GWh</w:t>
      </w:r>
      <w:proofErr w:type="spellEnd"/>
      <w:r w:rsidRPr="006E590A">
        <w:rPr>
          <w:sz w:val="22"/>
        </w:rPr>
        <w:t xml:space="preserve"> gadā un </w:t>
      </w:r>
      <w:proofErr w:type="spellStart"/>
      <w:r w:rsidRPr="006E590A">
        <w:rPr>
          <w:sz w:val="22"/>
        </w:rPr>
        <w:t>elektrointensitāte</w:t>
      </w:r>
      <w:proofErr w:type="spellEnd"/>
      <w:r w:rsidRPr="006E590A">
        <w:rPr>
          <w:sz w:val="22"/>
        </w:rPr>
        <w:t xml:space="preserve"> pārsniedz 20%. Priekšnoteikums minētā atbalsta saņemšanai ir energoefektīva uzņēmumu darbība, tādēļ noteikumi paredz, ka atlaižu saņemšanai ir jāievieš </w:t>
      </w:r>
      <w:proofErr w:type="spellStart"/>
      <w:r w:rsidRPr="006E590A">
        <w:rPr>
          <w:sz w:val="22"/>
        </w:rPr>
        <w:t>energopārvaldības</w:t>
      </w:r>
      <w:proofErr w:type="spellEnd"/>
      <w:r w:rsidRPr="006E590A">
        <w:rPr>
          <w:sz w:val="22"/>
        </w:rPr>
        <w:t xml:space="preserve"> sistēma. </w:t>
      </w:r>
    </w:p>
    <w:p w:rsidR="003D1082" w:rsidRPr="006E590A" w:rsidRDefault="003D1082" w:rsidP="003D1082">
      <w:pPr>
        <w:ind w:firstLine="426"/>
        <w:jc w:val="both"/>
        <w:rPr>
          <w:sz w:val="22"/>
        </w:rPr>
      </w:pPr>
      <w:r w:rsidRPr="006E590A">
        <w:rPr>
          <w:sz w:val="22"/>
        </w:rPr>
        <w:t xml:space="preserve">Līdz ar to jāatzīmē Energoefektivitātes likuma stāšanās spēkā 2016.gada 29.martā un saistītā normatīvā regulējuma ieviešana līdz gada beigām, cita starpā nosakot prasības lielajiem uzņēmumiem un uzņēmumiem ar lielu elektroenerģijas patēriņu veikt regulārus </w:t>
      </w:r>
      <w:proofErr w:type="spellStart"/>
      <w:r w:rsidRPr="006E590A">
        <w:rPr>
          <w:sz w:val="22"/>
        </w:rPr>
        <w:t>energoauditus</w:t>
      </w:r>
      <w:proofErr w:type="spellEnd"/>
      <w:r w:rsidRPr="006E590A">
        <w:rPr>
          <w:sz w:val="22"/>
        </w:rPr>
        <w:t xml:space="preserve"> vai ieviest </w:t>
      </w:r>
      <w:proofErr w:type="spellStart"/>
      <w:r w:rsidRPr="006E590A">
        <w:rPr>
          <w:sz w:val="22"/>
        </w:rPr>
        <w:t>energopārvaldības</w:t>
      </w:r>
      <w:proofErr w:type="spellEnd"/>
      <w:r w:rsidRPr="006E590A">
        <w:rPr>
          <w:sz w:val="22"/>
        </w:rPr>
        <w:t xml:space="preserve"> </w:t>
      </w:r>
      <w:r w:rsidRPr="006E590A">
        <w:rPr>
          <w:sz w:val="22"/>
        </w:rPr>
        <w:lastRenderedPageBreak/>
        <w:t xml:space="preserve">sistēmas, tādā veidā uzlabojot attiecīgo uzņēmumu energoefektivitāti. Energoietilpīgo apstrādes rūpniecības uzņēmumu atbalsta mehānisms stāsies spēkā tikai pēc saskaņošanas ar Eiropas Komisiju. </w:t>
      </w:r>
    </w:p>
    <w:p w:rsidR="003D1082" w:rsidRPr="006E590A" w:rsidRDefault="003D1082" w:rsidP="003D1082">
      <w:pPr>
        <w:ind w:firstLine="426"/>
        <w:jc w:val="both"/>
        <w:rPr>
          <w:sz w:val="22"/>
        </w:rPr>
      </w:pPr>
      <w:r w:rsidRPr="006E590A">
        <w:rPr>
          <w:sz w:val="22"/>
        </w:rPr>
        <w:t xml:space="preserve">2016.gada 13. septembrī  </w:t>
      </w:r>
      <w:r w:rsidR="005B6945">
        <w:rPr>
          <w:sz w:val="22"/>
        </w:rPr>
        <w:t>Ministru kabinetā</w:t>
      </w:r>
      <w:r w:rsidRPr="006E590A">
        <w:rPr>
          <w:sz w:val="22"/>
        </w:rPr>
        <w:t xml:space="preserve"> tika apstiprināti E</w:t>
      </w:r>
      <w:r w:rsidR="005B6945">
        <w:rPr>
          <w:sz w:val="22"/>
        </w:rPr>
        <w:t>konomikas ministrijas</w:t>
      </w:r>
      <w:r w:rsidRPr="006E590A">
        <w:rPr>
          <w:sz w:val="22"/>
        </w:rPr>
        <w:t xml:space="preserve"> sagatavotie priekšlikumi kompleksiem risinājumiem elektroenerģijas tirgus attīstībai, kas paredz ar 2017. gada 1. aprīli ieviest uzlabotu OIK finansēšanas modeli.</w:t>
      </w:r>
    </w:p>
    <w:p w:rsidR="003D1082" w:rsidRPr="006E590A" w:rsidRDefault="003D1082" w:rsidP="003D1082">
      <w:pPr>
        <w:pStyle w:val="Heading2"/>
        <w:rPr>
          <w:b/>
          <w:sz w:val="8"/>
          <w:szCs w:val="8"/>
          <w:highlight w:val="yellow"/>
        </w:rPr>
      </w:pPr>
    </w:p>
    <w:p w:rsidR="003D1082" w:rsidRPr="006E590A" w:rsidRDefault="006E590A" w:rsidP="003D1082">
      <w:pPr>
        <w:shd w:val="clear" w:color="auto" w:fill="1DA0A7"/>
        <w:rPr>
          <w:b/>
          <w:color w:val="FFFFFF" w:themeColor="background1"/>
          <w:sz w:val="22"/>
        </w:rPr>
      </w:pPr>
      <w:r>
        <w:rPr>
          <w:b/>
          <w:color w:val="FFFFFF" w:themeColor="background1"/>
          <w:sz w:val="22"/>
        </w:rPr>
        <w:t>1.4.</w:t>
      </w:r>
      <w:r w:rsidR="003D1082" w:rsidRPr="006E590A">
        <w:rPr>
          <w:b/>
          <w:i/>
          <w:color w:val="FFFFFF" w:themeColor="background1"/>
          <w:sz w:val="22"/>
        </w:rPr>
        <w:t xml:space="preserve">Ad </w:t>
      </w:r>
      <w:proofErr w:type="spellStart"/>
      <w:r w:rsidR="003D1082" w:rsidRPr="006E590A">
        <w:rPr>
          <w:b/>
          <w:i/>
          <w:color w:val="FFFFFF" w:themeColor="background1"/>
          <w:sz w:val="22"/>
        </w:rPr>
        <w:t>hoc</w:t>
      </w:r>
      <w:proofErr w:type="spellEnd"/>
      <w:r w:rsidR="003D1082" w:rsidRPr="006E590A">
        <w:rPr>
          <w:b/>
          <w:color w:val="FFFFFF" w:themeColor="background1"/>
          <w:sz w:val="22"/>
        </w:rPr>
        <w:t xml:space="preserve"> eksporta atbalsta instrumenti</w:t>
      </w:r>
    </w:p>
    <w:p w:rsidR="003D1082" w:rsidRPr="006E590A" w:rsidRDefault="003D1082" w:rsidP="003D1082">
      <w:pPr>
        <w:spacing w:line="259" w:lineRule="auto"/>
        <w:ind w:firstLine="426"/>
        <w:jc w:val="both"/>
        <w:rPr>
          <w:rFonts w:eastAsia="Times New Roman"/>
          <w:sz w:val="22"/>
        </w:rPr>
      </w:pPr>
      <w:r w:rsidRPr="006E590A">
        <w:rPr>
          <w:rFonts w:eastAsia="Times New Roman"/>
          <w:sz w:val="22"/>
        </w:rPr>
        <w:t>Atbilstoši Krievijas Federācijas valdības 2014.gada 7.augusta lēmumam Krievijā uz vienu gadu tika ieviests pilnīgs embargo lauksaimniecības produktiem un izejvielām, kā arī pārtikas precēm (liellopu gaļai, cūkgaļai, augļiem, dārzeņiem, mājputniem, zivīm, sieram, pienam un piena produktiem) no ES, ASV, Austrālijas, Kanādas un Norvēģijas. 2015.gadā un 2016.gadā tika pieņemts lēmums par embargo pagarināšanu uz vienu gadu (</w:t>
      </w:r>
      <w:r w:rsidR="005B6945">
        <w:rPr>
          <w:rFonts w:eastAsia="Times New Roman"/>
          <w:sz w:val="22"/>
        </w:rPr>
        <w:t xml:space="preserve">šobrīd </w:t>
      </w:r>
      <w:r w:rsidRPr="006E590A">
        <w:rPr>
          <w:rFonts w:eastAsia="Times New Roman"/>
          <w:sz w:val="22"/>
        </w:rPr>
        <w:t>spēkā līdz 2017.gada beigām).</w:t>
      </w:r>
    </w:p>
    <w:p w:rsidR="003D1082" w:rsidRPr="006E590A" w:rsidRDefault="003D1082" w:rsidP="003D1082">
      <w:pPr>
        <w:spacing w:line="259" w:lineRule="auto"/>
        <w:ind w:firstLine="426"/>
        <w:jc w:val="both"/>
        <w:rPr>
          <w:rFonts w:eastAsia="Times New Roman"/>
          <w:sz w:val="22"/>
        </w:rPr>
      </w:pPr>
      <w:r w:rsidRPr="006E590A">
        <w:rPr>
          <w:rFonts w:eastAsia="Times New Roman"/>
          <w:sz w:val="22"/>
        </w:rPr>
        <w:t>Papildus, Krievijā 2014.gada 21.oktobrī stājās spēkā importa aizlieguma paplašinājums, aizliedzot ievest no Eiropas Savienības (turpmāk – ES) liellopa gaļas subproduktus un putnu taukus. Saskaņā ar statistikas datiem Latvija 2014.gadā uz Krieviju neeksportēja šīs produktu grupas.</w:t>
      </w:r>
    </w:p>
    <w:p w:rsidR="003D1082" w:rsidRPr="006E590A" w:rsidRDefault="003D1082" w:rsidP="003D1082">
      <w:pPr>
        <w:spacing w:line="259" w:lineRule="auto"/>
        <w:ind w:firstLine="426"/>
        <w:jc w:val="both"/>
        <w:rPr>
          <w:rFonts w:eastAsia="Times New Roman"/>
          <w:sz w:val="22"/>
        </w:rPr>
      </w:pPr>
      <w:r w:rsidRPr="006E590A">
        <w:rPr>
          <w:rFonts w:eastAsia="Times New Roman"/>
          <w:sz w:val="22"/>
        </w:rPr>
        <w:t xml:space="preserve">Papildus Krievijas Federācijas valdības 2014.gada 7.augusta lēmumam Krievijas Federācijas federālā veterinārās un fitosanitārās uzraudzības institūcijas </w:t>
      </w:r>
      <w:proofErr w:type="spellStart"/>
      <w:r w:rsidRPr="006E590A">
        <w:rPr>
          <w:rFonts w:eastAsia="Times New Roman"/>
          <w:sz w:val="22"/>
        </w:rPr>
        <w:t>Rosseļhoznadzor</w:t>
      </w:r>
      <w:proofErr w:type="spellEnd"/>
      <w:r w:rsidRPr="006E590A">
        <w:rPr>
          <w:rFonts w:eastAsia="Times New Roman"/>
          <w:sz w:val="22"/>
        </w:rPr>
        <w:t xml:space="preserve"> (</w:t>
      </w:r>
      <w:proofErr w:type="spellStart"/>
      <w:r w:rsidRPr="006E590A">
        <w:rPr>
          <w:rFonts w:eastAsia="Times New Roman"/>
          <w:sz w:val="22"/>
        </w:rPr>
        <w:t>Россельхознадзор</w:t>
      </w:r>
      <w:proofErr w:type="spellEnd"/>
      <w:r w:rsidRPr="006E590A">
        <w:rPr>
          <w:rFonts w:eastAsia="Times New Roman"/>
          <w:sz w:val="22"/>
        </w:rPr>
        <w:t xml:space="preserve">) 2015.gada 3. jūnija lēmumam Krievija no </w:t>
      </w:r>
      <w:r w:rsidR="005B6945">
        <w:rPr>
          <w:rFonts w:eastAsia="Times New Roman"/>
          <w:sz w:val="22"/>
        </w:rPr>
        <w:t xml:space="preserve">2016.gada </w:t>
      </w:r>
      <w:r w:rsidRPr="006E590A">
        <w:rPr>
          <w:rFonts w:eastAsia="Times New Roman"/>
          <w:sz w:val="22"/>
        </w:rPr>
        <w:t xml:space="preserve">4. jūnija ir ieviesusi aizliegumu zivju konservu importam no Latvijas. </w:t>
      </w:r>
    </w:p>
    <w:p w:rsidR="003D1082" w:rsidRPr="006E590A" w:rsidRDefault="003D1082" w:rsidP="003D1082">
      <w:pPr>
        <w:spacing w:line="259" w:lineRule="auto"/>
        <w:ind w:firstLine="426"/>
        <w:jc w:val="both"/>
        <w:rPr>
          <w:rFonts w:eastAsia="Times New Roman"/>
          <w:b/>
          <w:sz w:val="22"/>
        </w:rPr>
      </w:pPr>
      <w:r w:rsidRPr="006E590A">
        <w:rPr>
          <w:rFonts w:eastAsia="Times New Roman"/>
          <w:sz w:val="22"/>
        </w:rPr>
        <w:t xml:space="preserve">Lai reaģētu uz Krievijas Federācijas valdības noteiktajiem ierobežojumiem preču importam, tika īstenoti vairāki </w:t>
      </w:r>
      <w:r w:rsidRPr="006E590A">
        <w:rPr>
          <w:rFonts w:eastAsia="Times New Roman"/>
          <w:b/>
          <w:sz w:val="22"/>
        </w:rPr>
        <w:t>atbalsta pasākumi no Krievijas embargo cietušajiem uzņēmumiem.</w:t>
      </w:r>
    </w:p>
    <w:p w:rsidR="003D1082" w:rsidRPr="006E590A" w:rsidRDefault="005B6945" w:rsidP="003D1082">
      <w:pPr>
        <w:ind w:firstLine="426"/>
        <w:jc w:val="both"/>
        <w:rPr>
          <w:rFonts w:eastAsia="Times New Roman"/>
          <w:sz w:val="22"/>
        </w:rPr>
      </w:pPr>
      <w:r>
        <w:rPr>
          <w:rFonts w:eastAsia="Times New Roman"/>
          <w:sz w:val="22"/>
        </w:rPr>
        <w:t>Ekonomikas ministrija</w:t>
      </w:r>
      <w:r w:rsidR="003D1082" w:rsidRPr="006E590A">
        <w:rPr>
          <w:rFonts w:eastAsia="Times New Roman"/>
          <w:sz w:val="22"/>
        </w:rPr>
        <w:t xml:space="preserve"> sagatavoja grozījumus </w:t>
      </w:r>
      <w:r>
        <w:rPr>
          <w:rFonts w:eastAsia="Times New Roman"/>
          <w:sz w:val="22"/>
        </w:rPr>
        <w:t>Ministru kabineta 2010.gada 26.oktobra</w:t>
      </w:r>
      <w:r w:rsidR="003D1082" w:rsidRPr="006E590A">
        <w:rPr>
          <w:rFonts w:eastAsia="Times New Roman"/>
          <w:sz w:val="22"/>
        </w:rPr>
        <w:t xml:space="preserve"> noteikumos Nr.997 “Noteikumi par garantijām un atbilstošu lauksaimniecības pakalpojumu kooperatīvo sabiedrību konkurētspējas uzlabošanai”, paplašinot ieviestās </w:t>
      </w:r>
      <w:proofErr w:type="spellStart"/>
      <w:r w:rsidR="003D1082" w:rsidRPr="006E590A">
        <w:rPr>
          <w:rFonts w:eastAsia="Times New Roman"/>
          <w:sz w:val="22"/>
        </w:rPr>
        <w:t>kredītbrīvdienu</w:t>
      </w:r>
      <w:proofErr w:type="spellEnd"/>
      <w:r w:rsidR="003D1082" w:rsidRPr="006E590A">
        <w:rPr>
          <w:rFonts w:eastAsia="Times New Roman"/>
          <w:sz w:val="22"/>
        </w:rPr>
        <w:t xml:space="preserve"> garantijas arī uz tiem komersantiem un lauksaimniecības pakalpojumu kooperatīvajām sabiedrībām</w:t>
      </w:r>
      <w:r w:rsidR="003D1082" w:rsidRPr="006E590A">
        <w:rPr>
          <w:rStyle w:val="FootnoteReference"/>
          <w:rFonts w:eastAsia="Times New Roman"/>
          <w:sz w:val="22"/>
        </w:rPr>
        <w:footnoteReference w:id="2"/>
      </w:r>
      <w:r w:rsidR="003D1082" w:rsidRPr="006E590A">
        <w:rPr>
          <w:rFonts w:eastAsia="Times New Roman"/>
          <w:sz w:val="22"/>
        </w:rPr>
        <w:t>, kuras ir cietušas no Krievijas Federācijas valūtas svārstībām, kuru eksporta apjoms uz Krievijas Federāciju pārsniedz 30% un kuriem finanšu pakalpojuma pamatsummas atmaksa tiek atlikta no gada līdz diviem gadiem. Grozījumi stājās spēkā 2015.gada 6.jūnijā.</w:t>
      </w:r>
    </w:p>
    <w:p w:rsidR="003D1082" w:rsidRPr="006E590A" w:rsidRDefault="005B6945" w:rsidP="003D1082">
      <w:pPr>
        <w:spacing w:line="252" w:lineRule="auto"/>
        <w:ind w:firstLine="426"/>
        <w:jc w:val="both"/>
        <w:rPr>
          <w:rFonts w:cs="Times New Roman"/>
          <w:sz w:val="22"/>
        </w:rPr>
      </w:pPr>
      <w:r>
        <w:rPr>
          <w:rFonts w:cs="Times New Roman"/>
          <w:sz w:val="22"/>
        </w:rPr>
        <w:t xml:space="preserve">Valsts ieņēmumu dienests (turpmāk – </w:t>
      </w:r>
      <w:r w:rsidR="003D1082" w:rsidRPr="006E590A">
        <w:rPr>
          <w:rFonts w:cs="Times New Roman"/>
          <w:sz w:val="22"/>
        </w:rPr>
        <w:t>VID</w:t>
      </w:r>
      <w:r>
        <w:rPr>
          <w:rFonts w:cs="Times New Roman"/>
          <w:sz w:val="22"/>
        </w:rPr>
        <w:t>)</w:t>
      </w:r>
      <w:r w:rsidR="003D1082" w:rsidRPr="006E590A">
        <w:rPr>
          <w:rFonts w:cs="Times New Roman"/>
          <w:sz w:val="22"/>
        </w:rPr>
        <w:t xml:space="preserve"> nodrošina atbalsta pasākumus nodokļu maksātājiem Krievijas ekonomisko sankciju negatīvo seku mazināšanai, piemēram</w:t>
      </w:r>
      <w:r w:rsidR="008D4336">
        <w:rPr>
          <w:rFonts w:cs="Times New Roman"/>
          <w:sz w:val="22"/>
        </w:rPr>
        <w:t>,</w:t>
      </w:r>
      <w:r w:rsidR="003D1082" w:rsidRPr="006E590A">
        <w:rPr>
          <w:rFonts w:cs="Times New Roman"/>
          <w:sz w:val="22"/>
        </w:rPr>
        <w:t xml:space="preserve"> uzņēmumiem, kurus tieši </w:t>
      </w:r>
      <w:proofErr w:type="spellStart"/>
      <w:r w:rsidR="003D1082" w:rsidRPr="006E590A">
        <w:rPr>
          <w:rFonts w:cs="Times New Roman"/>
          <w:sz w:val="22"/>
        </w:rPr>
        <w:t>skāruši</w:t>
      </w:r>
      <w:proofErr w:type="spellEnd"/>
      <w:r w:rsidR="003D1082" w:rsidRPr="006E590A">
        <w:rPr>
          <w:rFonts w:cs="Times New Roman"/>
          <w:sz w:val="22"/>
        </w:rPr>
        <w:t xml:space="preserve"> Krievijas Federācijas noteiktie importa ierobežojumi un uzņēmumiem, kurus Krievijas embargo </w:t>
      </w:r>
      <w:proofErr w:type="spellStart"/>
      <w:r w:rsidR="003D1082" w:rsidRPr="006E590A">
        <w:rPr>
          <w:rFonts w:cs="Times New Roman"/>
          <w:sz w:val="22"/>
        </w:rPr>
        <w:t>skāris</w:t>
      </w:r>
      <w:proofErr w:type="spellEnd"/>
      <w:r w:rsidR="003D1082" w:rsidRPr="006E590A">
        <w:rPr>
          <w:rFonts w:cs="Times New Roman"/>
          <w:sz w:val="22"/>
        </w:rPr>
        <w:t xml:space="preserve"> pastarpināti:</w:t>
      </w:r>
    </w:p>
    <w:p w:rsidR="003D1082" w:rsidRPr="006E590A" w:rsidRDefault="003D1082" w:rsidP="006E590A">
      <w:pPr>
        <w:pStyle w:val="ListParagraph"/>
        <w:numPr>
          <w:ilvl w:val="0"/>
          <w:numId w:val="3"/>
        </w:numPr>
        <w:spacing w:line="240" w:lineRule="auto"/>
        <w:ind w:left="1276"/>
        <w:jc w:val="both"/>
        <w:rPr>
          <w:rFonts w:ascii="Times New Roman" w:hAnsi="Times New Roman"/>
        </w:rPr>
      </w:pPr>
      <w:r w:rsidRPr="006E590A">
        <w:rPr>
          <w:rFonts w:ascii="Times New Roman" w:hAnsi="Times New Roman"/>
          <w:b/>
          <w:bCs/>
        </w:rPr>
        <w:t xml:space="preserve">Nodokļu samaksas termiņa pagarinājumi (VID) - </w:t>
      </w:r>
      <w:r w:rsidRPr="006E590A">
        <w:rPr>
          <w:rFonts w:ascii="Times New Roman" w:hAnsi="Times New Roman"/>
        </w:rPr>
        <w:t>piešķir nodokļu samaksas termiņa pagarinājumus saskaņā ar likuma “Par nodokļiem un nodevām” 24.pantu;</w:t>
      </w:r>
    </w:p>
    <w:p w:rsidR="003D1082" w:rsidRPr="006E590A" w:rsidRDefault="003D1082" w:rsidP="006E590A">
      <w:pPr>
        <w:pStyle w:val="ListParagraph"/>
        <w:numPr>
          <w:ilvl w:val="0"/>
          <w:numId w:val="3"/>
        </w:numPr>
        <w:spacing w:line="240" w:lineRule="auto"/>
        <w:ind w:left="1276"/>
        <w:jc w:val="both"/>
        <w:rPr>
          <w:rFonts w:ascii="Times New Roman" w:hAnsi="Times New Roman"/>
        </w:rPr>
      </w:pPr>
      <w:r w:rsidRPr="006E590A">
        <w:rPr>
          <w:rFonts w:ascii="Times New Roman" w:hAnsi="Times New Roman"/>
          <w:b/>
          <w:bCs/>
        </w:rPr>
        <w:t xml:space="preserve">Aprēķināto UIN avansa maksājumu pārskatīšana (VID) - </w:t>
      </w:r>
      <w:r w:rsidRPr="006E590A">
        <w:rPr>
          <w:rFonts w:ascii="Times New Roman" w:hAnsi="Times New Roman"/>
        </w:rPr>
        <w:t>pārskata nodokļu maksātājiem aprēķinātos uzņēmumu ienākuma nodokļa avansa maksājumus saskaņā ar likuma „Par uzņēmumu ienākuma nodokli” 23.pantu</w:t>
      </w:r>
      <w:r w:rsidR="006E590A">
        <w:rPr>
          <w:rFonts w:ascii="Times New Roman" w:hAnsi="Times New Roman"/>
        </w:rPr>
        <w:t>.</w:t>
      </w:r>
    </w:p>
    <w:p w:rsidR="003D1082" w:rsidRPr="006E590A" w:rsidRDefault="003D1082" w:rsidP="003D1082">
      <w:pPr>
        <w:ind w:firstLine="360"/>
        <w:jc w:val="both"/>
        <w:rPr>
          <w:bCs/>
          <w:sz w:val="22"/>
        </w:rPr>
      </w:pPr>
      <w:r w:rsidRPr="006E590A">
        <w:rPr>
          <w:bCs/>
          <w:sz w:val="22"/>
        </w:rPr>
        <w:t xml:space="preserve">Atbildīgās nozaru ministrijas un Eiropas Komisija īstenoja vairākus atbalsta pasākumus lauksaimniekiem, kas cietuši no Krievijas Federācijas noteiktajām ekonomiskajām sankcijām: </w:t>
      </w:r>
    </w:p>
    <w:p w:rsidR="003D1082" w:rsidRPr="006E590A" w:rsidRDefault="003D1082" w:rsidP="006E590A">
      <w:pPr>
        <w:pStyle w:val="ListParagraph"/>
        <w:numPr>
          <w:ilvl w:val="0"/>
          <w:numId w:val="4"/>
        </w:numPr>
        <w:spacing w:after="120" w:line="240" w:lineRule="auto"/>
        <w:ind w:left="1276"/>
        <w:jc w:val="both"/>
        <w:rPr>
          <w:rFonts w:ascii="Times New Roman" w:hAnsi="Times New Roman"/>
        </w:rPr>
      </w:pPr>
      <w:r w:rsidRPr="006E590A">
        <w:rPr>
          <w:rFonts w:ascii="Times New Roman" w:hAnsi="Times New Roman"/>
        </w:rPr>
        <w:t xml:space="preserve">Lai mazinātu importa aizlieguma negatīvo ietekmi, piena nozarē, ir izmaksāts </w:t>
      </w:r>
      <w:r w:rsidRPr="006E590A">
        <w:rPr>
          <w:rFonts w:ascii="Times New Roman" w:hAnsi="Times New Roman"/>
          <w:b/>
        </w:rPr>
        <w:t xml:space="preserve">ES un valsts atbalsts 28,7 milj. </w:t>
      </w:r>
      <w:proofErr w:type="spellStart"/>
      <w:r w:rsidRPr="005B6945">
        <w:rPr>
          <w:rFonts w:ascii="Times New Roman" w:hAnsi="Times New Roman"/>
          <w:b/>
          <w:i/>
        </w:rPr>
        <w:t>euro</w:t>
      </w:r>
      <w:proofErr w:type="spellEnd"/>
      <w:r w:rsidRPr="006E590A">
        <w:rPr>
          <w:rFonts w:ascii="Times New Roman" w:hAnsi="Times New Roman"/>
          <w:b/>
        </w:rPr>
        <w:t xml:space="preserve"> apmērā un </w:t>
      </w:r>
      <w:r w:rsidRPr="006E590A">
        <w:rPr>
          <w:rFonts w:ascii="Times New Roman" w:hAnsi="Times New Roman"/>
        </w:rPr>
        <w:t xml:space="preserve">cūkkopības nozarē 1,3 milj. </w:t>
      </w:r>
      <w:proofErr w:type="spellStart"/>
      <w:r w:rsidRPr="005B6945">
        <w:rPr>
          <w:rFonts w:ascii="Times New Roman" w:hAnsi="Times New Roman"/>
          <w:i/>
        </w:rPr>
        <w:t>euro</w:t>
      </w:r>
      <w:proofErr w:type="spellEnd"/>
      <w:r w:rsidRPr="006E590A">
        <w:rPr>
          <w:rFonts w:ascii="Times New Roman" w:hAnsi="Times New Roman"/>
        </w:rPr>
        <w:t xml:space="preserve"> apmērā (ES atbalsts).</w:t>
      </w:r>
    </w:p>
    <w:p w:rsidR="003D1082" w:rsidRPr="006E590A" w:rsidRDefault="003D1082" w:rsidP="006E590A">
      <w:pPr>
        <w:pStyle w:val="ListParagraph"/>
        <w:numPr>
          <w:ilvl w:val="0"/>
          <w:numId w:val="4"/>
        </w:numPr>
        <w:spacing w:after="120" w:line="240" w:lineRule="auto"/>
        <w:ind w:left="1276"/>
        <w:jc w:val="both"/>
        <w:rPr>
          <w:rFonts w:ascii="Times New Roman" w:hAnsi="Times New Roman"/>
        </w:rPr>
      </w:pPr>
      <w:r w:rsidRPr="006E590A">
        <w:rPr>
          <w:rFonts w:ascii="Times New Roman" w:hAnsi="Times New Roman"/>
          <w:b/>
        </w:rPr>
        <w:t xml:space="preserve">Latvijas Lauku attīstības programmas (LAP) 2014.–2020. gadam </w:t>
      </w:r>
      <w:r w:rsidRPr="006E590A">
        <w:rPr>
          <w:rFonts w:ascii="Times New Roman" w:hAnsi="Times New Roman"/>
        </w:rPr>
        <w:t>investīciju projektos noteikta papildu atbalsta intensitāte saimniecībām, kas darbojas zālēdāju lopkopības nozarē, kā arī tiek grozīts uzraudzības periods 2007.–2013. gada LAP projektiem.</w:t>
      </w:r>
    </w:p>
    <w:p w:rsidR="003D1082" w:rsidRPr="006E590A" w:rsidRDefault="003D1082" w:rsidP="006E590A">
      <w:pPr>
        <w:pStyle w:val="ListParagraph"/>
        <w:numPr>
          <w:ilvl w:val="0"/>
          <w:numId w:val="4"/>
        </w:numPr>
        <w:spacing w:after="120" w:line="240" w:lineRule="auto"/>
        <w:ind w:left="1276"/>
        <w:jc w:val="both"/>
        <w:rPr>
          <w:rFonts w:ascii="Times New Roman" w:hAnsi="Times New Roman"/>
        </w:rPr>
      </w:pPr>
      <w:r w:rsidRPr="006E590A">
        <w:rPr>
          <w:rFonts w:ascii="Times New Roman" w:hAnsi="Times New Roman"/>
          <w:b/>
        </w:rPr>
        <w:t>Turpināts atbalsts kredītprocentu daļējai dzēšanai</w:t>
      </w:r>
      <w:r w:rsidRPr="006E590A">
        <w:rPr>
          <w:rFonts w:ascii="Times New Roman" w:hAnsi="Times New Roman"/>
        </w:rPr>
        <w:t xml:space="preserve"> – 2016. gadā lauksaimnieciskās produkcijas ražotājiem, lauksaimniecības pakalpojumu kooperatīvām sabiedrībām un lauksaimniecības produktu pārstrādes uzņēmumiem paredzēts atbalsts 7,05 milj. </w:t>
      </w:r>
      <w:proofErr w:type="spellStart"/>
      <w:r w:rsidRPr="005B6945">
        <w:rPr>
          <w:rFonts w:ascii="Times New Roman" w:hAnsi="Times New Roman"/>
          <w:i/>
        </w:rPr>
        <w:t>euro</w:t>
      </w:r>
      <w:proofErr w:type="spellEnd"/>
      <w:r w:rsidRPr="006E590A">
        <w:rPr>
          <w:rFonts w:ascii="Times New Roman" w:hAnsi="Times New Roman"/>
        </w:rPr>
        <w:t xml:space="preserve"> apmērā.</w:t>
      </w:r>
    </w:p>
    <w:p w:rsidR="003D1082" w:rsidRPr="006E590A" w:rsidRDefault="003D1082" w:rsidP="006E590A">
      <w:pPr>
        <w:pStyle w:val="ListParagraph"/>
        <w:numPr>
          <w:ilvl w:val="0"/>
          <w:numId w:val="4"/>
        </w:numPr>
        <w:spacing w:after="120" w:line="240" w:lineRule="auto"/>
        <w:ind w:left="1276"/>
        <w:jc w:val="both"/>
        <w:rPr>
          <w:rFonts w:ascii="Times New Roman" w:hAnsi="Times New Roman"/>
        </w:rPr>
      </w:pPr>
      <w:r w:rsidRPr="006E590A">
        <w:rPr>
          <w:rFonts w:ascii="Times New Roman" w:hAnsi="Times New Roman"/>
          <w:b/>
        </w:rPr>
        <w:t xml:space="preserve">ALTUM lauksaimniecības produkcijas ražotājiem apgrozāmo līdzekļu iegādei pieejami aizdevumi </w:t>
      </w:r>
      <w:r w:rsidRPr="006E590A">
        <w:rPr>
          <w:rFonts w:ascii="Times New Roman" w:hAnsi="Times New Roman"/>
        </w:rPr>
        <w:t xml:space="preserve">līdz diviem gadiem ar procentu likmi 4%; aizdevuma summa lauksaimniecības produktu ražotājiem 0,7–1 milj. </w:t>
      </w:r>
      <w:proofErr w:type="spellStart"/>
      <w:r w:rsidRPr="005B6945">
        <w:rPr>
          <w:rFonts w:ascii="Times New Roman" w:hAnsi="Times New Roman"/>
          <w:i/>
        </w:rPr>
        <w:t>euro</w:t>
      </w:r>
      <w:proofErr w:type="spellEnd"/>
      <w:r w:rsidRPr="006E590A">
        <w:rPr>
          <w:rFonts w:ascii="Times New Roman" w:hAnsi="Times New Roman"/>
        </w:rPr>
        <w:t xml:space="preserve">, kooperatīviem – līdz 2,85 milj. </w:t>
      </w:r>
      <w:proofErr w:type="spellStart"/>
      <w:r w:rsidR="005B6945" w:rsidRPr="005B6945">
        <w:rPr>
          <w:rFonts w:ascii="Times New Roman" w:hAnsi="Times New Roman"/>
          <w:i/>
        </w:rPr>
        <w:t>euro</w:t>
      </w:r>
      <w:proofErr w:type="spellEnd"/>
      <w:r w:rsidR="005B6945">
        <w:rPr>
          <w:rFonts w:ascii="Times New Roman" w:hAnsi="Times New Roman"/>
          <w:i/>
        </w:rPr>
        <w:t>.</w:t>
      </w:r>
    </w:p>
    <w:p w:rsidR="003D1082" w:rsidRPr="006E590A" w:rsidRDefault="003D1082" w:rsidP="006E590A">
      <w:pPr>
        <w:pStyle w:val="ListParagraph"/>
        <w:numPr>
          <w:ilvl w:val="0"/>
          <w:numId w:val="4"/>
        </w:numPr>
        <w:spacing w:after="120" w:line="240" w:lineRule="auto"/>
        <w:ind w:left="1276"/>
        <w:jc w:val="both"/>
        <w:rPr>
          <w:rFonts w:ascii="Times New Roman" w:hAnsi="Times New Roman"/>
        </w:rPr>
      </w:pPr>
      <w:r w:rsidRPr="006E590A">
        <w:rPr>
          <w:rFonts w:ascii="Times New Roman" w:hAnsi="Times New Roman"/>
          <w:b/>
        </w:rPr>
        <w:t xml:space="preserve">ALTUM ir pieejami aizdevumi lauksaimniecībā izmantojamās zemes iegādei ar </w:t>
      </w:r>
      <w:r w:rsidRPr="006E590A">
        <w:rPr>
          <w:rFonts w:ascii="Times New Roman" w:hAnsi="Times New Roman"/>
        </w:rPr>
        <w:t xml:space="preserve">termiņu līdz 30 gadiem un maksimālo aizdevuma summu 0,43 milj. </w:t>
      </w:r>
      <w:proofErr w:type="spellStart"/>
      <w:r w:rsidRPr="005B6945">
        <w:rPr>
          <w:rFonts w:ascii="Times New Roman" w:hAnsi="Times New Roman"/>
          <w:i/>
        </w:rPr>
        <w:t>euro</w:t>
      </w:r>
      <w:proofErr w:type="spellEnd"/>
      <w:r w:rsidRPr="006E590A">
        <w:rPr>
          <w:rFonts w:ascii="Times New Roman" w:hAnsi="Times New Roman"/>
        </w:rPr>
        <w:t>; procentu likmi veido fiksētā daļa 2,5% apmērā kopā ar mainīgo daļu.</w:t>
      </w:r>
    </w:p>
    <w:p w:rsidR="003D1082" w:rsidRPr="006E590A" w:rsidRDefault="003D1082" w:rsidP="006E590A">
      <w:pPr>
        <w:pStyle w:val="ListParagraph"/>
        <w:numPr>
          <w:ilvl w:val="0"/>
          <w:numId w:val="4"/>
        </w:numPr>
        <w:spacing w:after="120" w:line="240" w:lineRule="auto"/>
        <w:ind w:left="1276"/>
        <w:jc w:val="both"/>
        <w:rPr>
          <w:rFonts w:ascii="Times New Roman" w:hAnsi="Times New Roman"/>
        </w:rPr>
      </w:pPr>
      <w:r w:rsidRPr="006E590A">
        <w:rPr>
          <w:rFonts w:ascii="Times New Roman" w:hAnsi="Times New Roman"/>
        </w:rPr>
        <w:lastRenderedPageBreak/>
        <w:t>Primārās lauksaimnieciskās produkcijas ražotājiem, kooperatīviem, lauksaimniecības produktu pārstrādes komersantiem, kā arī zvejas un akvakultūras un zivsaimniecības atbalsta pasākumu īstenošanai ir</w:t>
      </w:r>
      <w:r w:rsidRPr="006E590A">
        <w:rPr>
          <w:rFonts w:ascii="Times New Roman" w:hAnsi="Times New Roman"/>
          <w:b/>
        </w:rPr>
        <w:t xml:space="preserve"> pieejamas kredītu garantijas.</w:t>
      </w:r>
    </w:p>
    <w:p w:rsidR="003D1082" w:rsidRPr="006E590A" w:rsidRDefault="003D1082" w:rsidP="006E590A">
      <w:pPr>
        <w:pStyle w:val="ListParagraph"/>
        <w:numPr>
          <w:ilvl w:val="0"/>
          <w:numId w:val="4"/>
        </w:numPr>
        <w:spacing w:after="120" w:line="240" w:lineRule="auto"/>
        <w:ind w:left="1276"/>
        <w:jc w:val="both"/>
        <w:rPr>
          <w:rFonts w:ascii="Times New Roman" w:hAnsi="Times New Roman"/>
        </w:rPr>
      </w:pPr>
      <w:r w:rsidRPr="006E590A">
        <w:rPr>
          <w:rFonts w:ascii="Times New Roman" w:hAnsi="Times New Roman"/>
          <w:b/>
        </w:rPr>
        <w:t xml:space="preserve">ES tirgus atbalsta pasākumi </w:t>
      </w:r>
      <w:r w:rsidRPr="006E590A">
        <w:rPr>
          <w:rFonts w:ascii="Times New Roman" w:hAnsi="Times New Roman"/>
        </w:rPr>
        <w:t>– vājpiena pulvera un sviesta valsts intervences iepirkums un privātā uzglabāšana.</w:t>
      </w:r>
    </w:p>
    <w:p w:rsidR="003D1082" w:rsidRPr="006E590A" w:rsidRDefault="003D1082" w:rsidP="006E590A">
      <w:pPr>
        <w:pStyle w:val="ListParagraph"/>
        <w:numPr>
          <w:ilvl w:val="0"/>
          <w:numId w:val="4"/>
        </w:numPr>
        <w:spacing w:after="120" w:line="240" w:lineRule="auto"/>
        <w:ind w:left="1276"/>
        <w:jc w:val="both"/>
        <w:rPr>
          <w:rFonts w:ascii="Times New Roman" w:hAnsi="Times New Roman"/>
        </w:rPr>
      </w:pPr>
      <w:r w:rsidRPr="006E590A">
        <w:rPr>
          <w:rFonts w:ascii="Times New Roman" w:hAnsi="Times New Roman"/>
          <w:b/>
        </w:rPr>
        <w:t>Saistībā ar pasākumiem eksporta tirgus veicināšanai</w:t>
      </w:r>
      <w:r w:rsidRPr="006E590A">
        <w:rPr>
          <w:rFonts w:ascii="Times New Roman" w:hAnsi="Times New Roman"/>
        </w:rPr>
        <w:t xml:space="preserve">, Zemkopības ministrija sniedz finansiālu atbalstu pārtikas ražotāju </w:t>
      </w:r>
      <w:proofErr w:type="spellStart"/>
      <w:r w:rsidRPr="006E590A">
        <w:rPr>
          <w:rFonts w:ascii="Times New Roman" w:hAnsi="Times New Roman"/>
        </w:rPr>
        <w:t>kopstendu</w:t>
      </w:r>
      <w:proofErr w:type="spellEnd"/>
      <w:r w:rsidRPr="006E590A">
        <w:rPr>
          <w:rFonts w:ascii="Times New Roman" w:hAnsi="Times New Roman"/>
        </w:rPr>
        <w:t xml:space="preserve"> veidošanai starptautiskajās izstādēs, kā arī Zemkopības ministrijas amatpersonas aktīvi piedalās pārtikas ražotāju interešu pārstāvēšanā, tiekoties ar potenciālo un esošo tirdzniecības partnervalstu pārstāvjiem gan Latvijā, gan arī ārpus tās robežām.</w:t>
      </w:r>
    </w:p>
    <w:p w:rsidR="003D1082" w:rsidRPr="006E590A" w:rsidRDefault="003D1082" w:rsidP="006E590A">
      <w:pPr>
        <w:pStyle w:val="ListParagraph"/>
        <w:numPr>
          <w:ilvl w:val="0"/>
          <w:numId w:val="4"/>
        </w:numPr>
        <w:spacing w:after="120" w:line="240" w:lineRule="auto"/>
        <w:ind w:left="1276"/>
        <w:jc w:val="both"/>
        <w:rPr>
          <w:rFonts w:ascii="Times New Roman" w:hAnsi="Times New Roman"/>
        </w:rPr>
      </w:pPr>
      <w:r w:rsidRPr="006E590A">
        <w:rPr>
          <w:rFonts w:ascii="Times New Roman" w:hAnsi="Times New Roman"/>
        </w:rPr>
        <w:t>Pārtikas produktu eksportētājiem ir</w:t>
      </w:r>
      <w:r w:rsidRPr="006E590A">
        <w:rPr>
          <w:rFonts w:ascii="Times New Roman" w:hAnsi="Times New Roman"/>
          <w:b/>
        </w:rPr>
        <w:t xml:space="preserve"> iespēja saņemt eksporta kredītu garantijas</w:t>
      </w:r>
      <w:r w:rsidRPr="006E590A">
        <w:rPr>
          <w:rFonts w:ascii="Times New Roman" w:hAnsi="Times New Roman"/>
        </w:rPr>
        <w:t>, vēršoties pie ALTUM.</w:t>
      </w:r>
    </w:p>
    <w:p w:rsidR="003D1082" w:rsidRPr="006E590A" w:rsidRDefault="003D1082" w:rsidP="006E590A">
      <w:pPr>
        <w:pStyle w:val="ListParagraph"/>
        <w:numPr>
          <w:ilvl w:val="0"/>
          <w:numId w:val="4"/>
        </w:numPr>
        <w:spacing w:after="120" w:line="240" w:lineRule="auto"/>
        <w:ind w:left="1276"/>
        <w:jc w:val="both"/>
        <w:rPr>
          <w:rFonts w:ascii="Times New Roman" w:hAnsi="Times New Roman"/>
        </w:rPr>
      </w:pPr>
      <w:r w:rsidRPr="006E590A">
        <w:rPr>
          <w:rFonts w:ascii="Times New Roman" w:hAnsi="Times New Roman"/>
        </w:rPr>
        <w:t>Nacionālās pārtikas kvalitātes shēmas produktiem (“Zaļā karotīte”, “</w:t>
      </w:r>
      <w:proofErr w:type="spellStart"/>
      <w:r w:rsidRPr="006E590A">
        <w:rPr>
          <w:rFonts w:ascii="Times New Roman" w:hAnsi="Times New Roman"/>
        </w:rPr>
        <w:t>Bordo</w:t>
      </w:r>
      <w:proofErr w:type="spellEnd"/>
      <w:r w:rsidRPr="006E590A">
        <w:rPr>
          <w:rFonts w:ascii="Times New Roman" w:hAnsi="Times New Roman"/>
        </w:rPr>
        <w:t xml:space="preserve"> karotīte”) ir priekšrocības valsts un pašvaldību publiskajos pārtikas un ēdināšanas iepirkumos kopš 2014. gada.</w:t>
      </w:r>
    </w:p>
    <w:p w:rsidR="003D1082" w:rsidRPr="006E590A" w:rsidRDefault="003D1082" w:rsidP="003D1082">
      <w:pPr>
        <w:pStyle w:val="Heading2"/>
        <w:numPr>
          <w:ilvl w:val="0"/>
          <w:numId w:val="4"/>
        </w:numPr>
        <w:rPr>
          <w:b/>
          <w:sz w:val="22"/>
          <w:szCs w:val="22"/>
        </w:rPr>
      </w:pPr>
      <w:r w:rsidRPr="006E590A">
        <w:rPr>
          <w:b/>
          <w:sz w:val="22"/>
          <w:szCs w:val="22"/>
        </w:rPr>
        <w:t>Pārstāvniecību tīkla paplašināšana</w:t>
      </w:r>
    </w:p>
    <w:p w:rsidR="003D1082" w:rsidRPr="006E590A" w:rsidRDefault="003D1082" w:rsidP="003D1082">
      <w:pPr>
        <w:ind w:left="709"/>
        <w:jc w:val="both"/>
        <w:rPr>
          <w:sz w:val="22"/>
        </w:rPr>
      </w:pPr>
      <w:r w:rsidRPr="006E590A">
        <w:rPr>
          <w:sz w:val="22"/>
        </w:rPr>
        <w:t xml:space="preserve">Lai mazinātu Krievijas sankciju ekonomisko ietekmi un veicinātu eksporta tirgu diversifikāciju, 3.2.1.2.pasākuma ietvaros papildus kopš 2015.gada tiek nodrošināta Latvijas </w:t>
      </w:r>
      <w:r w:rsidR="008D4336">
        <w:rPr>
          <w:sz w:val="22"/>
        </w:rPr>
        <w:t>Ā</w:t>
      </w:r>
      <w:r w:rsidRPr="006E590A">
        <w:rPr>
          <w:sz w:val="22"/>
        </w:rPr>
        <w:t>rējo ekonomisko pārstāvniecību darbība Singapūras Republikā, Somijā, Itālijā, Ķīnas Tautas Republikā (Šanhajā), Apvienotajos Arābu Emirātos, Kazahstānas Republikā un Azerbaidžānas Republikā, tādejādi paplašinot pārstāvniecību skaitu līdz 21 pārstāvniecībai 20 valstīs. No 2016.gada 1.janvāra pagaidu pārstāvniecības darbojas kā pastāvīgās pārstāvniecības.</w:t>
      </w:r>
    </w:p>
    <w:p w:rsidR="000F0761" w:rsidRPr="006E590A" w:rsidRDefault="00195F3E">
      <w:pPr>
        <w:rPr>
          <w:sz w:val="22"/>
        </w:rPr>
      </w:pPr>
    </w:p>
    <w:p w:rsidR="00B86A4C" w:rsidRPr="006E590A" w:rsidRDefault="006E590A" w:rsidP="006E590A">
      <w:pPr>
        <w:shd w:val="clear" w:color="auto" w:fill="1DA0A7"/>
        <w:autoSpaceDE w:val="0"/>
        <w:autoSpaceDN w:val="0"/>
        <w:adjustRightInd w:val="0"/>
        <w:rPr>
          <w:rFonts w:cs="Times New Roman"/>
          <w:b/>
          <w:color w:val="FFFFFF" w:themeColor="background1"/>
          <w:sz w:val="22"/>
        </w:rPr>
      </w:pPr>
      <w:r>
        <w:rPr>
          <w:rFonts w:cs="Times New Roman"/>
          <w:b/>
          <w:color w:val="FFFFFF" w:themeColor="background1"/>
          <w:sz w:val="22"/>
        </w:rPr>
        <w:t>2</w:t>
      </w:r>
      <w:r w:rsidR="00B86A4C" w:rsidRPr="006E590A">
        <w:rPr>
          <w:rFonts w:cs="Times New Roman"/>
          <w:b/>
          <w:color w:val="FFFFFF" w:themeColor="background1"/>
          <w:sz w:val="22"/>
        </w:rPr>
        <w:t>. Investīciju stimuli un investīciju piesaistes instrumenti</w:t>
      </w:r>
    </w:p>
    <w:p w:rsidR="00B86A4C" w:rsidRPr="006E590A" w:rsidRDefault="00B86A4C" w:rsidP="00B86A4C">
      <w:pPr>
        <w:autoSpaceDE w:val="0"/>
        <w:autoSpaceDN w:val="0"/>
        <w:adjustRightInd w:val="0"/>
        <w:jc w:val="both"/>
        <w:rPr>
          <w:b/>
          <w:sz w:val="8"/>
          <w:szCs w:val="8"/>
        </w:rPr>
      </w:pPr>
    </w:p>
    <w:p w:rsidR="00B86A4C" w:rsidRPr="006E590A" w:rsidRDefault="006E590A" w:rsidP="00B86A4C">
      <w:pPr>
        <w:shd w:val="clear" w:color="auto" w:fill="D9D9D9" w:themeFill="background1" w:themeFillShade="D9"/>
        <w:autoSpaceDE w:val="0"/>
        <w:autoSpaceDN w:val="0"/>
        <w:adjustRightInd w:val="0"/>
        <w:jc w:val="both"/>
        <w:rPr>
          <w:b/>
          <w:sz w:val="22"/>
        </w:rPr>
      </w:pPr>
      <w:r>
        <w:rPr>
          <w:b/>
          <w:sz w:val="22"/>
        </w:rPr>
        <w:t xml:space="preserve">2.1. </w:t>
      </w:r>
      <w:r w:rsidR="00B86A4C" w:rsidRPr="006E590A">
        <w:rPr>
          <w:b/>
          <w:sz w:val="22"/>
        </w:rPr>
        <w:t>Nodokļu stimuli</w:t>
      </w:r>
    </w:p>
    <w:p w:rsidR="00B86A4C" w:rsidRPr="006E590A" w:rsidRDefault="00B86A4C" w:rsidP="00B86A4C">
      <w:pPr>
        <w:pStyle w:val="ListParagraph"/>
        <w:numPr>
          <w:ilvl w:val="0"/>
          <w:numId w:val="5"/>
        </w:numPr>
        <w:autoSpaceDE w:val="0"/>
        <w:autoSpaceDN w:val="0"/>
        <w:adjustRightInd w:val="0"/>
        <w:spacing w:line="240" w:lineRule="auto"/>
        <w:ind w:left="426"/>
        <w:jc w:val="both"/>
        <w:rPr>
          <w:rFonts w:ascii="Times New Roman" w:hAnsi="Times New Roman"/>
          <w:b/>
        </w:rPr>
      </w:pPr>
      <w:r w:rsidRPr="006E590A">
        <w:rPr>
          <w:rFonts w:ascii="Times New Roman" w:hAnsi="Times New Roman"/>
          <w:b/>
        </w:rPr>
        <w:t>Nodokļu atvieglojumi SEZ un brīvostās</w:t>
      </w:r>
    </w:p>
    <w:p w:rsidR="00B86A4C" w:rsidRPr="006E590A" w:rsidRDefault="00B86A4C" w:rsidP="00B86A4C">
      <w:pPr>
        <w:autoSpaceDE w:val="0"/>
        <w:autoSpaceDN w:val="0"/>
        <w:adjustRightInd w:val="0"/>
        <w:ind w:left="66" w:firstLine="360"/>
        <w:jc w:val="both"/>
        <w:rPr>
          <w:sz w:val="22"/>
        </w:rPr>
      </w:pPr>
      <w:r w:rsidRPr="006E590A">
        <w:rPr>
          <w:sz w:val="22"/>
        </w:rPr>
        <w:t xml:space="preserve">Saskaņā ar likumu “Par nodokļu piemērošanu brīvostās un speciālajās ekonomiskajās zonās” un saistītajiem normatīvajiem aktiem zonas kapitālsabiedrībām vai licencētām kapitālsabiedrībām, kas darbojas atrodas vai veic komercdarbību tikai </w:t>
      </w:r>
      <w:r w:rsidRPr="006E590A">
        <w:rPr>
          <w:b/>
          <w:sz w:val="22"/>
        </w:rPr>
        <w:t>speciālās ekonomiskās zonas vai brīvostas</w:t>
      </w:r>
      <w:r w:rsidRPr="006E590A">
        <w:rPr>
          <w:sz w:val="22"/>
        </w:rPr>
        <w:t xml:space="preserve"> teritorijā Liepājas, Rēzeknes un Latgales SEZ, Rīgas un Ventspils Brīvostās iespējams piemērot </w:t>
      </w:r>
      <w:r w:rsidRPr="006E590A">
        <w:rPr>
          <w:b/>
          <w:sz w:val="22"/>
        </w:rPr>
        <w:t>tiešo nodokļu atvieglojumus</w:t>
      </w:r>
      <w:r w:rsidRPr="006E590A">
        <w:rPr>
          <w:sz w:val="22"/>
        </w:rPr>
        <w:t xml:space="preserve"> - nekustamā īpašuma nodokļa atlaidi, kā arī uzņēmumu ienākuma nodokļa atlaidi 80% apmērā no aprēķinātās nodokļa summas. </w:t>
      </w:r>
    </w:p>
    <w:p w:rsidR="00B86A4C" w:rsidRPr="006E590A" w:rsidRDefault="00B86A4C" w:rsidP="00B86A4C">
      <w:pPr>
        <w:pStyle w:val="ListParagraph"/>
        <w:numPr>
          <w:ilvl w:val="0"/>
          <w:numId w:val="5"/>
        </w:numPr>
        <w:autoSpaceDE w:val="0"/>
        <w:autoSpaceDN w:val="0"/>
        <w:adjustRightInd w:val="0"/>
        <w:ind w:left="426"/>
        <w:jc w:val="both"/>
        <w:rPr>
          <w:rFonts w:ascii="Times New Roman" w:hAnsi="Times New Roman"/>
        </w:rPr>
      </w:pPr>
      <w:r w:rsidRPr="006E590A">
        <w:rPr>
          <w:rFonts w:ascii="Times New Roman" w:hAnsi="Times New Roman"/>
          <w:b/>
          <w:bCs/>
        </w:rPr>
        <w:t>UIN</w:t>
      </w:r>
      <w:r w:rsidRPr="006E590A">
        <w:rPr>
          <w:rFonts w:ascii="Times New Roman" w:hAnsi="Times New Roman"/>
        </w:rPr>
        <w:t xml:space="preserve"> atlaide </w:t>
      </w:r>
      <w:r w:rsidRPr="006E590A">
        <w:rPr>
          <w:rFonts w:ascii="Times New Roman" w:hAnsi="Times New Roman"/>
          <w:b/>
          <w:bCs/>
        </w:rPr>
        <w:t>lieliem investīciju projektiem</w:t>
      </w:r>
    </w:p>
    <w:p w:rsidR="00B86A4C" w:rsidRPr="006E590A" w:rsidRDefault="00B86A4C" w:rsidP="00B86A4C">
      <w:pPr>
        <w:ind w:firstLine="426"/>
        <w:jc w:val="both"/>
        <w:rPr>
          <w:sz w:val="22"/>
        </w:rPr>
      </w:pPr>
      <w:r w:rsidRPr="006E590A">
        <w:rPr>
          <w:sz w:val="22"/>
        </w:rPr>
        <w:t xml:space="preserve">Investīciju piesaistes veicināšanai 2013. gada 6. novembrī Saeima pieņēma grozījumus likumā </w:t>
      </w:r>
      <w:r w:rsidRPr="006E590A">
        <w:rPr>
          <w:i/>
          <w:sz w:val="22"/>
        </w:rPr>
        <w:t>Par uzņēmumu ienākuma nodokli</w:t>
      </w:r>
      <w:r w:rsidRPr="006E590A">
        <w:rPr>
          <w:sz w:val="22"/>
        </w:rPr>
        <w:t xml:space="preserve">, kas paredz pagarināt valsts atbalsta programmu </w:t>
      </w:r>
      <w:r w:rsidRPr="006E590A">
        <w:rPr>
          <w:i/>
          <w:sz w:val="22"/>
        </w:rPr>
        <w:t>Nodokļa atlaide par atbalstāmo investīciju projekta ietvaros veiktajiem sākotnējiem ilgtermiņa ieguldījumiem</w:t>
      </w:r>
      <w:r w:rsidRPr="006E590A">
        <w:rPr>
          <w:sz w:val="22"/>
        </w:rPr>
        <w:t xml:space="preserve"> līdz 2020. gada 31. decembrim, vienlaikus paaugstinot minimāli nepieciešamo investīciju summu līdz 10 milj. </w:t>
      </w:r>
      <w:proofErr w:type="spellStart"/>
      <w:r w:rsidRPr="005B6945">
        <w:rPr>
          <w:i/>
          <w:sz w:val="22"/>
        </w:rPr>
        <w:t>euro</w:t>
      </w:r>
      <w:proofErr w:type="spellEnd"/>
      <w:r w:rsidRPr="006E590A">
        <w:rPr>
          <w:sz w:val="22"/>
        </w:rPr>
        <w:t>. Lai uzņēmēji 2015. gadā varētu iesniegt investīciju projektu pieteikumus atbalsta saņemšanai, 2015.gada 19.maijā MK tika apstiprināti grozījumi MK 2012. gada 24. janvāra noteikumos Nr.78 „</w:t>
      </w:r>
      <w:r w:rsidRPr="006E590A">
        <w:rPr>
          <w:i/>
          <w:sz w:val="22"/>
        </w:rPr>
        <w:t>Atbalstāmo investīciju projekta apstiprināšanas un īstenošanas kārtība</w:t>
      </w:r>
      <w:r w:rsidRPr="006E590A">
        <w:rPr>
          <w:sz w:val="22"/>
        </w:rPr>
        <w:t xml:space="preserve">”, izsakot tos jaunā redakcijā un paredzot saskaņot tajā ietverto regulējumu ar jauno </w:t>
      </w:r>
      <w:r w:rsidR="008D4336">
        <w:rPr>
          <w:sz w:val="22"/>
        </w:rPr>
        <w:t>ES</w:t>
      </w:r>
      <w:r w:rsidRPr="006E590A">
        <w:rPr>
          <w:sz w:val="22"/>
        </w:rPr>
        <w:t xml:space="preserve"> līmeņa valsts atbalsta regulējumu, kas stājās spēkā 2014. gada 1.jūlijā. </w:t>
      </w:r>
    </w:p>
    <w:p w:rsidR="00B86A4C" w:rsidRPr="006E590A" w:rsidRDefault="00B86A4C" w:rsidP="00B86A4C">
      <w:pPr>
        <w:ind w:firstLine="426"/>
        <w:jc w:val="both"/>
        <w:rPr>
          <w:sz w:val="22"/>
        </w:rPr>
      </w:pPr>
      <w:r w:rsidRPr="006E590A">
        <w:rPr>
          <w:sz w:val="22"/>
        </w:rPr>
        <w:t>Līdz 2016. gada. 1.jūnijam M</w:t>
      </w:r>
      <w:r w:rsidR="008D4336">
        <w:rPr>
          <w:sz w:val="22"/>
        </w:rPr>
        <w:t>inistru kabinetā</w:t>
      </w:r>
      <w:r w:rsidRPr="006E590A">
        <w:rPr>
          <w:sz w:val="22"/>
        </w:rPr>
        <w:t xml:space="preserve"> ir atbalstīti 26 lielo investīciju projekti par kopējo ieguldījumu summu 300,4 milj. </w:t>
      </w:r>
      <w:proofErr w:type="spellStart"/>
      <w:r w:rsidRPr="005B6945">
        <w:rPr>
          <w:i/>
          <w:sz w:val="22"/>
        </w:rPr>
        <w:t>euro</w:t>
      </w:r>
      <w:proofErr w:type="spellEnd"/>
      <w:r w:rsidRPr="006E590A">
        <w:rPr>
          <w:sz w:val="22"/>
        </w:rPr>
        <w:t>. Lielākā daļa jeb 24 no 26 atbalstītajiem investīciju projektiem tiks īstenoti apstrādes rūpniecības nozarē, savukārt 2 investīciju projekti – informācijas komunikācijas tehnoloģiju nozarē.</w:t>
      </w:r>
    </w:p>
    <w:p w:rsidR="00B86A4C" w:rsidRPr="006E590A" w:rsidRDefault="00B86A4C" w:rsidP="00B86A4C">
      <w:pPr>
        <w:pStyle w:val="ListParagraph"/>
        <w:numPr>
          <w:ilvl w:val="0"/>
          <w:numId w:val="5"/>
        </w:numPr>
        <w:autoSpaceDE w:val="0"/>
        <w:autoSpaceDN w:val="0"/>
        <w:adjustRightInd w:val="0"/>
        <w:ind w:left="426"/>
        <w:jc w:val="both"/>
        <w:rPr>
          <w:rFonts w:ascii="Times New Roman" w:hAnsi="Times New Roman"/>
        </w:rPr>
      </w:pPr>
      <w:r w:rsidRPr="006E590A">
        <w:rPr>
          <w:rFonts w:ascii="Times New Roman" w:hAnsi="Times New Roman"/>
        </w:rPr>
        <w:t xml:space="preserve">Atvieglojums </w:t>
      </w:r>
      <w:r w:rsidRPr="006E590A">
        <w:rPr>
          <w:rFonts w:ascii="Times New Roman" w:hAnsi="Times New Roman"/>
          <w:b/>
          <w:bCs/>
        </w:rPr>
        <w:t>ieguldījumiem pētniecībā un attīstībā un tehnoloģisku iekārtu iegādei.</w:t>
      </w:r>
    </w:p>
    <w:p w:rsidR="00B86A4C" w:rsidRPr="006E590A" w:rsidRDefault="00B86A4C" w:rsidP="00B86A4C">
      <w:pPr>
        <w:autoSpaceDE w:val="0"/>
        <w:autoSpaceDN w:val="0"/>
        <w:adjustRightInd w:val="0"/>
        <w:ind w:firstLine="426"/>
        <w:jc w:val="both"/>
        <w:rPr>
          <w:bCs/>
          <w:sz w:val="22"/>
        </w:rPr>
      </w:pPr>
      <w:r w:rsidRPr="006E590A">
        <w:rPr>
          <w:bCs/>
          <w:sz w:val="22"/>
        </w:rPr>
        <w:t xml:space="preserve">Kopš 2014.gada 1.jūlija uzņēmumi Latvijā var izmantot </w:t>
      </w:r>
      <w:r w:rsidRPr="006E590A">
        <w:rPr>
          <w:b/>
          <w:bCs/>
          <w:sz w:val="22"/>
        </w:rPr>
        <w:t xml:space="preserve">uzņēmumu ienākuma nodokļa stimulu uzņēmumu </w:t>
      </w:r>
      <w:r w:rsidR="008D4336">
        <w:rPr>
          <w:b/>
          <w:bCs/>
          <w:sz w:val="22"/>
        </w:rPr>
        <w:t xml:space="preserve">ieguldījumu pētniecībā un attīstībā </w:t>
      </w:r>
      <w:r w:rsidR="008D4336" w:rsidRPr="008D4336">
        <w:rPr>
          <w:bCs/>
          <w:sz w:val="22"/>
        </w:rPr>
        <w:t>(</w:t>
      </w:r>
      <w:r w:rsidR="008D4336">
        <w:rPr>
          <w:bCs/>
          <w:sz w:val="22"/>
        </w:rPr>
        <w:t xml:space="preserve">turpmāk - </w:t>
      </w:r>
      <w:r w:rsidRPr="008D4336">
        <w:rPr>
          <w:bCs/>
          <w:sz w:val="22"/>
        </w:rPr>
        <w:t>P&amp;A</w:t>
      </w:r>
      <w:r w:rsidR="008D4336" w:rsidRPr="008D4336">
        <w:rPr>
          <w:bCs/>
          <w:sz w:val="22"/>
        </w:rPr>
        <w:t>)</w:t>
      </w:r>
      <w:r w:rsidRPr="006E590A">
        <w:rPr>
          <w:b/>
          <w:bCs/>
          <w:sz w:val="22"/>
        </w:rPr>
        <w:t xml:space="preserve"> izmaksām</w:t>
      </w:r>
      <w:r w:rsidRPr="006E590A">
        <w:rPr>
          <w:bCs/>
          <w:sz w:val="22"/>
        </w:rPr>
        <w:t xml:space="preserve">, kas var tikt norakstītas tajā gadā, kad tās radušās, piemērojot </w:t>
      </w:r>
      <w:r w:rsidRPr="006E590A">
        <w:rPr>
          <w:b/>
          <w:bCs/>
          <w:sz w:val="22"/>
        </w:rPr>
        <w:t>vērtību palielinošu koeficientu „3”.</w:t>
      </w:r>
      <w:r w:rsidRPr="006E590A">
        <w:rPr>
          <w:bCs/>
          <w:sz w:val="22"/>
        </w:rPr>
        <w:t xml:space="preserve"> Nodokļa stimuls var tikt piemērots šādām attiecināmajām P&amp;A izmaksām:</w:t>
      </w:r>
    </w:p>
    <w:p w:rsidR="00B86A4C" w:rsidRPr="006E590A" w:rsidRDefault="00B86A4C" w:rsidP="00B86A4C">
      <w:pPr>
        <w:autoSpaceDE w:val="0"/>
        <w:autoSpaceDN w:val="0"/>
        <w:adjustRightInd w:val="0"/>
        <w:ind w:left="720"/>
        <w:jc w:val="both"/>
        <w:rPr>
          <w:bCs/>
          <w:sz w:val="22"/>
        </w:rPr>
      </w:pPr>
      <w:r w:rsidRPr="006E590A">
        <w:rPr>
          <w:bCs/>
          <w:sz w:val="22"/>
        </w:rPr>
        <w:t>– uzņēmuma zinātniskā un zinātnes tehniskā personāla izmaksas, kas saistītas ar uzņēmuma veikto pētniecības un attīstības darbu;</w:t>
      </w:r>
    </w:p>
    <w:p w:rsidR="00B86A4C" w:rsidRPr="006E590A" w:rsidRDefault="00B86A4C" w:rsidP="00B86A4C">
      <w:pPr>
        <w:autoSpaceDE w:val="0"/>
        <w:autoSpaceDN w:val="0"/>
        <w:adjustRightInd w:val="0"/>
        <w:ind w:left="720"/>
        <w:jc w:val="both"/>
        <w:rPr>
          <w:bCs/>
          <w:sz w:val="22"/>
        </w:rPr>
      </w:pPr>
      <w:r w:rsidRPr="006E590A">
        <w:rPr>
          <w:bCs/>
          <w:sz w:val="22"/>
        </w:rPr>
        <w:t>– pētniecības pakalpojumu, kas saņemti no zinātniskajām institūcijām, izmaksas;</w:t>
      </w:r>
    </w:p>
    <w:p w:rsidR="00B86A4C" w:rsidRPr="006E590A" w:rsidRDefault="00B86A4C" w:rsidP="00B86A4C">
      <w:pPr>
        <w:autoSpaceDE w:val="0"/>
        <w:autoSpaceDN w:val="0"/>
        <w:adjustRightInd w:val="0"/>
        <w:ind w:left="720"/>
        <w:jc w:val="both"/>
        <w:rPr>
          <w:bCs/>
          <w:sz w:val="22"/>
        </w:rPr>
      </w:pPr>
      <w:r w:rsidRPr="006E590A">
        <w:rPr>
          <w:bCs/>
          <w:sz w:val="22"/>
        </w:rPr>
        <w:lastRenderedPageBreak/>
        <w:t>– sertifikācijas, testēšanas un kalibrēšanas pakalpojumu izmaksas, saņemot pakalpojumus no akreditētām sertifikācijas, testēšanas un kalibrēšanas institūcijām.</w:t>
      </w:r>
    </w:p>
    <w:p w:rsidR="00B86A4C" w:rsidRPr="006E590A" w:rsidRDefault="00B86A4C" w:rsidP="00B86A4C">
      <w:pPr>
        <w:autoSpaceDE w:val="0"/>
        <w:autoSpaceDN w:val="0"/>
        <w:adjustRightInd w:val="0"/>
        <w:ind w:firstLine="720"/>
        <w:jc w:val="both"/>
        <w:rPr>
          <w:bCs/>
          <w:sz w:val="22"/>
        </w:rPr>
      </w:pPr>
      <w:r w:rsidRPr="006E590A">
        <w:rPr>
          <w:bCs/>
          <w:sz w:val="22"/>
        </w:rPr>
        <w:t xml:space="preserve">P&amp;A nodokļa stimuls ieviests, balstoties uz Saeimas 2013.gada 6.novembrī pieņemtajiem grozījumiem likumā </w:t>
      </w:r>
      <w:r w:rsidRPr="006E590A">
        <w:rPr>
          <w:bCs/>
          <w:i/>
          <w:sz w:val="22"/>
        </w:rPr>
        <w:t xml:space="preserve">Par uzņēmumu ienākuma nodokli, </w:t>
      </w:r>
      <w:r w:rsidRPr="006E590A">
        <w:rPr>
          <w:bCs/>
          <w:sz w:val="22"/>
        </w:rPr>
        <w:t xml:space="preserve">savukārt MK 2014.gada 1.jūlija </w:t>
      </w:r>
      <w:r w:rsidRPr="006E590A">
        <w:rPr>
          <w:bCs/>
          <w:i/>
          <w:sz w:val="22"/>
        </w:rPr>
        <w:t>Noteikumi par pētniecības un attīstības darbību uzņēmumu ienākuma nodokļa piemērošanai uzņēmumu ienākuma nodokļa aprēķināšanai</w:t>
      </w:r>
      <w:r w:rsidRPr="006E590A">
        <w:rPr>
          <w:bCs/>
          <w:sz w:val="22"/>
        </w:rPr>
        <w:t xml:space="preserve"> nosaka P&amp;A darbības atbilstības un novērtēšanas prasības, projekta dokumentācijas prasības, P&amp;A izdevumu uzskaites kārtību, kā arī to atbilstības un novērtēšanas prasības. 98 uzņēmumi Uzņēmumu ienākuma nodokļa deklarācijā par 2014.gadu ir norādījuši izdevumus P&amp;A par kopējo summu 11,24 milj. eiro.</w:t>
      </w:r>
    </w:p>
    <w:p w:rsidR="00B86A4C" w:rsidRPr="006E590A" w:rsidRDefault="00B86A4C" w:rsidP="00B86A4C">
      <w:pPr>
        <w:autoSpaceDE w:val="0"/>
        <w:autoSpaceDN w:val="0"/>
        <w:adjustRightInd w:val="0"/>
        <w:ind w:firstLine="720"/>
        <w:jc w:val="both"/>
        <w:rPr>
          <w:bCs/>
          <w:sz w:val="22"/>
        </w:rPr>
      </w:pPr>
      <w:r w:rsidRPr="006E590A">
        <w:rPr>
          <w:bCs/>
          <w:sz w:val="22"/>
        </w:rPr>
        <w:t>Lai sniegtu konsultatīvu palīdzību uzņēmējiem un VID, Ekonomikas ministrija ir izveidojusi Pētniecības un attīstības darbību novērtēšanas komisiju, kuras uzdevums ir nodrošināt P&amp;A projekta dokumentācijā iekļauto darbību novērtēšanu un attiecīga rekomendējoša rakstura atzinuma sagatavošanu par projektā iekļauto darbību atbilstību P&amp;A darbībām. Līdz 2015.gada 1.decembrim tika iesniegti 10 projektu pieteikumi, no tiem komisija ir atbalstījusi 8 projektus.</w:t>
      </w:r>
    </w:p>
    <w:p w:rsidR="00B86A4C" w:rsidRPr="006E590A" w:rsidRDefault="00B86A4C" w:rsidP="00B86A4C">
      <w:pPr>
        <w:autoSpaceDE w:val="0"/>
        <w:autoSpaceDN w:val="0"/>
        <w:adjustRightInd w:val="0"/>
        <w:ind w:firstLine="720"/>
        <w:jc w:val="both"/>
        <w:rPr>
          <w:bCs/>
          <w:sz w:val="22"/>
        </w:rPr>
      </w:pPr>
      <w:r w:rsidRPr="006E590A">
        <w:rPr>
          <w:bCs/>
          <w:sz w:val="22"/>
        </w:rPr>
        <w:t xml:space="preserve">Papildus līdz 2020.gadam būs pieejams </w:t>
      </w:r>
      <w:r w:rsidRPr="006E590A">
        <w:rPr>
          <w:b/>
          <w:bCs/>
          <w:sz w:val="22"/>
        </w:rPr>
        <w:t>atvieglojums par jaunajām ražošanas tehnoloģiskajām iekārtām</w:t>
      </w:r>
      <w:r w:rsidRPr="006E590A">
        <w:rPr>
          <w:bCs/>
          <w:sz w:val="22"/>
        </w:rPr>
        <w:t xml:space="preserve">, nosakot, ka katras jaunas ražošanas tehnoloģiskās iekārtas iegādes vai izveidošanas vērtību taksācijas periodā palielina, reizinot to ar koeficientu “1,5”. </w:t>
      </w:r>
    </w:p>
    <w:p w:rsidR="00B86A4C" w:rsidRDefault="00B86A4C" w:rsidP="00B86A4C">
      <w:pPr>
        <w:autoSpaceDE w:val="0"/>
        <w:autoSpaceDN w:val="0"/>
        <w:adjustRightInd w:val="0"/>
        <w:ind w:firstLine="720"/>
        <w:jc w:val="both"/>
        <w:rPr>
          <w:bCs/>
          <w:sz w:val="22"/>
        </w:rPr>
      </w:pPr>
    </w:p>
    <w:p w:rsidR="00B86A4C" w:rsidRPr="006E590A" w:rsidRDefault="006E590A" w:rsidP="00B86A4C">
      <w:pPr>
        <w:shd w:val="clear" w:color="auto" w:fill="D9D9D9" w:themeFill="background1" w:themeFillShade="D9"/>
        <w:rPr>
          <w:b/>
          <w:sz w:val="22"/>
        </w:rPr>
      </w:pPr>
      <w:r>
        <w:rPr>
          <w:b/>
          <w:sz w:val="22"/>
        </w:rPr>
        <w:t>2.2.</w:t>
      </w:r>
      <w:r w:rsidR="00B86A4C" w:rsidRPr="006E590A">
        <w:rPr>
          <w:b/>
          <w:sz w:val="22"/>
        </w:rPr>
        <w:t>ES fondu aktivitātes</w:t>
      </w:r>
    </w:p>
    <w:p w:rsidR="00B86A4C" w:rsidRPr="006E590A" w:rsidRDefault="00B86A4C" w:rsidP="00B86A4C">
      <w:pPr>
        <w:ind w:firstLine="360"/>
        <w:jc w:val="both"/>
        <w:rPr>
          <w:color w:val="1F497D"/>
          <w:sz w:val="22"/>
          <w:lang w:eastAsia="lv-LV"/>
        </w:rPr>
      </w:pPr>
      <w:r w:rsidRPr="006E590A">
        <w:rPr>
          <w:sz w:val="22"/>
          <w:lang w:eastAsia="lv-LV"/>
        </w:rPr>
        <w:t>2014-2020.gada plānošanas periodā LIAA darbības programmas  "Izaugsme un nodarbinātība" 1.2.2. specifiskā atbalsta mērķa "Veicināt inovāciju ieviešanu komersantos" 1.2.2.3. pasākuma "Atbalsts IKT un netehnoloģiskām apmācībām, kā arī apmācībām, lai sekmētu investoru piesaisti" ietvaros īstenos projektu, kura mērķis ir nodrošinā</w:t>
      </w:r>
      <w:r w:rsidRPr="006E590A">
        <w:rPr>
          <w:color w:val="1F497D"/>
          <w:sz w:val="22"/>
          <w:lang w:eastAsia="lv-LV"/>
        </w:rPr>
        <w:t>t</w:t>
      </w:r>
      <w:r w:rsidRPr="006E590A">
        <w:rPr>
          <w:sz w:val="22"/>
          <w:lang w:eastAsia="lv-LV"/>
        </w:rPr>
        <w:t xml:space="preserve"> atbalstu apmācībām, kas veicinās investoru piesaisti valstij. </w:t>
      </w:r>
    </w:p>
    <w:p w:rsidR="00B86A4C" w:rsidRPr="006E590A" w:rsidRDefault="00B86A4C" w:rsidP="00B86A4C">
      <w:pPr>
        <w:ind w:firstLine="720"/>
        <w:jc w:val="both"/>
        <w:rPr>
          <w:rFonts w:cs="Times New Roman"/>
          <w:sz w:val="22"/>
          <w:lang w:eastAsia="lv-LV"/>
        </w:rPr>
      </w:pPr>
      <w:r w:rsidRPr="006E590A">
        <w:rPr>
          <w:rFonts w:cs="Times New Roman"/>
          <w:sz w:val="22"/>
          <w:lang w:eastAsia="lv-LV"/>
        </w:rPr>
        <w:t>Projekta ietvaros LIAA nodrošinās apmācības jaundibinātiem komersantiem (investoriem), kas radīs vismaz 50 jaunas darba vietas vai veiks ieguldījumus pamatlīdzekļos vismaz 3 milj</w:t>
      </w:r>
      <w:r w:rsidR="008D4336">
        <w:rPr>
          <w:rFonts w:cs="Times New Roman"/>
          <w:sz w:val="22"/>
          <w:lang w:eastAsia="lv-LV"/>
        </w:rPr>
        <w:t>.</w:t>
      </w:r>
      <w:r w:rsidRPr="006E590A">
        <w:rPr>
          <w:rFonts w:cs="Times New Roman"/>
          <w:sz w:val="22"/>
          <w:lang w:eastAsia="lv-LV"/>
        </w:rPr>
        <w:t xml:space="preserve"> </w:t>
      </w:r>
      <w:proofErr w:type="spellStart"/>
      <w:r w:rsidR="005B6945" w:rsidRPr="005B6945">
        <w:rPr>
          <w:rFonts w:cs="Times New Roman"/>
          <w:i/>
          <w:sz w:val="22"/>
          <w:lang w:eastAsia="lv-LV"/>
        </w:rPr>
        <w:t>euro</w:t>
      </w:r>
      <w:proofErr w:type="spellEnd"/>
      <w:r w:rsidRPr="006E590A">
        <w:rPr>
          <w:rFonts w:cs="Times New Roman"/>
          <w:sz w:val="22"/>
          <w:lang w:eastAsia="lv-LV"/>
        </w:rPr>
        <w:t xml:space="preserve"> apmēr</w:t>
      </w:r>
      <w:r w:rsidR="008D4336">
        <w:rPr>
          <w:rFonts w:cs="Times New Roman"/>
          <w:sz w:val="22"/>
          <w:lang w:eastAsia="lv-LV"/>
        </w:rPr>
        <w:t>ā</w:t>
      </w:r>
      <w:r w:rsidRPr="006E590A">
        <w:rPr>
          <w:rFonts w:cs="Times New Roman"/>
          <w:sz w:val="22"/>
          <w:lang w:eastAsia="lv-LV"/>
        </w:rPr>
        <w:t>, kā arī, kas atbilst citiem Ministru kabineta noteiktajiem kritērijiem. Projekta ietvaros komersantiem ir attiecināmas apmācību kursu izmaksas (pasniedzēju darba samaksa, pasniedzēju un nodarbināto ceļa izdevumi) un izmaksas par materiāliem un pakalpojumiem, kas tieši saistītas ar apmācību kuriem.  Atbalsta intensitāte veidos 45% no attiecināmajām izmaksām vidējiem komersantiem un 35% - lielajiem komersantiem.</w:t>
      </w:r>
      <w:r w:rsidRPr="006E590A">
        <w:rPr>
          <w:rFonts w:cs="Times New Roman"/>
          <w:color w:val="1F497D"/>
          <w:sz w:val="22"/>
          <w:lang w:eastAsia="lv-LV"/>
        </w:rPr>
        <w:t xml:space="preserve"> </w:t>
      </w:r>
      <w:r w:rsidRPr="006E590A">
        <w:rPr>
          <w:rFonts w:cs="Times New Roman"/>
          <w:sz w:val="22"/>
          <w:lang w:eastAsia="lv-LV"/>
        </w:rPr>
        <w:t xml:space="preserve">Kopējais projekta ERAF finansējums ir 2,9 miljoni </w:t>
      </w:r>
      <w:proofErr w:type="spellStart"/>
      <w:r w:rsidR="005B6945" w:rsidRPr="005B6945">
        <w:rPr>
          <w:rFonts w:cs="Times New Roman"/>
          <w:i/>
          <w:sz w:val="22"/>
          <w:lang w:eastAsia="lv-LV"/>
        </w:rPr>
        <w:t>euro</w:t>
      </w:r>
      <w:proofErr w:type="spellEnd"/>
      <w:r w:rsidRPr="006E590A">
        <w:rPr>
          <w:rFonts w:cs="Times New Roman"/>
          <w:sz w:val="22"/>
          <w:lang w:eastAsia="lv-LV"/>
        </w:rPr>
        <w:t>. Projekta rezultātā atbalsts tiks sniegts vismaz 12 jaundibinātiem ārvalstu komersantiem un tiks apmācīti vismaz 300 darbinieki.</w:t>
      </w:r>
    </w:p>
    <w:p w:rsidR="00B86A4C" w:rsidRPr="006E590A" w:rsidRDefault="00B86A4C" w:rsidP="00B86A4C">
      <w:pPr>
        <w:ind w:firstLine="360"/>
        <w:jc w:val="both"/>
        <w:rPr>
          <w:sz w:val="22"/>
        </w:rPr>
      </w:pPr>
    </w:p>
    <w:p w:rsidR="00B86A4C" w:rsidRPr="006E590A" w:rsidRDefault="006E590A" w:rsidP="00B86A4C">
      <w:pPr>
        <w:shd w:val="clear" w:color="auto" w:fill="D9D9D9" w:themeFill="background1" w:themeFillShade="D9"/>
        <w:jc w:val="both"/>
        <w:rPr>
          <w:sz w:val="22"/>
        </w:rPr>
      </w:pPr>
      <w:r>
        <w:rPr>
          <w:b/>
          <w:bCs/>
          <w:sz w:val="22"/>
        </w:rPr>
        <w:t xml:space="preserve">2.3. </w:t>
      </w:r>
      <w:r w:rsidR="00B86A4C" w:rsidRPr="006E590A">
        <w:rPr>
          <w:b/>
          <w:bCs/>
          <w:sz w:val="22"/>
        </w:rPr>
        <w:t>Uzņēmējdarbības vides uzlabošana</w:t>
      </w:r>
    </w:p>
    <w:p w:rsidR="00B86A4C" w:rsidRPr="006E590A" w:rsidRDefault="00B86A4C" w:rsidP="00B86A4C">
      <w:pPr>
        <w:autoSpaceDE w:val="0"/>
        <w:autoSpaceDN w:val="0"/>
        <w:adjustRightInd w:val="0"/>
        <w:ind w:firstLine="360"/>
        <w:jc w:val="both"/>
        <w:rPr>
          <w:sz w:val="22"/>
        </w:rPr>
      </w:pPr>
      <w:r w:rsidRPr="006E590A">
        <w:rPr>
          <w:sz w:val="22"/>
        </w:rPr>
        <w:t>Notiek nepārtraukts darbs pie uzņēmējdarbības vides uzlabošanas Pasākumi uzņēmējdarbības vides uzlabošanai tiek īstenoti kopš 1999.gada, Ekonomikas ministrija iesaistoties plašam nozaru ministriju un uzņēmējus pārstāvošo organizāciju lokam sagatavo Uzņēmējdarbības vides uzlabošanas pasākumu plānu, kas katru gadu tiek atjaunots un apstiprināts valdībā. Kopumā kopš plāna izstrādes sākuma ieviestas 540 iniciatīvas dažādās ar uzņēmējdarbību saistītās jomās – uzņēmējdarbības uzsākšanas, būvatļauju saņemšanas un nekustamā īpašuma reģistrēšanas, nodokļu un grāmatvedības jomās, līgumsaistību izpildē. 87 pasākumi īstenoti laika posmā no 2014. līdz 2015.gadam.</w:t>
      </w:r>
    </w:p>
    <w:p w:rsidR="0033623C" w:rsidRDefault="00B86A4C" w:rsidP="00B86A4C">
      <w:pPr>
        <w:autoSpaceDE w:val="0"/>
        <w:autoSpaceDN w:val="0"/>
        <w:adjustRightInd w:val="0"/>
        <w:spacing w:after="240"/>
        <w:ind w:firstLine="360"/>
        <w:jc w:val="both"/>
        <w:rPr>
          <w:sz w:val="22"/>
        </w:rPr>
      </w:pPr>
      <w:r w:rsidRPr="006E590A">
        <w:rPr>
          <w:sz w:val="22"/>
        </w:rPr>
        <w:t xml:space="preserve">Turpinot uzsāktās reformas, Ekonomikas ministrijā ir sagatavots Uzņēmējdarbības vides uzlabošanas pasākumu plāns 2016.-2018.gadam, kurā iekļauti 90 pasākumi, lai atbilstoši </w:t>
      </w:r>
      <w:r w:rsidR="008D4336" w:rsidRPr="008D4336">
        <w:rPr>
          <w:sz w:val="22"/>
        </w:rPr>
        <w:t>Deklarācijā par Ministru prezidenta Māra Kučinska vadītā Ministru kabineta iecerēto darbību</w:t>
      </w:r>
      <w:r w:rsidRPr="006E590A">
        <w:rPr>
          <w:sz w:val="22"/>
        </w:rPr>
        <w:t xml:space="preserve"> un Latvijas Nacionālās attīstības plānā 2014.-2020.gadam izvirzītajiem prioritātēm sasniegtu izcilu uzņēmējdarbības vidi. </w:t>
      </w:r>
    </w:p>
    <w:p w:rsidR="0033623C" w:rsidRPr="0033623C" w:rsidRDefault="0033623C" w:rsidP="0033623C">
      <w:pPr>
        <w:rPr>
          <w:rFonts w:eastAsia="MS Mincho" w:cs="Times New Roman"/>
          <w:sz w:val="24"/>
          <w:szCs w:val="24"/>
          <w:lang w:eastAsia="ja-JP"/>
        </w:rPr>
      </w:pPr>
      <w:r w:rsidRPr="0033623C">
        <w:rPr>
          <w:rFonts w:eastAsia="MS Mincho" w:cs="Times New Roman"/>
          <w:sz w:val="24"/>
          <w:szCs w:val="24"/>
          <w:lang w:eastAsia="ja-JP"/>
        </w:rPr>
        <w:t>Ministru prezidenta biedrs,</w:t>
      </w:r>
    </w:p>
    <w:p w:rsidR="0033623C" w:rsidRPr="0033623C" w:rsidRDefault="0033623C" w:rsidP="0033623C">
      <w:pPr>
        <w:tabs>
          <w:tab w:val="left" w:pos="7655"/>
        </w:tabs>
        <w:rPr>
          <w:rFonts w:eastAsia="MS Mincho" w:cs="Times New Roman"/>
          <w:sz w:val="24"/>
          <w:szCs w:val="24"/>
          <w:lang w:eastAsia="ja-JP"/>
        </w:rPr>
      </w:pPr>
      <w:r w:rsidRPr="0033623C">
        <w:rPr>
          <w:rFonts w:eastAsia="MS Mincho" w:cs="Times New Roman"/>
          <w:sz w:val="24"/>
          <w:szCs w:val="24"/>
          <w:lang w:eastAsia="ja-JP"/>
        </w:rPr>
        <w:t>ekonomikas ministrs</w:t>
      </w:r>
      <w:r w:rsidRPr="0033623C">
        <w:rPr>
          <w:rFonts w:eastAsia="MS Mincho" w:cs="Times New Roman"/>
          <w:sz w:val="24"/>
          <w:szCs w:val="24"/>
          <w:lang w:eastAsia="ja-JP"/>
        </w:rPr>
        <w:tab/>
      </w:r>
      <w:r w:rsidRPr="0033623C">
        <w:rPr>
          <w:rFonts w:eastAsia="MS Mincho" w:cs="Times New Roman"/>
          <w:color w:val="000000"/>
          <w:sz w:val="24"/>
          <w:szCs w:val="24"/>
          <w:lang w:eastAsia="ja-JP"/>
        </w:rPr>
        <w:t>A. Ašeradens</w:t>
      </w:r>
    </w:p>
    <w:p w:rsidR="00EB09E4" w:rsidRDefault="00EB09E4" w:rsidP="0033623C">
      <w:pPr>
        <w:rPr>
          <w:rFonts w:eastAsia="MS Mincho" w:cs="Times New Roman"/>
          <w:bCs/>
          <w:sz w:val="24"/>
          <w:szCs w:val="24"/>
          <w:lang w:eastAsia="lv-LV"/>
        </w:rPr>
      </w:pPr>
    </w:p>
    <w:p w:rsidR="0033623C" w:rsidRPr="0033623C" w:rsidRDefault="0033623C" w:rsidP="0033623C">
      <w:pPr>
        <w:rPr>
          <w:rFonts w:eastAsia="MS Mincho" w:cs="Times New Roman"/>
          <w:bCs/>
          <w:sz w:val="24"/>
          <w:szCs w:val="24"/>
          <w:lang w:eastAsia="lv-LV"/>
        </w:rPr>
      </w:pPr>
      <w:r w:rsidRPr="0033623C">
        <w:rPr>
          <w:rFonts w:eastAsia="MS Mincho" w:cs="Times New Roman"/>
          <w:bCs/>
          <w:sz w:val="24"/>
          <w:szCs w:val="24"/>
          <w:lang w:eastAsia="lv-LV"/>
        </w:rPr>
        <w:t xml:space="preserve">Vīza: </w:t>
      </w:r>
    </w:p>
    <w:p w:rsidR="0033623C" w:rsidRPr="0033623C" w:rsidRDefault="0033623C" w:rsidP="0033623C">
      <w:pPr>
        <w:tabs>
          <w:tab w:val="left" w:pos="8222"/>
        </w:tabs>
        <w:rPr>
          <w:rFonts w:eastAsia="MS Mincho" w:cs="Times New Roman"/>
          <w:sz w:val="24"/>
          <w:szCs w:val="24"/>
          <w:lang w:eastAsia="ja-JP"/>
        </w:rPr>
      </w:pPr>
      <w:r w:rsidRPr="0033623C">
        <w:rPr>
          <w:rFonts w:eastAsia="MS Mincho" w:cs="Times New Roman"/>
          <w:sz w:val="24"/>
          <w:szCs w:val="24"/>
          <w:lang w:eastAsia="ja-JP"/>
        </w:rPr>
        <w:t>Ekonomikas ministrijas valsts sekretārs</w:t>
      </w:r>
      <w:r w:rsidRPr="0033623C">
        <w:rPr>
          <w:rFonts w:eastAsia="MS Mincho" w:cs="Times New Roman"/>
          <w:sz w:val="24"/>
          <w:szCs w:val="24"/>
          <w:lang w:eastAsia="ja-JP"/>
        </w:rPr>
        <w:tab/>
      </w:r>
      <w:proofErr w:type="spellStart"/>
      <w:r w:rsidRPr="0033623C">
        <w:rPr>
          <w:rFonts w:eastAsia="MS Mincho" w:cs="Times New Roman"/>
          <w:sz w:val="24"/>
          <w:szCs w:val="24"/>
          <w:lang w:eastAsia="ja-JP"/>
        </w:rPr>
        <w:t>J.Stinka</w:t>
      </w:r>
      <w:proofErr w:type="spellEnd"/>
    </w:p>
    <w:p w:rsidR="0033623C" w:rsidRPr="0033623C" w:rsidRDefault="0033623C" w:rsidP="0033623C">
      <w:pPr>
        <w:rPr>
          <w:rFonts w:eastAsia="MS Mincho" w:cs="Times New Roman"/>
          <w:sz w:val="18"/>
          <w:szCs w:val="24"/>
          <w:lang w:eastAsia="ja-JP"/>
        </w:rPr>
      </w:pPr>
    </w:p>
    <w:p w:rsidR="0033623C" w:rsidRPr="0033623C" w:rsidRDefault="0033623C" w:rsidP="0033623C">
      <w:pPr>
        <w:rPr>
          <w:rFonts w:eastAsia="MS Mincho" w:cs="Times New Roman"/>
          <w:sz w:val="14"/>
          <w:szCs w:val="14"/>
          <w:lang w:eastAsia="ja-JP"/>
        </w:rPr>
      </w:pPr>
      <w:r>
        <w:rPr>
          <w:rFonts w:eastAsia="MS Mincho" w:cs="Times New Roman"/>
          <w:sz w:val="14"/>
          <w:szCs w:val="14"/>
          <w:lang w:eastAsia="ja-JP"/>
        </w:rPr>
        <w:fldChar w:fldCharType="begin"/>
      </w:r>
      <w:r>
        <w:rPr>
          <w:rFonts w:eastAsia="MS Mincho" w:cs="Times New Roman"/>
          <w:sz w:val="14"/>
          <w:szCs w:val="14"/>
          <w:lang w:eastAsia="ja-JP"/>
        </w:rPr>
        <w:instrText xml:space="preserve"> NUMWORDS   \* MERGEFORMAT </w:instrText>
      </w:r>
      <w:r>
        <w:rPr>
          <w:rFonts w:eastAsia="MS Mincho" w:cs="Times New Roman"/>
          <w:sz w:val="14"/>
          <w:szCs w:val="14"/>
          <w:lang w:eastAsia="ja-JP"/>
        </w:rPr>
        <w:fldChar w:fldCharType="separate"/>
      </w:r>
      <w:r w:rsidR="00DE6F94">
        <w:rPr>
          <w:rFonts w:eastAsia="MS Mincho" w:cs="Times New Roman"/>
          <w:noProof/>
          <w:sz w:val="14"/>
          <w:szCs w:val="14"/>
          <w:lang w:eastAsia="ja-JP"/>
        </w:rPr>
        <w:t>2965</w:t>
      </w:r>
      <w:r>
        <w:rPr>
          <w:rFonts w:eastAsia="MS Mincho" w:cs="Times New Roman"/>
          <w:sz w:val="14"/>
          <w:szCs w:val="14"/>
          <w:lang w:eastAsia="ja-JP"/>
        </w:rPr>
        <w:fldChar w:fldCharType="end"/>
      </w:r>
    </w:p>
    <w:p w:rsidR="0033623C" w:rsidRPr="0033623C" w:rsidRDefault="001E03EF" w:rsidP="0033623C">
      <w:pPr>
        <w:rPr>
          <w:rFonts w:eastAsia="MS Mincho" w:cs="Times New Roman"/>
          <w:sz w:val="14"/>
          <w:szCs w:val="14"/>
          <w:lang w:eastAsia="ja-JP"/>
        </w:rPr>
      </w:pPr>
      <w:r>
        <w:rPr>
          <w:rFonts w:eastAsia="MS Mincho" w:cs="Times New Roman"/>
          <w:sz w:val="14"/>
          <w:szCs w:val="14"/>
          <w:lang w:eastAsia="ja-JP"/>
        </w:rPr>
        <w:fldChar w:fldCharType="begin"/>
      </w:r>
      <w:r>
        <w:rPr>
          <w:rFonts w:eastAsia="MS Mincho" w:cs="Times New Roman"/>
          <w:sz w:val="14"/>
          <w:szCs w:val="14"/>
          <w:lang w:eastAsia="ja-JP"/>
        </w:rPr>
        <w:instrText xml:space="preserve"> DATE  \@ "dd.MM.yyyy HH:mm"  \* MERGEFORMAT </w:instrText>
      </w:r>
      <w:r>
        <w:rPr>
          <w:rFonts w:eastAsia="MS Mincho" w:cs="Times New Roman"/>
          <w:sz w:val="14"/>
          <w:szCs w:val="14"/>
          <w:lang w:eastAsia="ja-JP"/>
        </w:rPr>
        <w:fldChar w:fldCharType="separate"/>
      </w:r>
      <w:r w:rsidR="008A54C0">
        <w:rPr>
          <w:rFonts w:eastAsia="MS Mincho" w:cs="Times New Roman"/>
          <w:noProof/>
          <w:sz w:val="14"/>
          <w:szCs w:val="14"/>
          <w:lang w:eastAsia="ja-JP"/>
        </w:rPr>
        <w:t>30.01.2017 08:50</w:t>
      </w:r>
      <w:r>
        <w:rPr>
          <w:rFonts w:eastAsia="MS Mincho" w:cs="Times New Roman"/>
          <w:sz w:val="14"/>
          <w:szCs w:val="14"/>
          <w:lang w:eastAsia="ja-JP"/>
        </w:rPr>
        <w:fldChar w:fldCharType="end"/>
      </w:r>
    </w:p>
    <w:p w:rsidR="0033623C" w:rsidRPr="0033623C" w:rsidRDefault="0033623C" w:rsidP="0033623C">
      <w:pPr>
        <w:rPr>
          <w:rFonts w:eastAsia="MS Mincho" w:cs="Times New Roman"/>
          <w:sz w:val="14"/>
          <w:szCs w:val="14"/>
          <w:lang w:eastAsia="ja-JP"/>
        </w:rPr>
      </w:pPr>
      <w:proofErr w:type="spellStart"/>
      <w:r w:rsidRPr="0033623C">
        <w:rPr>
          <w:rFonts w:eastAsia="MS Mincho" w:cs="Times New Roman"/>
          <w:sz w:val="14"/>
          <w:szCs w:val="14"/>
          <w:lang w:eastAsia="ja-JP"/>
        </w:rPr>
        <w:t>M.Ambrēna</w:t>
      </w:r>
      <w:proofErr w:type="spellEnd"/>
      <w:r w:rsidRPr="0033623C">
        <w:rPr>
          <w:rFonts w:eastAsia="MS Mincho" w:cs="Times New Roman"/>
          <w:sz w:val="14"/>
          <w:szCs w:val="14"/>
          <w:lang w:eastAsia="ja-JP"/>
        </w:rPr>
        <w:t>, 67013061</w:t>
      </w:r>
    </w:p>
    <w:p w:rsidR="0033623C" w:rsidRPr="0033623C" w:rsidRDefault="00195F3E" w:rsidP="0033623C">
      <w:pPr>
        <w:tabs>
          <w:tab w:val="center" w:pos="4153"/>
          <w:tab w:val="right" w:pos="8306"/>
        </w:tabs>
        <w:rPr>
          <w:rFonts w:eastAsia="MS Mincho" w:cs="Times New Roman"/>
          <w:szCs w:val="28"/>
          <w:lang w:eastAsia="ja-JP"/>
        </w:rPr>
      </w:pPr>
      <w:hyperlink r:id="rId8" w:history="1">
        <w:r w:rsidR="0033623C" w:rsidRPr="0033623C">
          <w:rPr>
            <w:rFonts w:eastAsia="MS Mincho" w:cs="Times New Roman"/>
            <w:color w:val="0000FF"/>
            <w:sz w:val="14"/>
            <w:szCs w:val="14"/>
            <w:u w:val="single"/>
            <w:lang w:eastAsia="ja-JP"/>
          </w:rPr>
          <w:t>madara.ambrena@em.gov.lv</w:t>
        </w:r>
      </w:hyperlink>
    </w:p>
    <w:sectPr w:rsidR="0033623C" w:rsidRPr="0033623C" w:rsidSect="003D1082">
      <w:headerReference w:type="default" r:id="rId9"/>
      <w:footerReference w:type="default" r:id="rId10"/>
      <w:pgSz w:w="11906" w:h="16838"/>
      <w:pgMar w:top="1134" w:right="851"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F3E" w:rsidRDefault="00195F3E" w:rsidP="003D1082">
      <w:r>
        <w:separator/>
      </w:r>
    </w:p>
  </w:endnote>
  <w:endnote w:type="continuationSeparator" w:id="0">
    <w:p w:rsidR="00195F3E" w:rsidRDefault="00195F3E" w:rsidP="003D1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90A" w:rsidRPr="00EB09E4" w:rsidRDefault="00EB09E4" w:rsidP="00EB09E4">
    <w:pPr>
      <w:pStyle w:val="Footer"/>
      <w:rPr>
        <w:sz w:val="20"/>
      </w:rPr>
    </w:pPr>
    <w:r w:rsidRPr="00EB09E4">
      <w:rPr>
        <w:sz w:val="20"/>
      </w:rPr>
      <w:fldChar w:fldCharType="begin"/>
    </w:r>
    <w:r w:rsidRPr="00EB09E4">
      <w:rPr>
        <w:sz w:val="20"/>
      </w:rPr>
      <w:instrText xml:space="preserve"> FILENAME   \* MERGEFORMAT </w:instrText>
    </w:r>
    <w:r w:rsidRPr="00EB09E4">
      <w:rPr>
        <w:sz w:val="20"/>
      </w:rPr>
      <w:fldChar w:fldCharType="separate"/>
    </w:r>
    <w:r w:rsidR="008A54C0">
      <w:rPr>
        <w:noProof/>
        <w:sz w:val="20"/>
      </w:rPr>
      <w:t>EMZinp3_300117_pamn_novert.docx</w:t>
    </w:r>
    <w:r w:rsidRPr="00EB09E4">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F3E" w:rsidRDefault="00195F3E" w:rsidP="003D1082">
      <w:r>
        <w:separator/>
      </w:r>
    </w:p>
  </w:footnote>
  <w:footnote w:type="continuationSeparator" w:id="0">
    <w:p w:rsidR="00195F3E" w:rsidRDefault="00195F3E" w:rsidP="003D1082">
      <w:r>
        <w:continuationSeparator/>
      </w:r>
    </w:p>
  </w:footnote>
  <w:footnote w:id="1">
    <w:p w:rsidR="003D1082" w:rsidRDefault="003D1082" w:rsidP="00AF5399">
      <w:pPr>
        <w:pStyle w:val="FootnoteText"/>
        <w:jc w:val="both"/>
      </w:pPr>
      <w:r w:rsidRPr="00014BE8">
        <w:rPr>
          <w:rStyle w:val="FootnoteReference"/>
          <w:sz w:val="18"/>
        </w:rPr>
        <w:footnoteRef/>
      </w:r>
      <w:r w:rsidRPr="00014BE8">
        <w:rPr>
          <w:sz w:val="18"/>
        </w:rPr>
        <w:t xml:space="preserve"> </w:t>
      </w:r>
      <w:r w:rsidRPr="00AF5399">
        <w:rPr>
          <w:sz w:val="16"/>
          <w:szCs w:val="16"/>
        </w:rPr>
        <w:t xml:space="preserve">Ekonomikas ministrija. 3.2.1.specifiskā atbalsta mērķa „Palielināt augstas pievienotās vērtības produktu un pakalpojumu eksporta proporciju” 3.2.1.2.pasākuma „Starptautiskās konkurētspējas veicināšana” Sākotnējais novērtējums. Pieejams: </w:t>
      </w:r>
      <w:hyperlink r:id="rId1" w:history="1">
        <w:r w:rsidRPr="00AF5399">
          <w:rPr>
            <w:rStyle w:val="Hyperlink"/>
            <w:sz w:val="16"/>
            <w:szCs w:val="16"/>
          </w:rPr>
          <w:t>https://em.gov.lv/lv/es_fondi/atbalsta_pasakumi_2014_2020/starptautiskas_konkuretspejas_veicinasana/</w:t>
        </w:r>
      </w:hyperlink>
      <w:r w:rsidRPr="00014BE8">
        <w:rPr>
          <w:sz w:val="18"/>
        </w:rPr>
        <w:t xml:space="preserve"> </w:t>
      </w:r>
    </w:p>
  </w:footnote>
  <w:footnote w:id="2">
    <w:p w:rsidR="003D1082" w:rsidRPr="006344BA" w:rsidRDefault="003D1082" w:rsidP="003D1082">
      <w:pPr>
        <w:pStyle w:val="FootnoteText"/>
        <w:rPr>
          <w:sz w:val="16"/>
        </w:rPr>
      </w:pPr>
      <w:r w:rsidRPr="006344BA">
        <w:rPr>
          <w:rStyle w:val="FootnoteReference"/>
          <w:sz w:val="16"/>
        </w:rPr>
        <w:footnoteRef/>
      </w:r>
      <w:r w:rsidRPr="006344BA">
        <w:rPr>
          <w:sz w:val="16"/>
        </w:rPr>
        <w:t xml:space="preserve"> </w:t>
      </w:r>
      <w:r w:rsidR="00AF5399">
        <w:rPr>
          <w:sz w:val="16"/>
        </w:rPr>
        <w:t>K</w:t>
      </w:r>
      <w:r w:rsidRPr="006344BA">
        <w:rPr>
          <w:sz w:val="16"/>
        </w:rPr>
        <w:t>omercdarbību un lauksaimniecības pakalpojumu kooperatīvo sabiedrību darbību regulējošo normatīvo aktu izpratnē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266050"/>
      <w:docPartObj>
        <w:docPartGallery w:val="Page Numbers (Top of Page)"/>
        <w:docPartUnique/>
      </w:docPartObj>
    </w:sdtPr>
    <w:sdtEndPr>
      <w:rPr>
        <w:noProof/>
      </w:rPr>
    </w:sdtEndPr>
    <w:sdtContent>
      <w:p w:rsidR="0033623C" w:rsidRDefault="0033623C" w:rsidP="0033623C">
        <w:pPr>
          <w:pStyle w:val="Header"/>
          <w:jc w:val="right"/>
        </w:pPr>
        <w:r w:rsidRPr="0033623C">
          <w:rPr>
            <w:sz w:val="18"/>
          </w:rPr>
          <w:fldChar w:fldCharType="begin"/>
        </w:r>
        <w:r w:rsidRPr="0033623C">
          <w:rPr>
            <w:sz w:val="18"/>
          </w:rPr>
          <w:instrText xml:space="preserve"> PAGE   \* MERGEFORMAT </w:instrText>
        </w:r>
        <w:r w:rsidRPr="0033623C">
          <w:rPr>
            <w:sz w:val="18"/>
          </w:rPr>
          <w:fldChar w:fldCharType="separate"/>
        </w:r>
        <w:r w:rsidR="008A54C0">
          <w:rPr>
            <w:noProof/>
            <w:sz w:val="18"/>
          </w:rPr>
          <w:t>2</w:t>
        </w:r>
        <w:r w:rsidRPr="0033623C">
          <w:rPr>
            <w:noProof/>
            <w:sz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D16E7"/>
    <w:multiLevelType w:val="hybridMultilevel"/>
    <w:tmpl w:val="9134F7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D947420"/>
    <w:multiLevelType w:val="hybridMultilevel"/>
    <w:tmpl w:val="8E18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8D2177"/>
    <w:multiLevelType w:val="hybridMultilevel"/>
    <w:tmpl w:val="669C0C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4413C64"/>
    <w:multiLevelType w:val="hybridMultilevel"/>
    <w:tmpl w:val="1A48C0BE"/>
    <w:lvl w:ilvl="0" w:tplc="04260011">
      <w:start w:val="2"/>
      <w:numFmt w:val="decimal"/>
      <w:lvlText w:val="%1)"/>
      <w:lvlJc w:val="left"/>
      <w:pPr>
        <w:ind w:left="720" w:hanging="360"/>
      </w:pPr>
      <w:rPr>
        <w:rFonts w:hint="default"/>
      </w:rPr>
    </w:lvl>
    <w:lvl w:ilvl="1" w:tplc="04260001">
      <w:start w:val="1"/>
      <w:numFmt w:val="bullet"/>
      <w:lvlText w:val=""/>
      <w:lvlJc w:val="left"/>
      <w:pPr>
        <w:ind w:left="2160" w:hanging="108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5043AE8"/>
    <w:multiLevelType w:val="hybridMultilevel"/>
    <w:tmpl w:val="6B96B7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77F6063"/>
    <w:multiLevelType w:val="hybridMultilevel"/>
    <w:tmpl w:val="53CC53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AB272AE"/>
    <w:multiLevelType w:val="hybridMultilevel"/>
    <w:tmpl w:val="E05A76E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82"/>
    <w:rsid w:val="00052DF3"/>
    <w:rsid w:val="000B67F2"/>
    <w:rsid w:val="000C1D33"/>
    <w:rsid w:val="00160D0C"/>
    <w:rsid w:val="00195F3E"/>
    <w:rsid w:val="001B762E"/>
    <w:rsid w:val="001E03EF"/>
    <w:rsid w:val="00225B24"/>
    <w:rsid w:val="0033623C"/>
    <w:rsid w:val="00370288"/>
    <w:rsid w:val="003D1082"/>
    <w:rsid w:val="004159D8"/>
    <w:rsid w:val="00433E09"/>
    <w:rsid w:val="005B6945"/>
    <w:rsid w:val="00673329"/>
    <w:rsid w:val="006737F4"/>
    <w:rsid w:val="006E590A"/>
    <w:rsid w:val="007825C7"/>
    <w:rsid w:val="008A54C0"/>
    <w:rsid w:val="008D4336"/>
    <w:rsid w:val="00A33173"/>
    <w:rsid w:val="00AF5399"/>
    <w:rsid w:val="00B86A4C"/>
    <w:rsid w:val="00C043E1"/>
    <w:rsid w:val="00C304AD"/>
    <w:rsid w:val="00D06B19"/>
    <w:rsid w:val="00D5085D"/>
    <w:rsid w:val="00D53014"/>
    <w:rsid w:val="00D63591"/>
    <w:rsid w:val="00DE6F94"/>
    <w:rsid w:val="00E159F5"/>
    <w:rsid w:val="00EB09E4"/>
    <w:rsid w:val="00F049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923D87-9C11-4B63-83A5-8E61F7D73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082"/>
    <w:pPr>
      <w:spacing w:after="0" w:line="240" w:lineRule="auto"/>
    </w:pPr>
    <w:rPr>
      <w:rFonts w:ascii="Times New Roman" w:hAnsi="Times New Roman"/>
      <w:sz w:val="28"/>
    </w:rPr>
  </w:style>
  <w:style w:type="paragraph" w:styleId="Heading2">
    <w:name w:val="heading 2"/>
    <w:basedOn w:val="Normal"/>
    <w:next w:val="Normal"/>
    <w:link w:val="Heading2Char"/>
    <w:uiPriority w:val="9"/>
    <w:unhideWhenUsed/>
    <w:qFormat/>
    <w:rsid w:val="003D1082"/>
    <w:pPr>
      <w:keepNext/>
      <w:keepLines/>
      <w:spacing w:before="40"/>
      <w:outlineLvl w:val="1"/>
    </w:pPr>
    <w:rPr>
      <w:rFonts w:eastAsiaTheme="majorEastAsia" w:cstheme="majorBidi"/>
      <w:sz w:val="24"/>
      <w:szCs w:val="26"/>
    </w:rPr>
  </w:style>
  <w:style w:type="paragraph" w:styleId="Heading3">
    <w:name w:val="heading 3"/>
    <w:basedOn w:val="Normal"/>
    <w:next w:val="Normal"/>
    <w:link w:val="Heading3Char"/>
    <w:uiPriority w:val="9"/>
    <w:unhideWhenUsed/>
    <w:qFormat/>
    <w:rsid w:val="003D1082"/>
    <w:pPr>
      <w:keepNext/>
      <w:keepLines/>
      <w:spacing w:before="4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1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D1082"/>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3D1082"/>
    <w:rPr>
      <w:rFonts w:ascii="Times New Roman" w:eastAsiaTheme="majorEastAsia" w:hAnsi="Times New Roman" w:cstheme="majorBidi"/>
      <w:sz w:val="24"/>
      <w:szCs w:val="24"/>
    </w:r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f"/>
    <w:basedOn w:val="Normal"/>
    <w:link w:val="FootnoteTextChar"/>
    <w:uiPriority w:val="99"/>
    <w:unhideWhenUsed/>
    <w:rsid w:val="003D1082"/>
    <w:rPr>
      <w:sz w:val="20"/>
      <w:szCs w:val="20"/>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rsid w:val="003D1082"/>
    <w:rPr>
      <w:rFonts w:ascii="Times New Roman" w:hAnsi="Times New Roman"/>
      <w:sz w:val="20"/>
      <w:szCs w:val="20"/>
    </w:rPr>
  </w:style>
  <w:style w:type="character" w:styleId="FootnoteReference">
    <w:name w:val="footnote reference"/>
    <w:aliases w:val="Footnote Reference Number,Footnote Reference Superscript,Footnote symbol,fr,Footnote Refernece,ftref,Odwołanie przypisu,BVI fnr,Footnotes refss,SUPERS,Ref,de nota al pie,-E Fußnotenzeichen,Footnote reference number,Times 10 Point,E"/>
    <w:basedOn w:val="DefaultParagraphFont"/>
    <w:uiPriority w:val="99"/>
    <w:unhideWhenUsed/>
    <w:rsid w:val="003D1082"/>
    <w:rPr>
      <w:vertAlign w:val="superscript"/>
    </w:rPr>
  </w:style>
  <w:style w:type="character" w:styleId="Hyperlink">
    <w:name w:val="Hyperlink"/>
    <w:basedOn w:val="DefaultParagraphFont"/>
    <w:uiPriority w:val="99"/>
    <w:unhideWhenUsed/>
    <w:rsid w:val="003D1082"/>
    <w:rPr>
      <w:color w:val="0563C1" w:themeColor="hyperlink"/>
      <w:u w:val="single"/>
    </w:rPr>
  </w:style>
  <w:style w:type="paragraph" w:styleId="ListParagraph">
    <w:name w:val="List Paragraph"/>
    <w:aliases w:val="2,H&amp;P List Paragraph,Strip,Saraksta rindkopa,Saraksta rindkopa1"/>
    <w:basedOn w:val="Normal"/>
    <w:link w:val="ListParagraphChar"/>
    <w:uiPriority w:val="34"/>
    <w:qFormat/>
    <w:rsid w:val="003D1082"/>
    <w:pPr>
      <w:spacing w:line="276" w:lineRule="auto"/>
      <w:ind w:left="720"/>
      <w:contextualSpacing/>
    </w:pPr>
    <w:rPr>
      <w:rFonts w:ascii="Calibri" w:eastAsia="Calibri" w:hAnsi="Calibri" w:cs="Times New Roman"/>
      <w:sz w:val="22"/>
    </w:rPr>
  </w:style>
  <w:style w:type="character" w:customStyle="1" w:styleId="ListParagraphChar">
    <w:name w:val="List Paragraph Char"/>
    <w:aliases w:val="2 Char,H&amp;P List Paragraph Char,Strip Char,Saraksta rindkopa Char,Saraksta rindkopa1 Char"/>
    <w:link w:val="ListParagraph"/>
    <w:uiPriority w:val="34"/>
    <w:locked/>
    <w:rsid w:val="003D1082"/>
    <w:rPr>
      <w:rFonts w:ascii="Calibri" w:eastAsia="Calibri" w:hAnsi="Calibri" w:cs="Times New Roman"/>
    </w:rPr>
  </w:style>
  <w:style w:type="paragraph" w:customStyle="1" w:styleId="Proj">
    <w:name w:val="Proj"/>
    <w:basedOn w:val="Normal"/>
    <w:link w:val="ProjChar"/>
    <w:qFormat/>
    <w:rsid w:val="003D1082"/>
    <w:pPr>
      <w:spacing w:line="259" w:lineRule="auto"/>
      <w:ind w:firstLine="720"/>
      <w:jc w:val="both"/>
    </w:pPr>
    <w:rPr>
      <w:rFonts w:cs="Times New Roman"/>
      <w:sz w:val="24"/>
      <w:szCs w:val="24"/>
    </w:rPr>
  </w:style>
  <w:style w:type="character" w:customStyle="1" w:styleId="ProjChar">
    <w:name w:val="Proj Char"/>
    <w:basedOn w:val="DefaultParagraphFont"/>
    <w:link w:val="Proj"/>
    <w:rsid w:val="003D1082"/>
    <w:rPr>
      <w:rFonts w:ascii="Times New Roman" w:hAnsi="Times New Roman" w:cs="Times New Roman"/>
      <w:sz w:val="24"/>
      <w:szCs w:val="24"/>
    </w:rPr>
  </w:style>
  <w:style w:type="paragraph" w:styleId="Header">
    <w:name w:val="header"/>
    <w:basedOn w:val="Normal"/>
    <w:link w:val="HeaderChar"/>
    <w:uiPriority w:val="99"/>
    <w:unhideWhenUsed/>
    <w:rsid w:val="006E590A"/>
    <w:pPr>
      <w:tabs>
        <w:tab w:val="center" w:pos="4153"/>
        <w:tab w:val="right" w:pos="8306"/>
      </w:tabs>
    </w:pPr>
  </w:style>
  <w:style w:type="character" w:customStyle="1" w:styleId="HeaderChar">
    <w:name w:val="Header Char"/>
    <w:basedOn w:val="DefaultParagraphFont"/>
    <w:link w:val="Header"/>
    <w:uiPriority w:val="99"/>
    <w:rsid w:val="006E590A"/>
    <w:rPr>
      <w:rFonts w:ascii="Times New Roman" w:hAnsi="Times New Roman"/>
      <w:sz w:val="28"/>
    </w:rPr>
  </w:style>
  <w:style w:type="paragraph" w:styleId="Footer">
    <w:name w:val="footer"/>
    <w:basedOn w:val="Normal"/>
    <w:link w:val="FooterChar"/>
    <w:uiPriority w:val="99"/>
    <w:unhideWhenUsed/>
    <w:rsid w:val="006E590A"/>
    <w:pPr>
      <w:tabs>
        <w:tab w:val="center" w:pos="4153"/>
        <w:tab w:val="right" w:pos="8306"/>
      </w:tabs>
    </w:pPr>
  </w:style>
  <w:style w:type="character" w:customStyle="1" w:styleId="FooterChar">
    <w:name w:val="Footer Char"/>
    <w:basedOn w:val="DefaultParagraphFont"/>
    <w:link w:val="Footer"/>
    <w:uiPriority w:val="99"/>
    <w:rsid w:val="006E590A"/>
    <w:rPr>
      <w:rFonts w:ascii="Times New Roman" w:hAnsi="Times New Roman"/>
      <w:sz w:val="28"/>
    </w:rPr>
  </w:style>
  <w:style w:type="paragraph" w:customStyle="1" w:styleId="Default">
    <w:name w:val="Default"/>
    <w:link w:val="DefaultChar"/>
    <w:rsid w:val="006E590A"/>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DefaultChar">
    <w:name w:val="Default Char"/>
    <w:link w:val="Default"/>
    <w:locked/>
    <w:rsid w:val="006E590A"/>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ara.ambrena@e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m.gov.lv/lv/es_fondi/atbalsta_pasakumi_2014_2020/starptautiskas_konkuretspejas_veicinas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A9F0E-E813-41B3-8D6A-0B059A68F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16345</Words>
  <Characters>9317</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Ambrēna</dc:creator>
  <cp:keywords/>
  <dc:description/>
  <cp:lastModifiedBy>Madara Ambrēna</cp:lastModifiedBy>
  <cp:revision>14</cp:revision>
  <dcterms:created xsi:type="dcterms:W3CDTF">2016-10-13T09:09:00Z</dcterms:created>
  <dcterms:modified xsi:type="dcterms:W3CDTF">2017-01-30T06:51:00Z</dcterms:modified>
</cp:coreProperties>
</file>