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AA78" w14:textId="77EEC5BE" w:rsidR="00894C55" w:rsidRPr="00A3752A" w:rsidRDefault="00F61F4F" w:rsidP="00894C55">
      <w:pPr>
        <w:shd w:val="clear" w:color="auto" w:fill="FFFFFF"/>
        <w:spacing w:after="0" w:line="240" w:lineRule="auto"/>
        <w:jc w:val="center"/>
        <w:rPr>
          <w:rFonts w:eastAsia="Times New Roman" w:cs="Times New Roman"/>
          <w:b/>
          <w:bCs/>
          <w:sz w:val="28"/>
          <w:szCs w:val="28"/>
          <w:lang w:eastAsia="lv-LV"/>
        </w:rPr>
      </w:pPr>
      <w:r w:rsidRPr="00A3752A">
        <w:rPr>
          <w:b/>
          <w:sz w:val="28"/>
          <w:szCs w:val="28"/>
        </w:rPr>
        <w:t>Ministru kabineta noteikumu “Gr</w:t>
      </w:r>
      <w:r w:rsidR="00BF3311">
        <w:rPr>
          <w:b/>
          <w:sz w:val="28"/>
          <w:szCs w:val="28"/>
        </w:rPr>
        <w:t>ozījumi Ministru kabineta 2017.</w:t>
      </w:r>
      <w:r w:rsidR="003D0897">
        <w:rPr>
          <w:b/>
          <w:sz w:val="28"/>
          <w:szCs w:val="28"/>
        </w:rPr>
        <w:t> </w:t>
      </w:r>
      <w:r w:rsidRPr="00A3752A">
        <w:rPr>
          <w:b/>
          <w:sz w:val="28"/>
          <w:szCs w:val="28"/>
        </w:rPr>
        <w:t xml:space="preserve">gada </w:t>
      </w:r>
      <w:r w:rsidR="007536C7">
        <w:rPr>
          <w:b/>
          <w:sz w:val="28"/>
          <w:szCs w:val="28"/>
        </w:rPr>
        <w:t>28.</w:t>
      </w:r>
      <w:r w:rsidR="003D0897">
        <w:rPr>
          <w:b/>
          <w:sz w:val="28"/>
          <w:szCs w:val="28"/>
        </w:rPr>
        <w:t> </w:t>
      </w:r>
      <w:r w:rsidR="007536C7">
        <w:rPr>
          <w:b/>
          <w:sz w:val="28"/>
          <w:szCs w:val="28"/>
        </w:rPr>
        <w:t xml:space="preserve">februāra </w:t>
      </w:r>
      <w:r w:rsidR="00BF3311">
        <w:rPr>
          <w:b/>
          <w:sz w:val="28"/>
          <w:szCs w:val="28"/>
        </w:rPr>
        <w:t>noteikumos Nr</w:t>
      </w:r>
      <w:r w:rsidR="007536C7">
        <w:rPr>
          <w:b/>
          <w:sz w:val="28"/>
          <w:szCs w:val="28"/>
        </w:rPr>
        <w:t>.</w:t>
      </w:r>
      <w:r w:rsidR="003D0897">
        <w:rPr>
          <w:b/>
          <w:sz w:val="28"/>
          <w:szCs w:val="28"/>
        </w:rPr>
        <w:t> </w:t>
      </w:r>
      <w:r w:rsidR="007536C7">
        <w:rPr>
          <w:b/>
          <w:sz w:val="28"/>
          <w:szCs w:val="28"/>
        </w:rPr>
        <w:t>110</w:t>
      </w:r>
      <w:r w:rsidR="007536C7" w:rsidRPr="00A3752A">
        <w:rPr>
          <w:b/>
          <w:sz w:val="28"/>
          <w:szCs w:val="28"/>
        </w:rPr>
        <w:t xml:space="preserve"> </w:t>
      </w:r>
      <w:r w:rsidRPr="00A3752A">
        <w:rPr>
          <w:b/>
          <w:sz w:val="28"/>
          <w:szCs w:val="28"/>
        </w:rPr>
        <w:t>“</w:t>
      </w:r>
      <w:r w:rsidR="007536C7">
        <w:rPr>
          <w:rFonts w:cs="Times New Roman"/>
          <w:b/>
          <w:sz w:val="28"/>
          <w:szCs w:val="28"/>
        </w:rPr>
        <w:t>Noteikumi par depozīta maksājumu</w:t>
      </w:r>
      <w:r w:rsidRPr="00A3752A">
        <w:rPr>
          <w:b/>
          <w:sz w:val="28"/>
          <w:szCs w:val="28"/>
        </w:rPr>
        <w:t>””</w:t>
      </w:r>
      <w:r w:rsidR="00894C55" w:rsidRPr="00A3752A">
        <w:rPr>
          <w:rFonts w:eastAsia="Times New Roman" w:cs="Times New Roman"/>
          <w:b/>
          <w:bCs/>
          <w:sz w:val="28"/>
          <w:szCs w:val="28"/>
          <w:lang w:eastAsia="lv-LV"/>
        </w:rPr>
        <w:t xml:space="preserve"> projekta</w:t>
      </w:r>
      <w:r w:rsidRPr="00A3752A">
        <w:rPr>
          <w:rFonts w:eastAsia="Times New Roman" w:cs="Times New Roman"/>
          <w:b/>
          <w:bCs/>
          <w:sz w:val="28"/>
          <w:szCs w:val="28"/>
          <w:lang w:eastAsia="lv-LV"/>
        </w:rPr>
        <w:t xml:space="preserve"> </w:t>
      </w:r>
      <w:r w:rsidR="00894C55" w:rsidRPr="00A3752A">
        <w:rPr>
          <w:rFonts w:eastAsia="Times New Roman" w:cs="Times New Roman"/>
          <w:b/>
          <w:bCs/>
          <w:sz w:val="28"/>
          <w:szCs w:val="28"/>
          <w:lang w:eastAsia="lv-LV"/>
        </w:rPr>
        <w:t>sākotnējās ietekmes novērtējuma ziņojums (anotācija)</w:t>
      </w:r>
    </w:p>
    <w:p w14:paraId="3199C285" w14:textId="77777777" w:rsidR="00894C55" w:rsidRPr="000D5B9E" w:rsidRDefault="00894C55" w:rsidP="000D5B9E">
      <w:pPr>
        <w:shd w:val="clear" w:color="auto" w:fill="FFFFFF"/>
        <w:spacing w:after="0" w:line="240" w:lineRule="auto"/>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37321C" w:rsidRPr="000D5B9E" w14:paraId="0337FCE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C824C8" w14:textId="77777777" w:rsidR="00894C55" w:rsidRPr="000D5B9E" w:rsidRDefault="00894C55" w:rsidP="000D5B9E">
            <w:pPr>
              <w:spacing w:after="60" w:line="240" w:lineRule="auto"/>
              <w:jc w:val="center"/>
              <w:rPr>
                <w:rFonts w:eastAsia="Times New Roman" w:cs="Times New Roman"/>
                <w:b/>
                <w:bCs/>
                <w:szCs w:val="24"/>
                <w:lang w:eastAsia="lv-LV"/>
              </w:rPr>
            </w:pPr>
            <w:r w:rsidRPr="000D5B9E">
              <w:rPr>
                <w:rFonts w:eastAsia="Times New Roman" w:cs="Times New Roman"/>
                <w:b/>
                <w:bCs/>
                <w:szCs w:val="24"/>
                <w:lang w:eastAsia="lv-LV"/>
              </w:rPr>
              <w:t>I.</w:t>
            </w:r>
            <w:r w:rsidR="0050178F" w:rsidRPr="000D5B9E">
              <w:rPr>
                <w:rFonts w:eastAsia="Times New Roman" w:cs="Times New Roman"/>
                <w:b/>
                <w:bCs/>
                <w:szCs w:val="24"/>
                <w:lang w:eastAsia="lv-LV"/>
              </w:rPr>
              <w:t> </w:t>
            </w:r>
            <w:r w:rsidRPr="000D5B9E">
              <w:rPr>
                <w:rFonts w:eastAsia="Times New Roman" w:cs="Times New Roman"/>
                <w:b/>
                <w:bCs/>
                <w:szCs w:val="24"/>
                <w:lang w:eastAsia="lv-LV"/>
              </w:rPr>
              <w:t>Tiesību akta projekta izstrādes nepieciešamība</w:t>
            </w:r>
          </w:p>
        </w:tc>
      </w:tr>
      <w:tr w:rsidR="0037321C" w:rsidRPr="001935D8" w14:paraId="0887C52B" w14:textId="77777777" w:rsidTr="00CD671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5EDE14B" w14:textId="77777777" w:rsidR="00894C55" w:rsidRPr="001935D8" w:rsidRDefault="00894C55" w:rsidP="000D5B9E">
            <w:pPr>
              <w:spacing w:after="0" w:line="240" w:lineRule="auto"/>
              <w:jc w:val="center"/>
              <w:rPr>
                <w:rFonts w:eastAsia="Times New Roman" w:cs="Times New Roman"/>
                <w:szCs w:val="24"/>
                <w:lang w:eastAsia="lv-LV"/>
              </w:rPr>
            </w:pPr>
            <w:r w:rsidRPr="001935D8">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1E8B6A4" w14:textId="77777777" w:rsidR="00894C55" w:rsidRPr="001935D8" w:rsidRDefault="00894C55" w:rsidP="000D5B9E">
            <w:pPr>
              <w:spacing w:after="0" w:line="240" w:lineRule="auto"/>
              <w:rPr>
                <w:rFonts w:eastAsia="Times New Roman" w:cs="Times New Roman"/>
                <w:szCs w:val="24"/>
                <w:lang w:eastAsia="lv-LV"/>
              </w:rPr>
            </w:pPr>
            <w:r w:rsidRPr="001935D8">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2217DD0B" w14:textId="6C442836" w:rsidR="00740FD1" w:rsidRPr="001935D8" w:rsidRDefault="00740FD1" w:rsidP="00F255ED">
            <w:pPr>
              <w:spacing w:after="60" w:line="240" w:lineRule="auto"/>
              <w:ind w:right="57"/>
              <w:jc w:val="both"/>
              <w:rPr>
                <w:rFonts w:eastAsia="Times New Roman" w:cs="Times New Roman"/>
                <w:szCs w:val="24"/>
                <w:lang w:eastAsia="lv-LV"/>
              </w:rPr>
            </w:pPr>
            <w:r w:rsidRPr="001935D8">
              <w:rPr>
                <w:rFonts w:cs="Times New Roman"/>
                <w:szCs w:val="24"/>
              </w:rPr>
              <w:t xml:space="preserve">Publiskās un privātās partnerības likuma </w:t>
            </w:r>
            <w:r w:rsidR="004D0581">
              <w:rPr>
                <w:rFonts w:cs="Times New Roman"/>
                <w:szCs w:val="24"/>
              </w:rPr>
              <w:t xml:space="preserve">(turpmāk – Likums) </w:t>
            </w:r>
            <w:r w:rsidR="001935D8" w:rsidRPr="001935D8">
              <w:rPr>
                <w:rFonts w:eastAsia="Times New Roman" w:cs="Times New Roman"/>
                <w:bCs/>
                <w:szCs w:val="24"/>
                <w:lang w:eastAsia="lv-LV"/>
              </w:rPr>
              <w:t>29.</w:t>
            </w:r>
            <w:r w:rsidR="001935D8" w:rsidRPr="001935D8">
              <w:rPr>
                <w:rFonts w:eastAsia="Times New Roman" w:cs="Times New Roman"/>
                <w:bCs/>
                <w:szCs w:val="24"/>
                <w:vertAlign w:val="superscript"/>
                <w:lang w:eastAsia="lv-LV"/>
              </w:rPr>
              <w:t>2 </w:t>
            </w:r>
            <w:r w:rsidR="001935D8" w:rsidRPr="001935D8">
              <w:rPr>
                <w:rFonts w:eastAsia="Times New Roman" w:cs="Times New Roman"/>
                <w:bCs/>
                <w:szCs w:val="24"/>
                <w:lang w:eastAsia="lv-LV"/>
              </w:rPr>
              <w:t>panta septītā daļa</w:t>
            </w:r>
            <w:r w:rsidR="001935D8" w:rsidRPr="001935D8">
              <w:rPr>
                <w:rFonts w:eastAsia="Times New Roman" w:cs="Times New Roman"/>
                <w:szCs w:val="24"/>
                <w:lang w:eastAsia="lv-LV"/>
              </w:rPr>
              <w:t xml:space="preserve"> </w:t>
            </w:r>
            <w:r w:rsidRPr="001935D8">
              <w:rPr>
                <w:rFonts w:eastAsia="Times New Roman" w:cs="Times New Roman"/>
                <w:szCs w:val="24"/>
                <w:lang w:eastAsia="lv-LV"/>
              </w:rPr>
              <w:t>(</w:t>
            </w:r>
            <w:r w:rsidR="007536C7" w:rsidRPr="002B2FAA">
              <w:rPr>
                <w:rFonts w:eastAsia="Times New Roman" w:cs="Times New Roman"/>
                <w:szCs w:val="24"/>
                <w:lang w:eastAsia="lv-LV"/>
              </w:rPr>
              <w:t xml:space="preserve">pēc </w:t>
            </w:r>
            <w:r w:rsidR="007536C7" w:rsidRPr="002B2FAA">
              <w:rPr>
                <w:rFonts w:cs="Times New Roman"/>
                <w:szCs w:val="24"/>
              </w:rPr>
              <w:t>likumprojekta “Grozījumi Publiskās un privātās partnerības likumā”</w:t>
            </w:r>
            <w:r w:rsidR="00F255ED">
              <w:rPr>
                <w:rFonts w:cs="Times New Roman"/>
                <w:szCs w:val="24"/>
              </w:rPr>
              <w:t xml:space="preserve"> (</w:t>
            </w:r>
            <w:r w:rsidR="00F255ED" w:rsidRPr="002B2FAA">
              <w:rPr>
                <w:rFonts w:cs="Times New Roman"/>
                <w:szCs w:val="24"/>
              </w:rPr>
              <w:t>reģ. Nr.</w:t>
            </w:r>
            <w:r w:rsidR="00F255ED">
              <w:rPr>
                <w:rFonts w:cs="Times New Roman"/>
                <w:szCs w:val="24"/>
              </w:rPr>
              <w:t> </w:t>
            </w:r>
            <w:r w:rsidR="00F255ED" w:rsidRPr="002B2FAA">
              <w:rPr>
                <w:rFonts w:cs="Times New Roman"/>
                <w:bCs/>
                <w:szCs w:val="24"/>
              </w:rPr>
              <w:t>841/Lp12</w:t>
            </w:r>
            <w:r w:rsidR="00F255ED">
              <w:rPr>
                <w:rFonts w:cs="Times New Roman"/>
                <w:szCs w:val="24"/>
              </w:rPr>
              <w:t xml:space="preserve">) </w:t>
            </w:r>
            <w:r w:rsidR="007536C7" w:rsidRPr="002B2FAA">
              <w:rPr>
                <w:rFonts w:cs="Times New Roman"/>
                <w:szCs w:val="24"/>
              </w:rPr>
              <w:t>spēkā stāšanās</w:t>
            </w:r>
            <w:r w:rsidRPr="001935D8">
              <w:rPr>
                <w:rFonts w:cs="Times New Roman"/>
                <w:szCs w:val="24"/>
              </w:rPr>
              <w:t>).</w:t>
            </w:r>
          </w:p>
        </w:tc>
      </w:tr>
      <w:tr w:rsidR="0037321C" w:rsidRPr="000D5B9E" w14:paraId="470D97BA" w14:textId="77777777" w:rsidTr="00CD671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BA3B1C0"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31E6F642"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hideMark/>
          </w:tcPr>
          <w:p w14:paraId="0481FDD9" w14:textId="77777777" w:rsidR="004C7A0B" w:rsidRPr="003E7823" w:rsidRDefault="004D0581" w:rsidP="00292205">
            <w:pPr>
              <w:spacing w:after="60" w:line="240" w:lineRule="auto"/>
              <w:ind w:right="57"/>
              <w:jc w:val="both"/>
              <w:rPr>
                <w:rFonts w:cs="Times New Roman"/>
                <w:szCs w:val="24"/>
              </w:rPr>
            </w:pPr>
            <w:r>
              <w:rPr>
                <w:rFonts w:cs="Times New Roman"/>
                <w:szCs w:val="24"/>
              </w:rPr>
              <w:t>L</w:t>
            </w:r>
            <w:r w:rsidR="00092BE5" w:rsidRPr="003E7823">
              <w:rPr>
                <w:rFonts w:cs="Times New Roman"/>
                <w:szCs w:val="24"/>
              </w:rPr>
              <w:t xml:space="preserve">ikuma </w:t>
            </w:r>
            <w:r w:rsidR="003E7823" w:rsidRPr="003E7823">
              <w:rPr>
                <w:rFonts w:eastAsia="Times New Roman" w:cs="Times New Roman"/>
                <w:bCs/>
                <w:szCs w:val="24"/>
                <w:lang w:eastAsia="lv-LV"/>
              </w:rPr>
              <w:t>29.</w:t>
            </w:r>
            <w:r w:rsidR="003E7823" w:rsidRPr="003E7823">
              <w:rPr>
                <w:rFonts w:eastAsia="Times New Roman" w:cs="Times New Roman"/>
                <w:bCs/>
                <w:szCs w:val="24"/>
                <w:vertAlign w:val="superscript"/>
                <w:lang w:eastAsia="lv-LV"/>
              </w:rPr>
              <w:t>2 </w:t>
            </w:r>
            <w:r w:rsidR="003E7823" w:rsidRPr="003E7823">
              <w:rPr>
                <w:rFonts w:eastAsia="Times New Roman" w:cs="Times New Roman"/>
                <w:bCs/>
                <w:szCs w:val="24"/>
                <w:lang w:eastAsia="lv-LV"/>
              </w:rPr>
              <w:t xml:space="preserve">panta septītajā daļā </w:t>
            </w:r>
            <w:r w:rsidR="00092BE5" w:rsidRPr="003E7823">
              <w:rPr>
                <w:rFonts w:cs="Times New Roman"/>
                <w:szCs w:val="24"/>
              </w:rPr>
              <w:t>ir noteikts pilnvarojums Mini</w:t>
            </w:r>
            <w:r w:rsidR="0046226C" w:rsidRPr="003E7823">
              <w:rPr>
                <w:rFonts w:cs="Times New Roman"/>
                <w:szCs w:val="24"/>
              </w:rPr>
              <w:t>stru kabinetam</w:t>
            </w:r>
            <w:r w:rsidR="004C7A0B" w:rsidRPr="003E7823">
              <w:rPr>
                <w:rFonts w:cs="Times New Roman"/>
                <w:szCs w:val="24"/>
              </w:rPr>
              <w:t xml:space="preserve"> </w:t>
            </w:r>
            <w:r w:rsidR="0055371F" w:rsidRPr="003E7823">
              <w:rPr>
                <w:rFonts w:cs="Times New Roman"/>
                <w:szCs w:val="24"/>
              </w:rPr>
              <w:t xml:space="preserve">noteikt </w:t>
            </w:r>
            <w:r w:rsidR="003E7823" w:rsidRPr="003E7823">
              <w:rPr>
                <w:szCs w:val="24"/>
              </w:rPr>
              <w:t>depozīta samaksas vai iesniegšanas un atmaksas vai atdošanas kārtību</w:t>
            </w:r>
            <w:r w:rsidR="0055371F" w:rsidRPr="003E7823">
              <w:rPr>
                <w:rFonts w:cs="Times New Roman"/>
                <w:szCs w:val="24"/>
              </w:rPr>
              <w:t>.</w:t>
            </w:r>
          </w:p>
          <w:p w14:paraId="09F42655" w14:textId="2B0C79E4" w:rsidR="00B4136A" w:rsidRDefault="00B4136A" w:rsidP="00292205">
            <w:pPr>
              <w:shd w:val="clear" w:color="auto" w:fill="FFFFFF"/>
              <w:spacing w:after="60" w:line="240" w:lineRule="auto"/>
              <w:ind w:right="57"/>
              <w:jc w:val="both"/>
              <w:rPr>
                <w:rFonts w:cs="Times New Roman"/>
                <w:szCs w:val="24"/>
              </w:rPr>
            </w:pPr>
            <w:r w:rsidRPr="000D5B9E">
              <w:rPr>
                <w:rFonts w:cs="Times New Roman"/>
                <w:szCs w:val="24"/>
              </w:rPr>
              <w:t>Ministru kabineta</w:t>
            </w:r>
            <w:r w:rsidRPr="00B9091A">
              <w:rPr>
                <w:rFonts w:cs="Times New Roman"/>
                <w:szCs w:val="24"/>
              </w:rPr>
              <w:t xml:space="preserve"> </w:t>
            </w:r>
            <w:r w:rsidR="00292205">
              <w:rPr>
                <w:rFonts w:cs="Times New Roman"/>
                <w:szCs w:val="24"/>
              </w:rPr>
              <w:t xml:space="preserve">2017. gada 28. februāra </w:t>
            </w:r>
            <w:r w:rsidRPr="00B9091A">
              <w:rPr>
                <w:rFonts w:cs="Times New Roman"/>
                <w:szCs w:val="24"/>
              </w:rPr>
              <w:t>noteikumi Nr.</w:t>
            </w:r>
            <w:r w:rsidR="00292205">
              <w:rPr>
                <w:rFonts w:cs="Times New Roman"/>
                <w:szCs w:val="24"/>
              </w:rPr>
              <w:t> </w:t>
            </w:r>
            <w:r w:rsidR="007536C7">
              <w:rPr>
                <w:rFonts w:cs="Times New Roman"/>
                <w:szCs w:val="24"/>
              </w:rPr>
              <w:t xml:space="preserve">110 </w:t>
            </w:r>
            <w:r w:rsidRPr="00B9091A">
              <w:rPr>
                <w:rFonts w:cs="Times New Roman"/>
                <w:szCs w:val="24"/>
              </w:rPr>
              <w:t>“</w:t>
            </w:r>
            <w:r w:rsidR="007536C7">
              <w:rPr>
                <w:rFonts w:cs="Times New Roman"/>
                <w:szCs w:val="24"/>
              </w:rPr>
              <w:t>Noteikumi par depozīta maksājumu</w:t>
            </w:r>
            <w:r w:rsidRPr="00B9091A">
              <w:rPr>
                <w:rFonts w:cs="Times New Roman"/>
                <w:szCs w:val="24"/>
              </w:rPr>
              <w:t>”</w:t>
            </w:r>
            <w:r w:rsidR="00292205">
              <w:rPr>
                <w:rFonts w:cs="Times New Roman"/>
                <w:szCs w:val="24"/>
              </w:rPr>
              <w:t xml:space="preserve"> </w:t>
            </w:r>
            <w:r>
              <w:rPr>
                <w:rFonts w:cs="Times New Roman"/>
                <w:szCs w:val="24"/>
              </w:rPr>
              <w:t>nosaka d</w:t>
            </w:r>
            <w:r w:rsidR="00B7426B" w:rsidRPr="00B9091A">
              <w:rPr>
                <w:rFonts w:cs="Times New Roman"/>
                <w:szCs w:val="24"/>
              </w:rPr>
              <w:t>epozīta samaksas vai iesniegšanas un at</w:t>
            </w:r>
            <w:r w:rsidR="00B7426B">
              <w:rPr>
                <w:rFonts w:cs="Times New Roman"/>
                <w:szCs w:val="24"/>
              </w:rPr>
              <w:t>maksāšanas vai atdošanas kārtību</w:t>
            </w:r>
            <w:r w:rsidR="009A13B9">
              <w:rPr>
                <w:rFonts w:cs="Times New Roman"/>
                <w:szCs w:val="24"/>
              </w:rPr>
              <w:t xml:space="preserve">, iesniedzot </w:t>
            </w:r>
            <w:r w:rsidRPr="00EB3630">
              <w:rPr>
                <w:bCs/>
              </w:rPr>
              <w:t>iesniegumu izskatīšan</w:t>
            </w:r>
            <w:r>
              <w:rPr>
                <w:bCs/>
              </w:rPr>
              <w:t>a</w:t>
            </w:r>
            <w:r w:rsidR="009A13B9">
              <w:rPr>
                <w:bCs/>
              </w:rPr>
              <w:t>i</w:t>
            </w:r>
            <w:r w:rsidRPr="00EB3630">
              <w:rPr>
                <w:bCs/>
              </w:rPr>
              <w:t xml:space="preserve"> Iepirkumu uzraudzības birojā</w:t>
            </w:r>
            <w:r>
              <w:rPr>
                <w:rFonts w:cs="Times New Roman"/>
                <w:szCs w:val="24"/>
              </w:rPr>
              <w:t xml:space="preserve"> </w:t>
            </w:r>
            <w:r w:rsidRPr="00B4136A">
              <w:rPr>
                <w:rFonts w:cs="Times New Roman"/>
                <w:color w:val="000000" w:themeColor="text1"/>
                <w:szCs w:val="24"/>
              </w:rPr>
              <w:t>Publisko iepirkumu likuma 70. pant</w:t>
            </w:r>
            <w:r w:rsidR="009A13B9">
              <w:rPr>
                <w:rFonts w:cs="Times New Roman"/>
                <w:color w:val="000000" w:themeColor="text1"/>
                <w:szCs w:val="24"/>
              </w:rPr>
              <w:t>ā</w:t>
            </w:r>
            <w:r w:rsidRPr="00B4136A">
              <w:rPr>
                <w:rFonts w:cs="Times New Roman"/>
                <w:color w:val="000000" w:themeColor="text1"/>
                <w:szCs w:val="24"/>
              </w:rPr>
              <w:t xml:space="preserve"> </w:t>
            </w:r>
            <w:r>
              <w:rPr>
                <w:rFonts w:cs="Times New Roman"/>
                <w:color w:val="000000" w:themeColor="text1"/>
                <w:szCs w:val="24"/>
              </w:rPr>
              <w:t>vai</w:t>
            </w:r>
            <w:r w:rsidRPr="00B4136A">
              <w:rPr>
                <w:color w:val="000000" w:themeColor="text1"/>
                <w:szCs w:val="24"/>
              </w:rPr>
              <w:t xml:space="preserve"> </w:t>
            </w:r>
            <w:r w:rsidRPr="00B4136A">
              <w:rPr>
                <w:rFonts w:cs="Times New Roman"/>
                <w:color w:val="000000" w:themeColor="text1"/>
                <w:szCs w:val="24"/>
              </w:rPr>
              <w:t>Sabiedrisko pakalpojumu sniedzēju iepirkumu likuma 74. pant</w:t>
            </w:r>
            <w:r w:rsidR="009A13B9">
              <w:rPr>
                <w:rFonts w:cs="Times New Roman"/>
                <w:color w:val="000000" w:themeColor="text1"/>
                <w:szCs w:val="24"/>
              </w:rPr>
              <w:t>ā</w:t>
            </w:r>
            <w:r w:rsidRPr="00B4136A">
              <w:rPr>
                <w:rFonts w:cs="Times New Roman"/>
                <w:color w:val="000000" w:themeColor="text1"/>
                <w:szCs w:val="24"/>
              </w:rPr>
              <w:t xml:space="preserve"> </w:t>
            </w:r>
            <w:r w:rsidR="009A13B9">
              <w:rPr>
                <w:rFonts w:cs="Times New Roman"/>
                <w:szCs w:val="24"/>
              </w:rPr>
              <w:t>noteiktajā kārtībā</w:t>
            </w:r>
            <w:r w:rsidR="00AE4677">
              <w:rPr>
                <w:rFonts w:cs="Times New Roman"/>
                <w:szCs w:val="24"/>
              </w:rPr>
              <w:t xml:space="preserve">. </w:t>
            </w:r>
            <w:r w:rsidR="00292205">
              <w:rPr>
                <w:rFonts w:cs="Times New Roman"/>
                <w:szCs w:val="24"/>
              </w:rPr>
              <w:t xml:space="preserve">Ņemot vērā, ka atbilstoši </w:t>
            </w:r>
            <w:r w:rsidR="00292205" w:rsidRPr="001935D8">
              <w:rPr>
                <w:rFonts w:cs="Times New Roman"/>
                <w:szCs w:val="24"/>
              </w:rPr>
              <w:t>Publiskās un privātās partnerības likuma</w:t>
            </w:r>
            <w:r w:rsidR="00292205">
              <w:rPr>
                <w:rFonts w:cs="Times New Roman"/>
                <w:szCs w:val="24"/>
              </w:rPr>
              <w:t xml:space="preserve">m partnerības iepirkuma līgumiem piemēro Publisko iepirkumu likumu vai </w:t>
            </w:r>
            <w:r w:rsidR="00292205" w:rsidRPr="00B4136A">
              <w:rPr>
                <w:rFonts w:cs="Times New Roman"/>
                <w:color w:val="000000" w:themeColor="text1"/>
                <w:szCs w:val="24"/>
              </w:rPr>
              <w:t>Sabiedrisko pakalp</w:t>
            </w:r>
            <w:r w:rsidR="00292205">
              <w:rPr>
                <w:rFonts w:cs="Times New Roman"/>
                <w:color w:val="000000" w:themeColor="text1"/>
                <w:szCs w:val="24"/>
              </w:rPr>
              <w:t xml:space="preserve">ojumu sniedzēju iepirkumu likumu, minētie noteikumi jau ir attiecināmi </w:t>
            </w:r>
            <w:r w:rsidR="00AE4677">
              <w:rPr>
                <w:rFonts w:cs="Times New Roman"/>
                <w:szCs w:val="24"/>
              </w:rPr>
              <w:t>uz partnerības</w:t>
            </w:r>
            <w:r w:rsidR="00292205">
              <w:rPr>
                <w:rFonts w:cs="Times New Roman"/>
                <w:szCs w:val="24"/>
              </w:rPr>
              <w:t xml:space="preserve"> iepirkuma procedūru gadījumiem</w:t>
            </w:r>
            <w:r w:rsidR="00112468">
              <w:rPr>
                <w:rFonts w:cs="Times New Roman"/>
                <w:szCs w:val="24"/>
              </w:rPr>
              <w:t>.</w:t>
            </w:r>
          </w:p>
          <w:p w14:paraId="2478BD94" w14:textId="160834A5" w:rsidR="0074295F" w:rsidRPr="000D5B9E" w:rsidRDefault="005C6202" w:rsidP="00292205">
            <w:pPr>
              <w:shd w:val="clear" w:color="auto" w:fill="FFFFFF"/>
              <w:spacing w:after="60" w:line="240" w:lineRule="auto"/>
              <w:ind w:right="57"/>
              <w:jc w:val="both"/>
              <w:rPr>
                <w:rFonts w:cs="Times New Roman"/>
                <w:szCs w:val="24"/>
              </w:rPr>
            </w:pPr>
            <w:r>
              <w:rPr>
                <w:rFonts w:cs="Times New Roman"/>
                <w:szCs w:val="24"/>
              </w:rPr>
              <w:t xml:space="preserve">Projekts paredz veikt grozījumus </w:t>
            </w:r>
            <w:r w:rsidRPr="000D5B9E">
              <w:rPr>
                <w:rFonts w:cs="Times New Roman"/>
                <w:szCs w:val="24"/>
              </w:rPr>
              <w:t>Ministru kabineta</w:t>
            </w:r>
            <w:r w:rsidRPr="00B9091A">
              <w:rPr>
                <w:rFonts w:cs="Times New Roman"/>
                <w:szCs w:val="24"/>
              </w:rPr>
              <w:t xml:space="preserve"> </w:t>
            </w:r>
            <w:r>
              <w:rPr>
                <w:rFonts w:cs="Times New Roman"/>
                <w:szCs w:val="24"/>
              </w:rPr>
              <w:t>2017. gada 28. februāra noteikumos</w:t>
            </w:r>
            <w:r w:rsidRPr="00B9091A">
              <w:rPr>
                <w:rFonts w:cs="Times New Roman"/>
                <w:szCs w:val="24"/>
              </w:rPr>
              <w:t xml:space="preserve"> Nr.</w:t>
            </w:r>
            <w:r>
              <w:rPr>
                <w:rFonts w:cs="Times New Roman"/>
                <w:szCs w:val="24"/>
              </w:rPr>
              <w:t xml:space="preserve"> 110 </w:t>
            </w:r>
            <w:r w:rsidRPr="00B9091A">
              <w:rPr>
                <w:rFonts w:cs="Times New Roman"/>
                <w:szCs w:val="24"/>
              </w:rPr>
              <w:t>“</w:t>
            </w:r>
            <w:r>
              <w:rPr>
                <w:rFonts w:cs="Times New Roman"/>
                <w:szCs w:val="24"/>
              </w:rPr>
              <w:t>Noteikumi par depozīta maksājumu</w:t>
            </w:r>
            <w:r w:rsidRPr="00B9091A">
              <w:rPr>
                <w:rFonts w:cs="Times New Roman"/>
                <w:szCs w:val="24"/>
              </w:rPr>
              <w:t>”</w:t>
            </w:r>
            <w:r>
              <w:rPr>
                <w:rFonts w:cs="Times New Roman"/>
                <w:szCs w:val="24"/>
              </w:rPr>
              <w:t>, tehniski papildinot regulējumu, lai to būtu iespējams attiecināta arī koncesijas procedūru gadījumos</w:t>
            </w:r>
            <w:r w:rsidR="0029452F">
              <w:rPr>
                <w:rFonts w:cs="Times New Roman"/>
                <w:szCs w:val="24"/>
              </w:rPr>
              <w:t>.</w:t>
            </w:r>
          </w:p>
        </w:tc>
      </w:tr>
      <w:tr w:rsidR="0037321C" w:rsidRPr="000D5B9E" w14:paraId="74DB6B9B" w14:textId="77777777" w:rsidTr="00CD671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F82A6EA"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024A51E1"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7833C361" w14:textId="77777777" w:rsidR="00894C55" w:rsidRPr="000D5B9E" w:rsidRDefault="00905F02" w:rsidP="000D5B9E">
            <w:pPr>
              <w:spacing w:after="60" w:line="240" w:lineRule="auto"/>
              <w:rPr>
                <w:rFonts w:eastAsia="Times New Roman" w:cs="Times New Roman"/>
                <w:szCs w:val="24"/>
                <w:lang w:eastAsia="lv-LV"/>
              </w:rPr>
            </w:pPr>
            <w:r w:rsidRPr="000D5B9E">
              <w:rPr>
                <w:rFonts w:cs="Times New Roman"/>
                <w:szCs w:val="24"/>
              </w:rPr>
              <w:t>Finanšu ministrija, Iepirkumu uzraudzības birojs.</w:t>
            </w:r>
          </w:p>
        </w:tc>
      </w:tr>
      <w:tr w:rsidR="0037321C" w:rsidRPr="000D5B9E" w14:paraId="6B8FC446" w14:textId="77777777" w:rsidTr="00CD6713">
        <w:tc>
          <w:tcPr>
            <w:tcW w:w="250" w:type="pct"/>
            <w:tcBorders>
              <w:top w:val="outset" w:sz="6" w:space="0" w:color="414142"/>
              <w:left w:val="outset" w:sz="6" w:space="0" w:color="414142"/>
              <w:bottom w:val="outset" w:sz="6" w:space="0" w:color="414142"/>
              <w:right w:val="outset" w:sz="6" w:space="0" w:color="414142"/>
            </w:tcBorders>
            <w:hideMark/>
          </w:tcPr>
          <w:p w14:paraId="20BC0489"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806AC8C"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63165A36" w14:textId="77777777" w:rsidR="00894C55" w:rsidRPr="000D5B9E" w:rsidRDefault="00BC2B19" w:rsidP="000D5B9E">
            <w:pPr>
              <w:spacing w:after="60" w:line="240" w:lineRule="auto"/>
              <w:rPr>
                <w:rFonts w:eastAsia="Times New Roman" w:cs="Times New Roman"/>
                <w:szCs w:val="24"/>
                <w:lang w:eastAsia="lv-LV"/>
              </w:rPr>
            </w:pPr>
            <w:r w:rsidRPr="000D5B9E">
              <w:rPr>
                <w:rFonts w:eastAsia="Times New Roman" w:cs="Times New Roman"/>
                <w:szCs w:val="24"/>
                <w:lang w:eastAsia="lv-LV"/>
              </w:rPr>
              <w:t>Nav.</w:t>
            </w:r>
          </w:p>
        </w:tc>
      </w:tr>
    </w:tbl>
    <w:p w14:paraId="05699889" w14:textId="77777777" w:rsidR="00894C55" w:rsidRPr="000D5B9E" w:rsidRDefault="00894C55" w:rsidP="000D5B9E">
      <w:pPr>
        <w:shd w:val="clear" w:color="auto" w:fill="FFFFFF"/>
        <w:spacing w:after="0" w:line="240" w:lineRule="auto"/>
        <w:ind w:firstLine="301"/>
        <w:rPr>
          <w:rFonts w:eastAsia="Times New Roman" w:cs="Times New Roman"/>
          <w:szCs w:val="24"/>
          <w:lang w:eastAsia="lv-LV"/>
        </w:rPr>
      </w:pPr>
    </w:p>
    <w:p w14:paraId="3F0D70D9" w14:textId="77777777" w:rsidR="0037321C" w:rsidRPr="000D5B9E" w:rsidRDefault="0037321C" w:rsidP="000D5B9E">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37321C" w:rsidRPr="000D5B9E" w14:paraId="33AD4FD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AF0DB3" w14:textId="77777777" w:rsidR="00894C55" w:rsidRPr="000D5B9E" w:rsidRDefault="00894C55" w:rsidP="000D5B9E">
            <w:pPr>
              <w:spacing w:after="0" w:line="240" w:lineRule="auto"/>
              <w:jc w:val="center"/>
              <w:rPr>
                <w:rFonts w:eastAsia="Times New Roman" w:cs="Times New Roman"/>
                <w:b/>
                <w:bCs/>
                <w:szCs w:val="24"/>
                <w:lang w:eastAsia="lv-LV"/>
              </w:rPr>
            </w:pPr>
            <w:r w:rsidRPr="000D5B9E">
              <w:rPr>
                <w:rFonts w:eastAsia="Times New Roman" w:cs="Times New Roman"/>
                <w:b/>
                <w:bCs/>
                <w:szCs w:val="24"/>
                <w:lang w:eastAsia="lv-LV"/>
              </w:rPr>
              <w:t>II.</w:t>
            </w:r>
            <w:r w:rsidR="0050178F" w:rsidRPr="000D5B9E">
              <w:rPr>
                <w:rFonts w:eastAsia="Times New Roman" w:cs="Times New Roman"/>
                <w:b/>
                <w:bCs/>
                <w:szCs w:val="24"/>
                <w:lang w:eastAsia="lv-LV"/>
              </w:rPr>
              <w:t> </w:t>
            </w:r>
            <w:r w:rsidRPr="000D5B9E">
              <w:rPr>
                <w:rFonts w:eastAsia="Times New Roman" w:cs="Times New Roman"/>
                <w:b/>
                <w:bCs/>
                <w:szCs w:val="24"/>
                <w:lang w:eastAsia="lv-LV"/>
              </w:rPr>
              <w:t>Tiesību akta projekta ietekme uz sabiedrību, tautsaimniecības attīstību un administratīvo slogu</w:t>
            </w:r>
          </w:p>
        </w:tc>
      </w:tr>
      <w:tr w:rsidR="0037321C" w:rsidRPr="000D5B9E" w14:paraId="75A9A348" w14:textId="77777777" w:rsidTr="005C620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DCAD59" w14:textId="77777777" w:rsidR="00894C55" w:rsidRPr="000D5B9E" w:rsidRDefault="00894C55" w:rsidP="000D5B9E">
            <w:pPr>
              <w:spacing w:after="0" w:line="240" w:lineRule="auto"/>
              <w:jc w:val="center"/>
              <w:rPr>
                <w:rFonts w:eastAsia="Times New Roman" w:cs="Times New Roman"/>
                <w:szCs w:val="24"/>
                <w:lang w:eastAsia="lv-LV"/>
              </w:rPr>
            </w:pPr>
            <w:r w:rsidRPr="000D5B9E">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1EF2E954" w14:textId="77777777" w:rsidR="00894C55" w:rsidRPr="000D5B9E" w:rsidRDefault="00894C55" w:rsidP="000D5B9E">
            <w:pPr>
              <w:spacing w:after="0" w:line="240" w:lineRule="auto"/>
              <w:rPr>
                <w:rFonts w:eastAsia="Times New Roman" w:cs="Times New Roman"/>
                <w:szCs w:val="24"/>
                <w:lang w:eastAsia="lv-LV"/>
              </w:rPr>
            </w:pPr>
            <w:r w:rsidRPr="000D5B9E">
              <w:rPr>
                <w:rFonts w:eastAsia="Times New Roman" w:cs="Times New Roman"/>
                <w:szCs w:val="24"/>
                <w:lang w:eastAsia="lv-LV"/>
              </w:rPr>
              <w:t>Sabiedrības mērķgrupas,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67EE059E" w14:textId="7B2CB7CF" w:rsidR="002265BB" w:rsidRDefault="005C6202" w:rsidP="002265BB">
            <w:pPr>
              <w:spacing w:after="60" w:line="240" w:lineRule="auto"/>
              <w:ind w:right="57"/>
              <w:jc w:val="both"/>
            </w:pPr>
            <w:r>
              <w:rPr>
                <w:color w:val="000000"/>
              </w:rPr>
              <w:t>P</w:t>
            </w:r>
            <w:r w:rsidR="007C4791">
              <w:rPr>
                <w:color w:val="000000"/>
              </w:rPr>
              <w:t xml:space="preserve">rojekts radīs ietekmi uz personām, </w:t>
            </w:r>
            <w:r w:rsidR="007536C7">
              <w:t>kuras</w:t>
            </w:r>
            <w:r w:rsidR="007C4791">
              <w:t xml:space="preserve"> vēlas Iepirkumu uzraudzības birojā iesniegt iesniegumu par koncesijas procedūras rezultātu apstrīdēšanu.</w:t>
            </w:r>
          </w:p>
          <w:p w14:paraId="315A70E4" w14:textId="2176C35D" w:rsidR="00166980" w:rsidRPr="000D5B9E" w:rsidRDefault="007C4791" w:rsidP="005C6202">
            <w:pPr>
              <w:spacing w:after="60" w:line="240" w:lineRule="auto"/>
              <w:ind w:right="57"/>
              <w:jc w:val="both"/>
              <w:rPr>
                <w:rFonts w:eastAsia="Times New Roman" w:cs="Times New Roman"/>
                <w:szCs w:val="24"/>
                <w:lang w:eastAsia="lv-LV"/>
              </w:rPr>
            </w:pPr>
            <w:r>
              <w:t xml:space="preserve">Personas, kuras vēlēsies apstrīdēt koncesijas procedūras pārtraukšanas likumību vai koncesijas procedūras dokumentos iekļautās prasības, </w:t>
            </w:r>
            <w:r w:rsidR="005C6202">
              <w:t xml:space="preserve">projekts neietekmēs. </w:t>
            </w:r>
            <w:r w:rsidR="005C6202">
              <w:br/>
              <w:t xml:space="preserve">Precīzu </w:t>
            </w:r>
            <w:r>
              <w:t>iesniegumu iesniedzēju skaitu, kuriem būs jāiemaksā vai jāiesniedz depozīts, nav iespējams noteikt.</w:t>
            </w:r>
          </w:p>
        </w:tc>
      </w:tr>
      <w:tr w:rsidR="0037321C" w:rsidRPr="000D5B9E" w14:paraId="453B417A" w14:textId="77777777" w:rsidTr="005C620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7E9F3CD"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353AAFA7"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14:paraId="27716BA4" w14:textId="4B1B6544" w:rsidR="00894C55" w:rsidRPr="000D5B9E" w:rsidRDefault="00B552AE" w:rsidP="002F6777">
            <w:pPr>
              <w:spacing w:after="60" w:line="240" w:lineRule="auto"/>
              <w:ind w:right="57"/>
              <w:jc w:val="both"/>
              <w:rPr>
                <w:rFonts w:eastAsia="Times New Roman" w:cs="Times New Roman"/>
                <w:szCs w:val="24"/>
                <w:lang w:eastAsia="lv-LV"/>
              </w:rPr>
            </w:pPr>
            <w:r>
              <w:rPr>
                <w:color w:val="000000" w:themeColor="text1"/>
              </w:rPr>
              <w:t>Salīdzinot ar līdzšinējo situāciju, kad ir</w:t>
            </w:r>
            <w:r w:rsidRPr="00EB3630">
              <w:rPr>
                <w:bCs/>
              </w:rPr>
              <w:t xml:space="preserve"> paredz</w:t>
            </w:r>
            <w:r>
              <w:rPr>
                <w:bCs/>
              </w:rPr>
              <w:t>ēta</w:t>
            </w:r>
            <w:r w:rsidRPr="00EB3630">
              <w:rPr>
                <w:bCs/>
              </w:rPr>
              <w:t xml:space="preserve"> iesniegum</w:t>
            </w:r>
            <w:r>
              <w:rPr>
                <w:bCs/>
              </w:rPr>
              <w:t>a</w:t>
            </w:r>
            <w:r w:rsidRPr="00EB3630">
              <w:rPr>
                <w:bCs/>
              </w:rPr>
              <w:t xml:space="preserve"> izskatīšan</w:t>
            </w:r>
            <w:r>
              <w:rPr>
                <w:bCs/>
              </w:rPr>
              <w:t>a</w:t>
            </w:r>
            <w:r w:rsidRPr="00EB3630">
              <w:rPr>
                <w:bCs/>
              </w:rPr>
              <w:t xml:space="preserve"> Iepirkumu uzraudzības birojā bez maksas</w:t>
            </w:r>
            <w:r>
              <w:rPr>
                <w:bCs/>
              </w:rPr>
              <w:t xml:space="preserve">, personām, kuras vēlēsies iesniegt iesniegumu par </w:t>
            </w:r>
            <w:r w:rsidR="007536C7">
              <w:rPr>
                <w:bCs/>
              </w:rPr>
              <w:t xml:space="preserve">koncesijas </w:t>
            </w:r>
            <w:r>
              <w:rPr>
                <w:bCs/>
              </w:rPr>
              <w:t xml:space="preserve">procedūras rezultātiem, palielināsies administratīvais slogs, jo </w:t>
            </w:r>
            <w:r>
              <w:rPr>
                <w:bCs/>
              </w:rPr>
              <w:lastRenderedPageBreak/>
              <w:t xml:space="preserve">pirms </w:t>
            </w:r>
            <w:r w:rsidR="002F6777">
              <w:rPr>
                <w:bCs/>
              </w:rPr>
              <w:t xml:space="preserve">koncesijas </w:t>
            </w:r>
            <w:r>
              <w:rPr>
                <w:bCs/>
              </w:rPr>
              <w:t xml:space="preserve">procedūras rezultātu apstrīdēšanas </w:t>
            </w:r>
            <w:r w:rsidR="005C6202">
              <w:rPr>
                <w:bCs/>
              </w:rPr>
              <w:t>būs jāveic papildu darbības: 1) </w:t>
            </w:r>
            <w:r>
              <w:rPr>
                <w:bCs/>
              </w:rPr>
              <w:t>jāveic depozīta samaksa vai jāveic darbības depozīta garantijas vai apd</w:t>
            </w:r>
            <w:r w:rsidR="005C6202">
              <w:rPr>
                <w:bCs/>
              </w:rPr>
              <w:t>rošināšanas polises iegūšanai; 2) </w:t>
            </w:r>
            <w:r>
              <w:rPr>
                <w:bCs/>
              </w:rPr>
              <w:t xml:space="preserve">jānodrošina depozīta maksājuma samaksa vai iesniegšana atbilstošā termiņā, proti, </w:t>
            </w:r>
            <w:r>
              <w:rPr>
                <w:color w:val="000000" w:themeColor="text1"/>
              </w:rPr>
              <w:t>jānodrošina, lai maksājums būtu saņemts Iepirkumu uzraudzības biroja deponēto līdzekļu kontā Valsts kasē pirms iesnieguma iesniegšanas, bet depozīta kā bankas garantijas vai apdrošināšanas polises iesniegšanas gadījumā jānodrošina, lai depozīta garantija vai apdrošināšanas polise tiek iesniegta Iepirkumu uzraudzības birojā noteiktā termiņā oriģināla veidā.</w:t>
            </w:r>
          </w:p>
        </w:tc>
      </w:tr>
      <w:tr w:rsidR="0037321C" w:rsidRPr="000D5B9E" w14:paraId="04A1EB2F" w14:textId="77777777" w:rsidTr="005C620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D4BC96E"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2F7B27DA"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22B49417" w14:textId="77777777" w:rsidR="00894C55" w:rsidRPr="000D5B9E" w:rsidRDefault="00B552AE" w:rsidP="00423185">
            <w:pPr>
              <w:spacing w:after="60" w:line="240" w:lineRule="auto"/>
              <w:ind w:right="57"/>
              <w:jc w:val="both"/>
              <w:rPr>
                <w:rFonts w:eastAsia="Times New Roman" w:cs="Times New Roman"/>
                <w:szCs w:val="24"/>
                <w:lang w:eastAsia="lv-LV"/>
              </w:rPr>
            </w:pPr>
            <w:r>
              <w:t>Projekts šo jomu neskar.</w:t>
            </w:r>
          </w:p>
        </w:tc>
      </w:tr>
      <w:tr w:rsidR="0037321C" w:rsidRPr="000D5B9E" w14:paraId="22080D3D" w14:textId="77777777" w:rsidTr="005C6202">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2C81FB9" w14:textId="77777777" w:rsidR="00894C55" w:rsidRPr="000D5B9E" w:rsidRDefault="00894C55" w:rsidP="000D5B9E">
            <w:pPr>
              <w:spacing w:after="60" w:line="240" w:lineRule="auto"/>
              <w:jc w:val="center"/>
              <w:rPr>
                <w:rFonts w:eastAsia="Times New Roman" w:cs="Times New Roman"/>
                <w:szCs w:val="24"/>
                <w:lang w:eastAsia="lv-LV"/>
              </w:rPr>
            </w:pPr>
            <w:r w:rsidRPr="000D5B9E">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275D824" w14:textId="77777777" w:rsidR="00894C55" w:rsidRPr="000D5B9E" w:rsidRDefault="00894C55" w:rsidP="000D5B9E">
            <w:pPr>
              <w:spacing w:after="60" w:line="240" w:lineRule="auto"/>
              <w:rPr>
                <w:rFonts w:eastAsia="Times New Roman" w:cs="Times New Roman"/>
                <w:szCs w:val="24"/>
                <w:lang w:eastAsia="lv-LV"/>
              </w:rPr>
            </w:pPr>
            <w:r w:rsidRPr="000D5B9E">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5DF1D869" w14:textId="77777777" w:rsidR="00894C55" w:rsidRPr="000D5B9E" w:rsidRDefault="00E12365" w:rsidP="000D5B9E">
            <w:pPr>
              <w:spacing w:after="60" w:line="240" w:lineRule="auto"/>
              <w:ind w:right="57"/>
              <w:jc w:val="both"/>
              <w:rPr>
                <w:rFonts w:eastAsia="Times New Roman" w:cs="Times New Roman"/>
                <w:szCs w:val="24"/>
                <w:lang w:eastAsia="lv-LV"/>
              </w:rPr>
            </w:pPr>
            <w:r w:rsidRPr="000D5B9E">
              <w:rPr>
                <w:color w:val="000000"/>
              </w:rPr>
              <w:t>Nav.</w:t>
            </w:r>
          </w:p>
        </w:tc>
      </w:tr>
    </w:tbl>
    <w:p w14:paraId="29F08F83" w14:textId="7D12AF64" w:rsidR="0037321C" w:rsidRDefault="0037321C" w:rsidP="000D5B9E">
      <w:pPr>
        <w:shd w:val="clear" w:color="auto" w:fill="FFFFFF"/>
        <w:spacing w:after="0" w:line="240" w:lineRule="auto"/>
        <w:rPr>
          <w:rFonts w:eastAsia="Times New Roman" w:cs="Times New Roman"/>
          <w:szCs w:val="24"/>
          <w:lang w:eastAsia="lv-LV"/>
        </w:rPr>
      </w:pPr>
    </w:p>
    <w:p w14:paraId="50DF868A" w14:textId="72E007A1" w:rsidR="003D0897" w:rsidRDefault="003D0897" w:rsidP="000D5B9E">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5C6202" w:rsidRPr="00A3752A" w14:paraId="393D08AA" w14:textId="77777777" w:rsidTr="00D91A8D">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D06EF2" w14:textId="77777777" w:rsidR="005C6202" w:rsidRPr="00A3752A" w:rsidRDefault="005C6202" w:rsidP="00D91A8D">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 Sabiedrības līdzdalība un komunikācijas aktivitātes</w:t>
            </w:r>
          </w:p>
        </w:tc>
      </w:tr>
      <w:tr w:rsidR="005C6202" w:rsidRPr="00A3752A" w14:paraId="2F603D44" w14:textId="77777777" w:rsidTr="005C6202">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582464F"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21D03BC3"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4E4B9349" w14:textId="487230C7" w:rsidR="005C6202" w:rsidRPr="00295197" w:rsidRDefault="005C6202" w:rsidP="005C6202">
            <w:pPr>
              <w:spacing w:after="60" w:line="240" w:lineRule="auto"/>
              <w:jc w:val="both"/>
              <w:rPr>
                <w:szCs w:val="24"/>
              </w:rPr>
            </w:pPr>
            <w:r>
              <w:rPr>
                <w:color w:val="000000" w:themeColor="text1"/>
                <w:szCs w:val="24"/>
              </w:rPr>
              <w:t>P</w:t>
            </w:r>
            <w:r w:rsidRPr="00295197">
              <w:rPr>
                <w:color w:val="000000" w:themeColor="text1"/>
                <w:szCs w:val="24"/>
              </w:rPr>
              <w:t xml:space="preserve">rojektā paredzētais regulējums par depozīta maksājuma samaksas vai iesniegšanas un atmaksas vai atdošanas kārtību tieši izriet no </w:t>
            </w:r>
            <w:r>
              <w:rPr>
                <w:color w:val="000000" w:themeColor="text1"/>
                <w:szCs w:val="24"/>
              </w:rPr>
              <w:t>Likuma</w:t>
            </w:r>
            <w:r>
              <w:rPr>
                <w:szCs w:val="24"/>
              </w:rPr>
              <w:t xml:space="preserve">, </w:t>
            </w:r>
            <w:r w:rsidRPr="00295197">
              <w:rPr>
                <w:szCs w:val="24"/>
              </w:rPr>
              <w:t>kuru izstrādē piedalījās sabiedrisko organizāciju pārstāvji.</w:t>
            </w:r>
          </w:p>
          <w:p w14:paraId="445E2C6A" w14:textId="77777777" w:rsidR="005C6202" w:rsidRPr="00A3752A" w:rsidRDefault="005C6202" w:rsidP="005C6202">
            <w:pPr>
              <w:spacing w:after="60" w:line="240" w:lineRule="auto"/>
              <w:jc w:val="both"/>
              <w:rPr>
                <w:rFonts w:eastAsia="Times New Roman" w:cs="Times New Roman"/>
                <w:szCs w:val="24"/>
                <w:lang w:eastAsia="lv-LV"/>
              </w:rPr>
            </w:pPr>
            <w:r w:rsidRPr="00A3752A">
              <w:rPr>
                <w:rFonts w:eastAsia="Times New Roman" w:cs="Times New Roman"/>
                <w:szCs w:val="24"/>
                <w:lang w:eastAsia="lv-LV"/>
              </w:rPr>
              <w:t>Finanšu ministrijas tīmekļa vietnes sadaļā “Sabiedrības līdzdalība” ir ievietota uzziņa par projektu.</w:t>
            </w:r>
          </w:p>
          <w:p w14:paraId="03069A75" w14:textId="6BDAB0A0" w:rsidR="005C6202" w:rsidRPr="00A3752A" w:rsidRDefault="005C6202" w:rsidP="005C6202">
            <w:pPr>
              <w:spacing w:after="60" w:line="240" w:lineRule="auto"/>
              <w:jc w:val="both"/>
              <w:rPr>
                <w:rFonts w:eastAsia="Times New Roman" w:cs="Times New Roman"/>
                <w:szCs w:val="24"/>
                <w:lang w:eastAsia="lv-LV"/>
              </w:rPr>
            </w:pPr>
            <w:r w:rsidRPr="00A3752A">
              <w:rPr>
                <w:iCs/>
              </w:rPr>
              <w:t xml:space="preserve">Projekts pēc tā izsludināšanas Valsts sekretāru sanāksmē būs publiski pieejams Ministru kabineta </w:t>
            </w:r>
            <w:r w:rsidRPr="00A3752A">
              <w:t xml:space="preserve">tīmekļa vietnes </w:t>
            </w:r>
            <w:r w:rsidRPr="00A3752A">
              <w:rPr>
                <w:iCs/>
              </w:rPr>
              <w:t>sadaļā Tiesību aktu projekti.</w:t>
            </w:r>
          </w:p>
        </w:tc>
      </w:tr>
      <w:tr w:rsidR="005C6202" w:rsidRPr="00A3752A" w14:paraId="4BD67153" w14:textId="77777777" w:rsidTr="005C6202">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A1B2D7A"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1FAC6EA6"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351D9B2A"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5C6202" w:rsidRPr="00A3752A" w14:paraId="45800575" w14:textId="77777777" w:rsidTr="005C620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CC65989"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6065DB8C"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3EA47096"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5C6202" w:rsidRPr="00A3752A" w14:paraId="7022A9A0" w14:textId="77777777" w:rsidTr="005C620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B5E209C" w14:textId="77777777" w:rsidR="005C6202" w:rsidRPr="00A3752A" w:rsidRDefault="005C6202" w:rsidP="00D91A8D">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4515E8F9"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74976C4D" w14:textId="77777777" w:rsidR="005C6202" w:rsidRPr="00A3752A" w:rsidRDefault="005C6202" w:rsidP="00D91A8D">
            <w:pPr>
              <w:spacing w:after="60" w:line="240" w:lineRule="auto"/>
              <w:rPr>
                <w:rFonts w:eastAsia="Times New Roman" w:cs="Times New Roman"/>
                <w:szCs w:val="24"/>
                <w:lang w:eastAsia="lv-LV"/>
              </w:rPr>
            </w:pPr>
            <w:r w:rsidRPr="00A3752A">
              <w:rPr>
                <w:rFonts w:eastAsia="Times New Roman" w:cs="Times New Roman"/>
                <w:szCs w:val="24"/>
                <w:lang w:eastAsia="lv-LV"/>
              </w:rPr>
              <w:t>Nav.</w:t>
            </w:r>
          </w:p>
        </w:tc>
      </w:tr>
    </w:tbl>
    <w:p w14:paraId="179193B7" w14:textId="0228A6C6" w:rsidR="005C6202" w:rsidRDefault="005C6202" w:rsidP="000D5B9E">
      <w:pPr>
        <w:shd w:val="clear" w:color="auto" w:fill="FFFFFF"/>
        <w:spacing w:after="0" w:line="240" w:lineRule="auto"/>
        <w:rPr>
          <w:rFonts w:eastAsia="Times New Roman" w:cs="Times New Roman"/>
          <w:szCs w:val="24"/>
          <w:lang w:eastAsia="lv-LV"/>
        </w:rPr>
      </w:pPr>
    </w:p>
    <w:p w14:paraId="29A7DDB7" w14:textId="77777777" w:rsidR="003D0897" w:rsidRPr="000D5B9E" w:rsidRDefault="003D0897" w:rsidP="000D5B9E">
      <w:pPr>
        <w:shd w:val="clear" w:color="auto" w:fill="FFFFFF"/>
        <w:spacing w:after="0" w:line="240" w:lineRule="auto"/>
        <w:rPr>
          <w:rFonts w:eastAsia="Times New Roman" w:cs="Times New Roman"/>
          <w:szCs w:val="24"/>
          <w:lang w:eastAsia="lv-LV"/>
        </w:rPr>
      </w:pP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42"/>
        <w:gridCol w:w="6104"/>
      </w:tblGrid>
      <w:tr w:rsidR="000D5B9E" w:rsidRPr="000D5B9E" w14:paraId="350E179C" w14:textId="77777777" w:rsidTr="00F6514C">
        <w:tc>
          <w:tcPr>
            <w:tcW w:w="9072" w:type="dxa"/>
            <w:gridSpan w:val="3"/>
          </w:tcPr>
          <w:p w14:paraId="56B33BE8" w14:textId="59F88CF9" w:rsidR="000D5B9E" w:rsidRPr="000D5B9E" w:rsidRDefault="000D5B9E" w:rsidP="005C6202">
            <w:pPr>
              <w:spacing w:line="240" w:lineRule="auto"/>
              <w:jc w:val="center"/>
              <w:rPr>
                <w:rFonts w:eastAsia="Times New Roman" w:cs="Times New Roman"/>
                <w:b/>
                <w:szCs w:val="24"/>
              </w:rPr>
            </w:pPr>
            <w:r w:rsidRPr="000D5B9E">
              <w:rPr>
                <w:rFonts w:eastAsia="Times New Roman" w:cs="Times New Roman"/>
                <w:b/>
                <w:bCs/>
                <w:szCs w:val="24"/>
              </w:rPr>
              <w:t xml:space="preserve">VII. </w:t>
            </w:r>
            <w:r w:rsidRPr="000D5B9E">
              <w:rPr>
                <w:rFonts w:eastAsia="Times New Roman" w:cs="Times New Roman"/>
                <w:b/>
                <w:szCs w:val="24"/>
              </w:rPr>
              <w:t>Tiesību akta projekta izpildes nodrošināšana un tās ietekme uz institūcijām</w:t>
            </w:r>
          </w:p>
        </w:tc>
      </w:tr>
      <w:tr w:rsidR="000D5B9E" w:rsidRPr="000D5B9E" w14:paraId="536D2589" w14:textId="77777777" w:rsidTr="00F6514C">
        <w:tc>
          <w:tcPr>
            <w:tcW w:w="426" w:type="dxa"/>
          </w:tcPr>
          <w:p w14:paraId="78AC9DD3" w14:textId="01EC74BE" w:rsidR="000D5B9E" w:rsidRPr="000D5B9E" w:rsidRDefault="005C6202" w:rsidP="005C6202">
            <w:pPr>
              <w:spacing w:after="0" w:line="240" w:lineRule="auto"/>
              <w:jc w:val="center"/>
              <w:rPr>
                <w:rFonts w:eastAsia="Times New Roman" w:cs="Times New Roman"/>
                <w:szCs w:val="24"/>
              </w:rPr>
            </w:pPr>
            <w:r>
              <w:rPr>
                <w:rFonts w:eastAsia="Times New Roman" w:cs="Times New Roman"/>
                <w:szCs w:val="24"/>
              </w:rPr>
              <w:t>1</w:t>
            </w:r>
            <w:r w:rsidR="000D5B9E" w:rsidRPr="000D5B9E">
              <w:rPr>
                <w:rFonts w:eastAsia="Times New Roman" w:cs="Times New Roman"/>
                <w:szCs w:val="24"/>
              </w:rPr>
              <w:t>.</w:t>
            </w:r>
          </w:p>
        </w:tc>
        <w:tc>
          <w:tcPr>
            <w:tcW w:w="2542" w:type="dxa"/>
          </w:tcPr>
          <w:p w14:paraId="112FA5E9" w14:textId="77777777" w:rsidR="000D5B9E" w:rsidRPr="000D5B9E" w:rsidRDefault="000D5B9E" w:rsidP="005C6202">
            <w:pPr>
              <w:spacing w:line="240" w:lineRule="auto"/>
              <w:rPr>
                <w:rFonts w:eastAsia="Times New Roman" w:cs="Times New Roman"/>
                <w:szCs w:val="24"/>
              </w:rPr>
            </w:pPr>
            <w:r w:rsidRPr="000D5B9E">
              <w:rPr>
                <w:rFonts w:eastAsia="Times New Roman" w:cs="Times New Roman"/>
                <w:szCs w:val="24"/>
              </w:rPr>
              <w:t>Projekta izpildē iesaistītās institūcijas</w:t>
            </w:r>
          </w:p>
        </w:tc>
        <w:tc>
          <w:tcPr>
            <w:tcW w:w="6104" w:type="dxa"/>
          </w:tcPr>
          <w:p w14:paraId="6BFC91AA" w14:textId="77777777" w:rsidR="000D5B9E" w:rsidRPr="000D5B9E" w:rsidRDefault="002910CE" w:rsidP="00F627EA">
            <w:pPr>
              <w:spacing w:line="240" w:lineRule="auto"/>
              <w:ind w:right="148"/>
              <w:jc w:val="both"/>
              <w:rPr>
                <w:rFonts w:eastAsia="Times New Roman" w:cs="Times New Roman"/>
                <w:szCs w:val="24"/>
              </w:rPr>
            </w:pPr>
            <w:r>
              <w:rPr>
                <w:color w:val="000000" w:themeColor="text1"/>
                <w:szCs w:val="24"/>
              </w:rPr>
              <w:t>Iepirkumu uzraudzības birojs.</w:t>
            </w:r>
          </w:p>
        </w:tc>
      </w:tr>
      <w:tr w:rsidR="000D5B9E" w:rsidRPr="00F524BF" w14:paraId="24677356" w14:textId="77777777" w:rsidTr="00F6514C">
        <w:tc>
          <w:tcPr>
            <w:tcW w:w="426" w:type="dxa"/>
          </w:tcPr>
          <w:p w14:paraId="1D45DF80" w14:textId="77777777" w:rsidR="000D5B9E" w:rsidRPr="00F524BF" w:rsidRDefault="000D5B9E" w:rsidP="005C6202">
            <w:pPr>
              <w:spacing w:after="0" w:line="240" w:lineRule="auto"/>
              <w:jc w:val="center"/>
              <w:rPr>
                <w:szCs w:val="24"/>
              </w:rPr>
            </w:pPr>
            <w:r w:rsidRPr="00F524BF">
              <w:rPr>
                <w:szCs w:val="24"/>
              </w:rPr>
              <w:t>2.</w:t>
            </w:r>
          </w:p>
        </w:tc>
        <w:tc>
          <w:tcPr>
            <w:tcW w:w="2542" w:type="dxa"/>
          </w:tcPr>
          <w:p w14:paraId="1C9BE61A" w14:textId="77777777" w:rsidR="000D5B9E" w:rsidRPr="00F524BF" w:rsidRDefault="000D5B9E" w:rsidP="005C6202">
            <w:pPr>
              <w:spacing w:after="0" w:line="240" w:lineRule="auto"/>
              <w:rPr>
                <w:szCs w:val="24"/>
              </w:rPr>
            </w:pPr>
            <w:r w:rsidRPr="00F524BF">
              <w:rPr>
                <w:szCs w:val="24"/>
              </w:rPr>
              <w:t>Projekta izpildes ietekme uz pārvaldes funkcijām un institucionālo struktūru.</w:t>
            </w:r>
          </w:p>
          <w:p w14:paraId="23D73A8E" w14:textId="77777777" w:rsidR="000D5B9E" w:rsidRPr="00F524BF" w:rsidRDefault="000D5B9E" w:rsidP="005C6202">
            <w:pPr>
              <w:spacing w:after="0" w:line="240" w:lineRule="auto"/>
              <w:rPr>
                <w:szCs w:val="24"/>
              </w:rPr>
            </w:pPr>
            <w:r w:rsidRPr="00F524BF">
              <w:rPr>
                <w:szCs w:val="24"/>
              </w:rPr>
              <w:t>Jaunu institūciju izveide, esošo institūciju likvidācija vai reorganizācija, to ietekme uz institūcijas cilvēkresursiem.</w:t>
            </w:r>
          </w:p>
        </w:tc>
        <w:tc>
          <w:tcPr>
            <w:tcW w:w="6104" w:type="dxa"/>
          </w:tcPr>
          <w:p w14:paraId="12EE1B87" w14:textId="2C5EB509" w:rsidR="00F524BF" w:rsidRPr="00F524BF" w:rsidRDefault="00F524BF" w:rsidP="005C6202">
            <w:pPr>
              <w:spacing w:after="0" w:line="240" w:lineRule="auto"/>
              <w:ind w:right="57"/>
              <w:jc w:val="both"/>
              <w:rPr>
                <w:szCs w:val="24"/>
              </w:rPr>
            </w:pPr>
            <w:r w:rsidRPr="00F524BF">
              <w:rPr>
                <w:szCs w:val="24"/>
              </w:rPr>
              <w:t xml:space="preserve">Iesaistītās institūcijas </w:t>
            </w:r>
            <w:r w:rsidR="005C6202">
              <w:rPr>
                <w:szCs w:val="24"/>
              </w:rPr>
              <w:t>projekta izpildi</w:t>
            </w:r>
            <w:r w:rsidRPr="00F524BF">
              <w:rPr>
                <w:szCs w:val="24"/>
              </w:rPr>
              <w:t xml:space="preserve"> nodrošina to esošo funkciju un uzdevumus ietvaros.</w:t>
            </w:r>
          </w:p>
          <w:p w14:paraId="53A2B786" w14:textId="0CB40D83" w:rsidR="000D5B9E" w:rsidRPr="00F524BF" w:rsidRDefault="005C6202" w:rsidP="005C6202">
            <w:pPr>
              <w:spacing w:after="0" w:line="240" w:lineRule="auto"/>
              <w:ind w:right="57"/>
              <w:jc w:val="both"/>
              <w:rPr>
                <w:szCs w:val="24"/>
              </w:rPr>
            </w:pPr>
            <w:r>
              <w:rPr>
                <w:szCs w:val="24"/>
              </w:rPr>
              <w:t>Projekta</w:t>
            </w:r>
            <w:r w:rsidR="00F524BF" w:rsidRPr="00F524BF">
              <w:rPr>
                <w:szCs w:val="24"/>
              </w:rPr>
              <w:t xml:space="preserve"> izpildei nav nepieciešams radīt jaunas vai likvidēt esošās institūcijas, kā arī nav nepieciešams reorganizēt esošās institūcijas.</w:t>
            </w:r>
          </w:p>
        </w:tc>
      </w:tr>
      <w:tr w:rsidR="000D5B9E" w:rsidRPr="000D5B9E" w14:paraId="43A42C9E" w14:textId="77777777" w:rsidTr="00F6514C">
        <w:tc>
          <w:tcPr>
            <w:tcW w:w="426" w:type="dxa"/>
          </w:tcPr>
          <w:p w14:paraId="2FC0740C" w14:textId="77777777" w:rsidR="000D5B9E" w:rsidRPr="000D5B9E" w:rsidRDefault="000D5B9E" w:rsidP="005C6202">
            <w:pPr>
              <w:spacing w:after="0" w:line="240" w:lineRule="auto"/>
              <w:jc w:val="center"/>
              <w:rPr>
                <w:rFonts w:eastAsia="Times New Roman" w:cs="Times New Roman"/>
                <w:szCs w:val="24"/>
              </w:rPr>
            </w:pPr>
            <w:r w:rsidRPr="000D5B9E">
              <w:rPr>
                <w:rFonts w:eastAsia="Times New Roman" w:cs="Times New Roman"/>
                <w:szCs w:val="24"/>
              </w:rPr>
              <w:lastRenderedPageBreak/>
              <w:t>3.</w:t>
            </w:r>
          </w:p>
        </w:tc>
        <w:tc>
          <w:tcPr>
            <w:tcW w:w="2542" w:type="dxa"/>
          </w:tcPr>
          <w:p w14:paraId="0530C6FB" w14:textId="77777777" w:rsidR="000D5B9E" w:rsidRPr="000D5B9E" w:rsidRDefault="000D5B9E" w:rsidP="000D5B9E">
            <w:pPr>
              <w:spacing w:line="240" w:lineRule="auto"/>
              <w:ind w:left="150" w:right="170"/>
              <w:rPr>
                <w:rFonts w:eastAsia="Times New Roman" w:cs="Times New Roman"/>
                <w:szCs w:val="24"/>
              </w:rPr>
            </w:pPr>
            <w:r w:rsidRPr="000D5B9E">
              <w:rPr>
                <w:rFonts w:eastAsia="Times New Roman" w:cs="Times New Roman"/>
                <w:szCs w:val="24"/>
              </w:rPr>
              <w:t>Cita informācija</w:t>
            </w:r>
          </w:p>
        </w:tc>
        <w:tc>
          <w:tcPr>
            <w:tcW w:w="6104" w:type="dxa"/>
          </w:tcPr>
          <w:p w14:paraId="3B4E3DC3" w14:textId="77777777" w:rsidR="000D5B9E" w:rsidRPr="000D5B9E" w:rsidRDefault="000D5B9E" w:rsidP="000D5B9E">
            <w:pPr>
              <w:spacing w:line="240" w:lineRule="auto"/>
              <w:ind w:right="148"/>
              <w:jc w:val="both"/>
              <w:rPr>
                <w:rFonts w:eastAsia="Times New Roman" w:cs="Times New Roman"/>
                <w:szCs w:val="24"/>
              </w:rPr>
            </w:pPr>
            <w:r w:rsidRPr="000D5B9E">
              <w:rPr>
                <w:rFonts w:eastAsia="Times New Roman" w:cs="Times New Roman"/>
                <w:szCs w:val="24"/>
              </w:rPr>
              <w:t>Nav.</w:t>
            </w:r>
          </w:p>
        </w:tc>
      </w:tr>
    </w:tbl>
    <w:p w14:paraId="095FBA79" w14:textId="77777777" w:rsidR="00E4159D" w:rsidRPr="003D0897" w:rsidRDefault="00E4159D" w:rsidP="005040F9">
      <w:pPr>
        <w:shd w:val="clear" w:color="auto" w:fill="FFFFFF"/>
        <w:spacing w:after="0" w:line="240" w:lineRule="auto"/>
        <w:rPr>
          <w:rFonts w:eastAsia="Times New Roman" w:cs="Times New Roman"/>
          <w:sz w:val="28"/>
          <w:szCs w:val="28"/>
          <w:lang w:eastAsia="lv-LV"/>
        </w:rPr>
      </w:pPr>
    </w:p>
    <w:p w14:paraId="38815D3E" w14:textId="77777777" w:rsidR="0058464C" w:rsidRPr="003D0897" w:rsidRDefault="004521BF" w:rsidP="0058464C">
      <w:pPr>
        <w:spacing w:after="0" w:line="240" w:lineRule="auto"/>
        <w:ind w:firstLine="709"/>
        <w:rPr>
          <w:rFonts w:cs="Times New Roman"/>
          <w:sz w:val="28"/>
          <w:szCs w:val="28"/>
        </w:rPr>
      </w:pPr>
      <w:r w:rsidRPr="003D0897">
        <w:rPr>
          <w:rFonts w:cs="Times New Roman"/>
          <w:sz w:val="28"/>
          <w:szCs w:val="28"/>
        </w:rPr>
        <w:t xml:space="preserve">Anotācijas III, </w:t>
      </w:r>
      <w:r w:rsidR="000D5B9E" w:rsidRPr="003D0897">
        <w:rPr>
          <w:rFonts w:cs="Times New Roman"/>
          <w:sz w:val="28"/>
          <w:szCs w:val="28"/>
        </w:rPr>
        <w:t>I</w:t>
      </w:r>
      <w:r w:rsidR="005040F9" w:rsidRPr="003D0897">
        <w:rPr>
          <w:rFonts w:cs="Times New Roman"/>
          <w:sz w:val="28"/>
          <w:szCs w:val="28"/>
        </w:rPr>
        <w:t xml:space="preserve">V, </w:t>
      </w:r>
      <w:r w:rsidRPr="003D0897">
        <w:rPr>
          <w:rFonts w:cs="Times New Roman"/>
          <w:sz w:val="28"/>
          <w:szCs w:val="28"/>
        </w:rPr>
        <w:t>V</w:t>
      </w:r>
      <w:r w:rsidR="000D5B9E" w:rsidRPr="003D0897">
        <w:rPr>
          <w:rFonts w:cs="Times New Roman"/>
          <w:sz w:val="28"/>
          <w:szCs w:val="28"/>
        </w:rPr>
        <w:t xml:space="preserve"> </w:t>
      </w:r>
      <w:r w:rsidR="00F32503" w:rsidRPr="003D0897">
        <w:rPr>
          <w:rFonts w:cs="Times New Roman"/>
          <w:sz w:val="28"/>
          <w:szCs w:val="28"/>
        </w:rPr>
        <w:t>sadaļa – projekts šīs jomas neskar.</w:t>
      </w:r>
    </w:p>
    <w:p w14:paraId="55E2F095" w14:textId="0A8BE5EF" w:rsidR="0058464C" w:rsidRPr="003D0897" w:rsidRDefault="0058464C" w:rsidP="0037321C">
      <w:pPr>
        <w:spacing w:after="0" w:line="240" w:lineRule="auto"/>
        <w:rPr>
          <w:rFonts w:cs="Times New Roman"/>
          <w:sz w:val="28"/>
          <w:szCs w:val="28"/>
        </w:rPr>
      </w:pPr>
    </w:p>
    <w:p w14:paraId="3400B441" w14:textId="2EF64249" w:rsidR="003D0897" w:rsidRPr="003D0897" w:rsidRDefault="003D0897" w:rsidP="0037321C">
      <w:pPr>
        <w:spacing w:after="0" w:line="240" w:lineRule="auto"/>
        <w:rPr>
          <w:rFonts w:cs="Times New Roman"/>
          <w:sz w:val="28"/>
          <w:szCs w:val="28"/>
        </w:rPr>
      </w:pPr>
    </w:p>
    <w:p w14:paraId="2B73609C" w14:textId="1658E73D" w:rsidR="003D0897" w:rsidRPr="003D0897" w:rsidRDefault="003D0897" w:rsidP="0037321C">
      <w:pPr>
        <w:spacing w:after="0" w:line="240" w:lineRule="auto"/>
        <w:rPr>
          <w:rFonts w:cs="Times New Roman"/>
          <w:sz w:val="28"/>
          <w:szCs w:val="28"/>
        </w:rPr>
      </w:pPr>
    </w:p>
    <w:p w14:paraId="7E3474E4" w14:textId="2749695A" w:rsidR="00607B5B" w:rsidRPr="003D0897" w:rsidRDefault="003D0897" w:rsidP="00607B5B">
      <w:pPr>
        <w:spacing w:after="0" w:line="240" w:lineRule="auto"/>
        <w:rPr>
          <w:sz w:val="28"/>
          <w:szCs w:val="28"/>
        </w:rPr>
      </w:pPr>
      <w:r w:rsidRPr="003D0897">
        <w:rPr>
          <w:sz w:val="28"/>
          <w:szCs w:val="28"/>
        </w:rPr>
        <w:t>Finanšu ministre</w:t>
      </w:r>
      <w:r w:rsidRPr="003D0897">
        <w:rPr>
          <w:sz w:val="28"/>
          <w:szCs w:val="28"/>
        </w:rPr>
        <w:tab/>
      </w:r>
      <w:r w:rsidR="00607B5B" w:rsidRPr="003D0897">
        <w:rPr>
          <w:sz w:val="28"/>
          <w:szCs w:val="28"/>
        </w:rPr>
        <w:tab/>
      </w:r>
      <w:r w:rsidR="00607B5B" w:rsidRPr="003D0897">
        <w:rPr>
          <w:sz w:val="28"/>
          <w:szCs w:val="28"/>
        </w:rPr>
        <w:tab/>
      </w:r>
      <w:r w:rsidR="00607B5B" w:rsidRPr="003D0897">
        <w:rPr>
          <w:sz w:val="28"/>
          <w:szCs w:val="28"/>
        </w:rPr>
        <w:tab/>
      </w:r>
      <w:r w:rsidR="00607B5B" w:rsidRPr="003D0897">
        <w:rPr>
          <w:sz w:val="28"/>
          <w:szCs w:val="28"/>
        </w:rPr>
        <w:tab/>
      </w:r>
      <w:r w:rsidR="00607B5B" w:rsidRPr="003D0897">
        <w:rPr>
          <w:sz w:val="28"/>
          <w:szCs w:val="28"/>
        </w:rPr>
        <w:tab/>
      </w:r>
      <w:r w:rsidR="00607B5B" w:rsidRPr="003D0897">
        <w:rPr>
          <w:sz w:val="28"/>
          <w:szCs w:val="28"/>
        </w:rPr>
        <w:tab/>
        <w:t>Dana Reizniece-Ozola</w:t>
      </w:r>
    </w:p>
    <w:p w14:paraId="3D755D31" w14:textId="77777777" w:rsidR="00607B5B" w:rsidRPr="003D0897" w:rsidRDefault="00607B5B" w:rsidP="00607B5B">
      <w:pPr>
        <w:spacing w:after="0" w:line="240" w:lineRule="auto"/>
        <w:jc w:val="both"/>
        <w:rPr>
          <w:sz w:val="28"/>
          <w:szCs w:val="28"/>
        </w:rPr>
      </w:pPr>
    </w:p>
    <w:p w14:paraId="3B3CAF7E" w14:textId="53C1C8C2" w:rsidR="00607B5B" w:rsidRPr="003D0897" w:rsidRDefault="00607B5B" w:rsidP="00607B5B">
      <w:pPr>
        <w:tabs>
          <w:tab w:val="right" w:pos="9071"/>
        </w:tabs>
        <w:spacing w:after="0" w:line="240" w:lineRule="auto"/>
        <w:jc w:val="both"/>
        <w:rPr>
          <w:color w:val="000000"/>
          <w:sz w:val="28"/>
          <w:szCs w:val="28"/>
        </w:rPr>
      </w:pPr>
      <w:r w:rsidRPr="003D0897">
        <w:rPr>
          <w:color w:val="000000"/>
          <w:sz w:val="28"/>
          <w:szCs w:val="28"/>
        </w:rPr>
        <w:t>Finan</w:t>
      </w:r>
      <w:r w:rsidR="001403CB" w:rsidRPr="003D0897">
        <w:rPr>
          <w:color w:val="000000"/>
          <w:sz w:val="28"/>
          <w:szCs w:val="28"/>
        </w:rPr>
        <w:t>šu ministr</w:t>
      </w:r>
      <w:r w:rsidR="003D0897" w:rsidRPr="003D0897">
        <w:rPr>
          <w:color w:val="000000"/>
          <w:sz w:val="28"/>
          <w:szCs w:val="28"/>
        </w:rPr>
        <w:t>ijas valsts sekretāre</w:t>
      </w:r>
      <w:r w:rsidR="003D0897" w:rsidRPr="003D0897">
        <w:rPr>
          <w:color w:val="000000"/>
          <w:sz w:val="28"/>
          <w:szCs w:val="28"/>
        </w:rPr>
        <w:tab/>
      </w:r>
      <w:r w:rsidRPr="003D0897">
        <w:rPr>
          <w:color w:val="000000"/>
          <w:sz w:val="28"/>
          <w:szCs w:val="28"/>
        </w:rPr>
        <w:t>B</w:t>
      </w:r>
      <w:r w:rsidR="002F6777" w:rsidRPr="003D0897">
        <w:rPr>
          <w:color w:val="000000"/>
          <w:sz w:val="28"/>
          <w:szCs w:val="28"/>
        </w:rPr>
        <w:t xml:space="preserve">aiba </w:t>
      </w:r>
      <w:r w:rsidRPr="003D0897">
        <w:rPr>
          <w:color w:val="000000"/>
          <w:sz w:val="28"/>
          <w:szCs w:val="28"/>
        </w:rPr>
        <w:t>Bāne</w:t>
      </w:r>
    </w:p>
    <w:p w14:paraId="22253D15" w14:textId="77777777" w:rsidR="0037321C" w:rsidRPr="003D0897" w:rsidRDefault="0037321C" w:rsidP="0037321C">
      <w:pPr>
        <w:tabs>
          <w:tab w:val="left" w:pos="6237"/>
        </w:tabs>
        <w:spacing w:after="0" w:line="240" w:lineRule="auto"/>
        <w:rPr>
          <w:rFonts w:cs="Times New Roman"/>
          <w:sz w:val="28"/>
          <w:szCs w:val="28"/>
        </w:rPr>
      </w:pPr>
    </w:p>
    <w:p w14:paraId="09A50CF9" w14:textId="5F5B420D" w:rsidR="0037321C" w:rsidRPr="003D0897" w:rsidRDefault="0037321C" w:rsidP="0037321C">
      <w:pPr>
        <w:tabs>
          <w:tab w:val="left" w:pos="6237"/>
        </w:tabs>
        <w:spacing w:after="0" w:line="240" w:lineRule="auto"/>
        <w:rPr>
          <w:rFonts w:cs="Times New Roman"/>
          <w:sz w:val="28"/>
          <w:szCs w:val="28"/>
        </w:rPr>
      </w:pPr>
    </w:p>
    <w:p w14:paraId="4B01D240" w14:textId="20A51DDD" w:rsidR="003D0897" w:rsidRPr="003D0897" w:rsidRDefault="003D0897" w:rsidP="0037321C">
      <w:pPr>
        <w:tabs>
          <w:tab w:val="left" w:pos="6237"/>
        </w:tabs>
        <w:spacing w:after="0" w:line="240" w:lineRule="auto"/>
        <w:rPr>
          <w:rFonts w:cs="Times New Roman"/>
          <w:sz w:val="28"/>
          <w:szCs w:val="28"/>
        </w:rPr>
      </w:pPr>
    </w:p>
    <w:p w14:paraId="79775CC8" w14:textId="3F6AD7F8" w:rsidR="003D0897" w:rsidRPr="003D0897" w:rsidRDefault="003D0897" w:rsidP="0037321C">
      <w:pPr>
        <w:tabs>
          <w:tab w:val="left" w:pos="6237"/>
        </w:tabs>
        <w:spacing w:after="0" w:line="240" w:lineRule="auto"/>
        <w:rPr>
          <w:rFonts w:cs="Times New Roman"/>
          <w:sz w:val="28"/>
          <w:szCs w:val="28"/>
        </w:rPr>
      </w:pPr>
    </w:p>
    <w:p w14:paraId="00EC2AED" w14:textId="77777777" w:rsidR="003D0897" w:rsidRPr="003D0897" w:rsidRDefault="003D0897" w:rsidP="0037321C">
      <w:pPr>
        <w:tabs>
          <w:tab w:val="left" w:pos="6237"/>
        </w:tabs>
        <w:spacing w:after="0" w:line="240" w:lineRule="auto"/>
        <w:rPr>
          <w:rFonts w:cs="Times New Roman"/>
          <w:sz w:val="28"/>
          <w:szCs w:val="28"/>
        </w:rPr>
      </w:pPr>
    </w:p>
    <w:p w14:paraId="325365E0" w14:textId="2E9D8913" w:rsidR="002F6777" w:rsidRPr="003D0897" w:rsidRDefault="00034DF1" w:rsidP="00034DF1">
      <w:pPr>
        <w:pStyle w:val="NoSpacing"/>
        <w:rPr>
          <w:rFonts w:cs="Times New Roman"/>
          <w:szCs w:val="24"/>
          <w:lang w:val="de-DE"/>
        </w:rPr>
      </w:pPr>
      <w:r w:rsidRPr="003D0897">
        <w:rPr>
          <w:rFonts w:cs="Times New Roman"/>
          <w:szCs w:val="24"/>
          <w:lang w:val="de-DE"/>
        </w:rPr>
        <w:t>Sīmane</w:t>
      </w:r>
      <w:r w:rsidR="002F6777" w:rsidRPr="003D0897">
        <w:rPr>
          <w:rFonts w:cs="Times New Roman"/>
          <w:bCs/>
          <w:color w:val="000000"/>
          <w:szCs w:val="24"/>
        </w:rPr>
        <w:t xml:space="preserve"> </w:t>
      </w:r>
      <w:r w:rsidRPr="003D0897">
        <w:rPr>
          <w:rFonts w:cs="Times New Roman"/>
          <w:bCs/>
          <w:color w:val="000000"/>
          <w:szCs w:val="24"/>
        </w:rPr>
        <w:t>67326704</w:t>
      </w:r>
    </w:p>
    <w:p w14:paraId="43F0A16F" w14:textId="73BBF9F5" w:rsidR="00894C55" w:rsidRPr="003D0897" w:rsidRDefault="00034DF1" w:rsidP="000E693C">
      <w:pPr>
        <w:pStyle w:val="NoSpacing"/>
        <w:rPr>
          <w:szCs w:val="24"/>
        </w:rPr>
      </w:pPr>
      <w:r w:rsidRPr="003D0897">
        <w:rPr>
          <w:rFonts w:cs="Times New Roman"/>
          <w:szCs w:val="24"/>
          <w:lang w:val="de-DE"/>
        </w:rPr>
        <w:t>sintija.simane@iub.</w:t>
      </w:r>
      <w:bookmarkStart w:id="0" w:name="_GoBack"/>
      <w:bookmarkEnd w:id="0"/>
      <w:r w:rsidRPr="003D0897">
        <w:rPr>
          <w:rFonts w:cs="Times New Roman"/>
          <w:szCs w:val="24"/>
          <w:lang w:val="de-DE"/>
        </w:rPr>
        <w:t>gov.lv</w:t>
      </w:r>
    </w:p>
    <w:sectPr w:rsidR="00894C55" w:rsidRPr="003D0897"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4554" w14:textId="77777777" w:rsidR="00EE401B" w:rsidRDefault="00EE401B" w:rsidP="00894C55">
      <w:pPr>
        <w:spacing w:after="0" w:line="240" w:lineRule="auto"/>
      </w:pPr>
      <w:r>
        <w:separator/>
      </w:r>
    </w:p>
  </w:endnote>
  <w:endnote w:type="continuationSeparator" w:id="0">
    <w:p w14:paraId="28177D21" w14:textId="77777777" w:rsidR="00EE401B" w:rsidRDefault="00EE40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6874" w14:textId="0D17C413" w:rsidR="00F4266A" w:rsidRPr="003D0897" w:rsidRDefault="00F4266A" w:rsidP="00982DF3">
    <w:pPr>
      <w:pStyle w:val="Footer"/>
      <w:rPr>
        <w:rFonts w:cs="Times New Roman"/>
        <w:sz w:val="20"/>
        <w:szCs w:val="20"/>
      </w:rPr>
    </w:pPr>
    <w:r>
      <w:rPr>
        <w:rFonts w:cs="Times New Roman"/>
        <w:sz w:val="20"/>
        <w:szCs w:val="20"/>
      </w:rPr>
      <w:t>FManot</w:t>
    </w:r>
    <w:r w:rsidR="003D0897">
      <w:rPr>
        <w:rFonts w:cs="Times New Roman"/>
        <w:sz w:val="20"/>
        <w:szCs w:val="20"/>
      </w:rPr>
      <w:t>_140317</w:t>
    </w:r>
    <w:r w:rsidR="00C72FF1">
      <w:rPr>
        <w:sz w:val="20"/>
        <w:szCs w:val="20"/>
      </w:rPr>
      <w:t>_</w:t>
    </w:r>
    <w:r w:rsidR="00A9044F">
      <w:rPr>
        <w:sz w:val="20"/>
        <w:szCs w:val="20"/>
      </w:rPr>
      <w:t>depozi</w:t>
    </w:r>
    <w:r w:rsidR="001540F6">
      <w:rPr>
        <w:sz w:val="20"/>
        <w:szCs w:val="20"/>
      </w:rPr>
      <w:t>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5C5D" w14:textId="2EA2A233" w:rsidR="00F4266A" w:rsidRPr="003D0897" w:rsidRDefault="003D0897" w:rsidP="003D0897">
    <w:pPr>
      <w:pStyle w:val="Footer"/>
      <w:rPr>
        <w:rFonts w:cs="Times New Roman"/>
        <w:sz w:val="20"/>
        <w:szCs w:val="20"/>
      </w:rPr>
    </w:pPr>
    <w:r>
      <w:rPr>
        <w:rFonts w:cs="Times New Roman"/>
        <w:sz w:val="20"/>
        <w:szCs w:val="20"/>
      </w:rPr>
      <w:t>FManot_140317</w:t>
    </w:r>
    <w:r w:rsidR="00A9044F">
      <w:rPr>
        <w:sz w:val="20"/>
        <w:szCs w:val="20"/>
      </w:rPr>
      <w:t>_depozi</w:t>
    </w:r>
    <w:r>
      <w:rPr>
        <w:sz w:val="20"/>
        <w:szCs w:val="20"/>
      </w:rPr>
      <w: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70D2" w14:textId="77777777" w:rsidR="00EE401B" w:rsidRDefault="00EE401B" w:rsidP="00894C55">
      <w:pPr>
        <w:spacing w:after="0" w:line="240" w:lineRule="auto"/>
      </w:pPr>
      <w:r>
        <w:separator/>
      </w:r>
    </w:p>
  </w:footnote>
  <w:footnote w:type="continuationSeparator" w:id="0">
    <w:p w14:paraId="7E26AC37" w14:textId="77777777" w:rsidR="00EE401B" w:rsidRDefault="00EE40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72C6BD15" w14:textId="3FB70E3F"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A9044F">
          <w:rPr>
            <w:rFonts w:cs="Times New Roman"/>
            <w:noProof/>
            <w:szCs w:val="20"/>
          </w:rPr>
          <w:t>3</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9"/>
  </w:num>
  <w:num w:numId="5">
    <w:abstractNumId w:val="7"/>
  </w:num>
  <w:num w:numId="6">
    <w:abstractNumId w:val="6"/>
  </w:num>
  <w:num w:numId="7">
    <w:abstractNumId w:val="2"/>
  </w:num>
  <w:num w:numId="8">
    <w:abstractNumId w:val="3"/>
  </w:num>
  <w:num w:numId="9">
    <w:abstractNumId w:val="1"/>
  </w:num>
  <w:num w:numId="10">
    <w:abstractNumId w:val="8"/>
  </w:num>
  <w:num w:numId="11">
    <w:abstractNumId w:val="4"/>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1A"/>
    <w:rsid w:val="000209C5"/>
    <w:rsid w:val="00023071"/>
    <w:rsid w:val="0003455C"/>
    <w:rsid w:val="00034DF1"/>
    <w:rsid w:val="000728C9"/>
    <w:rsid w:val="00087ECD"/>
    <w:rsid w:val="00092BE5"/>
    <w:rsid w:val="000B7320"/>
    <w:rsid w:val="000C260F"/>
    <w:rsid w:val="000D19F0"/>
    <w:rsid w:val="000D37CD"/>
    <w:rsid w:val="000D5B9E"/>
    <w:rsid w:val="000E0E92"/>
    <w:rsid w:val="000E693C"/>
    <w:rsid w:val="000F35E0"/>
    <w:rsid w:val="000F3EE1"/>
    <w:rsid w:val="00112468"/>
    <w:rsid w:val="00122E58"/>
    <w:rsid w:val="001403CB"/>
    <w:rsid w:val="00152248"/>
    <w:rsid w:val="00153672"/>
    <w:rsid w:val="001540F6"/>
    <w:rsid w:val="00163869"/>
    <w:rsid w:val="00166980"/>
    <w:rsid w:val="001935D8"/>
    <w:rsid w:val="00193FCD"/>
    <w:rsid w:val="00195BDD"/>
    <w:rsid w:val="001B1416"/>
    <w:rsid w:val="001D562B"/>
    <w:rsid w:val="001E4A7B"/>
    <w:rsid w:val="00225644"/>
    <w:rsid w:val="002265BB"/>
    <w:rsid w:val="002415D0"/>
    <w:rsid w:val="00243426"/>
    <w:rsid w:val="002910CE"/>
    <w:rsid w:val="00292205"/>
    <w:rsid w:val="0029452F"/>
    <w:rsid w:val="00295197"/>
    <w:rsid w:val="002A74ED"/>
    <w:rsid w:val="002C1332"/>
    <w:rsid w:val="002D7218"/>
    <w:rsid w:val="002F6777"/>
    <w:rsid w:val="0030553A"/>
    <w:rsid w:val="00315810"/>
    <w:rsid w:val="00352FBB"/>
    <w:rsid w:val="0037321C"/>
    <w:rsid w:val="00374F52"/>
    <w:rsid w:val="00382F3F"/>
    <w:rsid w:val="003A1F77"/>
    <w:rsid w:val="003A3717"/>
    <w:rsid w:val="003A54D3"/>
    <w:rsid w:val="003B0BF9"/>
    <w:rsid w:val="003C163D"/>
    <w:rsid w:val="003C77A8"/>
    <w:rsid w:val="003D0897"/>
    <w:rsid w:val="003D536A"/>
    <w:rsid w:val="003D7B12"/>
    <w:rsid w:val="003E0791"/>
    <w:rsid w:val="003E5838"/>
    <w:rsid w:val="003E7823"/>
    <w:rsid w:val="003F28AC"/>
    <w:rsid w:val="00411D6D"/>
    <w:rsid w:val="00423185"/>
    <w:rsid w:val="004454FE"/>
    <w:rsid w:val="004521BF"/>
    <w:rsid w:val="0046226C"/>
    <w:rsid w:val="0046758F"/>
    <w:rsid w:val="00471F27"/>
    <w:rsid w:val="0049616E"/>
    <w:rsid w:val="004C4640"/>
    <w:rsid w:val="004C7A0B"/>
    <w:rsid w:val="004D0581"/>
    <w:rsid w:val="004F32A8"/>
    <w:rsid w:val="0050178F"/>
    <w:rsid w:val="005040F9"/>
    <w:rsid w:val="00510076"/>
    <w:rsid w:val="0055371F"/>
    <w:rsid w:val="005722BE"/>
    <w:rsid w:val="0058464C"/>
    <w:rsid w:val="00587369"/>
    <w:rsid w:val="005B1BEE"/>
    <w:rsid w:val="005B4504"/>
    <w:rsid w:val="005C6202"/>
    <w:rsid w:val="005E55FC"/>
    <w:rsid w:val="00607B5B"/>
    <w:rsid w:val="00666289"/>
    <w:rsid w:val="00683418"/>
    <w:rsid w:val="006964BB"/>
    <w:rsid w:val="006A1A24"/>
    <w:rsid w:val="006C3700"/>
    <w:rsid w:val="006E1081"/>
    <w:rsid w:val="006E1937"/>
    <w:rsid w:val="006F1C09"/>
    <w:rsid w:val="00701D57"/>
    <w:rsid w:val="0070766F"/>
    <w:rsid w:val="00720585"/>
    <w:rsid w:val="007302A9"/>
    <w:rsid w:val="007375F4"/>
    <w:rsid w:val="00740FD1"/>
    <w:rsid w:val="0074295F"/>
    <w:rsid w:val="007536C7"/>
    <w:rsid w:val="00773AF6"/>
    <w:rsid w:val="007969DB"/>
    <w:rsid w:val="007A504F"/>
    <w:rsid w:val="007C00B5"/>
    <w:rsid w:val="007C43FA"/>
    <w:rsid w:val="007C4791"/>
    <w:rsid w:val="007E5564"/>
    <w:rsid w:val="007F0131"/>
    <w:rsid w:val="007F0C8F"/>
    <w:rsid w:val="00816C11"/>
    <w:rsid w:val="00841A03"/>
    <w:rsid w:val="00852BDA"/>
    <w:rsid w:val="00857C1C"/>
    <w:rsid w:val="00872FDD"/>
    <w:rsid w:val="00894B88"/>
    <w:rsid w:val="00894C55"/>
    <w:rsid w:val="008A3B82"/>
    <w:rsid w:val="008B7D12"/>
    <w:rsid w:val="008C72C9"/>
    <w:rsid w:val="008F22E8"/>
    <w:rsid w:val="00904475"/>
    <w:rsid w:val="00905F02"/>
    <w:rsid w:val="00916681"/>
    <w:rsid w:val="009170F5"/>
    <w:rsid w:val="00947282"/>
    <w:rsid w:val="009663BF"/>
    <w:rsid w:val="00970718"/>
    <w:rsid w:val="00975820"/>
    <w:rsid w:val="00982DF3"/>
    <w:rsid w:val="009A08D5"/>
    <w:rsid w:val="009A13B9"/>
    <w:rsid w:val="009A359D"/>
    <w:rsid w:val="009B3E10"/>
    <w:rsid w:val="009C2FCA"/>
    <w:rsid w:val="009E4CB9"/>
    <w:rsid w:val="009F4318"/>
    <w:rsid w:val="00A12865"/>
    <w:rsid w:val="00A12B0A"/>
    <w:rsid w:val="00A250B4"/>
    <w:rsid w:val="00A3752A"/>
    <w:rsid w:val="00A445D8"/>
    <w:rsid w:val="00A47D0B"/>
    <w:rsid w:val="00A6091A"/>
    <w:rsid w:val="00A702D8"/>
    <w:rsid w:val="00A83A26"/>
    <w:rsid w:val="00A9044F"/>
    <w:rsid w:val="00AD1092"/>
    <w:rsid w:val="00AD23B1"/>
    <w:rsid w:val="00AE1E71"/>
    <w:rsid w:val="00AE4677"/>
    <w:rsid w:val="00AE5567"/>
    <w:rsid w:val="00AE77CB"/>
    <w:rsid w:val="00B2165C"/>
    <w:rsid w:val="00B303EA"/>
    <w:rsid w:val="00B33170"/>
    <w:rsid w:val="00B4136A"/>
    <w:rsid w:val="00B41DEB"/>
    <w:rsid w:val="00B42E37"/>
    <w:rsid w:val="00B535FD"/>
    <w:rsid w:val="00B552AE"/>
    <w:rsid w:val="00B62D4D"/>
    <w:rsid w:val="00B7426B"/>
    <w:rsid w:val="00B9091A"/>
    <w:rsid w:val="00B95803"/>
    <w:rsid w:val="00BC2B19"/>
    <w:rsid w:val="00BC2C33"/>
    <w:rsid w:val="00BD4425"/>
    <w:rsid w:val="00BE029D"/>
    <w:rsid w:val="00BF3311"/>
    <w:rsid w:val="00C25B49"/>
    <w:rsid w:val="00C65498"/>
    <w:rsid w:val="00C72FF1"/>
    <w:rsid w:val="00C80902"/>
    <w:rsid w:val="00CB6B61"/>
    <w:rsid w:val="00CD1B36"/>
    <w:rsid w:val="00CD6713"/>
    <w:rsid w:val="00CE5657"/>
    <w:rsid w:val="00CF36E8"/>
    <w:rsid w:val="00D51F38"/>
    <w:rsid w:val="00D66836"/>
    <w:rsid w:val="00DC4B8A"/>
    <w:rsid w:val="00DF2DDB"/>
    <w:rsid w:val="00E07422"/>
    <w:rsid w:val="00E12365"/>
    <w:rsid w:val="00E17A5B"/>
    <w:rsid w:val="00E2772F"/>
    <w:rsid w:val="00E4159D"/>
    <w:rsid w:val="00E82F38"/>
    <w:rsid w:val="00E90C01"/>
    <w:rsid w:val="00EA1C77"/>
    <w:rsid w:val="00EA486E"/>
    <w:rsid w:val="00EA4F76"/>
    <w:rsid w:val="00ED6589"/>
    <w:rsid w:val="00EE1027"/>
    <w:rsid w:val="00EE401B"/>
    <w:rsid w:val="00EF097B"/>
    <w:rsid w:val="00EF404A"/>
    <w:rsid w:val="00F255ED"/>
    <w:rsid w:val="00F27A69"/>
    <w:rsid w:val="00F310D7"/>
    <w:rsid w:val="00F32503"/>
    <w:rsid w:val="00F4266A"/>
    <w:rsid w:val="00F50240"/>
    <w:rsid w:val="00F524BF"/>
    <w:rsid w:val="00F57B0C"/>
    <w:rsid w:val="00F61F4F"/>
    <w:rsid w:val="00F627EA"/>
    <w:rsid w:val="00F6514C"/>
    <w:rsid w:val="00F81963"/>
    <w:rsid w:val="00FC6598"/>
    <w:rsid w:val="00FF037E"/>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46D60"/>
  <w15:docId w15:val="{FE51EFA3-73DB-4FB9-BC67-A1AF17F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naisnod">
    <w:name w:val="naisnod"/>
    <w:basedOn w:val="Normal"/>
    <w:rsid w:val="00E4159D"/>
    <w:pPr>
      <w:spacing w:before="150" w:after="150" w:line="240" w:lineRule="auto"/>
      <w:jc w:val="center"/>
    </w:pPr>
    <w:rPr>
      <w:rFonts w:eastAsia="Calibri" w:cs="Times New Roman"/>
      <w:b/>
      <w:bCs/>
      <w:szCs w:val="24"/>
      <w:lang w:eastAsia="lv-LV"/>
    </w:rPr>
  </w:style>
  <w:style w:type="paragraph" w:styleId="NoSpacing">
    <w:name w:val="No Spacing"/>
    <w:uiPriority w:val="1"/>
    <w:qFormat/>
    <w:rsid w:val="00034D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7973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68</DKP>
  </documentManagement>
</p:properties>
</file>

<file path=customXml/itemProps1.xml><?xml version="1.0" encoding="utf-8"?>
<ds:datastoreItem xmlns:ds="http://schemas.openxmlformats.org/officeDocument/2006/customXml" ds:itemID="{8DC74678-60C4-40A5-8813-343145C5F2AE}"/>
</file>

<file path=customXml/itemProps2.xml><?xml version="1.0" encoding="utf-8"?>
<ds:datastoreItem xmlns:ds="http://schemas.openxmlformats.org/officeDocument/2006/customXml" ds:itemID="{8BBD4428-494B-460C-BF5B-35FC152676CA}"/>
</file>

<file path=customXml/itemProps3.xml><?xml version="1.0" encoding="utf-8"?>
<ds:datastoreItem xmlns:ds="http://schemas.openxmlformats.org/officeDocument/2006/customXml" ds:itemID="{BF70AF6A-144B-4CB8-A49C-906F9D5E8C0B}"/>
</file>

<file path=docProps/app.xml><?xml version="1.0" encoding="utf-8"?>
<Properties xmlns="http://schemas.openxmlformats.org/officeDocument/2006/extended-properties" xmlns:vt="http://schemas.openxmlformats.org/officeDocument/2006/docPropsVTypes">
  <Template>Normal.dotm</Template>
  <TotalTime>126</TotalTime>
  <Pages>3</Pages>
  <Words>3152</Words>
  <Characters>1797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2017. gada 28. februāra noteikumos Nr. 110 “Noteikumi par depozīta maksājumu”” projekta sākotnējās ietekmes novērtējuma ziņojums (anotācija)</vt:lpstr>
    </vt:vector>
  </TitlesOfParts>
  <Company>Finanšu ministrija</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 gada 28. februāra noteikumos Nr. 110 “Noteikumi par depozīta maksājumu”” projekta sākotnējās ietekmes novērtējuma ziņojums (anotācija)</dc:title>
  <dc:subject>Anotācija</dc:subject>
  <dc:creator>Sintija Sīmane</dc:creator>
  <dc:description>67326704, sintija.simane@iub.gov.lv_x000d_
</dc:description>
  <cp:lastModifiedBy>Inga Bērziņa</cp:lastModifiedBy>
  <cp:revision>93</cp:revision>
  <dcterms:created xsi:type="dcterms:W3CDTF">2017-02-22T07:31:00Z</dcterms:created>
  <dcterms:modified xsi:type="dcterms:W3CDTF">2017-03-16T10:03:00Z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