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C55" w:rsidRPr="00A3752A" w:rsidRDefault="00F61F4F" w:rsidP="00894C5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0" w:name="_GoBack"/>
      <w:r w:rsidRPr="00A3752A">
        <w:rPr>
          <w:b/>
          <w:sz w:val="28"/>
          <w:szCs w:val="28"/>
        </w:rPr>
        <w:t>Ministru kabineta noteikumu “</w:t>
      </w:r>
      <w:r w:rsidR="007D54D3" w:rsidRPr="00F94A5A">
        <w:rPr>
          <w:b/>
          <w:sz w:val="28"/>
          <w:szCs w:val="28"/>
        </w:rPr>
        <w:t>Grozījumi Ministru kabineta 2017. gada 28. februāra noteikumos Nr. 105 “Noteikumi par publisko iepirkumu līgumcenu robežvērtībām”</w:t>
      </w:r>
      <w:r w:rsidRPr="00A3752A">
        <w:rPr>
          <w:b/>
          <w:sz w:val="28"/>
          <w:szCs w:val="28"/>
        </w:rPr>
        <w:t>”</w:t>
      </w:r>
      <w:r w:rsidR="00894C55" w:rsidRPr="00A3752A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projekta</w:t>
      </w:r>
      <w:r w:rsidRPr="00A3752A">
        <w:rPr>
          <w:rFonts w:eastAsia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A3752A">
        <w:rPr>
          <w:rFonts w:eastAsia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  <w:bookmarkEnd w:id="0"/>
    </w:p>
    <w:p w:rsidR="00894C55" w:rsidRPr="00A3752A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eastAsia="Times New Roman" w:cs="Times New Roman"/>
          <w:iCs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A3752A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A3752A" w:rsidRDefault="00894C55" w:rsidP="00BC2B19">
            <w:pPr>
              <w:spacing w:after="6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I.</w:t>
            </w:r>
            <w:r w:rsidR="0050178F"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izstrādes nepieciešamība</w:t>
            </w:r>
          </w:p>
        </w:tc>
      </w:tr>
      <w:tr w:rsidR="0037321C" w:rsidRPr="00A3752A" w:rsidTr="0058464C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3732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Pamatojums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B2FAA" w:rsidRDefault="00740FD1" w:rsidP="00740FD1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2FAA">
              <w:rPr>
                <w:rFonts w:cs="Times New Roman"/>
                <w:szCs w:val="24"/>
              </w:rPr>
              <w:t xml:space="preserve">Eiropas Parlamenta un Padomes 2014.gada 26.februāra Direktīva 2014/23/ES par koncesijas līgumu slēgšanas tiesību piešķiršanu </w:t>
            </w:r>
            <w:r w:rsidRPr="002B2FAA">
              <w:rPr>
                <w:rFonts w:eastAsia="Times New Roman" w:cs="Times New Roman"/>
                <w:szCs w:val="24"/>
                <w:lang w:eastAsia="lv-LV"/>
              </w:rPr>
              <w:t>(turpmāk – Direktīva 2014/23/ES).</w:t>
            </w:r>
          </w:p>
          <w:p w:rsidR="00740FD1" w:rsidRPr="002B2FAA" w:rsidRDefault="00740FD1" w:rsidP="00740FD1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2B2FAA">
              <w:rPr>
                <w:rFonts w:cs="Times New Roman"/>
                <w:szCs w:val="24"/>
              </w:rPr>
              <w:t>Komisijas 2015.gada 24.novembra deleģētā regula Nr.2015/2172 ar ko groza Eiropas Parlamenta un Padomes Direktīvu 2014/23/ES par tās piemērošanas robežvērtībām līgumu slēgšanas tiesību piešķiršanas procedūrās (turpmāk – Regula Nr.2015/2172).</w:t>
            </w:r>
          </w:p>
          <w:p w:rsidR="00740FD1" w:rsidRPr="002B2FAA" w:rsidRDefault="00740FD1" w:rsidP="00197AAC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2B2FAA">
              <w:rPr>
                <w:rFonts w:cs="Times New Roman"/>
                <w:szCs w:val="24"/>
              </w:rPr>
              <w:t xml:space="preserve">Publiskās un privātās partnerības likuma </w:t>
            </w:r>
            <w:r w:rsidRPr="002B2FAA">
              <w:rPr>
                <w:rFonts w:eastAsia="Times New Roman" w:cs="Times New Roman"/>
                <w:szCs w:val="24"/>
                <w:lang w:eastAsia="lv-LV"/>
              </w:rPr>
              <w:t>13.</w:t>
            </w:r>
            <w:r w:rsidRPr="002B2FAA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 w:rsidRPr="002B2FAA">
              <w:rPr>
                <w:rFonts w:eastAsia="Times New Roman" w:cs="Times New Roman"/>
                <w:szCs w:val="24"/>
                <w:lang w:eastAsia="lv-LV"/>
              </w:rPr>
              <w:t xml:space="preserve">pants (pēc </w:t>
            </w:r>
            <w:r w:rsidRPr="002B2FAA">
              <w:rPr>
                <w:rFonts w:cs="Times New Roman"/>
                <w:szCs w:val="24"/>
              </w:rPr>
              <w:t>likumprojekta “Grozījumi Publiskās un privātās partnerības likumā”</w:t>
            </w:r>
            <w:r w:rsidR="00197AAC">
              <w:rPr>
                <w:rFonts w:cs="Times New Roman"/>
                <w:szCs w:val="24"/>
              </w:rPr>
              <w:t xml:space="preserve"> (</w:t>
            </w:r>
            <w:proofErr w:type="spellStart"/>
            <w:r w:rsidR="002B2FAA" w:rsidRPr="002B2FAA">
              <w:rPr>
                <w:rFonts w:cs="Times New Roman"/>
                <w:szCs w:val="24"/>
              </w:rPr>
              <w:t>reģ</w:t>
            </w:r>
            <w:proofErr w:type="spellEnd"/>
            <w:r w:rsidR="002B2FAA" w:rsidRPr="002B2FAA">
              <w:rPr>
                <w:rFonts w:cs="Times New Roman"/>
                <w:szCs w:val="24"/>
              </w:rPr>
              <w:t>. Nr.</w:t>
            </w:r>
            <w:r w:rsidR="002B2FAA" w:rsidRPr="002B2FAA">
              <w:rPr>
                <w:rFonts w:cs="Times New Roman"/>
                <w:bCs/>
                <w:szCs w:val="24"/>
              </w:rPr>
              <w:t>841/Lp12</w:t>
            </w:r>
            <w:r w:rsidR="00197AAC">
              <w:rPr>
                <w:rFonts w:cs="Times New Roman"/>
                <w:bCs/>
                <w:szCs w:val="24"/>
              </w:rPr>
              <w:t>)</w:t>
            </w:r>
            <w:r w:rsidR="00A702D8" w:rsidRPr="002B2FAA">
              <w:rPr>
                <w:rFonts w:cs="Times New Roman"/>
                <w:szCs w:val="24"/>
              </w:rPr>
              <w:t xml:space="preserve"> </w:t>
            </w:r>
            <w:r w:rsidRPr="002B2FAA">
              <w:rPr>
                <w:rFonts w:cs="Times New Roman"/>
                <w:szCs w:val="24"/>
              </w:rPr>
              <w:t>spēkā stāšanās).</w:t>
            </w:r>
          </w:p>
        </w:tc>
      </w:tr>
      <w:tr w:rsidR="0037321C" w:rsidRPr="00A3752A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3732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C2B19" w:rsidRPr="00A3752A" w:rsidRDefault="009B3E10" w:rsidP="00EF097B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 xml:space="preserve">Direktīvas 2014/23/ES </w:t>
            </w:r>
            <w:r w:rsidR="00AD23B1" w:rsidRPr="00A3752A">
              <w:rPr>
                <w:rFonts w:eastAsia="Times New Roman" w:cs="Times New Roman"/>
                <w:szCs w:val="24"/>
                <w:lang w:eastAsia="lv-LV"/>
              </w:rPr>
              <w:t>8.panta 1.punktā ir noteikta koncesijas līgumcenas robežvērtība, no kuras ir piemērojami minētās direktīvas nosacījumi.</w:t>
            </w:r>
          </w:p>
          <w:p w:rsidR="00AD23B1" w:rsidRPr="00A3752A" w:rsidRDefault="00AD23B1" w:rsidP="00EF097B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 xml:space="preserve">Eiropas Komisija </w:t>
            </w:r>
            <w:r w:rsidR="00BC2B19" w:rsidRPr="00A3752A">
              <w:rPr>
                <w:rFonts w:eastAsia="Times New Roman" w:cs="Times New Roman"/>
                <w:szCs w:val="24"/>
                <w:lang w:eastAsia="lv-LV"/>
              </w:rPr>
              <w:t>s</w:t>
            </w:r>
            <w:r w:rsidRPr="00A3752A">
              <w:rPr>
                <w:rFonts w:cs="Times New Roman"/>
                <w:szCs w:val="24"/>
              </w:rPr>
              <w:t>ā</w:t>
            </w:r>
            <w:r w:rsidR="00BC2B19" w:rsidRPr="00A3752A">
              <w:rPr>
                <w:rFonts w:cs="Times New Roman"/>
                <w:szCs w:val="24"/>
              </w:rPr>
              <w:t>kot no 2013.gada 30.</w:t>
            </w:r>
            <w:r w:rsidRPr="00A3752A">
              <w:rPr>
                <w:rFonts w:cs="Times New Roman"/>
                <w:szCs w:val="24"/>
              </w:rPr>
              <w:t>jūnija, reizi divos gados pā</w:t>
            </w:r>
            <w:r w:rsidR="00BC2B19" w:rsidRPr="00A3752A">
              <w:rPr>
                <w:rFonts w:cs="Times New Roman"/>
                <w:szCs w:val="24"/>
              </w:rPr>
              <w:t xml:space="preserve">rbauda, vai </w:t>
            </w:r>
            <w:r w:rsidR="00BC2B19" w:rsidRPr="00A3752A">
              <w:rPr>
                <w:rFonts w:eastAsia="Times New Roman" w:cs="Times New Roman"/>
                <w:szCs w:val="24"/>
                <w:lang w:eastAsia="lv-LV"/>
              </w:rPr>
              <w:t xml:space="preserve">Direktīvas 2014/23/ES 8.panta 1.punktā </w:t>
            </w:r>
            <w:r w:rsidRPr="00A3752A">
              <w:rPr>
                <w:rFonts w:cs="Times New Roman"/>
                <w:szCs w:val="24"/>
              </w:rPr>
              <w:t>noteiktā robežvērtība atbilst robežvērtībai, kas Pasaules Tirdzniecības organizācijas Nolīgumā par valsts iepirkumu noteikta attiecībā uz būvprojektu koncesiju, un vajadzības gadījumā minēto robežvērtību pārskata.</w:t>
            </w:r>
            <w:r w:rsidR="008B7D12">
              <w:rPr>
                <w:rFonts w:cs="Times New Roman"/>
                <w:szCs w:val="24"/>
              </w:rPr>
              <w:t xml:space="preserve"> </w:t>
            </w:r>
            <w:r w:rsidR="008B7D12" w:rsidRPr="00A3752A">
              <w:rPr>
                <w:rFonts w:eastAsia="Times New Roman" w:cs="Times New Roman"/>
                <w:szCs w:val="24"/>
                <w:lang w:eastAsia="lv-LV"/>
              </w:rPr>
              <w:t>Direktīvas 2014/23/ES 8.panta 1.punktā</w:t>
            </w:r>
            <w:r w:rsidR="008B7D12">
              <w:rPr>
                <w:rFonts w:eastAsia="Times New Roman" w:cs="Times New Roman"/>
                <w:szCs w:val="24"/>
                <w:lang w:eastAsia="lv-LV"/>
              </w:rPr>
              <w:t xml:space="preserve"> noteiktā līgumcenas robežvērtība ir attiecināma gan uz būvdarbu, gan uz pakalpojumu koncesijām.</w:t>
            </w:r>
          </w:p>
          <w:p w:rsidR="00BC2B19" w:rsidRPr="00A3752A" w:rsidRDefault="00BC2B19" w:rsidP="00EF097B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3752A">
              <w:rPr>
                <w:rFonts w:cs="Times New Roman"/>
                <w:szCs w:val="24"/>
              </w:rPr>
              <w:t>Tā kā minētā robežvērtība tiek mainīta reizi divos</w:t>
            </w:r>
            <w:r w:rsidR="008B0370">
              <w:rPr>
                <w:rFonts w:cs="Times New Roman"/>
                <w:szCs w:val="24"/>
              </w:rPr>
              <w:t xml:space="preserve"> gados, to noteikšana Latvijas R</w:t>
            </w:r>
            <w:r w:rsidRPr="00A3752A">
              <w:rPr>
                <w:rFonts w:cs="Times New Roman"/>
                <w:szCs w:val="24"/>
              </w:rPr>
              <w:t>epublikas normatīvajos aktos deleģēta Ministru kabinetam.</w:t>
            </w:r>
          </w:p>
          <w:p w:rsidR="00092BE5" w:rsidRPr="00A3752A" w:rsidRDefault="00092BE5" w:rsidP="00EF097B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cs="Times New Roman"/>
                <w:szCs w:val="24"/>
              </w:rPr>
              <w:t xml:space="preserve">Publiskās un privātās partnerības likuma 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t>13.</w:t>
            </w:r>
            <w:r w:rsidRPr="00A3752A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t>pant</w:t>
            </w:r>
            <w:r w:rsidRPr="00A3752A">
              <w:rPr>
                <w:rFonts w:cs="Times New Roman"/>
                <w:szCs w:val="24"/>
              </w:rPr>
              <w:t>ā ir noteikts pilnvarojums Mini</w:t>
            </w:r>
            <w:r w:rsidR="0046226C" w:rsidRPr="00A3752A">
              <w:rPr>
                <w:rFonts w:cs="Times New Roman"/>
                <w:szCs w:val="24"/>
              </w:rPr>
              <w:t>stru kabinetam</w:t>
            </w:r>
            <w:r w:rsidR="004C7A0B" w:rsidRPr="00A3752A">
              <w:rPr>
                <w:rFonts w:cs="Times New Roman"/>
                <w:szCs w:val="24"/>
              </w:rPr>
              <w:t xml:space="preserve"> noteikt </w:t>
            </w:r>
            <w:r w:rsidR="00701D57" w:rsidRPr="00A3752A">
              <w:rPr>
                <w:rFonts w:cs="Times New Roman"/>
                <w:szCs w:val="24"/>
              </w:rPr>
              <w:t>līgumcenas robežvērtību attiecībā uz koncesijas līgumcenu</w:t>
            </w:r>
            <w:r w:rsidRPr="00A3752A">
              <w:rPr>
                <w:rFonts w:cs="Times New Roman"/>
                <w:szCs w:val="24"/>
              </w:rPr>
              <w:t xml:space="preserve">, pamatojoties uz Eiropas Savienības starptautiskajām saistībām attiecībā uz līgumcenu robežvērtībām, kas jāievēro </w:t>
            </w:r>
            <w:r w:rsidR="004C7A0B" w:rsidRPr="00A3752A">
              <w:rPr>
                <w:rFonts w:cs="Times New Roman"/>
                <w:szCs w:val="24"/>
              </w:rPr>
              <w:t>publiskajam partnerim</w:t>
            </w:r>
            <w:r w:rsidRPr="00A3752A">
              <w:rPr>
                <w:rFonts w:cs="Times New Roman"/>
                <w:szCs w:val="24"/>
              </w:rPr>
              <w:t>. Minētaj</w:t>
            </w:r>
            <w:r w:rsidR="004C7A0B" w:rsidRPr="00A3752A">
              <w:rPr>
                <w:rFonts w:cs="Times New Roman"/>
                <w:szCs w:val="24"/>
              </w:rPr>
              <w:t>ā</w:t>
            </w:r>
            <w:r w:rsidRPr="00A3752A">
              <w:rPr>
                <w:rFonts w:cs="Times New Roman"/>
                <w:szCs w:val="24"/>
              </w:rPr>
              <w:t xml:space="preserve"> pant</w:t>
            </w:r>
            <w:r w:rsidR="004C7A0B" w:rsidRPr="00A3752A">
              <w:rPr>
                <w:rFonts w:cs="Times New Roman"/>
                <w:szCs w:val="24"/>
              </w:rPr>
              <w:t xml:space="preserve">ā arī </w:t>
            </w:r>
            <w:r w:rsidRPr="00A3752A">
              <w:rPr>
                <w:rFonts w:cs="Times New Roman"/>
                <w:szCs w:val="24"/>
              </w:rPr>
              <w:t xml:space="preserve">noteikts, ka </w:t>
            </w:r>
            <w:r w:rsidRPr="00A3752A">
              <w:rPr>
                <w:rFonts w:cs="Times New Roman"/>
                <w:szCs w:val="24"/>
                <w:shd w:val="clear" w:color="auto" w:fill="FFFFFF"/>
              </w:rPr>
              <w:t>Ministru kabinets nosaka minēt</w:t>
            </w:r>
            <w:r w:rsidR="004C7A0B" w:rsidRPr="00A3752A">
              <w:rPr>
                <w:rFonts w:cs="Times New Roman"/>
                <w:szCs w:val="24"/>
                <w:shd w:val="clear" w:color="auto" w:fill="FFFFFF"/>
              </w:rPr>
              <w:t>o</w:t>
            </w:r>
            <w:r w:rsidRPr="00A3752A">
              <w:rPr>
                <w:rFonts w:cs="Times New Roman"/>
                <w:szCs w:val="24"/>
                <w:shd w:val="clear" w:color="auto" w:fill="FFFFFF"/>
              </w:rPr>
              <w:t xml:space="preserve"> līgumcenu robežvērtīb</w:t>
            </w:r>
            <w:r w:rsidR="004C7A0B" w:rsidRPr="00A3752A">
              <w:rPr>
                <w:rFonts w:cs="Times New Roman"/>
                <w:szCs w:val="24"/>
                <w:shd w:val="clear" w:color="auto" w:fill="FFFFFF"/>
              </w:rPr>
              <w:t>u</w:t>
            </w:r>
            <w:r w:rsidRPr="00A3752A">
              <w:rPr>
                <w:rFonts w:cs="Times New Roman"/>
                <w:szCs w:val="24"/>
                <w:shd w:val="clear" w:color="auto" w:fill="FFFFFF"/>
              </w:rPr>
              <w:t xml:space="preserve"> vismaz reizi divos gados mēneša laikā pēc tam, kad Eiropas Komisija ir paziņojusi Eiropas Savienība</w:t>
            </w:r>
            <w:r w:rsidR="004C7A0B" w:rsidRPr="00A3752A">
              <w:rPr>
                <w:rFonts w:cs="Times New Roman"/>
                <w:szCs w:val="24"/>
                <w:shd w:val="clear" w:color="auto" w:fill="FFFFFF"/>
              </w:rPr>
              <w:t>s Oficiālajā Vēstnesī attiecīgo līgumcenas</w:t>
            </w:r>
            <w:r w:rsidRPr="00A3752A">
              <w:rPr>
                <w:rFonts w:cs="Times New Roman"/>
                <w:szCs w:val="24"/>
                <w:shd w:val="clear" w:color="auto" w:fill="FFFFFF"/>
              </w:rPr>
              <w:t xml:space="preserve"> robežvērtīb</w:t>
            </w:r>
            <w:r w:rsidR="004C7A0B" w:rsidRPr="00A3752A">
              <w:rPr>
                <w:rFonts w:cs="Times New Roman"/>
                <w:szCs w:val="24"/>
                <w:shd w:val="clear" w:color="auto" w:fill="FFFFFF"/>
              </w:rPr>
              <w:t>u</w:t>
            </w:r>
            <w:r w:rsidRPr="00A3752A">
              <w:rPr>
                <w:rFonts w:cs="Times New Roman"/>
                <w:szCs w:val="24"/>
                <w:shd w:val="clear" w:color="auto" w:fill="FFFFFF"/>
              </w:rPr>
              <w:t>.</w:t>
            </w:r>
          </w:p>
          <w:p w:rsidR="00894C55" w:rsidRPr="00A3752A" w:rsidRDefault="00701D57" w:rsidP="00EF097B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3752A">
              <w:rPr>
                <w:rFonts w:cs="Times New Roman"/>
                <w:szCs w:val="24"/>
              </w:rPr>
              <w:t xml:space="preserve">2015.gada 25.novembrī Eiropas Savienības Oficiālajā Vēstnesī L daļā (307.nr.) publicēta Regula Nr.2015/2172, ar kuru  līgumcenas robežvērtība attiecībā uz koncesijas līgumcenu tiek noteikta kā </w:t>
            </w:r>
            <w:r w:rsidR="000518E4" w:rsidRPr="001F6A2E">
              <w:rPr>
                <w:szCs w:val="28"/>
              </w:rPr>
              <w:t xml:space="preserve">5 225 000 </w:t>
            </w:r>
            <w:proofErr w:type="spellStart"/>
            <w:r w:rsidR="000518E4" w:rsidRPr="001F6A2E">
              <w:rPr>
                <w:i/>
                <w:szCs w:val="28"/>
              </w:rPr>
              <w:t>euro</w:t>
            </w:r>
            <w:proofErr w:type="spellEnd"/>
            <w:r w:rsidRPr="00A3752A">
              <w:rPr>
                <w:rFonts w:cs="Times New Roman"/>
                <w:szCs w:val="24"/>
              </w:rPr>
              <w:t>.</w:t>
            </w:r>
          </w:p>
          <w:p w:rsidR="00FF14BD" w:rsidRPr="00A3752A" w:rsidRDefault="00CD1B36" w:rsidP="00EF097B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3752A">
              <w:rPr>
                <w:rFonts w:cs="Times New Roman"/>
                <w:szCs w:val="24"/>
              </w:rPr>
              <w:t>Minētā līgu</w:t>
            </w:r>
            <w:r w:rsidR="00FF14BD" w:rsidRPr="00A3752A">
              <w:rPr>
                <w:rFonts w:cs="Times New Roman"/>
                <w:szCs w:val="24"/>
              </w:rPr>
              <w:t>mcenas robežvērtība ir noteikta saistībā ar:</w:t>
            </w:r>
          </w:p>
          <w:p w:rsidR="00FF14BD" w:rsidRPr="00A3752A" w:rsidRDefault="003D7B12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right="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3752A">
              <w:rPr>
                <w:rFonts w:ascii="Times New Roman" w:hAnsi="Times New Roman"/>
                <w:szCs w:val="24"/>
                <w:lang w:val="lv-LV"/>
              </w:rPr>
              <w:t xml:space="preserve">paziņojumu </w:t>
            </w:r>
            <w:r w:rsidR="0030553A" w:rsidRPr="00A3752A">
              <w:rPr>
                <w:rFonts w:ascii="Times New Roman" w:hAnsi="Times New Roman"/>
                <w:szCs w:val="24"/>
                <w:lang w:val="lv-LV"/>
              </w:rPr>
              <w:t>publikāciju</w:t>
            </w:r>
            <w:r w:rsidRPr="00A3752A">
              <w:rPr>
                <w:rFonts w:ascii="Times New Roman" w:hAnsi="Times New Roman"/>
                <w:szCs w:val="24"/>
                <w:lang w:val="lv-LV"/>
              </w:rPr>
              <w:t xml:space="preserve"> Eiropas Savienības Oficiālajā Vēstnesī (Publiskās un privātās partnerības likuma</w:t>
            </w:r>
            <w:r w:rsidR="0030553A" w:rsidRPr="00A3752A">
              <w:rPr>
                <w:rFonts w:ascii="Times New Roman" w:hAnsi="Times New Roman"/>
                <w:szCs w:val="24"/>
                <w:lang w:val="lv-LV"/>
              </w:rPr>
              <w:t xml:space="preserve"> 13.panta sestā daļa, 20.panta otrā un trešā daļa</w:t>
            </w:r>
            <w:r w:rsidR="00EF097B" w:rsidRPr="00A3752A">
              <w:rPr>
                <w:rFonts w:ascii="Times New Roman" w:hAnsi="Times New Roman"/>
                <w:szCs w:val="24"/>
                <w:lang w:val="lv-LV"/>
              </w:rPr>
              <w:t xml:space="preserve">, </w:t>
            </w:r>
            <w:r w:rsidR="00EF097B" w:rsidRPr="00A3752A">
              <w:rPr>
                <w:rFonts w:ascii="Times New Roman" w:hAnsi="Times New Roman"/>
                <w:szCs w:val="24"/>
                <w:lang w:val="lv-LV"/>
              </w:rPr>
              <w:lastRenderedPageBreak/>
              <w:t>63. panta septītā daļa</w:t>
            </w:r>
            <w:r w:rsidRPr="00A3752A">
              <w:rPr>
                <w:rFonts w:ascii="Times New Roman" w:hAnsi="Times New Roman"/>
                <w:szCs w:val="24"/>
                <w:lang w:val="lv-LV"/>
              </w:rPr>
              <w:t>);</w:t>
            </w:r>
          </w:p>
          <w:p w:rsidR="00FF14BD" w:rsidRPr="00A3752A" w:rsidRDefault="0030553A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right="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3752A">
              <w:rPr>
                <w:rFonts w:ascii="Times New Roman" w:hAnsi="Times New Roman"/>
                <w:szCs w:val="24"/>
                <w:lang w:val="lv-LV"/>
              </w:rPr>
              <w:t xml:space="preserve">gadījumiem, kad </w:t>
            </w:r>
            <w:r w:rsidRPr="00A3752A">
              <w:rPr>
                <w:rFonts w:ascii="Times New Roman" w:hAnsi="Times New Roman"/>
                <w:szCs w:val="24"/>
                <w:lang w:val="lv-LV" w:eastAsia="lv-LV"/>
              </w:rPr>
              <w:t>koncesijas līgumu var atzīt par spēkā neesošu, grozīt vai atcelt tās noteikumus vai saīsināt koncesijas līguma termiņu (</w:t>
            </w:r>
            <w:r w:rsidRPr="00A3752A">
              <w:rPr>
                <w:rFonts w:ascii="Times New Roman" w:hAnsi="Times New Roman"/>
                <w:szCs w:val="24"/>
                <w:lang w:val="lv-LV"/>
              </w:rPr>
              <w:t>31.</w:t>
            </w:r>
            <w:r w:rsidRPr="00A3752A">
              <w:rPr>
                <w:rFonts w:ascii="Times New Roman" w:hAnsi="Times New Roman"/>
                <w:szCs w:val="24"/>
                <w:vertAlign w:val="superscript"/>
                <w:lang w:val="lv-LV"/>
              </w:rPr>
              <w:t>1</w:t>
            </w:r>
            <w:r w:rsidR="00EF097B" w:rsidRPr="00A3752A">
              <w:rPr>
                <w:rFonts w:ascii="Times New Roman" w:hAnsi="Times New Roman"/>
                <w:szCs w:val="24"/>
                <w:lang w:val="lv-LV"/>
              </w:rPr>
              <w:t> </w:t>
            </w:r>
            <w:r w:rsidRPr="00A3752A">
              <w:rPr>
                <w:rFonts w:ascii="Times New Roman" w:hAnsi="Times New Roman"/>
                <w:szCs w:val="24"/>
                <w:lang w:val="lv-LV"/>
              </w:rPr>
              <w:t>panta trešās daļas 2.punkta “a” apakšpunkts, 31.</w:t>
            </w:r>
            <w:r w:rsidRPr="00A3752A">
              <w:rPr>
                <w:rFonts w:ascii="Times New Roman" w:hAnsi="Times New Roman"/>
                <w:szCs w:val="24"/>
                <w:vertAlign w:val="superscript"/>
                <w:lang w:val="lv-LV"/>
              </w:rPr>
              <w:t>2</w:t>
            </w:r>
            <w:r w:rsidRPr="00A3752A">
              <w:rPr>
                <w:rFonts w:ascii="Times New Roman" w:hAnsi="Times New Roman"/>
                <w:szCs w:val="24"/>
                <w:lang w:val="lv-LV"/>
              </w:rPr>
              <w:t> panta pirmās daļas 2.punkts);</w:t>
            </w:r>
          </w:p>
          <w:p w:rsidR="0030553A" w:rsidRPr="00A3752A" w:rsidRDefault="00087ECD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right="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k</w:t>
            </w:r>
            <w:r w:rsidR="00F81963" w:rsidRPr="00A3752A">
              <w:rPr>
                <w:rFonts w:ascii="Times New Roman" w:hAnsi="Times New Roman"/>
                <w:szCs w:val="24"/>
                <w:lang w:val="lv-LV"/>
              </w:rPr>
              <w:t>valitātes vadības standartiem (37.</w:t>
            </w:r>
            <w:r w:rsidR="00F81963" w:rsidRPr="00A3752A">
              <w:rPr>
                <w:rFonts w:ascii="Times New Roman" w:hAnsi="Times New Roman"/>
                <w:szCs w:val="24"/>
                <w:vertAlign w:val="superscript"/>
                <w:lang w:val="lv-LV"/>
              </w:rPr>
              <w:t>5</w:t>
            </w:r>
            <w:r w:rsidR="00F81963" w:rsidRPr="00A3752A">
              <w:rPr>
                <w:rFonts w:ascii="Times New Roman" w:hAnsi="Times New Roman"/>
                <w:szCs w:val="24"/>
                <w:lang w:val="lv-LV"/>
              </w:rPr>
              <w:t> panta trešā daļa) un Vides vadības standartiem (37.</w:t>
            </w:r>
            <w:r w:rsidR="00F81963" w:rsidRPr="00A3752A">
              <w:rPr>
                <w:rFonts w:ascii="Times New Roman" w:hAnsi="Times New Roman"/>
                <w:szCs w:val="24"/>
                <w:vertAlign w:val="superscript"/>
                <w:lang w:val="lv-LV"/>
              </w:rPr>
              <w:t>6</w:t>
            </w:r>
            <w:r w:rsidR="00F81963" w:rsidRPr="00A3752A">
              <w:rPr>
                <w:rFonts w:ascii="Times New Roman" w:hAnsi="Times New Roman"/>
                <w:szCs w:val="24"/>
                <w:lang w:val="lv-LV"/>
              </w:rPr>
              <w:t> panta trešā daļā);</w:t>
            </w:r>
          </w:p>
          <w:p w:rsidR="00F81963" w:rsidRPr="00A3752A" w:rsidRDefault="00087ECD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right="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m</w:t>
            </w:r>
            <w:r w:rsidR="00F81963" w:rsidRPr="00A3752A">
              <w:rPr>
                <w:rFonts w:ascii="Times New Roman" w:hAnsi="Times New Roman"/>
                <w:szCs w:val="24"/>
                <w:lang w:val="lv-LV"/>
              </w:rPr>
              <w:t>inimālo pieteikumu vai piedāvājumu iesniegšanas termiņa pagarinājumu (39.panta devītā daļ</w:t>
            </w:r>
            <w:r w:rsidR="00EF097B" w:rsidRPr="00A3752A">
              <w:rPr>
                <w:rFonts w:ascii="Times New Roman" w:hAnsi="Times New Roman"/>
                <w:szCs w:val="24"/>
                <w:lang w:val="lv-LV"/>
              </w:rPr>
              <w:t>a</w:t>
            </w:r>
            <w:r w:rsidR="00F81963" w:rsidRPr="00A3752A">
              <w:rPr>
                <w:rFonts w:ascii="Times New Roman" w:hAnsi="Times New Roman"/>
                <w:szCs w:val="24"/>
                <w:lang w:val="lv-LV"/>
              </w:rPr>
              <w:t>);</w:t>
            </w:r>
          </w:p>
          <w:p w:rsidR="004C7A0B" w:rsidRPr="00A3752A" w:rsidRDefault="00087ECD" w:rsidP="00EF097B">
            <w:pPr>
              <w:pStyle w:val="ListParagraph"/>
              <w:numPr>
                <w:ilvl w:val="0"/>
                <w:numId w:val="18"/>
              </w:numPr>
              <w:spacing w:after="60" w:line="240" w:lineRule="auto"/>
              <w:ind w:left="714" w:right="57" w:hanging="357"/>
              <w:contextualSpacing w:val="0"/>
              <w:jc w:val="both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k</w:t>
            </w:r>
            <w:r w:rsidR="00EF097B" w:rsidRPr="00A3752A">
              <w:rPr>
                <w:rFonts w:ascii="Times New Roman" w:hAnsi="Times New Roman"/>
                <w:szCs w:val="24"/>
                <w:lang w:val="lv-LV"/>
              </w:rPr>
              <w:t>oncesijas līguma grozījumiem (</w:t>
            </w:r>
            <w:r w:rsidR="000209C5" w:rsidRPr="00A3752A">
              <w:rPr>
                <w:rFonts w:ascii="Times New Roman" w:hAnsi="Times New Roman"/>
                <w:szCs w:val="24"/>
                <w:lang w:val="lv-LV"/>
              </w:rPr>
              <w:t>63.panta piektās daļas 1. </w:t>
            </w:r>
            <w:r w:rsidR="00EF097B" w:rsidRPr="00A3752A">
              <w:rPr>
                <w:rFonts w:ascii="Times New Roman" w:hAnsi="Times New Roman"/>
                <w:szCs w:val="24"/>
                <w:lang w:val="lv-LV"/>
              </w:rPr>
              <w:t>punkts).</w:t>
            </w:r>
          </w:p>
        </w:tc>
      </w:tr>
      <w:tr w:rsidR="0037321C" w:rsidRPr="00A3752A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C2B1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C2B1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BC2B19" w:rsidP="0016698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Finanšu ministrija.</w:t>
            </w:r>
          </w:p>
        </w:tc>
      </w:tr>
      <w:tr w:rsidR="0037321C" w:rsidRPr="00A3752A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C2B1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C2B1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BC2B19" w:rsidP="00BC2B1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894C55" w:rsidRPr="00A3752A" w:rsidRDefault="00894C55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A3752A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A3752A" w:rsidRDefault="00894C55" w:rsidP="00BC2B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II.</w:t>
            </w:r>
            <w:r w:rsidR="0050178F"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37321C" w:rsidRPr="00A3752A" w:rsidTr="0058464C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C2B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C2B19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 xml:space="preserve">Sabiedrības </w:t>
            </w:r>
            <w:proofErr w:type="spellStart"/>
            <w:r w:rsidRPr="00A3752A">
              <w:rPr>
                <w:rFonts w:eastAsia="Times New Roman" w:cs="Times New Roman"/>
                <w:szCs w:val="24"/>
                <w:lang w:eastAsia="lv-LV"/>
              </w:rPr>
              <w:t>mērķgrupas</w:t>
            </w:r>
            <w:proofErr w:type="spellEnd"/>
            <w:r w:rsidRPr="00A3752A">
              <w:rPr>
                <w:rFonts w:eastAsia="Times New Roman" w:cs="Times New Roman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2C1332" w:rsidRDefault="002C1332" w:rsidP="002C1332">
            <w:pPr>
              <w:pStyle w:val="naiskr"/>
              <w:spacing w:before="0" w:after="60"/>
              <w:ind w:right="57"/>
              <w:jc w:val="both"/>
              <w:rPr>
                <w:rFonts w:eastAsia="EUAlbertina_Bold"/>
              </w:rPr>
            </w:pPr>
            <w:r w:rsidRPr="008D1974">
              <w:rPr>
                <w:iCs/>
              </w:rPr>
              <w:t>Publiskie partneri P</w:t>
            </w:r>
            <w:r w:rsidRPr="008D1974">
              <w:t xml:space="preserve">ubliskās un privātās partnerības likuma izpratnē un to noteiktās koncesijas procedūras komisijas. </w:t>
            </w:r>
            <w:r w:rsidRPr="008D1974">
              <w:rPr>
                <w:iCs/>
              </w:rPr>
              <w:t xml:space="preserve">Publisko partneru </w:t>
            </w:r>
            <w:r w:rsidRPr="008D1974">
              <w:rPr>
                <w:rFonts w:eastAsia="EUAlbertina_Bold"/>
              </w:rPr>
              <w:t xml:space="preserve">aptuvenais skaits nav zināms (atbilstoši </w:t>
            </w:r>
            <w:r w:rsidRPr="008D1974">
              <w:t>Iepirkumu uzraudzības biroja uzturētās publikācij</w:t>
            </w:r>
            <w:r w:rsidR="008D1974" w:rsidRPr="008D1974">
              <w:t xml:space="preserve">u vadības sistēmas datiem līdz </w:t>
            </w:r>
            <w:r w:rsidR="008D1974" w:rsidRPr="008D1974" w:rsidDel="000D7605">
              <w:rPr>
                <w:rFonts w:eastAsia="EUAlbertina_Bold"/>
                <w:kern w:val="2"/>
              </w:rPr>
              <w:t>2016.</w:t>
            </w:r>
            <w:r w:rsidR="008D1974" w:rsidRPr="008D1974">
              <w:rPr>
                <w:rFonts w:eastAsia="EUAlbertina_Bold"/>
                <w:kern w:val="2"/>
              </w:rPr>
              <w:t>gada 31</w:t>
            </w:r>
            <w:r w:rsidR="008D1974" w:rsidRPr="008D1974" w:rsidDel="000D7605">
              <w:rPr>
                <w:rFonts w:eastAsia="EUAlbertina_Bold"/>
                <w:kern w:val="2"/>
              </w:rPr>
              <w:t>.</w:t>
            </w:r>
            <w:r w:rsidR="008D1974" w:rsidRPr="008D1974">
              <w:rPr>
                <w:rFonts w:eastAsia="EUAlbertina_Bold"/>
                <w:kern w:val="2"/>
              </w:rPr>
              <w:t>decembrim</w:t>
            </w:r>
            <w:r w:rsidR="008D1974" w:rsidRPr="008D1974" w:rsidDel="000D7605">
              <w:rPr>
                <w:rFonts w:eastAsia="EUAlbertina_Bold"/>
                <w:kern w:val="2"/>
              </w:rPr>
              <w:t xml:space="preserve"> </w:t>
            </w:r>
            <w:r w:rsidR="008D1974" w:rsidRPr="008D1974">
              <w:rPr>
                <w:rFonts w:eastAsia="EUAlbertina_Bold"/>
                <w:kern w:val="2"/>
              </w:rPr>
              <w:t xml:space="preserve">ir </w:t>
            </w:r>
            <w:r w:rsidR="008D1974" w:rsidRPr="008D1974" w:rsidDel="000D7605">
              <w:rPr>
                <w:rFonts w:eastAsia="EUAlbertina_Bold"/>
                <w:kern w:val="2"/>
              </w:rPr>
              <w:t>reģistrē</w:t>
            </w:r>
            <w:r w:rsidR="008D1974" w:rsidRPr="008D1974">
              <w:rPr>
                <w:rFonts w:eastAsia="EUAlbertina_Bold"/>
                <w:kern w:val="2"/>
              </w:rPr>
              <w:t>ti</w:t>
            </w:r>
            <w:r w:rsidR="008D1974" w:rsidRPr="008D1974" w:rsidDel="000D7605">
              <w:rPr>
                <w:rFonts w:eastAsia="EUAlbertina_Bold"/>
                <w:kern w:val="2"/>
              </w:rPr>
              <w:t xml:space="preserve"> 2</w:t>
            </w:r>
            <w:r w:rsidR="008D1974" w:rsidRPr="008D1974">
              <w:rPr>
                <w:rFonts w:eastAsia="EUAlbertina_Bold"/>
                <w:kern w:val="2"/>
              </w:rPr>
              <w:t>037 pasūtītāji</w:t>
            </w:r>
            <w:r w:rsidR="008D1974" w:rsidRPr="008D1974">
              <w:rPr>
                <w:rFonts w:eastAsia="EUAlbertina_Bold"/>
              </w:rPr>
              <w:t xml:space="preserve"> un 241 sabiedrisko pakalpojumu sniedzējs</w:t>
            </w:r>
            <w:r w:rsidRPr="008D1974">
              <w:rPr>
                <w:rFonts w:eastAsia="EUAlbertina_Bold"/>
              </w:rPr>
              <w:t>).</w:t>
            </w:r>
          </w:p>
          <w:p w:rsidR="00166980" w:rsidRPr="00A3752A" w:rsidRDefault="002C1332" w:rsidP="002C1332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EUAlbertina_Bold"/>
                <w:szCs w:val="24"/>
              </w:rPr>
              <w:t xml:space="preserve">Pretendenti </w:t>
            </w:r>
            <w:r w:rsidRPr="00A3752A">
              <w:rPr>
                <w:iCs/>
                <w:szCs w:val="24"/>
              </w:rPr>
              <w:t>P</w:t>
            </w:r>
            <w:r w:rsidRPr="00A3752A">
              <w:rPr>
                <w:rFonts w:cs="Times New Roman"/>
                <w:szCs w:val="24"/>
              </w:rPr>
              <w:t>ubliskā</w:t>
            </w:r>
            <w:r w:rsidRPr="00A3752A">
              <w:rPr>
                <w:szCs w:val="24"/>
              </w:rPr>
              <w:t>s un privātās partnerības likuma izpratnē</w:t>
            </w:r>
            <w:r w:rsidRPr="00A3752A">
              <w:rPr>
                <w:rFonts w:eastAsia="EUAlbertina_Bold"/>
                <w:szCs w:val="24"/>
              </w:rPr>
              <w:t>, to k</w:t>
            </w:r>
            <w:r w:rsidRPr="00A3752A">
              <w:rPr>
                <w:szCs w:val="24"/>
              </w:rPr>
              <w:t xml:space="preserve">opējo skaitu noteikt nav iespējams, kā </w:t>
            </w:r>
            <w:r w:rsidRPr="00A3752A">
              <w:rPr>
                <w:rFonts w:eastAsia="EUAlbertina_Bold"/>
                <w:szCs w:val="24"/>
              </w:rPr>
              <w:t>pretendenti var būt gan fiziskas, gan juridiskas personas, tajā skaitā personas no ārvalstīm.</w:t>
            </w:r>
          </w:p>
        </w:tc>
      </w:tr>
      <w:tr w:rsidR="0037321C" w:rsidRPr="00A3752A" w:rsidTr="0058464C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2C133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2C133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B62D4D" w:rsidP="00B62D4D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szCs w:val="24"/>
                <w:shd w:val="clear" w:color="auto" w:fill="FFFFFF"/>
              </w:rPr>
              <w:t>Sabiedrības grupām un institūcijām projekta tiesiskais regulējums nemaina tiesības un pienākumus, kā arī veicamās darbības.</w:t>
            </w:r>
          </w:p>
        </w:tc>
      </w:tr>
      <w:tr w:rsidR="0037321C" w:rsidRPr="00A3752A" w:rsidTr="0058464C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2C133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2C133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B62D4D" w:rsidP="00B62D4D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EUAlbertina_Bold"/>
                <w:szCs w:val="24"/>
              </w:rPr>
              <w:t>Projekts šo jomu neskar.</w:t>
            </w:r>
          </w:p>
        </w:tc>
      </w:tr>
      <w:tr w:rsidR="0037321C" w:rsidRPr="00A3752A" w:rsidTr="0058464C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2C1332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2C133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B62D4D" w:rsidP="00B62D4D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894C55" w:rsidRPr="00A3752A" w:rsidRDefault="00894C55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A3752A" w:rsidTr="0037321C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321C" w:rsidRPr="00A3752A" w:rsidRDefault="0037321C" w:rsidP="001E4A7B">
            <w:pPr>
              <w:spacing w:after="6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37321C" w:rsidRPr="00A3752A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58464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66836" w:rsidRPr="00A3752A" w:rsidRDefault="0037321C" w:rsidP="00EE1027">
            <w:pPr>
              <w:spacing w:after="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3752A">
              <w:rPr>
                <w:rFonts w:cs="Times New Roman"/>
                <w:szCs w:val="24"/>
              </w:rPr>
              <w:t>1. </w:t>
            </w:r>
            <w:r w:rsidRPr="00A3752A">
              <w:rPr>
                <w:rFonts w:cs="Times New Roman"/>
                <w:b/>
                <w:szCs w:val="24"/>
              </w:rPr>
              <w:t xml:space="preserve">Eiropas Parlamenta un Padomes </w:t>
            </w:r>
            <w:r w:rsidR="00D66836" w:rsidRPr="00A3752A">
              <w:rPr>
                <w:rFonts w:cs="Times New Roman"/>
                <w:b/>
                <w:szCs w:val="24"/>
              </w:rPr>
              <w:t>2014.gada 26.februāra Direktīva</w:t>
            </w:r>
            <w:r w:rsidRPr="00A3752A">
              <w:rPr>
                <w:rFonts w:cs="Times New Roman"/>
                <w:b/>
                <w:szCs w:val="24"/>
              </w:rPr>
              <w:t xml:space="preserve"> 2014/23/ES par koncesijas līgumu slēgšanas tiesību </w:t>
            </w:r>
            <w:r w:rsidR="00D66836" w:rsidRPr="00A3752A">
              <w:rPr>
                <w:rFonts w:cs="Times New Roman"/>
                <w:b/>
                <w:szCs w:val="24"/>
              </w:rPr>
              <w:t>piešķiršanu</w:t>
            </w:r>
            <w:r w:rsidR="00D66836" w:rsidRPr="00A3752A">
              <w:rPr>
                <w:rFonts w:cs="Times New Roman"/>
                <w:szCs w:val="24"/>
              </w:rPr>
              <w:t>.</w:t>
            </w:r>
          </w:p>
          <w:p w:rsidR="00D66836" w:rsidRPr="00A3752A" w:rsidRDefault="0037321C" w:rsidP="00EE1027">
            <w:pPr>
              <w:spacing w:after="60" w:line="240" w:lineRule="auto"/>
              <w:ind w:right="57"/>
              <w:jc w:val="both"/>
              <w:rPr>
                <w:szCs w:val="24"/>
                <w:lang w:eastAsia="lv-LV"/>
              </w:rPr>
            </w:pPr>
            <w:r w:rsidRPr="00A3752A">
              <w:rPr>
                <w:rFonts w:cs="Times New Roman"/>
                <w:szCs w:val="24"/>
              </w:rPr>
              <w:t>Direktīvas 2014/23/ES noteiktās prasības nacionālajā tiesību sistēmā bija jāpārņem līdz 2016.gada 18.aprīlim.</w:t>
            </w:r>
            <w:r w:rsidR="00D66836" w:rsidRPr="00A3752A">
              <w:rPr>
                <w:rFonts w:cs="Times New Roman"/>
                <w:szCs w:val="24"/>
              </w:rPr>
              <w:t xml:space="preserve"> Tās tiks pārņemtas ar grozījumiem Publiskās un privātās partnerības likumā. Līdz minēto grozījumu spēkā stāšanās datumam </w:t>
            </w:r>
            <w:r w:rsidR="00D66836" w:rsidRPr="00A3752A">
              <w:rPr>
                <w:szCs w:val="24"/>
                <w:lang w:eastAsia="lv-LV"/>
              </w:rPr>
              <w:t>jābūt Ministru kabinetā pieņemtiem un jāstājas spēkā viesiem no tā izrietošajiem Ministru kabineta noteikumiem.</w:t>
            </w:r>
          </w:p>
          <w:p w:rsidR="00D66836" w:rsidRPr="00A3752A" w:rsidRDefault="00D66836" w:rsidP="00EE1027">
            <w:pPr>
              <w:spacing w:after="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3752A">
              <w:rPr>
                <w:rFonts w:cs="Times New Roman"/>
                <w:szCs w:val="24"/>
              </w:rPr>
              <w:lastRenderedPageBreak/>
              <w:t>2. </w:t>
            </w:r>
            <w:r w:rsidR="001E4A7B" w:rsidRPr="00A3752A">
              <w:rPr>
                <w:rFonts w:cs="Times New Roman"/>
                <w:b/>
                <w:szCs w:val="24"/>
              </w:rPr>
              <w:t>Komisijas 2015.gada 24.novembra deleģētā regula Nr.2015/2172 ar ko groza Eiropas Parlamenta un Padomes Direktīvu 2014/23/ES par tās piemērošanas robežvērtībām līgumu slēgšanas tiesību piešķiršanas procedūrās</w:t>
            </w:r>
            <w:r w:rsidR="001E4A7B" w:rsidRPr="00A3752A">
              <w:rPr>
                <w:rFonts w:cs="Times New Roman"/>
                <w:szCs w:val="24"/>
              </w:rPr>
              <w:t>.</w:t>
            </w:r>
          </w:p>
          <w:p w:rsidR="00904475" w:rsidRPr="00A3752A" w:rsidRDefault="00904475" w:rsidP="008B0370">
            <w:pPr>
              <w:spacing w:after="60" w:line="240" w:lineRule="auto"/>
              <w:ind w:right="57"/>
              <w:jc w:val="both"/>
            </w:pPr>
            <w:r w:rsidRPr="00A3752A">
              <w:rPr>
                <w:rFonts w:cs="Times New Roman"/>
                <w:szCs w:val="24"/>
              </w:rPr>
              <w:t xml:space="preserve">Regula Nr.2015/2172 </w:t>
            </w:r>
            <w:r w:rsidRPr="00A3752A">
              <w:t>stājās spēkā 2016.gada 1.janvārī</w:t>
            </w:r>
            <w:r w:rsidR="00087ECD">
              <w:t xml:space="preserve"> un tajā </w:t>
            </w:r>
            <w:r w:rsidR="00EE1027" w:rsidRPr="00A3752A">
              <w:rPr>
                <w:rFonts w:cs="Times New Roman"/>
              </w:rPr>
              <w:t>noteiktā l</w:t>
            </w:r>
            <w:r w:rsidRPr="00A3752A">
              <w:rPr>
                <w:rFonts w:cs="Times New Roman"/>
              </w:rPr>
              <w:t>īgumcenas robežvērtība ir vienāda ar robežvērtību, ko paredz Komisi</w:t>
            </w:r>
            <w:r w:rsidR="00EE1027" w:rsidRPr="00A3752A">
              <w:rPr>
                <w:rFonts w:cs="Times New Roman"/>
              </w:rPr>
              <w:t>jas 2015.gada 15.decembra regula</w:t>
            </w:r>
            <w:r w:rsidRPr="00A3752A">
              <w:rPr>
                <w:rFonts w:cs="Times New Roman"/>
              </w:rPr>
              <w:t xml:space="preserve"> Nr.2015/2342, ar ko groza Eiropas Parlamenta un Padomes Direktīvu 2004/18/EK attiecībā uz tās piemērošanas robežvērtībām līgumu slēgšanas tiesību piešķiršanas procedūrās, </w:t>
            </w:r>
            <w:r w:rsidR="00EE1027" w:rsidRPr="00A3752A">
              <w:rPr>
                <w:rFonts w:cs="Times New Roman"/>
              </w:rPr>
              <w:t xml:space="preserve">un </w:t>
            </w:r>
            <w:r w:rsidRPr="00A3752A">
              <w:rPr>
                <w:rFonts w:cs="Times New Roman"/>
              </w:rPr>
              <w:t xml:space="preserve">kas </w:t>
            </w:r>
            <w:r w:rsidR="00EE1027" w:rsidRPr="00A3752A">
              <w:rPr>
                <w:rFonts w:cs="Times New Roman"/>
              </w:rPr>
              <w:t xml:space="preserve">ir </w:t>
            </w:r>
            <w:r w:rsidRPr="00A3752A">
              <w:rPr>
                <w:rFonts w:cs="Times New Roman"/>
              </w:rPr>
              <w:t>pārņemta ar Ministru kabineta 2016.gada 19.janvāra noteikumiem Nr.38 “Grozījums Ministru kabineta 2009.gada 22.septembra noteikumos Nr.</w:t>
            </w:r>
            <w:r w:rsidR="00EE1027" w:rsidRPr="00A3752A">
              <w:rPr>
                <w:rFonts w:cs="Times New Roman"/>
              </w:rPr>
              <w:t>1068 “</w:t>
            </w:r>
            <w:r w:rsidRPr="00A3752A">
              <w:rPr>
                <w:rFonts w:cs="Times New Roman"/>
              </w:rPr>
              <w:t>Noteikumi par būvdarbu koncesiju līgumcenu robežām</w:t>
            </w:r>
            <w:r w:rsidR="00087ECD">
              <w:rPr>
                <w:rFonts w:cs="Times New Roman"/>
              </w:rPr>
              <w:t>”</w:t>
            </w:r>
            <w:r w:rsidR="00EE1027" w:rsidRPr="00A3752A">
              <w:rPr>
                <w:rFonts w:cs="Times New Roman"/>
              </w:rPr>
              <w:t>” (</w:t>
            </w:r>
            <w:r w:rsidR="00087ECD">
              <w:rPr>
                <w:rFonts w:cs="Times New Roman"/>
              </w:rPr>
              <w:t xml:space="preserve">šie Ministru kabineta noteikumi </w:t>
            </w:r>
            <w:r w:rsidR="00EE1027" w:rsidRPr="00A3752A">
              <w:rPr>
                <w:rFonts w:cs="Times New Roman"/>
              </w:rPr>
              <w:t xml:space="preserve">zaudēs spēku līdz ar </w:t>
            </w:r>
            <w:r w:rsidR="00EE1027" w:rsidRPr="00A3752A">
              <w:rPr>
                <w:rFonts w:cs="Times New Roman"/>
                <w:szCs w:val="24"/>
              </w:rPr>
              <w:t>grozījum</w:t>
            </w:r>
            <w:r w:rsidR="008B0370">
              <w:rPr>
                <w:rFonts w:cs="Times New Roman"/>
              </w:rPr>
              <w:t>u</w:t>
            </w:r>
            <w:r w:rsidR="00EE1027" w:rsidRPr="00A3752A">
              <w:rPr>
                <w:rFonts w:cs="Times New Roman"/>
                <w:szCs w:val="24"/>
              </w:rPr>
              <w:t xml:space="preserve"> Publiskās un privātās partnerības likumā</w:t>
            </w:r>
            <w:r w:rsidR="00EE1027" w:rsidRPr="00A3752A">
              <w:rPr>
                <w:rFonts w:cs="Times New Roman"/>
              </w:rPr>
              <w:t xml:space="preserve"> spēkā stāšanos).</w:t>
            </w:r>
          </w:p>
        </w:tc>
      </w:tr>
      <w:tr w:rsidR="0037321C" w:rsidRPr="00A3752A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Citas starptautiskās saistības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37321C" w:rsidRPr="00A3752A" w:rsidTr="0058464C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37321C" w:rsidRPr="00A3752A" w:rsidRDefault="0037321C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260"/>
        <w:gridCol w:w="2126"/>
        <w:gridCol w:w="2552"/>
        <w:gridCol w:w="2117"/>
      </w:tblGrid>
      <w:tr w:rsidR="0037321C" w:rsidRPr="00A3752A" w:rsidTr="0037321C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37321C" w:rsidRPr="00A3752A" w:rsidRDefault="0037321C" w:rsidP="0037321C">
            <w:pPr>
              <w:keepNext/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1. tabula</w:t>
            </w: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37321C" w:rsidRPr="00A3752A" w:rsidTr="00EA4F7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:rsidR="0037321C" w:rsidRPr="00A3752A" w:rsidRDefault="0037321C" w:rsidP="00EE1027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A3752A">
              <w:rPr>
                <w:rFonts w:cs="Times New Roman"/>
                <w:szCs w:val="24"/>
              </w:rPr>
              <w:t>Eiropas Parlamenta un Padomes 2014.gada 26.februāra Direktīvas 2014/23/ES par koncesijas līgumu slēgšanas tiesību piešķiršanu.</w:t>
            </w:r>
          </w:p>
        </w:tc>
      </w:tr>
      <w:tr w:rsidR="0037321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37321C" w:rsidRPr="00A3752A" w:rsidRDefault="0037321C" w:rsidP="0037321C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37321C" w:rsidRPr="00A3752A" w:rsidRDefault="0037321C" w:rsidP="0037321C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B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37321C" w:rsidRPr="00A3752A" w:rsidRDefault="0037321C" w:rsidP="0037321C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:rsidR="0037321C" w:rsidRPr="00A3752A" w:rsidRDefault="0037321C" w:rsidP="0037321C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D</w:t>
            </w:r>
          </w:p>
        </w:tc>
      </w:tr>
      <w:tr w:rsidR="0037321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A3752A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A3752A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Projekta vienība, kas pārņem vai ievieš katru šīs tabulas A ailē minēto ES tiesību akta vienību, vai tiesību akts, kur attiecīgā ES tiesību akta vienība pārņemta vai ieviesta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A3752A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Informācija par to, vai šīs tabulas A ailē minētās ES tiesību akta vienības tiek pārņemtas vai ieviestas pilnībā vai daļēji.</w:t>
            </w:r>
          </w:p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A3752A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A3752A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A3752A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Informācija par to, vai šīs tabulas B ailē minētās projekta vienības paredz stingrākas prasības nekā šīs tabulas A ailē minētās ES tiesību akta vienības.</w:t>
            </w:r>
          </w:p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A3752A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Ja projekts satur stingrākas prasības nekā attiecīgais ES tiesību akts, norāda pamatojumu un samērīgumu.</w:t>
            </w:r>
          </w:p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i/>
                <w:sz w:val="20"/>
                <w:szCs w:val="20"/>
                <w:lang w:eastAsia="lv-LV"/>
              </w:rPr>
            </w:pPr>
            <w:r w:rsidRPr="00A3752A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37321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C65498" w:rsidP="00A3752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="00A3752A" w:rsidRPr="00A3752A">
              <w:rPr>
                <w:rFonts w:eastAsia="Times New Roman" w:cs="Times New Roman"/>
                <w:szCs w:val="24"/>
                <w:lang w:eastAsia="lv-LV"/>
              </w:rPr>
              <w:t>.panta 1.-2.punkts.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A3752A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Publiskās un privātās partnerības likums</w:t>
            </w:r>
            <w:r w:rsidR="005E55FC">
              <w:rPr>
                <w:rFonts w:eastAsia="Times New Roman" w:cs="Times New Roman"/>
                <w:szCs w:val="24"/>
                <w:lang w:eastAsia="lv-LV"/>
              </w:rPr>
              <w:t xml:space="preserve"> (turpmāk – Likums)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A3752A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37321C" w:rsidP="00EA1C77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7321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Default="00A3752A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1.panta 3.-4.punkts.</w:t>
            </w:r>
          </w:p>
          <w:p w:rsidR="0003455C" w:rsidRPr="00A3752A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Netiek pārņemts.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7321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2.panta 2.punkts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37321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03455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3.panta 1.-2.punkts.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5E55F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r w:rsidR="0003455C" w:rsidRPr="00A3752A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7C00B5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37321C" w:rsidRPr="00A3752A" w:rsidRDefault="0037321C" w:rsidP="0037321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5.panta 1.-5.punkts.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5E55F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r w:rsidR="007C00B5" w:rsidRPr="00A3752A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7C00B5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00B5" w:rsidRPr="00A3752A" w:rsidRDefault="007C00B5" w:rsidP="007C00B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5.panta 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00B5" w:rsidRPr="00A3752A" w:rsidRDefault="007C00B5" w:rsidP="007C00B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Netiek pārņemts.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00B5" w:rsidRPr="00A3752A" w:rsidRDefault="007C00B5" w:rsidP="007C00B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7C00B5" w:rsidRPr="00A3752A" w:rsidRDefault="007C00B5" w:rsidP="007C00B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5.panta 7.-12.punkts.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5E55F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r w:rsidR="007C00B5" w:rsidRPr="00A3752A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5.panta 13.punkts.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Zinātniskās darbības 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7C00B5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6.pants.</w:t>
            </w:r>
          </w:p>
          <w:p w:rsidR="005E55FC" w:rsidRPr="00A3752A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7.panta 1.-2.punkts.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7.panta 3.punkts.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03455C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7.panta 4.punkts.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5E55F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5E55F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3455C" w:rsidRPr="00A3752A" w:rsidRDefault="0003455C" w:rsidP="0003455C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Likuma 13.</w:t>
            </w:r>
            <w:r w:rsidRPr="005B4504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>
              <w:rPr>
                <w:rFonts w:eastAsia="Times New Roman" w:cs="Times New Roman"/>
                <w:szCs w:val="24"/>
                <w:lang w:eastAsia="lv-LV"/>
              </w:rPr>
              <w:t>pants.</w:t>
            </w:r>
          </w:p>
          <w:p w:rsidR="00916681" w:rsidRPr="00A3752A" w:rsidRDefault="00916681" w:rsidP="00A1286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Projekta </w:t>
            </w:r>
            <w:r w:rsidRPr="00187E2D">
              <w:rPr>
                <w:szCs w:val="28"/>
              </w:rPr>
              <w:t>1.2</w:t>
            </w:r>
            <w:r>
              <w:rPr>
                <w:szCs w:val="28"/>
              </w:rPr>
              <w:t>.apakšpunkts.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vienība tiek pārņemta pilnībā.</w:t>
            </w:r>
          </w:p>
          <w:p w:rsidR="00916681" w:rsidRPr="004849CC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Līgumcenas robežvērtība atbilst pilnībā, ņemot vērā līgumcenu robežvērtību, kas noteikta ar </w:t>
            </w:r>
            <w:r>
              <w:rPr>
                <w:rFonts w:cs="Times New Roman"/>
                <w:szCs w:val="24"/>
              </w:rPr>
              <w:t xml:space="preserve">Regulu </w:t>
            </w:r>
            <w:r w:rsidRPr="00A3752A">
              <w:rPr>
                <w:rFonts w:cs="Times New Roman"/>
                <w:szCs w:val="24"/>
              </w:rPr>
              <w:t>Nr.2015/2172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4849CC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Projekts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 stingrākas prasības neparedz.</w:t>
            </w:r>
          </w:p>
        </w:tc>
      </w:tr>
      <w:tr w:rsidR="009663BF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663BF" w:rsidRPr="00A3752A" w:rsidRDefault="009663BF" w:rsidP="009663BF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8.panta 2.-6.punkts.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663BF" w:rsidRPr="00A3752A" w:rsidRDefault="009663BF" w:rsidP="009663BF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t>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663BF" w:rsidRPr="00A3752A" w:rsidRDefault="009663BF" w:rsidP="009663BF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663BF" w:rsidRPr="00A3752A" w:rsidRDefault="009663BF" w:rsidP="009663BF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9.pants.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10.-19.pants.</w:t>
            </w:r>
          </w:p>
          <w:p w:rsidR="0049616E" w:rsidRPr="00A3752A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EA1C77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20.panta 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20.panta 3.-5.punkts.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16681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49616E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16681" w:rsidRPr="00A3752A" w:rsidRDefault="00916681" w:rsidP="00916681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49616E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9616E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21.panta 2.-3.punkts.</w:t>
            </w:r>
          </w:p>
          <w:p w:rsidR="0049616E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22.-26.pants.</w:t>
            </w:r>
          </w:p>
          <w:p w:rsidR="0049616E" w:rsidRPr="00A3752A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27.panta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9616E" w:rsidRPr="00A3752A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9616E" w:rsidRPr="00A3752A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49616E" w:rsidRPr="00A3752A" w:rsidRDefault="0049616E" w:rsidP="0049616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27.panta 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28.-29.pants.</w:t>
            </w:r>
          </w:p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30.panta 1-3.punkts.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lastRenderedPageBreak/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A445D8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30.panta 4.punkts.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A445D8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445D8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445D8" w:rsidRPr="00A3752A" w:rsidRDefault="00A445D8" w:rsidP="00A445D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31.panta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445D8" w:rsidRPr="00A3752A" w:rsidRDefault="00A445D8" w:rsidP="00A445D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445D8" w:rsidRPr="00A3752A" w:rsidRDefault="00A445D8" w:rsidP="00A445D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445D8" w:rsidRPr="00A3752A" w:rsidRDefault="00A445D8" w:rsidP="00A445D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872FD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31.panta 2.</w:t>
            </w:r>
            <w:r w:rsidR="005B1BEE">
              <w:rPr>
                <w:rFonts w:eastAsia="Times New Roman" w:cs="Times New Roman"/>
                <w:szCs w:val="24"/>
                <w:lang w:eastAsia="lv-LV"/>
              </w:rPr>
              <w:t>-3.</w:t>
            </w:r>
            <w:r>
              <w:rPr>
                <w:rFonts w:eastAsia="Times New Roman" w:cs="Times New Roman"/>
                <w:szCs w:val="24"/>
                <w:lang w:eastAsia="lv-LV"/>
              </w:rPr>
              <w:t>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872FD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Default="00872FDD" w:rsidP="0094728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:rsidR="00872FDD" w:rsidRPr="00A3752A" w:rsidRDefault="00872FDD" w:rsidP="00947282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ienība tiks pārņemta pilnībā 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ar Ministru kabineta noteikumiem par </w:t>
            </w:r>
            <w:r>
              <w:rPr>
                <w:rFonts w:cs="Times New Roman"/>
                <w:szCs w:val="24"/>
              </w:rPr>
              <w:t>koncesijas procedūru</w:t>
            </w:r>
            <w:r w:rsidRPr="004849CC">
              <w:rPr>
                <w:rFonts w:cs="Times New Roman"/>
                <w:szCs w:val="24"/>
              </w:rPr>
              <w:t xml:space="preserve"> paziņojumu saturu un sagatavošanas kārtību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1BEE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31.panta 4.-5.punkts.</w:t>
            </w:r>
          </w:p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32.panta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1BEE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32.panta 2.punkts.</w:t>
            </w:r>
          </w:p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ienība tiks pārņemta pilnībā 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ar Ministru kabineta noteikumiem par </w:t>
            </w:r>
            <w:r>
              <w:rPr>
                <w:rFonts w:cs="Times New Roman"/>
                <w:szCs w:val="24"/>
              </w:rPr>
              <w:t>koncesijas procedūru</w:t>
            </w:r>
            <w:r w:rsidRPr="004849CC">
              <w:rPr>
                <w:rFonts w:cs="Times New Roman"/>
                <w:szCs w:val="24"/>
              </w:rPr>
              <w:t xml:space="preserve"> paziņojumu saturu un sagatavošanas kārtību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B1BEE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33.panta 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B1BEE" w:rsidRPr="00A3752A" w:rsidRDefault="005B1BEE" w:rsidP="005B1BEE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B1BEE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33.panta 3.punkts.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B1BEE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A6091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091A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33.psnts 4.punkts.</w:t>
            </w:r>
          </w:p>
          <w:p w:rsidR="00A6091A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34.-36.pants.</w:t>
            </w:r>
          </w:p>
          <w:p w:rsidR="00A6091A" w:rsidRPr="00A3752A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37.panta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091A" w:rsidRPr="00A3752A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091A" w:rsidRPr="00A3752A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A6091A" w:rsidRPr="00A3752A" w:rsidRDefault="00A6091A" w:rsidP="00A6091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D7218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37.panta 2.punkts.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:rsidR="002D7218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ienība tiks pārņemta pilnībā 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ar Ministru kabineta noteikumiem par </w:t>
            </w:r>
            <w:r>
              <w:rPr>
                <w:rFonts w:cs="Times New Roman"/>
                <w:szCs w:val="24"/>
              </w:rPr>
              <w:t>koncesijas procedūru</w:t>
            </w:r>
            <w:r w:rsidRPr="004849CC">
              <w:rPr>
                <w:rFonts w:cs="Times New Roman"/>
                <w:szCs w:val="24"/>
              </w:rPr>
              <w:t xml:space="preserve"> paziņojumu saturu un sagatavošanas kārtību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2D7218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37.panta 3-6.punkts.</w:t>
            </w:r>
          </w:p>
          <w:p w:rsidR="002D7218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38.panta 1.-6.punkts.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2D7218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38.panta 7.punkts.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2D7218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2D7218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:rsidR="00587369" w:rsidRPr="00A3752A" w:rsidRDefault="002D7218" w:rsidP="002D7218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lastRenderedPageBreak/>
              <w:t>ES tiesību akta v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ienība tiks pārņemta pilnībā 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>ar Mi</w:t>
            </w:r>
            <w:r>
              <w:rPr>
                <w:rFonts w:eastAsia="Times New Roman" w:cs="Times New Roman"/>
                <w:szCs w:val="24"/>
                <w:lang w:eastAsia="lv-LV"/>
              </w:rPr>
              <w:t>nistru kabineta noteikumiem ar profesionālās darbības pārkāpumu sarakstu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Default="00841A03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38.panta 8.-10.punkts.</w:t>
            </w:r>
          </w:p>
          <w:p w:rsidR="00EA4F76" w:rsidRPr="00A3752A" w:rsidRDefault="00EA4F76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39.-42.pants.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841A03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841A03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A4F76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A4F76" w:rsidRPr="00A3752A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43.panta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A4F76" w:rsidRPr="00A3752A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A4F76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:rsidR="00EA4F76" w:rsidRPr="00A3752A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ienība tiks pārņemta pilnībā 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ar Ministru kabineta noteikumiem par </w:t>
            </w:r>
            <w:r>
              <w:rPr>
                <w:rFonts w:cs="Times New Roman"/>
                <w:szCs w:val="24"/>
              </w:rPr>
              <w:t>koncesijas procedūru</w:t>
            </w:r>
            <w:r w:rsidRPr="004849CC">
              <w:rPr>
                <w:rFonts w:cs="Times New Roman"/>
                <w:szCs w:val="24"/>
              </w:rPr>
              <w:t xml:space="preserve"> paziņojumu saturu un sagatavošanas kārtību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A4F76" w:rsidRPr="00A3752A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EA4F76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A4F76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43.panta 2.-5.punkts.</w:t>
            </w:r>
          </w:p>
          <w:p w:rsidR="00EA4F76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44.-45.pants.</w:t>
            </w:r>
          </w:p>
          <w:p w:rsidR="00EA4F76" w:rsidRPr="00A3752A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46.panta 1-6.punkts.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A4F76" w:rsidRPr="00A3752A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A4F76" w:rsidRPr="00A3752A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EA4F76" w:rsidRPr="00A3752A" w:rsidRDefault="00EA4F76" w:rsidP="00EA4F76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0D19F0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46.panta 7.punkts.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0D19F0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A08D5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08D5" w:rsidRPr="00A3752A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47.panta 1.-6.punkts.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08D5" w:rsidRPr="00A3752A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08D5" w:rsidRPr="00A3752A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08D5" w:rsidRPr="00A3752A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Default="009A08D5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47.panta 7.punkts.</w:t>
            </w:r>
          </w:p>
          <w:p w:rsidR="009A08D5" w:rsidRPr="00A3752A" w:rsidRDefault="009A08D5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48.-50.pants.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9A08D5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9A08D5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08D5" w:rsidRPr="00A3752A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51.panta 1.punkts.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08D5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Likuma 13.</w:t>
            </w:r>
            <w:r w:rsidRPr="005B4504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>
              <w:rPr>
                <w:rFonts w:eastAsia="Times New Roman" w:cs="Times New Roman"/>
                <w:szCs w:val="24"/>
                <w:lang w:eastAsia="lv-LV"/>
              </w:rPr>
              <w:t>pants.</w:t>
            </w:r>
          </w:p>
          <w:p w:rsidR="009A08D5" w:rsidRPr="00A3752A" w:rsidRDefault="009A08D5" w:rsidP="00A1286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Projekta </w:t>
            </w:r>
            <w:r w:rsidRPr="00187E2D">
              <w:rPr>
                <w:szCs w:val="28"/>
              </w:rPr>
              <w:t>1.</w:t>
            </w:r>
            <w:r>
              <w:rPr>
                <w:szCs w:val="28"/>
              </w:rPr>
              <w:t>3.apakšpunkts.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08D5" w:rsidRPr="004849CC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vienība tiek pārņemta pilnībā.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A08D5" w:rsidRPr="004849CC" w:rsidRDefault="009A08D5" w:rsidP="009A08D5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Projekts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 stingrākas prasības neparedz.</w:t>
            </w: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Default="00BE029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51.panta 2.punkts.</w:t>
            </w:r>
          </w:p>
          <w:p w:rsidR="00BE029D" w:rsidRPr="00A3752A" w:rsidRDefault="00BE029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52.-55.pants.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BE029D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BE029D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E029D" w:rsidRPr="00A3752A" w:rsidRDefault="00BE029D" w:rsidP="00BE029D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I-II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E029D" w:rsidRPr="00A3752A" w:rsidRDefault="00BE029D" w:rsidP="00BE029D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E029D" w:rsidRPr="00A3752A" w:rsidRDefault="00BE029D" w:rsidP="00BE029D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BE029D" w:rsidRPr="00A3752A" w:rsidRDefault="00BE029D" w:rsidP="00BE029D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III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Netiek pārņemts.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IV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V-VIII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ienība tiks pārņemta pilnībā 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ar Ministru kabineta noteikumiem par </w:t>
            </w:r>
            <w:r>
              <w:rPr>
                <w:rFonts w:cs="Times New Roman"/>
                <w:szCs w:val="24"/>
              </w:rPr>
              <w:t>koncesijas procedūru</w:t>
            </w:r>
            <w:r w:rsidRPr="004849CC">
              <w:rPr>
                <w:rFonts w:cs="Times New Roman"/>
                <w:szCs w:val="24"/>
              </w:rPr>
              <w:t xml:space="preserve"> </w:t>
            </w:r>
            <w:r w:rsidRPr="004849CC">
              <w:rPr>
                <w:rFonts w:cs="Times New Roman"/>
                <w:szCs w:val="24"/>
              </w:rPr>
              <w:lastRenderedPageBreak/>
              <w:t>paziņojumu saturu un sagatavošanas kārtību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IX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587369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DC4B8A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X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DC4B8A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87369" w:rsidRPr="00A3752A" w:rsidRDefault="00587369" w:rsidP="0058736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XI pielikums.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Neattiecas deleģējums Ministru kabinetam.</w:t>
            </w:r>
          </w:p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ienība tiks pārņemta pilnībā 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ar Ministru kabineta noteikumiem par </w:t>
            </w:r>
            <w:r>
              <w:rPr>
                <w:rFonts w:cs="Times New Roman"/>
                <w:szCs w:val="24"/>
              </w:rPr>
              <w:t>koncesijas procedūru</w:t>
            </w:r>
            <w:r w:rsidRPr="004849CC">
              <w:rPr>
                <w:rFonts w:cs="Times New Roman"/>
                <w:szCs w:val="24"/>
              </w:rPr>
              <w:t xml:space="preserve"> paziņojumu saturu un sagatavošanas kārtību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A3752A" w:rsidTr="00DC4B8A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DC4B8A" w:rsidRDefault="00DC4B8A" w:rsidP="00DC4B8A">
            <w:pPr>
              <w:spacing w:after="60" w:line="240" w:lineRule="auto"/>
              <w:ind w:right="57"/>
              <w:jc w:val="both"/>
              <w:rPr>
                <w:rFonts w:cs="Times New Roman"/>
                <w:szCs w:val="24"/>
              </w:rPr>
            </w:pPr>
            <w:r w:rsidRPr="00DC4B8A">
              <w:rPr>
                <w:rFonts w:cs="Times New Roman"/>
                <w:szCs w:val="24"/>
              </w:rPr>
              <w:t>Komisijas 2015.gada 24.novembra deleģētā regula Nr.2015/2172 ar ko groza Eiropas Parlamenta un Padomes Direktīvu 2014/23/ES par tās piemērošanas robežvērtībām līgumu slēgšanas tiesību piešķiršanas procedūrās.</w:t>
            </w:r>
          </w:p>
        </w:tc>
      </w:tr>
      <w:tr w:rsidR="00DC4B8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C4B8A" w:rsidRPr="00A3752A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A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C4B8A" w:rsidRPr="00A3752A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B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C4B8A" w:rsidRPr="00A3752A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C4B8A" w:rsidRPr="00A3752A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D</w:t>
            </w:r>
          </w:p>
        </w:tc>
      </w:tr>
      <w:tr w:rsidR="00DC4B8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1.pants.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Likuma 13.</w:t>
            </w:r>
            <w:r w:rsidRPr="005B4504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1 </w:t>
            </w:r>
            <w:r>
              <w:rPr>
                <w:rFonts w:eastAsia="Times New Roman" w:cs="Times New Roman"/>
                <w:szCs w:val="24"/>
                <w:lang w:eastAsia="lv-LV"/>
              </w:rPr>
              <w:t>pants.</w:t>
            </w:r>
          </w:p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Projekta </w:t>
            </w:r>
            <w:r w:rsidRPr="00187E2D">
              <w:rPr>
                <w:szCs w:val="28"/>
              </w:rPr>
              <w:t>1.2</w:t>
            </w:r>
            <w:r>
              <w:rPr>
                <w:szCs w:val="28"/>
              </w:rPr>
              <w:t>.apakšpunkts.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4849CC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4849CC">
              <w:rPr>
                <w:rFonts w:eastAsia="Times New Roman" w:cs="Times New Roman"/>
                <w:szCs w:val="24"/>
                <w:lang w:eastAsia="lv-LV"/>
              </w:rPr>
              <w:t>ES tiesību akta vienība tiek pārņemta pilnībā.</w:t>
            </w: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4849CC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Projekts</w:t>
            </w:r>
            <w:r w:rsidRPr="004849CC">
              <w:rPr>
                <w:rFonts w:eastAsia="Times New Roman" w:cs="Times New Roman"/>
                <w:szCs w:val="24"/>
                <w:lang w:eastAsia="lv-LV"/>
              </w:rPr>
              <w:t xml:space="preserve"> stingrākas prasības neparedz.</w:t>
            </w:r>
          </w:p>
        </w:tc>
      </w:tr>
      <w:tr w:rsidR="00DC4B8A" w:rsidRPr="00A3752A" w:rsidTr="00A83A2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2.pants.</w:t>
            </w:r>
          </w:p>
        </w:tc>
        <w:tc>
          <w:tcPr>
            <w:tcW w:w="11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Nav jāpārņem.</w:t>
            </w:r>
          </w:p>
        </w:tc>
        <w:tc>
          <w:tcPr>
            <w:tcW w:w="14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DC4B8A" w:rsidRPr="00A3752A" w:rsidTr="00EA4F7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B8A" w:rsidRPr="00A3752A" w:rsidRDefault="00DC4B8A" w:rsidP="00DC4B8A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Kā ir izmantota ES tiesību aktā paredzētā rīcības brīvība dalībvalstij pārņemt vai ieviest noteiktas ES tiesību akta normas?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br/>
              <w:t>Kādēļ?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B8A" w:rsidRPr="00A3752A" w:rsidRDefault="00DC4B8A" w:rsidP="00DC4B8A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iCs/>
                <w:szCs w:val="24"/>
                <w:lang w:eastAsia="lv-LV"/>
              </w:rPr>
              <w:t>Projekts šo jomu neskar.</w:t>
            </w:r>
          </w:p>
        </w:tc>
      </w:tr>
      <w:tr w:rsidR="00DC4B8A" w:rsidRPr="00A3752A" w:rsidTr="00EA4F7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B8A" w:rsidRPr="00A3752A" w:rsidRDefault="00DC4B8A" w:rsidP="00DC4B8A">
            <w:pPr>
              <w:spacing w:after="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iCs/>
                <w:szCs w:val="24"/>
                <w:lang w:eastAsia="lv-LV"/>
              </w:rPr>
              <w:t>Projekts šo jomu neskar.</w:t>
            </w:r>
          </w:p>
        </w:tc>
      </w:tr>
      <w:tr w:rsidR="00DC4B8A" w:rsidRPr="00A3752A" w:rsidTr="00EA4F76">
        <w:trPr>
          <w:jc w:val="center"/>
        </w:trPr>
        <w:tc>
          <w:tcPr>
            <w:tcW w:w="1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752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C4B8A" w:rsidRPr="00A3752A" w:rsidRDefault="00DC4B8A" w:rsidP="00DC4B8A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  <w:tr w:rsidR="00DC4B8A" w:rsidRPr="00A3752A" w:rsidTr="0037321C">
        <w:trPr>
          <w:jc w:val="center"/>
        </w:trPr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DC4B8A" w:rsidRPr="00A3752A" w:rsidRDefault="00DC4B8A" w:rsidP="00DC4B8A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lastRenderedPageBreak/>
              <w:t>2. tabula</w:t>
            </w: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br/>
              <w:t>Pasākumi šo saistību izpildei</w:t>
            </w:r>
          </w:p>
        </w:tc>
      </w:tr>
      <w:tr w:rsidR="00DC4B8A" w:rsidRPr="00A3752A" w:rsidTr="0037321C">
        <w:trPr>
          <w:jc w:val="center"/>
        </w:trPr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DC4B8A" w:rsidRPr="00A3752A" w:rsidRDefault="00DC4B8A" w:rsidP="00DC4B8A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</w:tbl>
    <w:p w:rsidR="0037321C" w:rsidRPr="00A3752A" w:rsidRDefault="0037321C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A3752A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A3752A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VI.</w:t>
            </w:r>
            <w:r w:rsidR="00816C11"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Sabiedrības līdzdalība un komunikācijas aktivitātes</w:t>
            </w:r>
          </w:p>
        </w:tc>
      </w:tr>
      <w:tr w:rsidR="0037321C" w:rsidRPr="00A3752A" w:rsidTr="0058464C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6F1C0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F1C09" w:rsidRPr="00A3752A" w:rsidRDefault="006F1C09" w:rsidP="008B0370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Finanšu ministrijas tīmekļa vietnes sadaļā “Sabiedrības līdzdalība” ir ievietota uzziņa par projektu.</w:t>
            </w:r>
          </w:p>
          <w:p w:rsidR="00894C55" w:rsidRPr="00A3752A" w:rsidRDefault="006F1C09" w:rsidP="008B0370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cs="Times New Roman"/>
                <w:iCs/>
                <w:szCs w:val="24"/>
                <w:lang w:eastAsia="lv-LV"/>
              </w:rPr>
              <w:t xml:space="preserve">Projekts pēc tā izsludināšanas Valsts sekretāru sanāksmē būs publiski pieejams Ministru kabineta </w:t>
            </w:r>
            <w:r w:rsidRPr="00A3752A">
              <w:rPr>
                <w:rFonts w:eastAsia="Times New Roman" w:cs="Times New Roman"/>
                <w:szCs w:val="24"/>
                <w:lang w:eastAsia="lv-LV"/>
              </w:rPr>
              <w:t xml:space="preserve">tīmekļa vietnes </w:t>
            </w:r>
            <w:r w:rsidRPr="00A3752A">
              <w:rPr>
                <w:rFonts w:cs="Times New Roman"/>
                <w:iCs/>
                <w:szCs w:val="24"/>
                <w:lang w:eastAsia="lv-LV"/>
              </w:rPr>
              <w:t>sadaļā Tiesību aktu projekti.</w:t>
            </w:r>
          </w:p>
        </w:tc>
      </w:tr>
      <w:tr w:rsidR="0037321C" w:rsidRPr="00A3752A" w:rsidTr="0058464C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6F1C0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6F1C09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37321C" w:rsidRPr="00A3752A" w:rsidTr="0058464C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6F1C0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6F1C09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Projekts šo jomu neskar.</w:t>
            </w:r>
          </w:p>
        </w:tc>
      </w:tr>
      <w:tr w:rsidR="0037321C" w:rsidRPr="00A3752A" w:rsidTr="0058464C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6F1C09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6F1C09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894C55" w:rsidRPr="00A3752A" w:rsidRDefault="00894C55" w:rsidP="00894C55">
      <w:pPr>
        <w:shd w:val="clear" w:color="auto" w:fill="FFFFFF"/>
        <w:spacing w:after="0" w:line="240" w:lineRule="auto"/>
        <w:ind w:firstLine="301"/>
        <w:rPr>
          <w:rFonts w:eastAsia="Times New Roman" w:cs="Times New Roman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2"/>
        <w:gridCol w:w="2494"/>
        <w:gridCol w:w="6109"/>
      </w:tblGrid>
      <w:tr w:rsidR="0037321C" w:rsidRPr="00A3752A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A3752A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VII.</w:t>
            </w:r>
            <w:r w:rsidR="00816C11"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 </w:t>
            </w:r>
            <w:r w:rsidRPr="00A3752A">
              <w:rPr>
                <w:rFonts w:eastAsia="Times New Roman" w:cs="Times New Roman"/>
                <w:b/>
                <w:bCs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37321C" w:rsidRPr="00A3752A" w:rsidTr="0058464C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33170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7C43FA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Iepirkumu uzraudzības birojs.</w:t>
            </w:r>
          </w:p>
        </w:tc>
      </w:tr>
      <w:tr w:rsidR="0037321C" w:rsidRPr="00A3752A" w:rsidTr="0058464C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33170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Projekta izpildes ietekme uz pārvaldes funkcijām un institucionālo struktūru.</w:t>
            </w:r>
          </w:p>
          <w:p w:rsidR="00894C55" w:rsidRPr="00A3752A" w:rsidRDefault="00894C55" w:rsidP="006F1C09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43FA" w:rsidRPr="00A3752A" w:rsidRDefault="007C43FA" w:rsidP="007C43FA">
            <w:pPr>
              <w:spacing w:after="60" w:line="240" w:lineRule="auto"/>
              <w:ind w:right="57"/>
              <w:jc w:val="both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t>Projekts neietekmē pārvaldes funkcijas un institucionālo struktūru, kā arī cilvēkresursu nodrošinājumu.</w:t>
            </w:r>
          </w:p>
        </w:tc>
      </w:tr>
      <w:tr w:rsidR="0037321C" w:rsidRPr="00A3752A" w:rsidTr="0058464C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33170">
            <w:pPr>
              <w:spacing w:after="60" w:line="240" w:lineRule="auto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3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894C55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Cita informācija</w:t>
            </w:r>
          </w:p>
        </w:tc>
        <w:tc>
          <w:tcPr>
            <w:tcW w:w="33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A3752A" w:rsidRDefault="007C43FA" w:rsidP="00B33170">
            <w:pPr>
              <w:spacing w:after="60" w:line="240" w:lineRule="auto"/>
              <w:rPr>
                <w:rFonts w:eastAsia="Times New Roman" w:cs="Times New Roman"/>
                <w:szCs w:val="24"/>
                <w:lang w:eastAsia="lv-LV"/>
              </w:rPr>
            </w:pPr>
            <w:r w:rsidRPr="00A3752A">
              <w:rPr>
                <w:rFonts w:eastAsia="Times New Roman" w:cs="Times New Roman"/>
                <w:szCs w:val="24"/>
                <w:lang w:eastAsia="lv-LV"/>
              </w:rPr>
              <w:t>Nav.</w:t>
            </w:r>
          </w:p>
        </w:tc>
      </w:tr>
    </w:tbl>
    <w:p w:rsidR="00720585" w:rsidRPr="00A3752A" w:rsidRDefault="00720585" w:rsidP="00894C55">
      <w:pPr>
        <w:spacing w:after="0" w:line="240" w:lineRule="auto"/>
        <w:rPr>
          <w:rFonts w:cs="Times New Roman"/>
          <w:sz w:val="28"/>
          <w:szCs w:val="28"/>
        </w:rPr>
      </w:pPr>
    </w:p>
    <w:p w:rsidR="0058464C" w:rsidRPr="00A3752A" w:rsidRDefault="004521BF" w:rsidP="0058464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3752A">
        <w:rPr>
          <w:rFonts w:cs="Times New Roman"/>
          <w:sz w:val="28"/>
          <w:szCs w:val="28"/>
        </w:rPr>
        <w:t>Anotācijas III, IV</w:t>
      </w:r>
      <w:r w:rsidR="00F32503" w:rsidRPr="00A3752A">
        <w:rPr>
          <w:rFonts w:cs="Times New Roman"/>
          <w:sz w:val="28"/>
          <w:szCs w:val="28"/>
        </w:rPr>
        <w:t xml:space="preserve"> sadaļa – projekts šīs jomas neskar.</w:t>
      </w:r>
    </w:p>
    <w:p w:rsidR="0058464C" w:rsidRPr="00A3752A" w:rsidRDefault="0058464C" w:rsidP="0037321C">
      <w:pPr>
        <w:spacing w:after="0" w:line="240" w:lineRule="auto"/>
        <w:rPr>
          <w:rFonts w:cs="Times New Roman"/>
          <w:sz w:val="28"/>
          <w:szCs w:val="28"/>
        </w:rPr>
      </w:pPr>
    </w:p>
    <w:p w:rsidR="0037321C" w:rsidRPr="00A3752A" w:rsidRDefault="0037321C" w:rsidP="0037321C">
      <w:pPr>
        <w:tabs>
          <w:tab w:val="right" w:pos="9071"/>
        </w:tabs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 w:rsidRPr="00A3752A">
        <w:rPr>
          <w:rFonts w:cs="Times New Roman"/>
          <w:color w:val="000000" w:themeColor="text1"/>
          <w:sz w:val="28"/>
          <w:szCs w:val="28"/>
        </w:rPr>
        <w:t>Finanšu ministre</w:t>
      </w:r>
      <w:r w:rsidRPr="00A3752A">
        <w:rPr>
          <w:rFonts w:cs="Times New Roman"/>
          <w:color w:val="000000" w:themeColor="text1"/>
          <w:sz w:val="28"/>
          <w:szCs w:val="28"/>
        </w:rPr>
        <w:tab/>
        <w:t>D</w:t>
      </w:r>
      <w:r w:rsidR="00241EEC">
        <w:rPr>
          <w:rFonts w:cs="Times New Roman"/>
          <w:color w:val="000000" w:themeColor="text1"/>
          <w:sz w:val="28"/>
          <w:szCs w:val="28"/>
        </w:rPr>
        <w:t xml:space="preserve">ana </w:t>
      </w:r>
      <w:r w:rsidRPr="00A3752A">
        <w:rPr>
          <w:rFonts w:cs="Times New Roman"/>
          <w:color w:val="000000" w:themeColor="text1"/>
          <w:sz w:val="28"/>
          <w:szCs w:val="28"/>
        </w:rPr>
        <w:t>Reizniece-Ozola</w:t>
      </w:r>
    </w:p>
    <w:p w:rsidR="00894C55" w:rsidRPr="00A3752A" w:rsidRDefault="00894C55" w:rsidP="0037321C">
      <w:pPr>
        <w:spacing w:after="0" w:line="240" w:lineRule="auto"/>
        <w:rPr>
          <w:rFonts w:cs="Times New Roman"/>
          <w:sz w:val="28"/>
          <w:szCs w:val="28"/>
        </w:rPr>
      </w:pPr>
    </w:p>
    <w:p w:rsidR="0037321C" w:rsidRPr="00A3752A" w:rsidRDefault="0037321C" w:rsidP="0037321C">
      <w:pPr>
        <w:tabs>
          <w:tab w:val="left" w:pos="6237"/>
        </w:tabs>
        <w:spacing w:after="0" w:line="240" w:lineRule="auto"/>
        <w:rPr>
          <w:rFonts w:cs="Times New Roman"/>
          <w:sz w:val="28"/>
          <w:szCs w:val="28"/>
        </w:rPr>
      </w:pPr>
      <w:r w:rsidRPr="00A3752A">
        <w:rPr>
          <w:rFonts w:cs="Times New Roman"/>
          <w:sz w:val="28"/>
          <w:szCs w:val="28"/>
        </w:rPr>
        <w:t>Finanšu min</w:t>
      </w:r>
      <w:r w:rsidR="00241EEC">
        <w:rPr>
          <w:rFonts w:cs="Times New Roman"/>
          <w:sz w:val="28"/>
          <w:szCs w:val="28"/>
        </w:rPr>
        <w:t>istrijas valsts sekretāre</w:t>
      </w:r>
      <w:r w:rsidR="00241EEC">
        <w:rPr>
          <w:rFonts w:cs="Times New Roman"/>
          <w:sz w:val="28"/>
          <w:szCs w:val="28"/>
        </w:rPr>
        <w:tab/>
      </w:r>
      <w:r w:rsidR="00241EEC">
        <w:rPr>
          <w:rFonts w:cs="Times New Roman"/>
          <w:sz w:val="28"/>
          <w:szCs w:val="28"/>
        </w:rPr>
        <w:tab/>
      </w:r>
      <w:r w:rsidR="00241EEC">
        <w:rPr>
          <w:rFonts w:cs="Times New Roman"/>
          <w:sz w:val="28"/>
          <w:szCs w:val="28"/>
        </w:rPr>
        <w:tab/>
        <w:t xml:space="preserve">        </w:t>
      </w:r>
      <w:r w:rsidRPr="00A3752A">
        <w:rPr>
          <w:rFonts w:cs="Times New Roman"/>
          <w:sz w:val="28"/>
          <w:szCs w:val="28"/>
        </w:rPr>
        <w:t>B</w:t>
      </w:r>
      <w:r w:rsidR="00241EEC">
        <w:rPr>
          <w:rFonts w:cs="Times New Roman"/>
          <w:sz w:val="28"/>
          <w:szCs w:val="28"/>
        </w:rPr>
        <w:t xml:space="preserve">aiba </w:t>
      </w:r>
      <w:r w:rsidRPr="00A3752A">
        <w:rPr>
          <w:rFonts w:cs="Times New Roman"/>
          <w:sz w:val="28"/>
          <w:szCs w:val="28"/>
        </w:rPr>
        <w:t>Bāne</w:t>
      </w:r>
    </w:p>
    <w:p w:rsidR="0037321C" w:rsidRPr="00A3752A" w:rsidRDefault="0037321C" w:rsidP="0037321C">
      <w:pPr>
        <w:tabs>
          <w:tab w:val="left" w:pos="6237"/>
        </w:tabs>
        <w:spacing w:after="0" w:line="240" w:lineRule="auto"/>
        <w:rPr>
          <w:rFonts w:cs="Times New Roman"/>
          <w:sz w:val="26"/>
          <w:szCs w:val="26"/>
        </w:rPr>
      </w:pPr>
    </w:p>
    <w:p w:rsidR="0037321C" w:rsidRPr="00A3752A" w:rsidRDefault="0037321C" w:rsidP="0037321C">
      <w:pPr>
        <w:tabs>
          <w:tab w:val="left" w:pos="6237"/>
        </w:tabs>
        <w:spacing w:after="0" w:line="240" w:lineRule="auto"/>
        <w:rPr>
          <w:rFonts w:cs="Times New Roman"/>
          <w:sz w:val="26"/>
          <w:szCs w:val="26"/>
        </w:rPr>
      </w:pPr>
    </w:p>
    <w:p w:rsidR="0037321C" w:rsidRPr="00A3752A" w:rsidRDefault="0037321C" w:rsidP="0037321C">
      <w:pPr>
        <w:spacing w:after="0" w:line="240" w:lineRule="auto"/>
        <w:rPr>
          <w:rFonts w:cs="Times New Roman"/>
          <w:szCs w:val="24"/>
        </w:rPr>
      </w:pPr>
      <w:r w:rsidRPr="00A3752A">
        <w:rPr>
          <w:rFonts w:cs="Times New Roman"/>
          <w:szCs w:val="24"/>
        </w:rPr>
        <w:t>Bērziņa, 67083947</w:t>
      </w:r>
    </w:p>
    <w:p w:rsidR="00894C55" w:rsidRPr="00EE1027" w:rsidRDefault="0037321C" w:rsidP="0037321C">
      <w:pPr>
        <w:spacing w:after="0" w:line="240" w:lineRule="auto"/>
        <w:rPr>
          <w:rFonts w:cs="Times New Roman"/>
          <w:szCs w:val="24"/>
        </w:rPr>
      </w:pPr>
      <w:r w:rsidRPr="00A3752A">
        <w:rPr>
          <w:rFonts w:cs="Times New Roman"/>
          <w:szCs w:val="24"/>
        </w:rPr>
        <w:t>Inga.Berzina@fm.gov.lv</w:t>
      </w:r>
    </w:p>
    <w:sectPr w:rsidR="00894C55" w:rsidRPr="00EE1027" w:rsidSect="005722B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6A" w:rsidRDefault="00F4266A" w:rsidP="00894C55">
      <w:pPr>
        <w:spacing w:after="0" w:line="240" w:lineRule="auto"/>
      </w:pPr>
      <w:r>
        <w:separator/>
      </w:r>
    </w:p>
  </w:endnote>
  <w:endnote w:type="continuationSeparator" w:id="0">
    <w:p w:rsidR="00F4266A" w:rsidRDefault="00F4266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6A" w:rsidRPr="00197AAC" w:rsidRDefault="00197AAC" w:rsidP="00197AAC">
    <w:pPr>
      <w:pStyle w:val="Footer"/>
    </w:pPr>
    <w:r w:rsidRPr="00197AAC">
      <w:rPr>
        <w:rFonts w:cs="Times New Roman"/>
        <w:sz w:val="20"/>
        <w:szCs w:val="20"/>
      </w:rPr>
      <w:t>FManot_150317_ligumcenas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66A" w:rsidRPr="00197AAC" w:rsidRDefault="00197AAC" w:rsidP="00197AAC">
    <w:pPr>
      <w:pStyle w:val="Footer"/>
    </w:pPr>
    <w:r w:rsidRPr="00197AAC">
      <w:rPr>
        <w:rFonts w:cs="Times New Roman"/>
        <w:sz w:val="20"/>
        <w:szCs w:val="20"/>
      </w:rPr>
      <w:t>FManot_150317_ligumcenas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6A" w:rsidRDefault="00F4266A" w:rsidP="00894C55">
      <w:pPr>
        <w:spacing w:after="0" w:line="240" w:lineRule="auto"/>
      </w:pPr>
      <w:r>
        <w:separator/>
      </w:r>
    </w:p>
  </w:footnote>
  <w:footnote w:type="continuationSeparator" w:id="0">
    <w:p w:rsidR="00F4266A" w:rsidRDefault="00F4266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cs="Times New Roman"/>
        <w:noProof/>
        <w:szCs w:val="20"/>
      </w:rPr>
    </w:sdtEndPr>
    <w:sdtContent>
      <w:p w:rsidR="00F4266A" w:rsidRPr="00C25B49" w:rsidRDefault="00F4266A">
        <w:pPr>
          <w:pStyle w:val="Header"/>
          <w:jc w:val="center"/>
          <w:rPr>
            <w:rFonts w:cs="Times New Roman"/>
            <w:szCs w:val="20"/>
          </w:rPr>
        </w:pPr>
        <w:r w:rsidRPr="00C25B49">
          <w:rPr>
            <w:rFonts w:cs="Times New Roman"/>
            <w:szCs w:val="20"/>
          </w:rPr>
          <w:fldChar w:fldCharType="begin"/>
        </w:r>
        <w:r w:rsidRPr="00C25B49">
          <w:rPr>
            <w:rFonts w:cs="Times New Roman"/>
            <w:szCs w:val="20"/>
          </w:rPr>
          <w:instrText xml:space="preserve"> PAGE   \* MERGEFORMAT </w:instrText>
        </w:r>
        <w:r w:rsidRPr="00C25B49">
          <w:rPr>
            <w:rFonts w:cs="Times New Roman"/>
            <w:szCs w:val="20"/>
          </w:rPr>
          <w:fldChar w:fldCharType="separate"/>
        </w:r>
        <w:r w:rsidR="00C9013D">
          <w:rPr>
            <w:rFonts w:cs="Times New Roman"/>
            <w:noProof/>
            <w:szCs w:val="20"/>
          </w:rPr>
          <w:t>8</w:t>
        </w:r>
        <w:r w:rsidRPr="00C25B49">
          <w:rPr>
            <w:rFonts w:cs="Times New Roman"/>
            <w:noProof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2DF7"/>
    <w:multiLevelType w:val="hybridMultilevel"/>
    <w:tmpl w:val="98487658"/>
    <w:lvl w:ilvl="0" w:tplc="04260017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534" w:hanging="360"/>
      </w:pPr>
    </w:lvl>
    <w:lvl w:ilvl="2" w:tplc="0426001B" w:tentative="1">
      <w:start w:val="1"/>
      <w:numFmt w:val="lowerRoman"/>
      <w:lvlText w:val="%3."/>
      <w:lvlJc w:val="right"/>
      <w:pPr>
        <w:ind w:left="2254" w:hanging="180"/>
      </w:pPr>
    </w:lvl>
    <w:lvl w:ilvl="3" w:tplc="0426000F" w:tentative="1">
      <w:start w:val="1"/>
      <w:numFmt w:val="decimal"/>
      <w:lvlText w:val="%4."/>
      <w:lvlJc w:val="left"/>
      <w:pPr>
        <w:ind w:left="2974" w:hanging="360"/>
      </w:pPr>
    </w:lvl>
    <w:lvl w:ilvl="4" w:tplc="04260019" w:tentative="1">
      <w:start w:val="1"/>
      <w:numFmt w:val="lowerLetter"/>
      <w:lvlText w:val="%5."/>
      <w:lvlJc w:val="left"/>
      <w:pPr>
        <w:ind w:left="3694" w:hanging="360"/>
      </w:pPr>
    </w:lvl>
    <w:lvl w:ilvl="5" w:tplc="0426001B" w:tentative="1">
      <w:start w:val="1"/>
      <w:numFmt w:val="lowerRoman"/>
      <w:lvlText w:val="%6."/>
      <w:lvlJc w:val="right"/>
      <w:pPr>
        <w:ind w:left="4414" w:hanging="180"/>
      </w:pPr>
    </w:lvl>
    <w:lvl w:ilvl="6" w:tplc="0426000F" w:tentative="1">
      <w:start w:val="1"/>
      <w:numFmt w:val="decimal"/>
      <w:lvlText w:val="%7."/>
      <w:lvlJc w:val="left"/>
      <w:pPr>
        <w:ind w:left="5134" w:hanging="360"/>
      </w:pPr>
    </w:lvl>
    <w:lvl w:ilvl="7" w:tplc="04260019" w:tentative="1">
      <w:start w:val="1"/>
      <w:numFmt w:val="lowerLetter"/>
      <w:lvlText w:val="%8."/>
      <w:lvlJc w:val="left"/>
      <w:pPr>
        <w:ind w:left="5854" w:hanging="360"/>
      </w:pPr>
    </w:lvl>
    <w:lvl w:ilvl="8" w:tplc="042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675B"/>
    <w:multiLevelType w:val="hybridMultilevel"/>
    <w:tmpl w:val="D9726EF2"/>
    <w:lvl w:ilvl="0" w:tplc="04260017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B574472"/>
    <w:multiLevelType w:val="hybridMultilevel"/>
    <w:tmpl w:val="255ED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7680D"/>
    <w:multiLevelType w:val="hybridMultilevel"/>
    <w:tmpl w:val="8A38F6A0"/>
    <w:lvl w:ilvl="0" w:tplc="96B07E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4B1"/>
    <w:multiLevelType w:val="hybridMultilevel"/>
    <w:tmpl w:val="CB1ECD5E"/>
    <w:lvl w:ilvl="0" w:tplc="AE9659D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C0AE2"/>
    <w:multiLevelType w:val="hybridMultilevel"/>
    <w:tmpl w:val="6442AD12"/>
    <w:lvl w:ilvl="0" w:tplc="FE56EF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D43DA"/>
    <w:multiLevelType w:val="hybridMultilevel"/>
    <w:tmpl w:val="54D6F244"/>
    <w:lvl w:ilvl="0" w:tplc="B02AC5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21436"/>
    <w:multiLevelType w:val="hybridMultilevel"/>
    <w:tmpl w:val="ABDC9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65E74"/>
    <w:multiLevelType w:val="hybridMultilevel"/>
    <w:tmpl w:val="ABDC92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34732E"/>
    <w:multiLevelType w:val="hybridMultilevel"/>
    <w:tmpl w:val="020C095C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6931"/>
    <w:multiLevelType w:val="hybridMultilevel"/>
    <w:tmpl w:val="935CB45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BE0671"/>
    <w:multiLevelType w:val="hybridMultilevel"/>
    <w:tmpl w:val="87DECD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67AF"/>
    <w:multiLevelType w:val="hybridMultilevel"/>
    <w:tmpl w:val="D1FC505A"/>
    <w:lvl w:ilvl="0" w:tplc="96B07E5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209C5"/>
    <w:rsid w:val="00023071"/>
    <w:rsid w:val="0003455C"/>
    <w:rsid w:val="000518E4"/>
    <w:rsid w:val="00087ECD"/>
    <w:rsid w:val="00092BE5"/>
    <w:rsid w:val="000B7320"/>
    <w:rsid w:val="000C260F"/>
    <w:rsid w:val="000D19F0"/>
    <w:rsid w:val="00122E58"/>
    <w:rsid w:val="00166980"/>
    <w:rsid w:val="00197AAC"/>
    <w:rsid w:val="001E4A7B"/>
    <w:rsid w:val="00225644"/>
    <w:rsid w:val="00241EEC"/>
    <w:rsid w:val="00243426"/>
    <w:rsid w:val="002B2FAA"/>
    <w:rsid w:val="002C1332"/>
    <w:rsid w:val="002D7218"/>
    <w:rsid w:val="0030553A"/>
    <w:rsid w:val="0037321C"/>
    <w:rsid w:val="00374F52"/>
    <w:rsid w:val="003A1F77"/>
    <w:rsid w:val="003B0BF9"/>
    <w:rsid w:val="003D536A"/>
    <w:rsid w:val="003D7B12"/>
    <w:rsid w:val="003E0791"/>
    <w:rsid w:val="003F28AC"/>
    <w:rsid w:val="004454FE"/>
    <w:rsid w:val="004521BF"/>
    <w:rsid w:val="0046226C"/>
    <w:rsid w:val="0046758F"/>
    <w:rsid w:val="00471F27"/>
    <w:rsid w:val="0049616E"/>
    <w:rsid w:val="004C7A0B"/>
    <w:rsid w:val="004F32A8"/>
    <w:rsid w:val="0050178F"/>
    <w:rsid w:val="00510076"/>
    <w:rsid w:val="005722BE"/>
    <w:rsid w:val="0058464C"/>
    <w:rsid w:val="00587369"/>
    <w:rsid w:val="005B1BEE"/>
    <w:rsid w:val="005B4504"/>
    <w:rsid w:val="005E55FC"/>
    <w:rsid w:val="00666289"/>
    <w:rsid w:val="006A1A24"/>
    <w:rsid w:val="006E1081"/>
    <w:rsid w:val="006F1C09"/>
    <w:rsid w:val="00701D57"/>
    <w:rsid w:val="00720585"/>
    <w:rsid w:val="00740FD1"/>
    <w:rsid w:val="00773AF6"/>
    <w:rsid w:val="00791773"/>
    <w:rsid w:val="007C00B5"/>
    <w:rsid w:val="007C43FA"/>
    <w:rsid w:val="007D54D3"/>
    <w:rsid w:val="00816C11"/>
    <w:rsid w:val="00841A03"/>
    <w:rsid w:val="00852BDA"/>
    <w:rsid w:val="00872FDD"/>
    <w:rsid w:val="00894C55"/>
    <w:rsid w:val="008B0370"/>
    <w:rsid w:val="008B7D12"/>
    <w:rsid w:val="008D1974"/>
    <w:rsid w:val="00904475"/>
    <w:rsid w:val="00916681"/>
    <w:rsid w:val="00947282"/>
    <w:rsid w:val="009663BF"/>
    <w:rsid w:val="00970718"/>
    <w:rsid w:val="00982DF3"/>
    <w:rsid w:val="009A08D5"/>
    <w:rsid w:val="009B3E10"/>
    <w:rsid w:val="009C2FCA"/>
    <w:rsid w:val="00A0355B"/>
    <w:rsid w:val="00A12865"/>
    <w:rsid w:val="00A12B0A"/>
    <w:rsid w:val="00A3752A"/>
    <w:rsid w:val="00A445D8"/>
    <w:rsid w:val="00A47D0B"/>
    <w:rsid w:val="00A6091A"/>
    <w:rsid w:val="00A702D8"/>
    <w:rsid w:val="00A83A26"/>
    <w:rsid w:val="00AD23B1"/>
    <w:rsid w:val="00AE5567"/>
    <w:rsid w:val="00B2165C"/>
    <w:rsid w:val="00B33170"/>
    <w:rsid w:val="00B41DEB"/>
    <w:rsid w:val="00B535FD"/>
    <w:rsid w:val="00B62D4D"/>
    <w:rsid w:val="00B95803"/>
    <w:rsid w:val="00BC2B19"/>
    <w:rsid w:val="00BC2C33"/>
    <w:rsid w:val="00BD4425"/>
    <w:rsid w:val="00BE029D"/>
    <w:rsid w:val="00BF3311"/>
    <w:rsid w:val="00C25B49"/>
    <w:rsid w:val="00C65498"/>
    <w:rsid w:val="00C80902"/>
    <w:rsid w:val="00C9013D"/>
    <w:rsid w:val="00CD1B36"/>
    <w:rsid w:val="00CE5657"/>
    <w:rsid w:val="00D66836"/>
    <w:rsid w:val="00DC4B8A"/>
    <w:rsid w:val="00DE5BDE"/>
    <w:rsid w:val="00E07422"/>
    <w:rsid w:val="00E90C01"/>
    <w:rsid w:val="00EA1C77"/>
    <w:rsid w:val="00EA486E"/>
    <w:rsid w:val="00EA4F76"/>
    <w:rsid w:val="00EE1027"/>
    <w:rsid w:val="00EF097B"/>
    <w:rsid w:val="00F32503"/>
    <w:rsid w:val="00F4266A"/>
    <w:rsid w:val="00F57B0C"/>
    <w:rsid w:val="00F61F4F"/>
    <w:rsid w:val="00F81963"/>
    <w:rsid w:val="00FC6598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A4FBEE60-7A4A-4DDF-859F-91B9EB9F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321C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732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7321C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tv213">
    <w:name w:val="tv213"/>
    <w:basedOn w:val="Normal"/>
    <w:rsid w:val="003732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customStyle="1" w:styleId="naiskr">
    <w:name w:val="naiskr"/>
    <w:basedOn w:val="Normal"/>
    <w:rsid w:val="0037321C"/>
    <w:pPr>
      <w:spacing w:before="75" w:after="75" w:line="240" w:lineRule="auto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unhideWhenUsed/>
    <w:rsid w:val="0037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321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21C"/>
    <w:rPr>
      <w:rFonts w:ascii="Times New Roman" w:hAnsi="Times New Roman"/>
      <w:sz w:val="20"/>
      <w:szCs w:val="20"/>
    </w:rPr>
  </w:style>
  <w:style w:type="paragraph" w:customStyle="1" w:styleId="CM11">
    <w:name w:val="CM1+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1">
    <w:name w:val="CM3+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1">
    <w:name w:val="CM1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3">
    <w:name w:val="CM3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CM4">
    <w:name w:val="CM4"/>
    <w:basedOn w:val="Normal"/>
    <w:next w:val="Normal"/>
    <w:uiPriority w:val="99"/>
    <w:rsid w:val="0037321C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paragraph" w:customStyle="1" w:styleId="naisf">
    <w:name w:val="naisf"/>
    <w:basedOn w:val="Normal"/>
    <w:rsid w:val="003732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37321C"/>
    <w:rPr>
      <w:b/>
      <w:bCs/>
      <w:i w:val="0"/>
      <w:iCs w:val="0"/>
    </w:rPr>
  </w:style>
  <w:style w:type="character" w:customStyle="1" w:styleId="st1">
    <w:name w:val="st1"/>
    <w:basedOn w:val="DefaultParagraphFont"/>
    <w:rsid w:val="0037321C"/>
  </w:style>
  <w:style w:type="character" w:customStyle="1" w:styleId="spelle">
    <w:name w:val="spelle"/>
    <w:basedOn w:val="DefaultParagraphFont"/>
    <w:rsid w:val="003732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21C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21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66</DKP>
  </documentManagement>
</p:properties>
</file>

<file path=customXml/itemProps1.xml><?xml version="1.0" encoding="utf-8"?>
<ds:datastoreItem xmlns:ds="http://schemas.openxmlformats.org/officeDocument/2006/customXml" ds:itemID="{D8836C40-BDED-46B4-AB30-A2C0C1260084}"/>
</file>

<file path=customXml/itemProps2.xml><?xml version="1.0" encoding="utf-8"?>
<ds:datastoreItem xmlns:ds="http://schemas.openxmlformats.org/officeDocument/2006/customXml" ds:itemID="{FA6D2581-3987-458E-8CD3-0147322F6010}"/>
</file>

<file path=customXml/itemProps3.xml><?xml version="1.0" encoding="utf-8"?>
<ds:datastoreItem xmlns:ds="http://schemas.openxmlformats.org/officeDocument/2006/customXml" ds:itemID="{4C9C545F-0673-400F-A9B9-01A0428CC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8</Pages>
  <Words>9084</Words>
  <Characters>5178</Characters>
  <Application>Microsoft Office Word</Application>
  <DocSecurity>0</DocSecurity>
  <Lines>43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“Grozījumi Ministru kabineta 2017. gada 28. februāra noteikumos Nr. 105 “Noteikumi par publisko iepirkumu līgumcenu robežvērtībām”” projekta sākotnējās ietekmes novērtējuma ziņojums (anotācija)</vt:lpstr>
    </vt:vector>
  </TitlesOfParts>
  <Company>Finanšu ministrija</Company>
  <LinksUpToDate>false</LinksUpToDate>
  <CharactersWithSpaces>14234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“Grozījumi Ministru kabineta 2017. gada 28. februāra noteikumos Nr. 105 “Noteikumi par publisko iepirkumu līgumcenu robežvērtībām”” projekta sākotnējās ietekmes novērtējuma ziņojums (anotācija)</dc:title>
  <dc:subject>Anotācija</dc:subject>
  <dc:creator>Inga Bērziņa</dc:creator>
  <cp:keywords/>
  <dc:description>67083947, inga.berzina@fm.gov.lv</dc:description>
  <cp:lastModifiedBy>Inga Bērziņa</cp:lastModifiedBy>
  <cp:revision>81</cp:revision>
  <dcterms:created xsi:type="dcterms:W3CDTF">2017-02-10T08:41:00Z</dcterms:created>
  <dcterms:modified xsi:type="dcterms:W3CDTF">2017-03-16T10:45:00Z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