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83" w:rsidRPr="008F4F83" w:rsidRDefault="009C479E" w:rsidP="009C479E">
      <w:pPr>
        <w:jc w:val="center"/>
        <w:rPr>
          <w:b/>
          <w:bCs/>
          <w:sz w:val="27"/>
          <w:szCs w:val="27"/>
        </w:rPr>
      </w:pPr>
      <w:r w:rsidRPr="009847E2">
        <w:rPr>
          <w:b/>
          <w:bCs/>
          <w:sz w:val="27"/>
          <w:szCs w:val="27"/>
        </w:rPr>
        <w:t>Ministru kabineta noteikumu</w:t>
      </w:r>
      <w:r w:rsidR="008F4F83" w:rsidRPr="009847E2">
        <w:rPr>
          <w:b/>
          <w:bCs/>
          <w:sz w:val="27"/>
          <w:szCs w:val="27"/>
        </w:rPr>
        <w:t xml:space="preserve"> projekta</w:t>
      </w:r>
      <w:r w:rsidRPr="009847E2">
        <w:rPr>
          <w:b/>
          <w:bCs/>
          <w:sz w:val="27"/>
          <w:szCs w:val="27"/>
        </w:rPr>
        <w:t xml:space="preserve"> „</w:t>
      </w:r>
      <w:r w:rsidR="00CE2A41" w:rsidRPr="009847E2">
        <w:rPr>
          <w:b/>
          <w:bCs/>
          <w:sz w:val="27"/>
          <w:szCs w:val="27"/>
        </w:rPr>
        <w:t xml:space="preserve">Grozījumi Ministru kabineta </w:t>
      </w:r>
      <w:proofErr w:type="gramStart"/>
      <w:r w:rsidR="00CE2A41" w:rsidRPr="009847E2">
        <w:rPr>
          <w:b/>
          <w:bCs/>
          <w:sz w:val="27"/>
          <w:szCs w:val="27"/>
        </w:rPr>
        <w:t>2011.gada</w:t>
      </w:r>
      <w:proofErr w:type="gramEnd"/>
      <w:r w:rsidR="00CE2A41" w:rsidRPr="009847E2">
        <w:rPr>
          <w:b/>
          <w:bCs/>
          <w:sz w:val="27"/>
          <w:szCs w:val="27"/>
        </w:rPr>
        <w:t xml:space="preserve"> 30.augusta noteikumos Nr.676 „Vīzu noteikumi”</w:t>
      </w:r>
      <w:r w:rsidR="003C6776" w:rsidRPr="009847E2">
        <w:rPr>
          <w:b/>
          <w:bCs/>
          <w:sz w:val="27"/>
          <w:szCs w:val="27"/>
        </w:rPr>
        <w:t>” sākotnējās</w:t>
      </w:r>
      <w:r w:rsidR="008F4F83" w:rsidRPr="009847E2">
        <w:rPr>
          <w:b/>
          <w:bCs/>
          <w:sz w:val="27"/>
          <w:szCs w:val="27"/>
        </w:rPr>
        <w:t xml:space="preserve"> ietekmes novērtējuma ziņojums (anotācija)</w:t>
      </w:r>
    </w:p>
    <w:p w:rsidR="008F4F83" w:rsidRPr="008F4F83" w:rsidRDefault="008F4F83" w:rsidP="008F4F83">
      <w:pPr>
        <w:jc w:val="center"/>
        <w:rPr>
          <w:b/>
          <w:bCs/>
          <w:sz w:val="27"/>
          <w:szCs w:val="27"/>
        </w:rPr>
      </w:pPr>
    </w:p>
    <w:tbl>
      <w:tblPr>
        <w:tblW w:w="494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2"/>
        <w:gridCol w:w="2472"/>
        <w:gridCol w:w="5427"/>
      </w:tblGrid>
      <w:tr w:rsidR="008F4F83" w:rsidRPr="008F4F83" w:rsidTr="00B4763A">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tcPr>
          <w:p w:rsidR="008F4F83" w:rsidRPr="008F4F83" w:rsidRDefault="008F4F83">
            <w:pPr>
              <w:spacing w:before="100" w:beforeAutospacing="1" w:after="100" w:afterAutospacing="1" w:line="360" w:lineRule="auto"/>
              <w:ind w:firstLine="300"/>
              <w:jc w:val="center"/>
              <w:rPr>
                <w:b/>
                <w:bCs/>
              </w:rPr>
            </w:pPr>
            <w:r w:rsidRPr="008F4F83">
              <w:rPr>
                <w:b/>
                <w:bCs/>
              </w:rPr>
              <w:t>I. Tiesību akta projekta izstrādes nepieciešamība</w:t>
            </w:r>
          </w:p>
        </w:tc>
      </w:tr>
      <w:tr w:rsidR="008F4F83" w:rsidRPr="008549D6" w:rsidTr="00B4763A">
        <w:trPr>
          <w:trHeight w:val="405"/>
          <w:tblCellSpacing w:w="15" w:type="dxa"/>
        </w:trPr>
        <w:tc>
          <w:tcPr>
            <w:tcW w:w="358" w:type="pct"/>
            <w:tcBorders>
              <w:top w:val="outset" w:sz="6" w:space="0" w:color="auto"/>
              <w:left w:val="outset" w:sz="6" w:space="0" w:color="auto"/>
              <w:bottom w:val="outset" w:sz="6" w:space="0" w:color="auto"/>
              <w:right w:val="outset" w:sz="6" w:space="0" w:color="auto"/>
            </w:tcBorders>
          </w:tcPr>
          <w:p w:rsidR="008F4F83" w:rsidRPr="008549D6" w:rsidRDefault="008F4F83" w:rsidP="008F4F83">
            <w:pPr>
              <w:spacing w:before="100" w:beforeAutospacing="1" w:after="100" w:afterAutospacing="1" w:line="360" w:lineRule="auto"/>
              <w:ind w:firstLine="300"/>
              <w:jc w:val="both"/>
            </w:pPr>
            <w:r w:rsidRPr="008549D6">
              <w:t>1.</w:t>
            </w:r>
          </w:p>
        </w:tc>
        <w:tc>
          <w:tcPr>
            <w:tcW w:w="1438" w:type="pct"/>
            <w:tcBorders>
              <w:top w:val="outset" w:sz="6" w:space="0" w:color="auto"/>
              <w:left w:val="outset" w:sz="6" w:space="0" w:color="auto"/>
              <w:bottom w:val="outset" w:sz="6" w:space="0" w:color="auto"/>
              <w:right w:val="outset" w:sz="6" w:space="0" w:color="auto"/>
            </w:tcBorders>
          </w:tcPr>
          <w:p w:rsidR="008F4F83" w:rsidRPr="008549D6" w:rsidRDefault="008F4F83">
            <w:r w:rsidRPr="008549D6">
              <w:t>Pamatojums</w:t>
            </w:r>
          </w:p>
        </w:tc>
        <w:tc>
          <w:tcPr>
            <w:tcW w:w="3135" w:type="pct"/>
            <w:tcBorders>
              <w:top w:val="outset" w:sz="6" w:space="0" w:color="auto"/>
              <w:left w:val="outset" w:sz="6" w:space="0" w:color="auto"/>
              <w:bottom w:val="outset" w:sz="6" w:space="0" w:color="auto"/>
              <w:right w:val="outset" w:sz="6" w:space="0" w:color="auto"/>
            </w:tcBorders>
          </w:tcPr>
          <w:p w:rsidR="00AB615E" w:rsidRPr="00F36F4C" w:rsidRDefault="00D46417" w:rsidP="004D698F">
            <w:pPr>
              <w:jc w:val="both"/>
            </w:pPr>
            <w:r>
              <w:t>Imigrācijas likum</w:t>
            </w:r>
            <w:r w:rsidR="00971827">
              <w:t xml:space="preserve">a </w:t>
            </w:r>
            <w:proofErr w:type="gramStart"/>
            <w:r w:rsidR="00CF2FF4">
              <w:t>9.panta</w:t>
            </w:r>
            <w:proofErr w:type="gramEnd"/>
            <w:r w:rsidR="00CF2FF4">
              <w:t xml:space="preserve"> 5.</w:t>
            </w:r>
            <w:r w:rsidR="00CF2FF4" w:rsidRPr="00AC1043">
              <w:rPr>
                <w:vertAlign w:val="superscript"/>
              </w:rPr>
              <w:t>1</w:t>
            </w:r>
            <w:r w:rsidR="00CF2FF4">
              <w:t xml:space="preserve"> daļa un 17.panta 2.</w:t>
            </w:r>
            <w:r w:rsidR="00CF2FF4" w:rsidRPr="00CF2FF4">
              <w:rPr>
                <w:vertAlign w:val="superscript"/>
              </w:rPr>
              <w:t>1</w:t>
            </w:r>
            <w:r w:rsidR="00CF2FF4">
              <w:t xml:space="preserve"> daļa</w:t>
            </w:r>
          </w:p>
        </w:tc>
      </w:tr>
      <w:tr w:rsidR="008F4F83" w:rsidRPr="00533D69" w:rsidTr="00B4763A">
        <w:trPr>
          <w:trHeight w:val="465"/>
          <w:tblCellSpacing w:w="15" w:type="dxa"/>
        </w:trPr>
        <w:tc>
          <w:tcPr>
            <w:tcW w:w="358" w:type="pct"/>
            <w:tcBorders>
              <w:top w:val="outset" w:sz="6" w:space="0" w:color="auto"/>
              <w:left w:val="outset" w:sz="6" w:space="0" w:color="auto"/>
              <w:bottom w:val="outset" w:sz="6" w:space="0" w:color="auto"/>
              <w:right w:val="outset" w:sz="6" w:space="0" w:color="auto"/>
            </w:tcBorders>
          </w:tcPr>
          <w:p w:rsidR="008F4F83" w:rsidRPr="00533D69" w:rsidRDefault="008F4F83" w:rsidP="008F4F83">
            <w:pPr>
              <w:spacing w:before="100" w:beforeAutospacing="1" w:after="100" w:afterAutospacing="1" w:line="360" w:lineRule="auto"/>
              <w:ind w:firstLine="300"/>
              <w:jc w:val="both"/>
            </w:pPr>
            <w:r w:rsidRPr="00533D69">
              <w:t>2.</w:t>
            </w:r>
          </w:p>
        </w:tc>
        <w:tc>
          <w:tcPr>
            <w:tcW w:w="1438" w:type="pct"/>
            <w:tcBorders>
              <w:top w:val="outset" w:sz="6" w:space="0" w:color="auto"/>
              <w:left w:val="outset" w:sz="6" w:space="0" w:color="auto"/>
              <w:bottom w:val="outset" w:sz="6" w:space="0" w:color="auto"/>
              <w:right w:val="outset" w:sz="6" w:space="0" w:color="auto"/>
            </w:tcBorders>
          </w:tcPr>
          <w:p w:rsidR="0011512C" w:rsidRDefault="008F4F83">
            <w:r w:rsidRPr="00533D69">
              <w:t>Pašreizējā situācija un problēmas, kuru risināšanai tiesību akta projekts izstrādāts, tiesiskā regulējuma mērķis un būtība</w:t>
            </w:r>
          </w:p>
          <w:p w:rsidR="0011512C" w:rsidRPr="0011512C" w:rsidRDefault="0011512C" w:rsidP="0011512C"/>
          <w:p w:rsidR="0011512C" w:rsidRPr="0011512C" w:rsidRDefault="0011512C" w:rsidP="0011512C"/>
          <w:p w:rsidR="0011512C" w:rsidRDefault="0011512C" w:rsidP="0011512C"/>
          <w:p w:rsidR="008F4F83" w:rsidRPr="0011512C" w:rsidRDefault="008F4F83" w:rsidP="0011512C">
            <w:pPr>
              <w:ind w:firstLine="720"/>
            </w:pPr>
          </w:p>
        </w:tc>
        <w:tc>
          <w:tcPr>
            <w:tcW w:w="3135" w:type="pct"/>
            <w:tcBorders>
              <w:top w:val="outset" w:sz="6" w:space="0" w:color="auto"/>
              <w:left w:val="outset" w:sz="6" w:space="0" w:color="auto"/>
              <w:bottom w:val="outset" w:sz="6" w:space="0" w:color="auto"/>
              <w:right w:val="outset" w:sz="6" w:space="0" w:color="auto"/>
            </w:tcBorders>
          </w:tcPr>
          <w:p w:rsidR="00D46417" w:rsidRPr="00F36F4C" w:rsidRDefault="00D46417" w:rsidP="00D46417">
            <w:pPr>
              <w:jc w:val="both"/>
            </w:pPr>
            <w:proofErr w:type="gramStart"/>
            <w:r w:rsidRPr="00F36F4C">
              <w:t>2017.gada</w:t>
            </w:r>
            <w:proofErr w:type="gramEnd"/>
            <w:r w:rsidRPr="00F36F4C">
              <w:t xml:space="preserve"> 2.februārī Saeimā pieņemts likums “Grozījumi Imigrācijas likumā”, kas paredz, ka Ministru kabinets nosaka paraugu veidlapai, ar kuru noformē lēmumu atteikt izsniegt ilgtermiņa vīzu vai lēmumu anulēt vai atcelt ilgtermiņa vīzu, kā arī precizēti vairāki iemesli, kad atsaka ilgtermiņa vīzas izsniegšanu, paplašinātas personu grupas, kam piešķir tiesības uz nodarbinātību (pilna laika studentiem un apmaiņas studentiem, kam ir izsniegtas ilgtermiņa vīzas, tiek piešķirtas tiesības uz nodarbinātību līdz 20 stundām nedēļā).</w:t>
            </w:r>
          </w:p>
          <w:p w:rsidR="00D46417" w:rsidRDefault="00D46417" w:rsidP="00D46417">
            <w:pPr>
              <w:jc w:val="both"/>
            </w:pPr>
            <w:r w:rsidRPr="00F36F4C">
              <w:t xml:space="preserve">Likuma izpildei nepieciešams veikt grozījumus Ministru kabineta </w:t>
            </w:r>
            <w:proofErr w:type="gramStart"/>
            <w:r w:rsidRPr="00F36F4C">
              <w:t>2011.gada</w:t>
            </w:r>
            <w:proofErr w:type="gramEnd"/>
            <w:r w:rsidRPr="00F36F4C">
              <w:t xml:space="preserve"> </w:t>
            </w:r>
            <w:r w:rsidRPr="00F36F4C">
              <w:rPr>
                <w:bCs/>
              </w:rPr>
              <w:t>30.augusta noteikumos Nr.676 „Vīzu noteikumi</w:t>
            </w:r>
            <w:r w:rsidRPr="00F36F4C">
              <w:t>”.</w:t>
            </w:r>
          </w:p>
          <w:p w:rsidR="00CE2A41" w:rsidRDefault="007E4D1E" w:rsidP="000E528D">
            <w:pPr>
              <w:jc w:val="both"/>
            </w:pPr>
            <w:r>
              <w:t>Tiesību akta p</w:t>
            </w:r>
            <w:r w:rsidR="00CE2A41">
              <w:t xml:space="preserve">rojektā ietvertais regulējums: </w:t>
            </w:r>
          </w:p>
          <w:p w:rsidR="0049757C" w:rsidRPr="0057548B" w:rsidRDefault="0049757C" w:rsidP="00CE2A41">
            <w:pPr>
              <w:numPr>
                <w:ilvl w:val="0"/>
                <w:numId w:val="2"/>
              </w:numPr>
              <w:ind w:left="0" w:firstLine="360"/>
              <w:jc w:val="both"/>
            </w:pPr>
            <w:r>
              <w:t xml:space="preserve">atbilstoši </w:t>
            </w:r>
            <w:r w:rsidR="00CF2FF4">
              <w:t xml:space="preserve">Imigrācijas </w:t>
            </w:r>
            <w:r>
              <w:t xml:space="preserve">likuma </w:t>
            </w:r>
            <w:proofErr w:type="gramStart"/>
            <w:r w:rsidR="00CF2FF4">
              <w:t>17.panta</w:t>
            </w:r>
            <w:proofErr w:type="gramEnd"/>
            <w:r w:rsidR="00CF2FF4">
              <w:t xml:space="preserve"> 2.</w:t>
            </w:r>
            <w:r w:rsidR="00CF2FF4" w:rsidRPr="00CF2FF4">
              <w:rPr>
                <w:vertAlign w:val="superscript"/>
              </w:rPr>
              <w:t>1</w:t>
            </w:r>
            <w:r w:rsidR="00CF2FF4">
              <w:t xml:space="preserve">.daļā </w:t>
            </w:r>
            <w:r>
              <w:t xml:space="preserve">noteiktajam </w:t>
            </w:r>
            <w:r w:rsidR="003D11EE">
              <w:t>paredz</w:t>
            </w:r>
            <w:r w:rsidR="00CF2FF4">
              <w:t>ēta jauna pielikuma ieviešana</w:t>
            </w:r>
            <w:r w:rsidR="003D11EE">
              <w:t xml:space="preserve"> </w:t>
            </w:r>
            <w:r w:rsidR="00F36F4C">
              <w:t>–</w:t>
            </w:r>
            <w:r w:rsidR="003D11EE">
              <w:t xml:space="preserve"> </w:t>
            </w:r>
            <w:r>
              <w:t>veidlapa, ar kuru noformē lēmumu atteikt izsniegt ilgtermiņa vīzu vai lēmumu anulēt vai atcelt ilgtermiņa vīzu</w:t>
            </w:r>
            <w:r w:rsidR="00282350">
              <w:t xml:space="preserve">. Veidlapas paraugs izstrādāts, par pamatu ņemot Eiropas Parlamenta un Padomes </w:t>
            </w:r>
            <w:proofErr w:type="gramStart"/>
            <w:r w:rsidR="00282350">
              <w:t>2009.gada</w:t>
            </w:r>
            <w:proofErr w:type="gramEnd"/>
            <w:r w:rsidR="00282350">
              <w:t xml:space="preserve"> 13.jūlija regulas Nr.810/2009, ar ko izveido Kopienas Vīzu kodeksu (Vīzu kodekss), </w:t>
            </w:r>
            <w:r w:rsidR="00282350" w:rsidRPr="004D698F">
              <w:t>VI pielikumā iekļauto veidlapu</w:t>
            </w:r>
            <w:r w:rsidR="0057548B" w:rsidRPr="004D698F">
              <w:t xml:space="preserve">. </w:t>
            </w:r>
            <w:r w:rsidR="004D698F">
              <w:t>Šajā v</w:t>
            </w:r>
            <w:r w:rsidR="0057548B" w:rsidRPr="004D698F">
              <w:t xml:space="preserve">eidlapā iekļauti </w:t>
            </w:r>
            <w:r w:rsidR="0057548B" w:rsidRPr="004D698F">
              <w:rPr>
                <w:lang w:eastAsia="ja-JP"/>
              </w:rPr>
              <w:t>atteikuma iemesli atbilstoši Imigrācijas likuma 16.panta pirmajai daļai un lēmuma apstrīdēšanas kārtība atbilstoši šā likuma 1</w:t>
            </w:r>
            <w:r w:rsidR="004D698F" w:rsidRPr="004D698F">
              <w:rPr>
                <w:lang w:eastAsia="ja-JP"/>
              </w:rPr>
              <w:t>7</w:t>
            </w:r>
            <w:r w:rsidR="0057548B" w:rsidRPr="004D698F">
              <w:rPr>
                <w:lang w:eastAsia="ja-JP"/>
              </w:rPr>
              <w:t>.panta trešajai daļai</w:t>
            </w:r>
            <w:r w:rsidR="00AE38E3">
              <w:t>;</w:t>
            </w:r>
          </w:p>
          <w:p w:rsidR="00AE38E3" w:rsidRPr="00282350" w:rsidRDefault="00AE38E3" w:rsidP="00AE38E3">
            <w:pPr>
              <w:numPr>
                <w:ilvl w:val="0"/>
                <w:numId w:val="2"/>
              </w:numPr>
              <w:ind w:left="0" w:firstLine="360"/>
              <w:jc w:val="both"/>
            </w:pPr>
            <w:r>
              <w:t xml:space="preserve">atbilstoši </w:t>
            </w:r>
            <w:r w:rsidRPr="00CF2FF4">
              <w:t>Imigrācijas likum</w:t>
            </w:r>
            <w:r w:rsidR="006073E1" w:rsidRPr="00CF2FF4">
              <w:t>a</w:t>
            </w:r>
            <w:r>
              <w:rPr>
                <w:i/>
              </w:rPr>
              <w:t xml:space="preserve"> </w:t>
            </w:r>
            <w:proofErr w:type="gramStart"/>
            <w:r w:rsidR="00CF2FF4">
              <w:t>9.panta</w:t>
            </w:r>
            <w:proofErr w:type="gramEnd"/>
            <w:r w:rsidR="00CF2FF4">
              <w:t xml:space="preserve"> </w:t>
            </w:r>
            <w:r>
              <w:t>5</w:t>
            </w:r>
            <w:r w:rsidR="00CF2FF4">
              <w:t>.</w:t>
            </w:r>
            <w:r w:rsidRPr="00AC1043">
              <w:rPr>
                <w:vertAlign w:val="superscript"/>
              </w:rPr>
              <w:t>1</w:t>
            </w:r>
            <w:r>
              <w:t xml:space="preserve"> daļā noteiktajam</w:t>
            </w:r>
            <w:r w:rsidRPr="00CE2A41">
              <w:t xml:space="preserve"> paredz</w:t>
            </w:r>
            <w:r w:rsidR="00CF2FF4">
              <w:t>ēts iekļaut</w:t>
            </w:r>
            <w:r w:rsidRPr="00CE2A41">
              <w:t xml:space="preserve"> </w:t>
            </w:r>
            <w:r w:rsidR="00F36F4C">
              <w:t xml:space="preserve">nacionālajā vīzu informācijas sistēmā un </w:t>
            </w:r>
            <w:r w:rsidRPr="00CE2A41">
              <w:t>ilgtermiņa vīzā iekļaujamo informāciju</w:t>
            </w:r>
            <w:r>
              <w:t xml:space="preserve"> par </w:t>
            </w:r>
            <w:r w:rsidRPr="00282350">
              <w:t>tiesību uz nodarbinātību līdz 20 stundām nedēļā piešķiršanu;</w:t>
            </w:r>
          </w:p>
          <w:p w:rsidR="00AE38E3" w:rsidRPr="007E4D1E" w:rsidRDefault="00AE38E3" w:rsidP="00AE38E3">
            <w:pPr>
              <w:numPr>
                <w:ilvl w:val="0"/>
                <w:numId w:val="2"/>
              </w:numPr>
              <w:ind w:left="0" w:firstLine="360"/>
              <w:jc w:val="both"/>
            </w:pPr>
            <w:r w:rsidRPr="00282350">
              <w:t xml:space="preserve">nosaka, ka, </w:t>
            </w:r>
            <w:r>
              <w:t>i</w:t>
            </w:r>
            <w:r w:rsidRPr="00282350">
              <w:rPr>
                <w:lang w:eastAsia="ja-JP"/>
              </w:rPr>
              <w:t>zsniedzot il</w:t>
            </w:r>
            <w:r>
              <w:rPr>
                <w:lang w:eastAsia="ja-JP"/>
              </w:rPr>
              <w:t>gtermiņa vīzu, vīzas uzlīm</w:t>
            </w:r>
            <w:r w:rsidRPr="00282350">
              <w:rPr>
                <w:lang w:eastAsia="ja-JP"/>
              </w:rPr>
              <w:t xml:space="preserve">ē </w:t>
            </w:r>
            <w:r>
              <w:rPr>
                <w:lang w:eastAsia="ja-JP"/>
              </w:rPr>
              <w:t>norāda</w:t>
            </w:r>
            <w:r w:rsidRPr="00282350">
              <w:rPr>
                <w:lang w:eastAsia="ja-JP"/>
              </w:rPr>
              <w:t xml:space="preserve"> kopējo Latvijas Republikā atļauto uzturēšanās dienu skaitu</w:t>
            </w:r>
            <w:r>
              <w:t xml:space="preserve">, atsakoties no līdzšinējā uzstādījuma sadalīt atļauto uzturēšanās termiņu pa pusgada </w:t>
            </w:r>
            <w:r w:rsidRPr="007E4D1E">
              <w:t xml:space="preserve">periodiem; </w:t>
            </w:r>
          </w:p>
          <w:p w:rsidR="00AE38E3" w:rsidRPr="001916ED" w:rsidRDefault="00AE38E3" w:rsidP="00AE38E3">
            <w:pPr>
              <w:numPr>
                <w:ilvl w:val="0"/>
                <w:numId w:val="2"/>
              </w:numPr>
              <w:ind w:left="0" w:firstLine="360"/>
              <w:jc w:val="both"/>
            </w:pPr>
            <w:r w:rsidRPr="007E4D1E">
              <w:t>paredz, ka ārzemnieki, kuri pieprasa ilgtermiņa vīzu brīvprātīgā darba veikšanai vai ar mērķi iesniegt doku</w:t>
            </w:r>
            <w:r w:rsidR="007E4D1E" w:rsidRPr="007E4D1E">
              <w:t>m</w:t>
            </w:r>
            <w:r w:rsidRPr="007E4D1E">
              <w:t xml:space="preserve">entus uzturēšanās atļaujas pieprasīšanai </w:t>
            </w:r>
            <w:r w:rsidR="007E4D1E" w:rsidRPr="007E4D1E">
              <w:lastRenderedPageBreak/>
              <w:t xml:space="preserve">Pilsonības </w:t>
            </w:r>
            <w:r w:rsidR="007E4D1E" w:rsidRPr="001916ED">
              <w:t>un migrācijas lietu pārvaldē</w:t>
            </w:r>
            <w:r w:rsidR="000A6ACF" w:rsidRPr="001916ED">
              <w:t xml:space="preserve"> Ministru kabineta </w:t>
            </w:r>
            <w:proofErr w:type="gramStart"/>
            <w:r w:rsidR="000A6ACF" w:rsidRPr="001916ED">
              <w:t>2010.gada</w:t>
            </w:r>
            <w:proofErr w:type="gramEnd"/>
            <w:r w:rsidR="000A6ACF" w:rsidRPr="001916ED">
              <w:t xml:space="preserve"> 21.jūnija noteikumu Nr.564 “Uzturēšanās atļauju noteikumi” 4.1.apakšpunktā minētajos gadījumos</w:t>
            </w:r>
            <w:r w:rsidR="007E4D1E" w:rsidRPr="001916ED">
              <w:t xml:space="preserve">, iesniedz attiecīgus </w:t>
            </w:r>
            <w:r w:rsidR="00B3225A" w:rsidRPr="001916ED">
              <w:t xml:space="preserve">šādas vīzas saņemšanas mērķi </w:t>
            </w:r>
            <w:r w:rsidR="007E4D1E" w:rsidRPr="001916ED">
              <w:t>pamatoj</w:t>
            </w:r>
            <w:r w:rsidR="00B3225A" w:rsidRPr="001916ED">
              <w:t>ošus</w:t>
            </w:r>
            <w:r w:rsidRPr="001916ED">
              <w:rPr>
                <w:lang w:eastAsia="ja-JP"/>
              </w:rPr>
              <w:t xml:space="preserve"> dokumentus</w:t>
            </w:r>
            <w:r w:rsidR="000A6ACF" w:rsidRPr="001916ED">
              <w:rPr>
                <w:lang w:eastAsia="ja-JP"/>
              </w:rPr>
              <w:t xml:space="preserve"> </w:t>
            </w:r>
            <w:r w:rsidR="000A6ACF" w:rsidRPr="001916ED">
              <w:t>atbilstoši Imigrācijas likuma</w:t>
            </w:r>
            <w:r w:rsidR="000A6ACF" w:rsidRPr="001916ED">
              <w:t xml:space="preserve"> 12.panta pirmās daļas 3.punktam</w:t>
            </w:r>
            <w:r w:rsidR="00184EAF" w:rsidRPr="001916ED">
              <w:t>, piemēram, Pilsonības un migrācijas lietu pārvaldē apstiprināts ielūgums, kas ir obligāts darba lūguma vai uzņēmuma līguma gadījumā, uzaicinājuma vēstule, sadarbības līgums vai līguma projekts</w:t>
            </w:r>
            <w:r w:rsidR="007E4D1E" w:rsidRPr="001916ED">
              <w:rPr>
                <w:lang w:eastAsia="ja-JP"/>
              </w:rPr>
              <w:t>;</w:t>
            </w:r>
          </w:p>
          <w:p w:rsidR="0049757C" w:rsidRDefault="003D11EE" w:rsidP="00CE2A41">
            <w:pPr>
              <w:numPr>
                <w:ilvl w:val="0"/>
                <w:numId w:val="2"/>
              </w:numPr>
              <w:ind w:left="0" w:firstLine="360"/>
              <w:jc w:val="both"/>
            </w:pPr>
            <w:r w:rsidRPr="001916ED">
              <w:t xml:space="preserve">paredz </w:t>
            </w:r>
            <w:r w:rsidR="007E4D1E" w:rsidRPr="001916ED">
              <w:t xml:space="preserve">precizēt </w:t>
            </w:r>
            <w:r w:rsidR="0049757C" w:rsidRPr="001916ED">
              <w:t>ilgtermiņa vīzas pieteikuma anket</w:t>
            </w:r>
            <w:r w:rsidR="007E4D1E" w:rsidRPr="001916ED">
              <w:t>u, papildinot</w:t>
            </w:r>
            <w:bookmarkStart w:id="0" w:name="_GoBack"/>
            <w:bookmarkEnd w:id="0"/>
            <w:r w:rsidR="0049757C">
              <w:t xml:space="preserve"> 22.lauk</w:t>
            </w:r>
            <w:r>
              <w:t>u</w:t>
            </w:r>
            <w:r w:rsidR="0049757C">
              <w:t xml:space="preserve"> </w:t>
            </w:r>
            <w:r w:rsidR="00F36F4C">
              <w:t>“Ieceļošanas mērķis”</w:t>
            </w:r>
            <w:r w:rsidR="00AE38E3">
              <w:t xml:space="preserve"> </w:t>
            </w:r>
            <w:r w:rsidR="0049757C">
              <w:t xml:space="preserve">ar jauniem ieceļošanas mērķiem </w:t>
            </w:r>
            <w:r w:rsidR="00F36F4C">
              <w:t>“</w:t>
            </w:r>
            <w:r w:rsidR="00744628" w:rsidRPr="00D130D4">
              <w:t>sezonas darbs</w:t>
            </w:r>
            <w:r w:rsidR="00F36F4C">
              <w:t>”</w:t>
            </w:r>
            <w:r w:rsidR="00744628">
              <w:t xml:space="preserve">, </w:t>
            </w:r>
            <w:r w:rsidR="00F36F4C">
              <w:t>“</w:t>
            </w:r>
            <w:r w:rsidR="0049757C">
              <w:t>brīvprātīg</w:t>
            </w:r>
            <w:r w:rsidR="00744628">
              <w:t>ais</w:t>
            </w:r>
            <w:r w:rsidR="0049757C">
              <w:t xml:space="preserve"> darb</w:t>
            </w:r>
            <w:r w:rsidR="00744628">
              <w:t>s</w:t>
            </w:r>
            <w:r w:rsidR="00F36F4C">
              <w:t>”</w:t>
            </w:r>
            <w:r w:rsidR="00744628">
              <w:t xml:space="preserve"> un </w:t>
            </w:r>
            <w:r w:rsidR="00F36F4C">
              <w:t>“</w:t>
            </w:r>
            <w:r w:rsidR="00744628">
              <w:t>mācības</w:t>
            </w:r>
            <w:r w:rsidR="00F36F4C">
              <w:t>”</w:t>
            </w:r>
            <w:r w:rsidR="00744628">
              <w:t>;</w:t>
            </w:r>
          </w:p>
          <w:p w:rsidR="00282350" w:rsidRPr="00351026" w:rsidRDefault="00282350" w:rsidP="00CD634D">
            <w:pPr>
              <w:numPr>
                <w:ilvl w:val="0"/>
                <w:numId w:val="2"/>
              </w:numPr>
              <w:ind w:left="0" w:firstLine="360"/>
              <w:jc w:val="both"/>
            </w:pPr>
            <w:r>
              <w:t xml:space="preserve">precizē vīzu </w:t>
            </w:r>
            <w:r w:rsidRPr="00351026">
              <w:t>pieteikumu uzglabāšanas kārtību, nosakot, ka ar</w:t>
            </w:r>
            <w:r w:rsidR="00351026" w:rsidRPr="00351026">
              <w:t>ī veidlapas par atteikumu izsniegt ilgtermiņa vīzu vai lēmuma par ilgtermiņa vīzas anulēšanu vai atcelšanu kopija pievienojama attiecīgajai lietai;</w:t>
            </w:r>
          </w:p>
          <w:p w:rsidR="008E1E7C" w:rsidRPr="00D65D1F" w:rsidRDefault="008E1E7C" w:rsidP="00CD634D">
            <w:pPr>
              <w:numPr>
                <w:ilvl w:val="0"/>
                <w:numId w:val="2"/>
              </w:numPr>
              <w:ind w:left="0" w:firstLine="360"/>
              <w:jc w:val="both"/>
            </w:pPr>
            <w:r>
              <w:t xml:space="preserve">atbilstoši Ministru kabineta </w:t>
            </w:r>
            <w:proofErr w:type="gramStart"/>
            <w:r>
              <w:t>2012.gada</w:t>
            </w:r>
            <w:proofErr w:type="gramEnd"/>
            <w:r>
              <w:t xml:space="preserve"> 6.novembra noteikumiem </w:t>
            </w:r>
            <w:r w:rsidRPr="00AE38E3">
              <w:t>Nr.748 „Dokumentu un arhīvu pārvaldības noteikumi” precizē</w:t>
            </w:r>
            <w:r w:rsidR="00AE38E3" w:rsidRPr="00AE38E3">
              <w:t xml:space="preserve"> </w:t>
            </w:r>
            <w:r w:rsidRPr="00AE38E3">
              <w:t xml:space="preserve">vīzu </w:t>
            </w:r>
            <w:r w:rsidR="006C057B" w:rsidRPr="00AE38E3">
              <w:t xml:space="preserve">pagarinājumu </w:t>
            </w:r>
            <w:r w:rsidRPr="00AE38E3">
              <w:t>pieteikumu</w:t>
            </w:r>
            <w:r w:rsidR="003648FF" w:rsidRPr="00AE38E3">
              <w:t>, kā arī anulēto un atcelto vīzu dokumentācijas</w:t>
            </w:r>
            <w:r w:rsidRPr="00AE38E3">
              <w:t xml:space="preserve"> uzglabāšanas un iznīcināšanas kārtību</w:t>
            </w:r>
            <w:r w:rsidR="00A55906" w:rsidRPr="00AE38E3">
              <w:t>. Šobrīd iepriekš minēto noteikumu 107.punkts paredz, ka dokumenti var tikt iznīcināti</w:t>
            </w:r>
            <w:r w:rsidR="00CD634D" w:rsidRPr="00AE38E3">
              <w:t xml:space="preserve"> tikai tad</w:t>
            </w:r>
            <w:r w:rsidR="00A55906" w:rsidRPr="00AE38E3">
              <w:t xml:space="preserve">, ja par attiecīgo dokumentu pārvaldības periodu ir veikta pastāvīgi un ilgstoši glabājamo dokumentu aprakstīšana, bet </w:t>
            </w:r>
            <w:r w:rsidR="006C057B" w:rsidRPr="00AE38E3">
              <w:t>minētā dokumentācija</w:t>
            </w:r>
            <w:r w:rsidR="00A55906">
              <w:t xml:space="preserve"> pēc norādītā perioda ir zaudēju</w:t>
            </w:r>
            <w:r w:rsidR="006C057B">
              <w:t>si</w:t>
            </w:r>
            <w:r w:rsidR="00A55906">
              <w:t xml:space="preserve"> savu aktualitāti </w:t>
            </w:r>
            <w:r w:rsidR="00CD634D">
              <w:t xml:space="preserve">un informatīvo nozīmi, </w:t>
            </w:r>
            <w:r w:rsidR="00A55906">
              <w:t>un darbā vairs netiek izmantotas</w:t>
            </w:r>
            <w:r w:rsidR="00CD634D">
              <w:t>.</w:t>
            </w:r>
            <w:r w:rsidR="00AE38E3">
              <w:t xml:space="preserve"> </w:t>
            </w:r>
            <w:r w:rsidR="006C057B">
              <w:t>Lai harmonizētu visu ar vīzu izsniegšanu saistīto dokumentu uzglabāšanas un iznīcināšanas kārtību</w:t>
            </w:r>
            <w:r w:rsidR="00CD634D">
              <w:t xml:space="preserve">, </w:t>
            </w:r>
            <w:r w:rsidR="00A55906">
              <w:t>projektā paredzēts</w:t>
            </w:r>
            <w:r w:rsidR="00CD634D">
              <w:t>,</w:t>
            </w:r>
            <w:r w:rsidR="00CB05FF">
              <w:t xml:space="preserve"> ka dokumentu iznīcināšana nav saistāma ar dokumentu aprakstīšanu par kārtējo gadu</w:t>
            </w:r>
            <w:r w:rsidR="003648FF">
              <w:t xml:space="preserve">. Identiska norma ir noteikta attiecībā uz izsniegto vīzu anketu </w:t>
            </w:r>
            <w:r w:rsidR="003648FF" w:rsidRPr="00D65D1F">
              <w:t>uzglabāšanu un iznīcināšanu</w:t>
            </w:r>
            <w:r w:rsidR="00172108" w:rsidRPr="00D65D1F">
              <w:t>;</w:t>
            </w:r>
          </w:p>
          <w:p w:rsidR="00D65D1F" w:rsidRPr="00D65D1F" w:rsidRDefault="00D65D1F" w:rsidP="00CD634D">
            <w:pPr>
              <w:numPr>
                <w:ilvl w:val="0"/>
                <w:numId w:val="2"/>
              </w:numPr>
              <w:ind w:left="0" w:firstLine="360"/>
              <w:jc w:val="both"/>
            </w:pPr>
            <w:r w:rsidRPr="00D65D1F">
              <w:t xml:space="preserve">aizstāj Vīzu kodeksa </w:t>
            </w:r>
            <w:proofErr w:type="gramStart"/>
            <w:r w:rsidRPr="00D65D1F">
              <w:t>22.pantā</w:t>
            </w:r>
            <w:proofErr w:type="gramEnd"/>
            <w:r w:rsidRPr="00D65D1F">
              <w:t xml:space="preserve"> iepriekš funkcionējušās </w:t>
            </w:r>
            <w:r w:rsidRPr="00D65D1F">
              <w:rPr>
                <w:i/>
                <w:iCs/>
                <w:lang w:eastAsia="ja-JP"/>
              </w:rPr>
              <w:t>VISION</w:t>
            </w:r>
            <w:r w:rsidRPr="00D65D1F">
              <w:t xml:space="preserve"> konsultācijas ar no jauna ieviestajām konsultācijām ar nosaukumu “VIS pasta konsultācijas”</w:t>
            </w:r>
            <w:r w:rsidR="00D82876">
              <w:t>;</w:t>
            </w:r>
          </w:p>
          <w:p w:rsidR="00D130D4" w:rsidRDefault="007E4D1E" w:rsidP="00D82876">
            <w:pPr>
              <w:numPr>
                <w:ilvl w:val="0"/>
                <w:numId w:val="2"/>
              </w:numPr>
              <w:ind w:left="0" w:firstLine="360"/>
              <w:jc w:val="both"/>
            </w:pPr>
            <w:r>
              <w:t xml:space="preserve">paredz </w:t>
            </w:r>
            <w:r w:rsidR="00D82876">
              <w:t>d</w:t>
            </w:r>
            <w:r w:rsidR="00172108">
              <w:t>zēst</w:t>
            </w:r>
            <w:r w:rsidR="00D82876">
              <w:t xml:space="preserve"> normu, ka vīzas izsniedzējs nacionālajā vīzu </w:t>
            </w:r>
            <w:r w:rsidR="00F36F4C">
              <w:t xml:space="preserve">informācijas </w:t>
            </w:r>
            <w:r w:rsidR="00D82876">
              <w:t xml:space="preserve">sistēmā ieraksta pamatojumu, ja </w:t>
            </w:r>
            <w:proofErr w:type="gramStart"/>
            <w:r w:rsidR="00D82876">
              <w:t>pieņemts lēmumu izsniegt vīzu ar garāku derīguma termiņu</w:t>
            </w:r>
            <w:proofErr w:type="gramEnd"/>
            <w:r w:rsidR="00D82876">
              <w:t>, kāds noteikts apstiprinātajā ielūgumā, jo šāds ierobežojums attiecas tikai uz vīzām, kas saistītas ar nodarbinātību</w:t>
            </w:r>
            <w:r w:rsidR="0042206A">
              <w:t>, un noteikts noteikumu 6.punktā</w:t>
            </w:r>
            <w:r w:rsidR="00D82876">
              <w:t xml:space="preserve">. Savukārt Šengenas vīzu derīguma termiņi noteikti Vīzu kodeksā un Eiropas Savienības ar virkni </w:t>
            </w:r>
            <w:r w:rsidR="00D82876">
              <w:lastRenderedPageBreak/>
              <w:t>trešajām valstīm noslēgtajos nolīgumos par vīzu atvieglotu izsniegšanu</w:t>
            </w:r>
            <w:r w:rsidR="00F36F4C">
              <w:t>;</w:t>
            </w:r>
          </w:p>
          <w:p w:rsidR="00172108" w:rsidRPr="00320562" w:rsidRDefault="007E4D1E" w:rsidP="00134003">
            <w:pPr>
              <w:numPr>
                <w:ilvl w:val="0"/>
                <w:numId w:val="2"/>
              </w:numPr>
              <w:ind w:left="0" w:firstLine="360"/>
              <w:jc w:val="both"/>
            </w:pPr>
            <w:r w:rsidRPr="007E4D1E">
              <w:t xml:space="preserve">paredz </w:t>
            </w:r>
            <w:r w:rsidRPr="005C01F8">
              <w:t xml:space="preserve">precizēt ilgtermiņa vīzas pieteikuma anketas </w:t>
            </w:r>
            <w:r w:rsidR="00D130D4" w:rsidRPr="005C01F8">
              <w:t>paskaidrojoš</w:t>
            </w:r>
            <w:r w:rsidR="005C01F8" w:rsidRPr="005C01F8">
              <w:t>o</w:t>
            </w:r>
            <w:r w:rsidR="00D130D4" w:rsidRPr="005C01F8">
              <w:t xml:space="preserve"> daļ</w:t>
            </w:r>
            <w:r w:rsidR="005C01F8" w:rsidRPr="005C01F8">
              <w:t>u, pēdējā rindkopā Šengenas Robežu kodeksa veco numuru aizstājot ar</w:t>
            </w:r>
            <w:r w:rsidR="00D130D4" w:rsidRPr="005C01F8">
              <w:t xml:space="preserve"> jauno </w:t>
            </w:r>
            <w:r w:rsidR="005C01F8" w:rsidRPr="005C01F8">
              <w:t xml:space="preserve">regulas </w:t>
            </w:r>
            <w:r w:rsidR="00D130D4" w:rsidRPr="005C01F8">
              <w:t>numuru 2016/399</w:t>
            </w:r>
            <w:r w:rsidR="005C01F8" w:rsidRPr="005C01F8">
              <w:t>.</w:t>
            </w:r>
          </w:p>
        </w:tc>
      </w:tr>
      <w:tr w:rsidR="008F4F83" w:rsidRPr="009C479E" w:rsidTr="00B4763A">
        <w:trPr>
          <w:trHeight w:val="465"/>
          <w:tblCellSpacing w:w="15" w:type="dxa"/>
        </w:trPr>
        <w:tc>
          <w:tcPr>
            <w:tcW w:w="358" w:type="pct"/>
            <w:tcBorders>
              <w:top w:val="outset" w:sz="6" w:space="0" w:color="auto"/>
              <w:left w:val="outset" w:sz="6" w:space="0" w:color="auto"/>
              <w:bottom w:val="outset" w:sz="6" w:space="0" w:color="auto"/>
              <w:right w:val="outset" w:sz="6" w:space="0" w:color="auto"/>
            </w:tcBorders>
          </w:tcPr>
          <w:p w:rsidR="008F4F83" w:rsidRPr="009C479E" w:rsidRDefault="008F4F83" w:rsidP="008F4F83">
            <w:pPr>
              <w:spacing w:before="100" w:beforeAutospacing="1" w:after="100" w:afterAutospacing="1" w:line="360" w:lineRule="auto"/>
              <w:ind w:firstLine="300"/>
              <w:jc w:val="both"/>
            </w:pPr>
            <w:r w:rsidRPr="009C479E">
              <w:lastRenderedPageBreak/>
              <w:t>3.</w:t>
            </w:r>
          </w:p>
        </w:tc>
        <w:tc>
          <w:tcPr>
            <w:tcW w:w="1438" w:type="pct"/>
            <w:tcBorders>
              <w:top w:val="outset" w:sz="6" w:space="0" w:color="auto"/>
              <w:left w:val="outset" w:sz="6" w:space="0" w:color="auto"/>
              <w:bottom w:val="outset" w:sz="6" w:space="0" w:color="auto"/>
              <w:right w:val="outset" w:sz="6" w:space="0" w:color="auto"/>
            </w:tcBorders>
          </w:tcPr>
          <w:p w:rsidR="008F4F83" w:rsidRPr="009C479E" w:rsidRDefault="00710E18">
            <w:r w:rsidRPr="00CF666C">
              <w:t>Projekta izstrādē iesaistītās institūcijas</w:t>
            </w:r>
          </w:p>
        </w:tc>
        <w:tc>
          <w:tcPr>
            <w:tcW w:w="3135" w:type="pct"/>
            <w:tcBorders>
              <w:top w:val="outset" w:sz="6" w:space="0" w:color="auto"/>
              <w:left w:val="outset" w:sz="6" w:space="0" w:color="auto"/>
              <w:bottom w:val="outset" w:sz="6" w:space="0" w:color="auto"/>
              <w:right w:val="outset" w:sz="6" w:space="0" w:color="auto"/>
            </w:tcBorders>
          </w:tcPr>
          <w:p w:rsidR="008F4F83" w:rsidRPr="009C479E" w:rsidRDefault="009C479E" w:rsidP="00D17863">
            <w:r w:rsidRPr="009C479E">
              <w:t>Pilsonības un migrācijas lietu pārvalde</w:t>
            </w:r>
          </w:p>
        </w:tc>
      </w:tr>
      <w:tr w:rsidR="008F4F83" w:rsidRPr="002F3A99" w:rsidTr="00B4763A">
        <w:trPr>
          <w:tblCellSpacing w:w="15" w:type="dxa"/>
        </w:trPr>
        <w:tc>
          <w:tcPr>
            <w:tcW w:w="358" w:type="pct"/>
            <w:tcBorders>
              <w:top w:val="outset" w:sz="6" w:space="0" w:color="auto"/>
              <w:left w:val="outset" w:sz="6" w:space="0" w:color="auto"/>
              <w:bottom w:val="outset" w:sz="6" w:space="0" w:color="auto"/>
              <w:right w:val="outset" w:sz="6" w:space="0" w:color="auto"/>
            </w:tcBorders>
          </w:tcPr>
          <w:p w:rsidR="008F4F83" w:rsidRPr="002F3A99" w:rsidRDefault="008F4F83" w:rsidP="008F4F83">
            <w:pPr>
              <w:spacing w:before="100" w:beforeAutospacing="1" w:after="100" w:afterAutospacing="1" w:line="360" w:lineRule="auto"/>
              <w:ind w:firstLine="300"/>
              <w:jc w:val="both"/>
              <w:rPr>
                <w:color w:val="000000"/>
              </w:rPr>
            </w:pPr>
            <w:r w:rsidRPr="002F3A99">
              <w:rPr>
                <w:color w:val="000000"/>
              </w:rPr>
              <w:t>4.</w:t>
            </w:r>
          </w:p>
        </w:tc>
        <w:tc>
          <w:tcPr>
            <w:tcW w:w="1438" w:type="pct"/>
            <w:tcBorders>
              <w:top w:val="outset" w:sz="6" w:space="0" w:color="auto"/>
              <w:left w:val="outset" w:sz="6" w:space="0" w:color="auto"/>
              <w:bottom w:val="outset" w:sz="6" w:space="0" w:color="auto"/>
              <w:right w:val="outset" w:sz="6" w:space="0" w:color="auto"/>
            </w:tcBorders>
          </w:tcPr>
          <w:p w:rsidR="008F4F83" w:rsidRPr="002F3A99" w:rsidRDefault="008F4F83">
            <w:pPr>
              <w:rPr>
                <w:color w:val="000000"/>
              </w:rPr>
            </w:pPr>
            <w:r w:rsidRPr="002F3A99">
              <w:rPr>
                <w:color w:val="000000"/>
              </w:rPr>
              <w:t>Cita informācija</w:t>
            </w:r>
          </w:p>
        </w:tc>
        <w:tc>
          <w:tcPr>
            <w:tcW w:w="3135" w:type="pct"/>
            <w:tcBorders>
              <w:top w:val="outset" w:sz="6" w:space="0" w:color="auto"/>
              <w:left w:val="outset" w:sz="6" w:space="0" w:color="auto"/>
              <w:bottom w:val="outset" w:sz="6" w:space="0" w:color="auto"/>
              <w:right w:val="outset" w:sz="6" w:space="0" w:color="auto"/>
            </w:tcBorders>
          </w:tcPr>
          <w:p w:rsidR="008F4F83" w:rsidRPr="002F3A99" w:rsidRDefault="00D130D4" w:rsidP="00D130D4">
            <w:pPr>
              <w:jc w:val="both"/>
              <w:rPr>
                <w:color w:val="000000"/>
              </w:rPr>
            </w:pPr>
            <w:r>
              <w:rPr>
                <w:color w:val="000000"/>
              </w:rPr>
              <w:t xml:space="preserve">Nav </w:t>
            </w:r>
          </w:p>
        </w:tc>
      </w:tr>
    </w:tbl>
    <w:p w:rsidR="008F4F83" w:rsidRPr="009C479E" w:rsidRDefault="008F4F83" w:rsidP="008B105F">
      <w:pPr>
        <w:spacing w:before="100" w:beforeAutospacing="1" w:after="100" w:afterAutospacing="1" w:line="360" w:lineRule="auto"/>
        <w:rPr>
          <w:color w:val="FF0000"/>
        </w:rPr>
      </w:pPr>
    </w:p>
    <w:tbl>
      <w:tblPr>
        <w:tblW w:w="499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5"/>
        <w:gridCol w:w="2638"/>
        <w:gridCol w:w="5537"/>
      </w:tblGrid>
      <w:tr w:rsidR="008F4F83" w:rsidRPr="009C479E" w:rsidTr="00256526">
        <w:trPr>
          <w:trHeight w:val="555"/>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tcPr>
          <w:p w:rsidR="008F4F83" w:rsidRPr="009C479E" w:rsidRDefault="008F4F83" w:rsidP="00D34EF1">
            <w:pPr>
              <w:spacing w:before="100" w:beforeAutospacing="1" w:after="100" w:afterAutospacing="1" w:line="360" w:lineRule="auto"/>
              <w:ind w:firstLine="300"/>
              <w:jc w:val="center"/>
              <w:rPr>
                <w:b/>
                <w:bCs/>
              </w:rPr>
            </w:pPr>
            <w:r w:rsidRPr="009C479E">
              <w:rPr>
                <w:b/>
                <w:bCs/>
              </w:rPr>
              <w:t>II. Tiesību akta projekta ietekme uz sabiedrību, tautsaimniecības attīstību un administratīvo slogu</w:t>
            </w:r>
          </w:p>
        </w:tc>
      </w:tr>
      <w:tr w:rsidR="008F4F83" w:rsidRPr="008B105F" w:rsidTr="00256526">
        <w:trPr>
          <w:trHeight w:val="465"/>
          <w:tblCellSpacing w:w="15" w:type="dxa"/>
        </w:trPr>
        <w:tc>
          <w:tcPr>
            <w:tcW w:w="245" w:type="pct"/>
            <w:tcBorders>
              <w:top w:val="outset" w:sz="6" w:space="0" w:color="auto"/>
              <w:left w:val="outset" w:sz="6" w:space="0" w:color="auto"/>
              <w:bottom w:val="outset" w:sz="6" w:space="0" w:color="auto"/>
              <w:right w:val="outset" w:sz="6" w:space="0" w:color="auto"/>
            </w:tcBorders>
          </w:tcPr>
          <w:p w:rsidR="008F4F83" w:rsidRPr="008B105F" w:rsidRDefault="008F4F83">
            <w:r w:rsidRPr="008B105F">
              <w:t>1.</w:t>
            </w:r>
          </w:p>
        </w:tc>
        <w:tc>
          <w:tcPr>
            <w:tcW w:w="1520" w:type="pct"/>
            <w:tcBorders>
              <w:top w:val="outset" w:sz="6" w:space="0" w:color="auto"/>
              <w:left w:val="outset" w:sz="6" w:space="0" w:color="auto"/>
              <w:bottom w:val="outset" w:sz="6" w:space="0" w:color="auto"/>
              <w:right w:val="outset" w:sz="6" w:space="0" w:color="auto"/>
            </w:tcBorders>
          </w:tcPr>
          <w:p w:rsidR="008F4F83" w:rsidRPr="008B105F" w:rsidRDefault="008F4F83">
            <w:r w:rsidRPr="008B105F">
              <w:t>Sabiedrības mērķgrupas, kuras tiesiskais regulējums ietekmē vai varētu ietekmēt</w:t>
            </w:r>
          </w:p>
        </w:tc>
        <w:tc>
          <w:tcPr>
            <w:tcW w:w="3166" w:type="pct"/>
            <w:tcBorders>
              <w:top w:val="outset" w:sz="6" w:space="0" w:color="auto"/>
              <w:left w:val="outset" w:sz="6" w:space="0" w:color="auto"/>
              <w:bottom w:val="outset" w:sz="6" w:space="0" w:color="auto"/>
              <w:right w:val="outset" w:sz="6" w:space="0" w:color="auto"/>
            </w:tcBorders>
          </w:tcPr>
          <w:p w:rsidR="00E0137A" w:rsidRPr="005B21C1" w:rsidRDefault="009D5C07" w:rsidP="00E0137A">
            <w:pPr>
              <w:jc w:val="both"/>
            </w:pPr>
            <w:r>
              <w:t xml:space="preserve">1) </w:t>
            </w:r>
            <w:r w:rsidR="00E0137A" w:rsidRPr="005B21C1">
              <w:t>Ārzemnieki, kuriem izsniegta ilgtermiņa vīza sakarā ar pilna laika studijām Latvijas Republikā akreditētā izglītības iestādē vai sakarā ar studentu apmaiņu, kā arī viņu potenciālie darba devēji.</w:t>
            </w:r>
          </w:p>
          <w:p w:rsidR="00AA6494" w:rsidRDefault="00E0137A" w:rsidP="00C021B2">
            <w:pPr>
              <w:jc w:val="both"/>
            </w:pPr>
            <w:r w:rsidRPr="005B21C1">
              <w:t>Ievērojot to, ka Latvijas</w:t>
            </w:r>
            <w:r>
              <w:t xml:space="preserve"> nacionālajos normatīvajos aktos, kas regulē migrācijas jomu, studentiem, kuriem izsniedz ilgtermiņa vīzas, tiesības uz nodarbinātību līdz šim netika piešķirtas, </w:t>
            </w:r>
            <w:r w:rsidR="00120E95">
              <w:t xml:space="preserve">nav iespējams noteikt </w:t>
            </w:r>
            <w:r>
              <w:t>precīz</w:t>
            </w:r>
            <w:r w:rsidR="00120E95">
              <w:t>u</w:t>
            </w:r>
            <w:r>
              <w:t xml:space="preserve"> mērķgrupas apjom</w:t>
            </w:r>
            <w:r w:rsidR="00120E95">
              <w:t>u, kas izmantos šīs tiesības.</w:t>
            </w:r>
            <w:r>
              <w:t xml:space="preserve"> </w:t>
            </w:r>
          </w:p>
          <w:p w:rsidR="00074690" w:rsidRPr="001916ED" w:rsidRDefault="009D5C07" w:rsidP="00C021B2">
            <w:pPr>
              <w:jc w:val="both"/>
            </w:pPr>
            <w:r>
              <w:t xml:space="preserve">2) </w:t>
            </w:r>
            <w:r w:rsidR="00074690" w:rsidRPr="00F85A4C">
              <w:t>Ārzemnieki, kuriem atsaka ilgtermiņa vīzas izsniegšanu, kā arī anulē vai atceļ ilgtermiņa vīzu.</w:t>
            </w:r>
            <w:r w:rsidR="005C01F8" w:rsidRPr="00F85A4C">
              <w:t xml:space="preserve"> </w:t>
            </w:r>
            <w:proofErr w:type="gramStart"/>
            <w:r w:rsidR="005C01F8" w:rsidRPr="00F85A4C">
              <w:t>2016.gadā</w:t>
            </w:r>
            <w:proofErr w:type="gramEnd"/>
            <w:r w:rsidR="005C01F8" w:rsidRPr="00F85A4C">
              <w:t xml:space="preserve"> </w:t>
            </w:r>
            <w:r w:rsidR="00F85A4C" w:rsidRPr="00F85A4C">
              <w:t xml:space="preserve">kopā </w:t>
            </w:r>
            <w:r w:rsidR="005C01F8" w:rsidRPr="00F85A4C">
              <w:t xml:space="preserve">izsniegtas </w:t>
            </w:r>
            <w:r w:rsidR="00F85A4C" w:rsidRPr="00F85A4C">
              <w:t>4 139</w:t>
            </w:r>
            <w:r w:rsidR="005C01F8" w:rsidRPr="00F85A4C">
              <w:t xml:space="preserve"> ilgtermiņa vīzas</w:t>
            </w:r>
            <w:r w:rsidR="00F85A4C" w:rsidRPr="00F85A4C">
              <w:t xml:space="preserve">, viena vīza anulēta, 21 – atcelta un 35 gadījumos atteikta vīzas </w:t>
            </w:r>
            <w:r w:rsidR="00F85A4C" w:rsidRPr="001916ED">
              <w:t>izsniegšana</w:t>
            </w:r>
            <w:r w:rsidR="005C01F8" w:rsidRPr="001916ED">
              <w:t>.</w:t>
            </w:r>
          </w:p>
          <w:p w:rsidR="00184EAF" w:rsidRPr="001916ED" w:rsidRDefault="00184EAF" w:rsidP="00C021B2">
            <w:pPr>
              <w:jc w:val="both"/>
            </w:pPr>
            <w:r w:rsidRPr="001916ED">
              <w:t>3) Ā</w:t>
            </w:r>
            <w:r w:rsidRPr="001916ED">
              <w:t xml:space="preserve">rzemnieki, kuri pieprasa ilgtermiņa vīzu brīvprātīgā darba veikšanai vai ar mērķi iesniegt dokumentus uzturēšanās atļaujas pieprasīšanai Pilsonības un migrācijas lietu pārvaldē Ministru kabineta </w:t>
            </w:r>
            <w:proofErr w:type="gramStart"/>
            <w:r w:rsidRPr="001916ED">
              <w:t>2010.gada</w:t>
            </w:r>
            <w:proofErr w:type="gramEnd"/>
            <w:r w:rsidRPr="001916ED">
              <w:t xml:space="preserve"> 21.jūnija noteikumu Nr.564 “Uzturēšanās atļauju noteikumi” 4.1.apakšpunktā minētajos gadījumos</w:t>
            </w:r>
            <w:r w:rsidRPr="001916ED">
              <w:t>.</w:t>
            </w:r>
          </w:p>
          <w:p w:rsidR="003D534A" w:rsidRPr="008B105F" w:rsidRDefault="00184EAF" w:rsidP="00120E95">
            <w:pPr>
              <w:jc w:val="both"/>
              <w:rPr>
                <w:color w:val="FF0000"/>
              </w:rPr>
            </w:pPr>
            <w:r w:rsidRPr="001916ED">
              <w:t>4</w:t>
            </w:r>
            <w:r w:rsidR="009D5C07" w:rsidRPr="001916ED">
              <w:t xml:space="preserve">) </w:t>
            </w:r>
            <w:r w:rsidR="001800B6" w:rsidRPr="001916ED">
              <w:t>Latvijas</w:t>
            </w:r>
            <w:r w:rsidR="001800B6" w:rsidRPr="00F85A4C">
              <w:t xml:space="preserve"> </w:t>
            </w:r>
            <w:r w:rsidR="001800B6">
              <w:t xml:space="preserve">Republikas diplomātisko vai konsulāro pārstāvniecību, Valsts robežsardzes un </w:t>
            </w:r>
            <w:r w:rsidR="003D534A">
              <w:t>Pilsonības un migrācijas lietu pārvaldes darbinieki.</w:t>
            </w:r>
          </w:p>
        </w:tc>
      </w:tr>
      <w:tr w:rsidR="008B105F" w:rsidRPr="008B105F" w:rsidTr="00256526">
        <w:trPr>
          <w:trHeight w:val="510"/>
          <w:tblCellSpacing w:w="15" w:type="dxa"/>
        </w:trPr>
        <w:tc>
          <w:tcPr>
            <w:tcW w:w="245" w:type="pct"/>
            <w:tcBorders>
              <w:top w:val="outset" w:sz="6" w:space="0" w:color="auto"/>
              <w:left w:val="outset" w:sz="6" w:space="0" w:color="auto"/>
              <w:bottom w:val="outset" w:sz="6" w:space="0" w:color="auto"/>
              <w:right w:val="outset" w:sz="6" w:space="0" w:color="auto"/>
            </w:tcBorders>
          </w:tcPr>
          <w:p w:rsidR="008B105F" w:rsidRPr="008B105F" w:rsidRDefault="008B105F">
            <w:r w:rsidRPr="008B105F">
              <w:t>2.</w:t>
            </w:r>
          </w:p>
        </w:tc>
        <w:tc>
          <w:tcPr>
            <w:tcW w:w="1520" w:type="pct"/>
            <w:tcBorders>
              <w:top w:val="outset" w:sz="6" w:space="0" w:color="auto"/>
              <w:left w:val="outset" w:sz="6" w:space="0" w:color="auto"/>
              <w:bottom w:val="outset" w:sz="6" w:space="0" w:color="auto"/>
              <w:right w:val="outset" w:sz="6" w:space="0" w:color="auto"/>
            </w:tcBorders>
          </w:tcPr>
          <w:p w:rsidR="008B105F" w:rsidRPr="008B105F" w:rsidRDefault="008B105F">
            <w:r w:rsidRPr="008B105F">
              <w:t>Tiesiskā regulējuma ietekme uz tautsaimniecību un administratīvo slogu</w:t>
            </w:r>
          </w:p>
        </w:tc>
        <w:tc>
          <w:tcPr>
            <w:tcW w:w="3166" w:type="pct"/>
            <w:tcBorders>
              <w:top w:val="outset" w:sz="6" w:space="0" w:color="auto"/>
              <w:left w:val="outset" w:sz="6" w:space="0" w:color="auto"/>
              <w:bottom w:val="outset" w:sz="6" w:space="0" w:color="auto"/>
              <w:right w:val="outset" w:sz="6" w:space="0" w:color="auto"/>
            </w:tcBorders>
          </w:tcPr>
          <w:p w:rsidR="003B1B0D" w:rsidRPr="0011512C" w:rsidRDefault="003D534A" w:rsidP="006073E1">
            <w:pPr>
              <w:jc w:val="both"/>
            </w:pPr>
            <w:r w:rsidRPr="0011512C">
              <w:t xml:space="preserve">Projektā ietvertais tiesiskais regulējums </w:t>
            </w:r>
            <w:r w:rsidR="00A20320" w:rsidRPr="0011512C">
              <w:t>ne</w:t>
            </w:r>
            <w:r w:rsidRPr="0011512C">
              <w:t>rada ietekmi uz administratīvo slogu fiziskām personām un valsts pārvaldes institūcijām, proti, P</w:t>
            </w:r>
            <w:r w:rsidR="00A20320" w:rsidRPr="0011512C">
              <w:t>ilsonības un migrācijas lietu p</w:t>
            </w:r>
            <w:r w:rsidRPr="0011512C">
              <w:t>ārvaldei</w:t>
            </w:r>
            <w:r w:rsidR="00A20320" w:rsidRPr="0011512C">
              <w:t>,</w:t>
            </w:r>
            <w:r w:rsidR="005C01F8" w:rsidRPr="0011512C">
              <w:t xml:space="preserve"> </w:t>
            </w:r>
            <w:r w:rsidR="00A20320" w:rsidRPr="0011512C">
              <w:t xml:space="preserve">Valsts robežsardzei </w:t>
            </w:r>
            <w:r w:rsidRPr="0011512C">
              <w:t>un Latvijas Republikas diplomātiskajām vai konsulārajām pārstāvniecībām.</w:t>
            </w:r>
          </w:p>
        </w:tc>
      </w:tr>
      <w:tr w:rsidR="005C01F8" w:rsidRPr="009A1EDD" w:rsidTr="00256526">
        <w:trPr>
          <w:trHeight w:val="510"/>
          <w:tblCellSpacing w:w="15" w:type="dxa"/>
        </w:trPr>
        <w:tc>
          <w:tcPr>
            <w:tcW w:w="245" w:type="pct"/>
            <w:tcBorders>
              <w:top w:val="outset" w:sz="6" w:space="0" w:color="auto"/>
              <w:left w:val="outset" w:sz="6" w:space="0" w:color="auto"/>
              <w:bottom w:val="outset" w:sz="6" w:space="0" w:color="auto"/>
              <w:right w:val="outset" w:sz="6" w:space="0" w:color="auto"/>
            </w:tcBorders>
          </w:tcPr>
          <w:p w:rsidR="005C01F8" w:rsidRPr="009A1EDD" w:rsidRDefault="005C01F8">
            <w:r w:rsidRPr="009A1EDD">
              <w:lastRenderedPageBreak/>
              <w:t>3.</w:t>
            </w:r>
          </w:p>
        </w:tc>
        <w:tc>
          <w:tcPr>
            <w:tcW w:w="1520" w:type="pct"/>
            <w:tcBorders>
              <w:top w:val="outset" w:sz="6" w:space="0" w:color="auto"/>
              <w:left w:val="outset" w:sz="6" w:space="0" w:color="auto"/>
              <w:bottom w:val="outset" w:sz="6" w:space="0" w:color="auto"/>
              <w:right w:val="outset" w:sz="6" w:space="0" w:color="auto"/>
            </w:tcBorders>
          </w:tcPr>
          <w:p w:rsidR="005C01F8" w:rsidRPr="009A1EDD" w:rsidRDefault="005C01F8">
            <w:r w:rsidRPr="009A1EDD">
              <w:t>Administratīvo izmaksu monetārs novērtējums</w:t>
            </w:r>
          </w:p>
        </w:tc>
        <w:tc>
          <w:tcPr>
            <w:tcW w:w="3166" w:type="pct"/>
            <w:tcBorders>
              <w:top w:val="outset" w:sz="6" w:space="0" w:color="auto"/>
              <w:left w:val="outset" w:sz="6" w:space="0" w:color="auto"/>
              <w:bottom w:val="outset" w:sz="6" w:space="0" w:color="auto"/>
              <w:right w:val="outset" w:sz="6" w:space="0" w:color="auto"/>
            </w:tcBorders>
          </w:tcPr>
          <w:p w:rsidR="005C01F8" w:rsidRDefault="005C01F8" w:rsidP="00CF2FF4">
            <w:pPr>
              <w:jc w:val="both"/>
            </w:pPr>
            <w:r w:rsidRPr="00120E95">
              <w:rPr>
                <w:color w:val="000000"/>
              </w:rPr>
              <w:t>N</w:t>
            </w:r>
            <w:r w:rsidR="00120E95" w:rsidRPr="00120E95">
              <w:rPr>
                <w:color w:val="000000"/>
              </w:rPr>
              <w:t>ormatīvā</w:t>
            </w:r>
            <w:r w:rsidR="00120E95">
              <w:rPr>
                <w:color w:val="000000"/>
              </w:rPr>
              <w:t xml:space="preserve"> akta projekts</w:t>
            </w:r>
            <w:r w:rsidR="004F12C0">
              <w:rPr>
                <w:color w:val="000000"/>
              </w:rPr>
              <w:t>, a</w:t>
            </w:r>
            <w:r w:rsidR="004F12C0">
              <w:t xml:space="preserve">tbilstoši </w:t>
            </w:r>
            <w:r w:rsidR="00CF2FF4">
              <w:t xml:space="preserve">Imigrācijas likuma </w:t>
            </w:r>
            <w:proofErr w:type="gramStart"/>
            <w:r w:rsidR="00CF2FF4">
              <w:t>9.panta</w:t>
            </w:r>
            <w:proofErr w:type="gramEnd"/>
            <w:r w:rsidR="00CF2FF4">
              <w:t xml:space="preserve"> 5.</w:t>
            </w:r>
            <w:r w:rsidR="00CF2FF4" w:rsidRPr="00AC1043">
              <w:rPr>
                <w:vertAlign w:val="superscript"/>
              </w:rPr>
              <w:t>1</w:t>
            </w:r>
            <w:r w:rsidR="00CF2FF4">
              <w:t xml:space="preserve"> daļā un 17.panta 2.</w:t>
            </w:r>
            <w:r w:rsidR="00CF2FF4" w:rsidRPr="00CF2FF4">
              <w:rPr>
                <w:vertAlign w:val="superscript"/>
              </w:rPr>
              <w:t>1</w:t>
            </w:r>
            <w:r w:rsidR="00CF2FF4">
              <w:t xml:space="preserve"> daļā </w:t>
            </w:r>
            <w:r w:rsidR="004F12C0">
              <w:t xml:space="preserve">noteiktajam, ka </w:t>
            </w:r>
            <w:r w:rsidR="004F12C0">
              <w:rPr>
                <w:color w:val="000000"/>
              </w:rPr>
              <w:t xml:space="preserve">studentiem, </w:t>
            </w:r>
            <w:r w:rsidR="004F12C0">
              <w:t xml:space="preserve">kuriem izsniedz ilgtermiņa vīzas, vienlaikus piešķir tiesības uz nodarbinātību līdz 20 stundām nedēļā, </w:t>
            </w:r>
            <w:r w:rsidR="00120E95">
              <w:rPr>
                <w:color w:val="000000"/>
              </w:rPr>
              <w:t>paredz</w:t>
            </w:r>
            <w:r w:rsidR="007245E8">
              <w:rPr>
                <w:color w:val="000000"/>
              </w:rPr>
              <w:t xml:space="preserve">, ka </w:t>
            </w:r>
            <w:r w:rsidR="007245E8">
              <w:t xml:space="preserve">šo informāciju iekļauj nacionālajā vīzu informācijas sistēmā </w:t>
            </w:r>
            <w:r w:rsidR="00D723D8">
              <w:t xml:space="preserve">(NVIS) </w:t>
            </w:r>
            <w:r w:rsidR="007245E8">
              <w:t>un vīzas uzlīmē.</w:t>
            </w:r>
            <w:r w:rsidR="004F12C0">
              <w:t xml:space="preserve"> </w:t>
            </w:r>
            <w:r w:rsidR="00D723D8">
              <w:t>P</w:t>
            </w:r>
            <w:r w:rsidR="004F12C0">
              <w:t>aredz</w:t>
            </w:r>
            <w:r w:rsidR="00D723D8">
              <w:t>ams, ka gada laikā varētu būt ap 1</w:t>
            </w:r>
            <w:r w:rsidR="00733597">
              <w:t xml:space="preserve"> </w:t>
            </w:r>
            <w:r w:rsidR="00D723D8">
              <w:t xml:space="preserve">350 šādu ilgtermiņa vīzu (Latvijas Republikas diplomātiskajās un konsulārajās pārstāvniecībās </w:t>
            </w:r>
            <w:r w:rsidR="003858D7">
              <w:t xml:space="preserve">– </w:t>
            </w:r>
            <w:r w:rsidR="00D723D8">
              <w:t>1</w:t>
            </w:r>
            <w:r w:rsidR="00733597">
              <w:t xml:space="preserve"> </w:t>
            </w:r>
            <w:r w:rsidR="00D723D8">
              <w:t xml:space="preserve">200 vīzas, Pilsonības un migrācijas lietu pārvaldē – 150). </w:t>
            </w:r>
          </w:p>
          <w:p w:rsidR="00D723D8" w:rsidRDefault="00D723D8" w:rsidP="00D723D8">
            <w:pPr>
              <w:jc w:val="both"/>
            </w:pPr>
          </w:p>
          <w:p w:rsidR="00D723D8" w:rsidRDefault="00D723D8" w:rsidP="00D723D8">
            <w:pPr>
              <w:jc w:val="both"/>
            </w:pPr>
            <w:r>
              <w:t xml:space="preserve">Administratīvās izmaksas </w:t>
            </w:r>
            <w:r>
              <w:rPr>
                <w:u w:val="single"/>
              </w:rPr>
              <w:t>Pilsonības un migrācijas lietu pārvaldei</w:t>
            </w:r>
            <w:r>
              <w:t>:</w:t>
            </w:r>
          </w:p>
          <w:p w:rsidR="00D723D8" w:rsidRDefault="00D723D8" w:rsidP="00D723D8">
            <w:pPr>
              <w:jc w:val="both"/>
            </w:pPr>
            <w:r>
              <w:t xml:space="preserve">C (informācijas par tiesību uz nodarbinātību piešķiršanu ievade NVIS </w:t>
            </w:r>
            <w:r w:rsidR="003858D7">
              <w:t>un nepieciešamā ieraksta sagatavošana vīzas uzlīmes drukāšanai</w:t>
            </w:r>
            <w:r>
              <w:t>) = (</w:t>
            </w:r>
            <w:r w:rsidR="003858D7">
              <w:t>atalgojums</w:t>
            </w:r>
            <w:r>
              <w:t xml:space="preserve"> 5,92 </w:t>
            </w:r>
            <w:proofErr w:type="spellStart"/>
            <w:r>
              <w:rPr>
                <w:i/>
                <w:iCs/>
              </w:rPr>
              <w:t>euro</w:t>
            </w:r>
            <w:proofErr w:type="spellEnd"/>
            <w:r>
              <w:t>/h x 0,</w:t>
            </w:r>
            <w:r w:rsidR="00733597">
              <w:t>05</w:t>
            </w:r>
            <w:r>
              <w:t>h) x (</w:t>
            </w:r>
            <w:r w:rsidR="003858D7">
              <w:t xml:space="preserve">150 ārzemnieki </w:t>
            </w:r>
            <w:r>
              <w:t xml:space="preserve">gadā x 1 </w:t>
            </w:r>
            <w:r w:rsidR="003858D7">
              <w:t xml:space="preserve">vīzas </w:t>
            </w:r>
            <w:r>
              <w:t xml:space="preserve">pieteikums) = </w:t>
            </w:r>
            <w:r w:rsidR="00733597">
              <w:t>44</w:t>
            </w:r>
            <w:r>
              <w:t>,</w:t>
            </w:r>
            <w:r w:rsidR="00733597">
              <w:t>4</w:t>
            </w:r>
            <w:r>
              <w:t xml:space="preserve">0 </w:t>
            </w:r>
            <w:proofErr w:type="spellStart"/>
            <w:r>
              <w:rPr>
                <w:i/>
                <w:iCs/>
              </w:rPr>
              <w:t>euro</w:t>
            </w:r>
            <w:proofErr w:type="spellEnd"/>
            <w:r>
              <w:t>)</w:t>
            </w:r>
          </w:p>
          <w:p w:rsidR="00D723D8" w:rsidRDefault="00D723D8" w:rsidP="00D723D8">
            <w:pPr>
              <w:jc w:val="both"/>
            </w:pPr>
          </w:p>
          <w:p w:rsidR="00D723D8" w:rsidRDefault="00D723D8" w:rsidP="00D723D8">
            <w:pPr>
              <w:jc w:val="both"/>
            </w:pPr>
            <w:r>
              <w:t xml:space="preserve">Administratīvās izmaksas </w:t>
            </w:r>
            <w:r w:rsidRPr="006C3384">
              <w:rPr>
                <w:u w:val="single"/>
              </w:rPr>
              <w:t>Latvijas Republikas diplomātiskajai vai konsulārajai pārstāvniecībai</w:t>
            </w:r>
            <w:r>
              <w:rPr>
                <w:u w:val="single"/>
              </w:rPr>
              <w:t xml:space="preserve">: </w:t>
            </w:r>
          </w:p>
          <w:p w:rsidR="00031EBE" w:rsidRDefault="00031EBE" w:rsidP="00D723D8">
            <w:pPr>
              <w:jc w:val="both"/>
            </w:pPr>
            <w:r>
              <w:t xml:space="preserve">C (informācijas par tiesību uz nodarbinātību piešķiršanu ievade NVIS un nepieciešamā ieraksta sagatavošana vīzas uzlīmes drukāšanai) = (atalgojums </w:t>
            </w:r>
            <w:r w:rsidR="00733597">
              <w:t>39</w:t>
            </w:r>
            <w:r>
              <w:t>,9</w:t>
            </w:r>
            <w:r w:rsidR="00733597">
              <w:t>3</w:t>
            </w:r>
            <w:r>
              <w:t xml:space="preserve"> </w:t>
            </w:r>
            <w:proofErr w:type="spellStart"/>
            <w:r>
              <w:rPr>
                <w:i/>
                <w:iCs/>
              </w:rPr>
              <w:t>euro</w:t>
            </w:r>
            <w:proofErr w:type="spellEnd"/>
            <w:r>
              <w:t>/h x 0,</w:t>
            </w:r>
            <w:r w:rsidR="00733597">
              <w:t>05</w:t>
            </w:r>
            <w:r>
              <w:t>h) x (1</w:t>
            </w:r>
            <w:r w:rsidR="00733597">
              <w:t xml:space="preserve"> </w:t>
            </w:r>
            <w:r>
              <w:t xml:space="preserve">200 ārzemnieki gadā x 1 vīzas pieteikums) = </w:t>
            </w:r>
            <w:r w:rsidR="00733597">
              <w:t>2 395</w:t>
            </w:r>
            <w:r>
              <w:t xml:space="preserve">,80 </w:t>
            </w:r>
            <w:proofErr w:type="spellStart"/>
            <w:r>
              <w:rPr>
                <w:i/>
                <w:iCs/>
              </w:rPr>
              <w:t>euro</w:t>
            </w:r>
            <w:proofErr w:type="spellEnd"/>
            <w:r>
              <w:t>)</w:t>
            </w:r>
          </w:p>
          <w:p w:rsidR="00D723D8" w:rsidRDefault="00D723D8" w:rsidP="00D723D8">
            <w:pPr>
              <w:jc w:val="both"/>
            </w:pPr>
          </w:p>
          <w:p w:rsidR="00D723D8" w:rsidRPr="006C3384" w:rsidRDefault="00D723D8" w:rsidP="00D723D8">
            <w:pPr>
              <w:jc w:val="both"/>
              <w:rPr>
                <w:i/>
              </w:rPr>
            </w:pPr>
            <w:r>
              <w:t xml:space="preserve">Kopā: </w:t>
            </w:r>
            <w:r w:rsidR="00733597">
              <w:t>2 440</w:t>
            </w:r>
            <w:r w:rsidR="00031EBE">
              <w:t>,</w:t>
            </w:r>
            <w:r w:rsidR="00733597">
              <w:t>2</w:t>
            </w:r>
            <w:r w:rsidR="00031EBE">
              <w:t>0</w:t>
            </w:r>
            <w:r>
              <w:t xml:space="preserve"> </w:t>
            </w:r>
            <w:proofErr w:type="spellStart"/>
            <w:r>
              <w:rPr>
                <w:i/>
              </w:rPr>
              <w:t>euro</w:t>
            </w:r>
            <w:proofErr w:type="spellEnd"/>
          </w:p>
          <w:p w:rsidR="00D723D8" w:rsidRPr="002F3A99" w:rsidRDefault="00D723D8" w:rsidP="004F12C0">
            <w:pPr>
              <w:rPr>
                <w:color w:val="000000"/>
              </w:rPr>
            </w:pPr>
          </w:p>
        </w:tc>
      </w:tr>
      <w:tr w:rsidR="008B105F" w:rsidRPr="002F3A99" w:rsidTr="00256526">
        <w:trPr>
          <w:trHeight w:val="345"/>
          <w:tblCellSpacing w:w="15" w:type="dxa"/>
        </w:trPr>
        <w:tc>
          <w:tcPr>
            <w:tcW w:w="245" w:type="pct"/>
            <w:tcBorders>
              <w:top w:val="outset" w:sz="6" w:space="0" w:color="auto"/>
              <w:left w:val="outset" w:sz="6" w:space="0" w:color="auto"/>
              <w:bottom w:val="outset" w:sz="6" w:space="0" w:color="auto"/>
              <w:right w:val="outset" w:sz="6" w:space="0" w:color="auto"/>
            </w:tcBorders>
          </w:tcPr>
          <w:p w:rsidR="008B105F" w:rsidRPr="002F3A99" w:rsidRDefault="008B105F">
            <w:pPr>
              <w:rPr>
                <w:color w:val="000000"/>
              </w:rPr>
            </w:pPr>
            <w:r w:rsidRPr="002F3A99">
              <w:rPr>
                <w:color w:val="000000"/>
              </w:rPr>
              <w:t>4.</w:t>
            </w:r>
          </w:p>
        </w:tc>
        <w:tc>
          <w:tcPr>
            <w:tcW w:w="1520" w:type="pct"/>
            <w:tcBorders>
              <w:top w:val="outset" w:sz="6" w:space="0" w:color="auto"/>
              <w:left w:val="outset" w:sz="6" w:space="0" w:color="auto"/>
              <w:bottom w:val="outset" w:sz="6" w:space="0" w:color="auto"/>
              <w:right w:val="outset" w:sz="6" w:space="0" w:color="auto"/>
            </w:tcBorders>
          </w:tcPr>
          <w:p w:rsidR="008B105F" w:rsidRPr="002F3A99" w:rsidRDefault="008B105F">
            <w:pPr>
              <w:rPr>
                <w:color w:val="000000"/>
              </w:rPr>
            </w:pPr>
            <w:r w:rsidRPr="002F3A99">
              <w:rPr>
                <w:color w:val="000000"/>
              </w:rPr>
              <w:t>Cita informācija</w:t>
            </w:r>
          </w:p>
        </w:tc>
        <w:tc>
          <w:tcPr>
            <w:tcW w:w="3166" w:type="pct"/>
            <w:tcBorders>
              <w:top w:val="outset" w:sz="6" w:space="0" w:color="auto"/>
              <w:left w:val="outset" w:sz="6" w:space="0" w:color="auto"/>
              <w:bottom w:val="outset" w:sz="6" w:space="0" w:color="auto"/>
              <w:right w:val="outset" w:sz="6" w:space="0" w:color="auto"/>
            </w:tcBorders>
          </w:tcPr>
          <w:p w:rsidR="008B105F" w:rsidRPr="002F3A99" w:rsidRDefault="008B105F" w:rsidP="002F3A99">
            <w:pPr>
              <w:spacing w:before="100" w:beforeAutospacing="1" w:after="100" w:afterAutospacing="1" w:line="360" w:lineRule="auto"/>
              <w:rPr>
                <w:color w:val="000000"/>
              </w:rPr>
            </w:pPr>
            <w:r w:rsidRPr="002F3A99">
              <w:rPr>
                <w:color w:val="000000"/>
              </w:rPr>
              <w:t>Nav</w:t>
            </w:r>
          </w:p>
        </w:tc>
      </w:tr>
    </w:tbl>
    <w:p w:rsidR="001D62CE" w:rsidRPr="009C479E" w:rsidRDefault="001D62CE" w:rsidP="008F4F83">
      <w:pPr>
        <w:spacing w:before="100" w:beforeAutospacing="1" w:after="100" w:afterAutospacing="1" w:line="360" w:lineRule="auto"/>
        <w:ind w:firstLine="300"/>
        <w:rPr>
          <w:color w:val="FF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589"/>
        <w:gridCol w:w="5590"/>
      </w:tblGrid>
      <w:tr w:rsidR="008F4F83" w:rsidRPr="00427722" w:rsidTr="008F4F83">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8F4F83" w:rsidRPr="00427722" w:rsidRDefault="008F4F83">
            <w:pPr>
              <w:spacing w:before="100" w:beforeAutospacing="1" w:after="100" w:afterAutospacing="1" w:line="360" w:lineRule="auto"/>
              <w:ind w:firstLine="300"/>
              <w:jc w:val="center"/>
              <w:rPr>
                <w:b/>
                <w:bCs/>
              </w:rPr>
            </w:pPr>
            <w:r w:rsidRPr="00427722">
              <w:rPr>
                <w:b/>
                <w:bCs/>
              </w:rPr>
              <w:t>VI. Sabiedrības līdzdalība un komunikācijas aktivitātes</w:t>
            </w:r>
          </w:p>
        </w:tc>
      </w:tr>
      <w:tr w:rsidR="001D62CE" w:rsidRPr="00F04A73" w:rsidTr="00203F16">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rsidR="001D62CE" w:rsidRPr="00F04A73" w:rsidRDefault="001D62CE">
            <w:r w:rsidRPr="00F04A73">
              <w:t>1.</w:t>
            </w:r>
          </w:p>
        </w:tc>
        <w:tc>
          <w:tcPr>
            <w:tcW w:w="1480" w:type="pct"/>
            <w:tcBorders>
              <w:top w:val="outset" w:sz="6" w:space="0" w:color="auto"/>
              <w:left w:val="outset" w:sz="6" w:space="0" w:color="auto"/>
              <w:bottom w:val="outset" w:sz="6" w:space="0" w:color="auto"/>
              <w:right w:val="outset" w:sz="6" w:space="0" w:color="auto"/>
            </w:tcBorders>
          </w:tcPr>
          <w:p w:rsidR="001D62CE" w:rsidRPr="00F04A73" w:rsidRDefault="001D62CE">
            <w:r w:rsidRPr="00F04A73">
              <w:t>Plānotās sabiedrības līdzdalības un komunikācijas aktivitātes saistībā ar projektu</w:t>
            </w:r>
          </w:p>
        </w:tc>
        <w:sdt>
          <w:sdtPr>
            <w:id w:val="-1156844014"/>
            <w:placeholder>
              <w:docPart w:val="E69AE93F26BC47338241EB347005F11F"/>
            </w:placeholder>
            <w:text/>
          </w:sdtPr>
          <w:sdtEndPr/>
          <w:sdtContent>
            <w:tc>
              <w:tcPr>
                <w:tcW w:w="3206" w:type="pct"/>
                <w:tcBorders>
                  <w:top w:val="outset" w:sz="6" w:space="0" w:color="auto"/>
                  <w:left w:val="outset" w:sz="6" w:space="0" w:color="auto"/>
                  <w:bottom w:val="outset" w:sz="6" w:space="0" w:color="auto"/>
                  <w:right w:val="outset" w:sz="6" w:space="0" w:color="auto"/>
                </w:tcBorders>
              </w:tcPr>
              <w:p w:rsidR="001D62CE" w:rsidRPr="001D62CE" w:rsidRDefault="001D62CE" w:rsidP="001D62CE">
                <w:pPr>
                  <w:jc w:val="both"/>
                </w:pPr>
                <w:r w:rsidRPr="001D62CE">
                  <w:t>Par projektu informēta sabiedrība, informāciju publicējot Iekšlietu ministrijas</w:t>
                </w:r>
                <w:r>
                  <w:t xml:space="preserve"> un</w:t>
                </w:r>
                <w:r w:rsidRPr="001D62CE">
                  <w:t xml:space="preserve"> Pilsonības un migrācijas lietu pārvaldes mājaslapās.</w:t>
                </w:r>
              </w:p>
            </w:tc>
          </w:sdtContent>
        </w:sdt>
      </w:tr>
      <w:tr w:rsidR="001D62CE" w:rsidRPr="001E792C" w:rsidTr="00203F16">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rsidR="001D62CE" w:rsidRPr="001E792C" w:rsidRDefault="001D62CE" w:rsidP="00203F16">
            <w:pPr>
              <w:rPr>
                <w:color w:val="000000"/>
              </w:rPr>
            </w:pPr>
            <w:r w:rsidRPr="001E792C">
              <w:rPr>
                <w:color w:val="000000"/>
              </w:rPr>
              <w:t>2.</w:t>
            </w:r>
          </w:p>
        </w:tc>
        <w:tc>
          <w:tcPr>
            <w:tcW w:w="1480" w:type="pct"/>
            <w:tcBorders>
              <w:top w:val="outset" w:sz="6" w:space="0" w:color="auto"/>
              <w:left w:val="outset" w:sz="6" w:space="0" w:color="auto"/>
              <w:bottom w:val="outset" w:sz="6" w:space="0" w:color="auto"/>
              <w:right w:val="outset" w:sz="6" w:space="0" w:color="auto"/>
            </w:tcBorders>
          </w:tcPr>
          <w:p w:rsidR="001D62CE" w:rsidRPr="001E792C" w:rsidRDefault="001D62CE" w:rsidP="00203F16">
            <w:pPr>
              <w:rPr>
                <w:color w:val="000000"/>
              </w:rPr>
            </w:pPr>
            <w:r w:rsidRPr="001E792C">
              <w:rPr>
                <w:color w:val="000000"/>
              </w:rPr>
              <w:t>Sabiedrības līdzdalība projekta izstrādē</w:t>
            </w:r>
          </w:p>
        </w:tc>
        <w:sdt>
          <w:sdtPr>
            <w:id w:val="-722759155"/>
            <w:placeholder>
              <w:docPart w:val="D5C6F9F15A6E4B7DBD6885F1A821F2BB"/>
            </w:placeholder>
            <w:text/>
          </w:sdtPr>
          <w:sdtEndPr/>
          <w:sdtContent>
            <w:tc>
              <w:tcPr>
                <w:tcW w:w="3206" w:type="pct"/>
                <w:tcBorders>
                  <w:top w:val="outset" w:sz="6" w:space="0" w:color="auto"/>
                  <w:left w:val="outset" w:sz="6" w:space="0" w:color="auto"/>
                  <w:bottom w:val="outset" w:sz="6" w:space="0" w:color="auto"/>
                  <w:right w:val="outset" w:sz="6" w:space="0" w:color="auto"/>
                </w:tcBorders>
              </w:tcPr>
              <w:p w:rsidR="001D62CE" w:rsidRPr="00F36F4C" w:rsidRDefault="001D62CE" w:rsidP="00F85A4C">
                <w:r w:rsidRPr="00F36F4C">
                  <w:t xml:space="preserve">Projekts </w:t>
                </w:r>
                <w:proofErr w:type="gramStart"/>
                <w:r w:rsidRPr="00F36F4C">
                  <w:t>2017.gada</w:t>
                </w:r>
                <w:proofErr w:type="gramEnd"/>
                <w:r w:rsidRPr="00F36F4C">
                  <w:t xml:space="preserve"> </w:t>
                </w:r>
                <w:r w:rsidR="00F85A4C" w:rsidRPr="00F36F4C">
                  <w:t>13</w:t>
                </w:r>
                <w:r w:rsidRPr="00F36F4C">
                  <w:t xml:space="preserve">.martā publicēts Iekšlietu ministrijas un Pilsonības un migrācijas lietu pārvaldes interneta vietnēs. Sabiedrības viedokli iespējams iesniegt līdz </w:t>
                </w:r>
                <w:proofErr w:type="gramStart"/>
                <w:r w:rsidRPr="00F36F4C">
                  <w:t>2017.gada</w:t>
                </w:r>
                <w:proofErr w:type="gramEnd"/>
                <w:r w:rsidRPr="00F36F4C">
                  <w:t xml:space="preserve"> </w:t>
                </w:r>
                <w:r w:rsidR="00F85A4C" w:rsidRPr="00F36F4C">
                  <w:t>3.aprīlim</w:t>
                </w:r>
                <w:r w:rsidRPr="00F36F4C">
                  <w:t>.</w:t>
                </w:r>
              </w:p>
            </w:tc>
          </w:sdtContent>
        </w:sdt>
      </w:tr>
      <w:tr w:rsidR="001D62CE" w:rsidRPr="001E792C" w:rsidTr="00203F16">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rsidR="001D62CE" w:rsidRPr="001E792C" w:rsidRDefault="001D62CE" w:rsidP="00203F16">
            <w:pPr>
              <w:rPr>
                <w:color w:val="000000"/>
              </w:rPr>
            </w:pPr>
            <w:r w:rsidRPr="001E792C">
              <w:rPr>
                <w:color w:val="000000"/>
              </w:rPr>
              <w:t>3.</w:t>
            </w:r>
          </w:p>
        </w:tc>
        <w:tc>
          <w:tcPr>
            <w:tcW w:w="1480" w:type="pct"/>
            <w:tcBorders>
              <w:top w:val="outset" w:sz="6" w:space="0" w:color="auto"/>
              <w:left w:val="outset" w:sz="6" w:space="0" w:color="auto"/>
              <w:bottom w:val="outset" w:sz="6" w:space="0" w:color="auto"/>
              <w:right w:val="outset" w:sz="6" w:space="0" w:color="auto"/>
            </w:tcBorders>
          </w:tcPr>
          <w:p w:rsidR="001D62CE" w:rsidRPr="001E792C" w:rsidRDefault="001D62CE" w:rsidP="00203F16">
            <w:pPr>
              <w:rPr>
                <w:color w:val="000000"/>
              </w:rPr>
            </w:pPr>
            <w:r w:rsidRPr="001E792C">
              <w:rPr>
                <w:color w:val="000000"/>
              </w:rPr>
              <w:t>Sabiedrības līdzdalības rezultāti</w:t>
            </w:r>
          </w:p>
        </w:tc>
        <w:sdt>
          <w:sdtPr>
            <w:id w:val="953369165"/>
            <w:placeholder>
              <w:docPart w:val="5963849F83784460A7816D44DC2E8645"/>
            </w:placeholder>
            <w:text/>
          </w:sdtPr>
          <w:sdtEndPr/>
          <w:sdtContent>
            <w:tc>
              <w:tcPr>
                <w:tcW w:w="3206" w:type="pct"/>
                <w:tcBorders>
                  <w:top w:val="outset" w:sz="6" w:space="0" w:color="auto"/>
                  <w:left w:val="outset" w:sz="6" w:space="0" w:color="auto"/>
                  <w:bottom w:val="outset" w:sz="6" w:space="0" w:color="auto"/>
                  <w:right w:val="outset" w:sz="6" w:space="0" w:color="auto"/>
                </w:tcBorders>
              </w:tcPr>
              <w:p w:rsidR="001D62CE" w:rsidRPr="001D62CE" w:rsidRDefault="001D62CE" w:rsidP="00D23D2B">
                <w:r w:rsidRPr="001D62CE">
                  <w:t>Par projektu komentāri nav saņemti.</w:t>
                </w:r>
              </w:p>
            </w:tc>
          </w:sdtContent>
        </w:sdt>
      </w:tr>
      <w:tr w:rsidR="001D62CE" w:rsidRPr="001E792C" w:rsidTr="00203F16">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rsidR="001D62CE" w:rsidRPr="001E792C" w:rsidRDefault="001D62CE" w:rsidP="00203F16">
            <w:pPr>
              <w:rPr>
                <w:color w:val="000000"/>
              </w:rPr>
            </w:pPr>
            <w:r w:rsidRPr="001E792C">
              <w:rPr>
                <w:color w:val="000000"/>
              </w:rPr>
              <w:lastRenderedPageBreak/>
              <w:t>4.</w:t>
            </w:r>
          </w:p>
        </w:tc>
        <w:tc>
          <w:tcPr>
            <w:tcW w:w="1480" w:type="pct"/>
            <w:tcBorders>
              <w:top w:val="outset" w:sz="6" w:space="0" w:color="auto"/>
              <w:left w:val="outset" w:sz="6" w:space="0" w:color="auto"/>
              <w:bottom w:val="outset" w:sz="6" w:space="0" w:color="auto"/>
              <w:right w:val="outset" w:sz="6" w:space="0" w:color="auto"/>
            </w:tcBorders>
          </w:tcPr>
          <w:p w:rsidR="001D62CE" w:rsidRPr="001E792C" w:rsidRDefault="001D62CE" w:rsidP="00203F16">
            <w:pPr>
              <w:rPr>
                <w:color w:val="000000"/>
              </w:rPr>
            </w:pPr>
            <w:r w:rsidRPr="001E792C">
              <w:rPr>
                <w:color w:val="000000"/>
              </w:rPr>
              <w:t>Cita informācija</w:t>
            </w:r>
          </w:p>
        </w:tc>
        <w:sdt>
          <w:sdtPr>
            <w:id w:val="1429309444"/>
            <w:placeholder>
              <w:docPart w:val="6849ED089CAE4A67B4881CE5977EF181"/>
            </w:placeholder>
            <w:text/>
          </w:sdtPr>
          <w:sdtEndPr/>
          <w:sdtContent>
            <w:tc>
              <w:tcPr>
                <w:tcW w:w="3206" w:type="pct"/>
                <w:tcBorders>
                  <w:top w:val="outset" w:sz="6" w:space="0" w:color="auto"/>
                  <w:left w:val="outset" w:sz="6" w:space="0" w:color="auto"/>
                  <w:bottom w:val="outset" w:sz="6" w:space="0" w:color="auto"/>
                  <w:right w:val="outset" w:sz="6" w:space="0" w:color="auto"/>
                </w:tcBorders>
              </w:tcPr>
              <w:p w:rsidR="001D62CE" w:rsidRPr="001D62CE" w:rsidRDefault="001D62CE" w:rsidP="00D23D2B">
                <w:r w:rsidRPr="001D62CE">
                  <w:t>Nav</w:t>
                </w:r>
              </w:p>
            </w:tc>
          </w:sdtContent>
        </w:sdt>
      </w:tr>
    </w:tbl>
    <w:p w:rsidR="008F4F83" w:rsidRPr="009C479E" w:rsidRDefault="008F4F83" w:rsidP="00871B41">
      <w:pPr>
        <w:spacing w:before="100" w:beforeAutospacing="1" w:after="100" w:afterAutospacing="1" w:line="360" w:lineRule="auto"/>
        <w:rPr>
          <w:color w:val="FF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3271"/>
        <w:gridCol w:w="4907"/>
      </w:tblGrid>
      <w:tr w:rsidR="008F4F83" w:rsidRPr="00871B41" w:rsidTr="008F4F8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8F4F83" w:rsidRPr="00871B41" w:rsidRDefault="008F4F83">
            <w:pPr>
              <w:spacing w:before="100" w:beforeAutospacing="1" w:after="100" w:afterAutospacing="1" w:line="360" w:lineRule="auto"/>
              <w:ind w:firstLine="300"/>
              <w:jc w:val="center"/>
              <w:rPr>
                <w:b/>
                <w:bCs/>
              </w:rPr>
            </w:pPr>
            <w:r w:rsidRPr="00871B41">
              <w:rPr>
                <w:b/>
                <w:bCs/>
              </w:rPr>
              <w:t>VII. Tiesību akta projekta izpildes nodrošināšana un tās ietekme uz institūcijām</w:t>
            </w:r>
          </w:p>
        </w:tc>
      </w:tr>
      <w:tr w:rsidR="008F4F83" w:rsidRPr="00533D69" w:rsidTr="008F4F8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tcPr>
          <w:p w:rsidR="008F4F83" w:rsidRPr="00533D69" w:rsidRDefault="008F4F83">
            <w:r w:rsidRPr="00533D69">
              <w:t>1.</w:t>
            </w:r>
          </w:p>
        </w:tc>
        <w:tc>
          <w:tcPr>
            <w:tcW w:w="1900" w:type="pct"/>
            <w:tcBorders>
              <w:top w:val="outset" w:sz="6" w:space="0" w:color="auto"/>
              <w:left w:val="outset" w:sz="6" w:space="0" w:color="auto"/>
              <w:bottom w:val="outset" w:sz="6" w:space="0" w:color="auto"/>
              <w:right w:val="outset" w:sz="6" w:space="0" w:color="auto"/>
            </w:tcBorders>
          </w:tcPr>
          <w:p w:rsidR="008F4F83" w:rsidRPr="00533D69" w:rsidRDefault="008F4F83">
            <w:r w:rsidRPr="00533D69">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tcPr>
          <w:p w:rsidR="008F4F83" w:rsidRPr="00533D69" w:rsidRDefault="00112560" w:rsidP="00F85A4C">
            <w:pPr>
              <w:jc w:val="both"/>
            </w:pPr>
            <w:r>
              <w:t>P</w:t>
            </w:r>
            <w:r w:rsidR="00E727E6">
              <w:t>ilsonības un migrācijas lietu pārvalde, Latvijas Republikas diplomātiskās un konsulārās pārstāvniecības</w:t>
            </w:r>
            <w:r w:rsidR="005104A0">
              <w:t xml:space="preserve">, </w:t>
            </w:r>
            <w:r w:rsidR="0011512C">
              <w:t xml:space="preserve">Ārlietu ministrija un </w:t>
            </w:r>
            <w:r w:rsidR="005104A0">
              <w:t>Valsts robežsardze.</w:t>
            </w:r>
          </w:p>
        </w:tc>
      </w:tr>
      <w:tr w:rsidR="008F4F83" w:rsidRPr="002F3A99" w:rsidTr="008F4F83">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tcPr>
          <w:p w:rsidR="008F4F83" w:rsidRPr="002F3A99" w:rsidRDefault="008F4F83">
            <w:pPr>
              <w:rPr>
                <w:color w:val="000000"/>
              </w:rPr>
            </w:pPr>
            <w:r w:rsidRPr="002F3A99">
              <w:rPr>
                <w:color w:val="000000"/>
              </w:rPr>
              <w:t>2.</w:t>
            </w:r>
          </w:p>
        </w:tc>
        <w:tc>
          <w:tcPr>
            <w:tcW w:w="1900" w:type="pct"/>
            <w:tcBorders>
              <w:top w:val="outset" w:sz="6" w:space="0" w:color="auto"/>
              <w:left w:val="outset" w:sz="6" w:space="0" w:color="auto"/>
              <w:bottom w:val="outset" w:sz="6" w:space="0" w:color="auto"/>
              <w:right w:val="outset" w:sz="6" w:space="0" w:color="auto"/>
            </w:tcBorders>
          </w:tcPr>
          <w:p w:rsidR="008F4F83" w:rsidRPr="002F3A99" w:rsidRDefault="008F4F83">
            <w:pPr>
              <w:rPr>
                <w:color w:val="000000"/>
              </w:rPr>
            </w:pPr>
            <w:r w:rsidRPr="002F3A99">
              <w:rPr>
                <w:color w:val="000000"/>
              </w:rPr>
              <w:t xml:space="preserve">Projekta izpildes ietekme uz pārvaldes funkcijām un institucionālo struktūru. </w:t>
            </w:r>
          </w:p>
          <w:p w:rsidR="008F4F83" w:rsidRPr="002F3A99" w:rsidRDefault="008F4F83" w:rsidP="002F3A99">
            <w:pPr>
              <w:spacing w:before="100" w:beforeAutospacing="1" w:after="100" w:afterAutospacing="1"/>
              <w:rPr>
                <w:color w:val="000000"/>
              </w:rPr>
            </w:pPr>
            <w:r w:rsidRPr="002F3A99">
              <w:rPr>
                <w:color w:val="000000"/>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tcPr>
          <w:p w:rsidR="002F3A99" w:rsidRPr="002F3A99" w:rsidRDefault="00243CB1" w:rsidP="00E6203B">
            <w:pPr>
              <w:jc w:val="both"/>
              <w:rPr>
                <w:color w:val="000000"/>
              </w:rPr>
            </w:pPr>
            <w:r w:rsidRPr="002F3A99">
              <w:rPr>
                <w:color w:val="000000"/>
              </w:rPr>
              <w:t>Projekta izpildes rezultātā nav paredzēta esošu institūciju likvidācija vai reorganizācija.</w:t>
            </w:r>
            <w:r>
              <w:rPr>
                <w:color w:val="000000"/>
              </w:rPr>
              <w:t xml:space="preserve"> </w:t>
            </w:r>
            <w:r w:rsidR="00E6203B" w:rsidRPr="00AA7499">
              <w:t xml:space="preserve">Iestāžu institucionālā struktūra netiek ietekmēta, </w:t>
            </w:r>
            <w:r w:rsidR="00E6203B">
              <w:t xml:space="preserve">papildu </w:t>
            </w:r>
            <w:r w:rsidR="00E6203B" w:rsidRPr="00AA7499">
              <w:t>cilvēkresursi nav nepieciešami</w:t>
            </w:r>
            <w:r w:rsidR="005104A0">
              <w:rPr>
                <w:color w:val="000000"/>
              </w:rPr>
              <w:t>.</w:t>
            </w:r>
          </w:p>
        </w:tc>
      </w:tr>
      <w:tr w:rsidR="008F4F83" w:rsidRPr="001E792C" w:rsidTr="008F4F8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tcPr>
          <w:p w:rsidR="008F4F83" w:rsidRPr="001E792C" w:rsidRDefault="008F4F83">
            <w:pPr>
              <w:rPr>
                <w:color w:val="000000"/>
              </w:rPr>
            </w:pPr>
            <w:r w:rsidRPr="001E792C">
              <w:rPr>
                <w:color w:val="000000"/>
              </w:rPr>
              <w:t>3.</w:t>
            </w:r>
          </w:p>
        </w:tc>
        <w:tc>
          <w:tcPr>
            <w:tcW w:w="1900" w:type="pct"/>
            <w:tcBorders>
              <w:top w:val="outset" w:sz="6" w:space="0" w:color="auto"/>
              <w:left w:val="outset" w:sz="6" w:space="0" w:color="auto"/>
              <w:bottom w:val="outset" w:sz="6" w:space="0" w:color="auto"/>
              <w:right w:val="outset" w:sz="6" w:space="0" w:color="auto"/>
            </w:tcBorders>
          </w:tcPr>
          <w:p w:rsidR="008F4F83" w:rsidRPr="001E792C" w:rsidRDefault="008F4F83">
            <w:pPr>
              <w:rPr>
                <w:color w:val="000000"/>
              </w:rPr>
            </w:pPr>
            <w:r w:rsidRPr="001E792C">
              <w:rPr>
                <w:color w:val="000000"/>
              </w:rPr>
              <w:t>Cita informācija</w:t>
            </w:r>
          </w:p>
        </w:tc>
        <w:tc>
          <w:tcPr>
            <w:tcW w:w="2850" w:type="pct"/>
            <w:tcBorders>
              <w:top w:val="outset" w:sz="6" w:space="0" w:color="auto"/>
              <w:left w:val="outset" w:sz="6" w:space="0" w:color="auto"/>
              <w:bottom w:val="outset" w:sz="6" w:space="0" w:color="auto"/>
              <w:right w:val="outset" w:sz="6" w:space="0" w:color="auto"/>
            </w:tcBorders>
          </w:tcPr>
          <w:p w:rsidR="008F4F83" w:rsidRPr="001E792C" w:rsidRDefault="002F3A99" w:rsidP="002F3A99">
            <w:pPr>
              <w:spacing w:before="100" w:beforeAutospacing="1" w:after="100" w:afterAutospacing="1" w:line="360" w:lineRule="auto"/>
              <w:rPr>
                <w:color w:val="000000"/>
              </w:rPr>
            </w:pPr>
            <w:r w:rsidRPr="001E792C">
              <w:rPr>
                <w:color w:val="000000"/>
              </w:rPr>
              <w:t>Nav</w:t>
            </w:r>
          </w:p>
        </w:tc>
      </w:tr>
    </w:tbl>
    <w:p w:rsidR="0011512C" w:rsidRDefault="0011512C"/>
    <w:p w:rsidR="008B105F" w:rsidRDefault="008B105F">
      <w:r>
        <w:t xml:space="preserve">Anotācijas </w:t>
      </w:r>
      <w:r w:rsidR="00427722" w:rsidRPr="001D62CE">
        <w:t>III</w:t>
      </w:r>
      <w:r w:rsidR="001D62CE" w:rsidRPr="001D62CE">
        <w:t>, IV un V</w:t>
      </w:r>
      <w:r w:rsidR="001D62CE">
        <w:t xml:space="preserve"> </w:t>
      </w:r>
      <w:r w:rsidR="00243CB1">
        <w:t>sadaļa</w:t>
      </w:r>
      <w:r w:rsidR="001D62CE">
        <w:t xml:space="preserve"> </w:t>
      </w:r>
      <w:r w:rsidR="00243CB1">
        <w:t>- p</w:t>
      </w:r>
      <w:r>
        <w:t>rojekts š</w:t>
      </w:r>
      <w:r w:rsidR="001D62CE">
        <w:t>īs</w:t>
      </w:r>
      <w:r>
        <w:t xml:space="preserve"> jom</w:t>
      </w:r>
      <w:r w:rsidR="001D62CE">
        <w:t>as</w:t>
      </w:r>
      <w:r>
        <w:t xml:space="preserve"> neskar. </w:t>
      </w:r>
    </w:p>
    <w:p w:rsidR="00CF2FF4" w:rsidRDefault="00CF2FF4"/>
    <w:p w:rsidR="00CF2FF4" w:rsidRDefault="00CF2FF4"/>
    <w:p w:rsidR="00533D69" w:rsidRDefault="00533D69"/>
    <w:p w:rsidR="00533D69" w:rsidRDefault="00533D69" w:rsidP="00533D69">
      <w:r>
        <w:t>Iekšlietu ministrs</w:t>
      </w:r>
      <w:r w:rsidR="001D62CE">
        <w:t xml:space="preserve"> </w:t>
      </w:r>
      <w:r w:rsidR="00CF2FF4">
        <w:tab/>
      </w:r>
      <w:r w:rsidR="00CF2FF4">
        <w:tab/>
      </w:r>
      <w:r w:rsidR="00CF2FF4">
        <w:tab/>
      </w:r>
      <w:r w:rsidR="00CF2FF4">
        <w:tab/>
      </w:r>
      <w:r w:rsidR="00CF2FF4">
        <w:tab/>
      </w:r>
      <w:r w:rsidR="00CF2FF4">
        <w:tab/>
      </w:r>
      <w:r w:rsidR="00CF2FF4">
        <w:tab/>
      </w:r>
      <w:r>
        <w:t xml:space="preserve">R.Kozlovskis </w:t>
      </w:r>
    </w:p>
    <w:p w:rsidR="00533D69" w:rsidRDefault="00533D69" w:rsidP="00533D69"/>
    <w:p w:rsidR="00533D69" w:rsidRDefault="00533D69" w:rsidP="00533D69"/>
    <w:p w:rsidR="00533D69" w:rsidRDefault="00533D69" w:rsidP="00533D69">
      <w:r>
        <w:t>Vīza: Valsts sekretāre</w:t>
      </w:r>
      <w:r w:rsidR="00E6203B">
        <w:t xml:space="preserve"> </w:t>
      </w:r>
      <w:r w:rsidR="00CF2FF4">
        <w:tab/>
      </w:r>
      <w:r w:rsidR="00CF2FF4">
        <w:tab/>
      </w:r>
      <w:r w:rsidR="00CF2FF4">
        <w:tab/>
      </w:r>
      <w:r w:rsidR="00CF2FF4">
        <w:tab/>
      </w:r>
      <w:r w:rsidR="00CF2FF4">
        <w:tab/>
      </w:r>
      <w:r w:rsidR="00CF2FF4">
        <w:tab/>
      </w:r>
      <w:r w:rsidR="0011512C">
        <w:t>I.Pētersone-</w:t>
      </w:r>
      <w:r>
        <w:t xml:space="preserve">Godmane </w:t>
      </w:r>
    </w:p>
    <w:p w:rsidR="005104A0" w:rsidRDefault="005104A0" w:rsidP="009E2D68">
      <w:pPr>
        <w:ind w:right="-328"/>
        <w:rPr>
          <w:sz w:val="20"/>
          <w:szCs w:val="20"/>
        </w:rPr>
      </w:pPr>
    </w:p>
    <w:p w:rsidR="005104A0" w:rsidRDefault="005104A0" w:rsidP="009E2D68">
      <w:pPr>
        <w:ind w:right="-328"/>
        <w:rPr>
          <w:sz w:val="20"/>
          <w:szCs w:val="20"/>
        </w:rPr>
      </w:pPr>
    </w:p>
    <w:p w:rsidR="005104A0" w:rsidRDefault="005104A0" w:rsidP="009E2D68">
      <w:pPr>
        <w:ind w:right="-328"/>
        <w:rPr>
          <w:sz w:val="20"/>
          <w:szCs w:val="20"/>
        </w:rPr>
      </w:pPr>
    </w:p>
    <w:p w:rsidR="005104A0" w:rsidRDefault="005104A0" w:rsidP="009E2D68">
      <w:pPr>
        <w:ind w:right="-328"/>
        <w:rPr>
          <w:sz w:val="20"/>
          <w:szCs w:val="20"/>
        </w:rPr>
      </w:pPr>
    </w:p>
    <w:p w:rsidR="005104A0" w:rsidRDefault="005104A0" w:rsidP="009E2D68">
      <w:pPr>
        <w:ind w:right="-328"/>
        <w:rPr>
          <w:sz w:val="20"/>
          <w:szCs w:val="20"/>
        </w:rPr>
      </w:pPr>
    </w:p>
    <w:p w:rsidR="005104A0" w:rsidRDefault="005104A0" w:rsidP="009E2D68">
      <w:pPr>
        <w:ind w:right="-328"/>
        <w:rPr>
          <w:sz w:val="20"/>
          <w:szCs w:val="20"/>
        </w:rPr>
      </w:pPr>
    </w:p>
    <w:p w:rsidR="005104A0" w:rsidRDefault="005104A0" w:rsidP="009E2D68">
      <w:pPr>
        <w:ind w:right="-328"/>
        <w:rPr>
          <w:sz w:val="20"/>
          <w:szCs w:val="20"/>
        </w:rPr>
      </w:pPr>
    </w:p>
    <w:p w:rsidR="005104A0" w:rsidRDefault="00376568" w:rsidP="009E2D68">
      <w:pPr>
        <w:ind w:right="-328"/>
        <w:rPr>
          <w:sz w:val="20"/>
          <w:szCs w:val="20"/>
        </w:rPr>
      </w:pPr>
      <w:r>
        <w:rPr>
          <w:sz w:val="20"/>
          <w:szCs w:val="20"/>
        </w:rPr>
        <w:t>23</w:t>
      </w:r>
      <w:r w:rsidR="00E6203B">
        <w:rPr>
          <w:sz w:val="20"/>
          <w:szCs w:val="20"/>
        </w:rPr>
        <w:t>.03.2017</w:t>
      </w:r>
    </w:p>
    <w:p w:rsidR="009E2D68" w:rsidRDefault="005104A0" w:rsidP="009E2D68">
      <w:pPr>
        <w:ind w:right="-328"/>
        <w:rPr>
          <w:sz w:val="20"/>
          <w:szCs w:val="20"/>
        </w:rPr>
      </w:pPr>
      <w:r>
        <w:rPr>
          <w:sz w:val="20"/>
          <w:szCs w:val="20"/>
        </w:rPr>
        <w:t>D.Rozenberga</w:t>
      </w:r>
      <w:r w:rsidR="009E2D68" w:rsidRPr="00D258D3">
        <w:rPr>
          <w:sz w:val="20"/>
          <w:szCs w:val="20"/>
        </w:rPr>
        <w:t xml:space="preserve"> 67219</w:t>
      </w:r>
      <w:r>
        <w:rPr>
          <w:sz w:val="20"/>
          <w:szCs w:val="20"/>
        </w:rPr>
        <w:t>004</w:t>
      </w:r>
    </w:p>
    <w:p w:rsidR="005104A0" w:rsidRPr="00D258D3" w:rsidRDefault="001916ED" w:rsidP="009E2D68">
      <w:pPr>
        <w:ind w:right="-328"/>
        <w:rPr>
          <w:sz w:val="20"/>
          <w:szCs w:val="20"/>
        </w:rPr>
      </w:pPr>
      <w:hyperlink r:id="rId8" w:history="1">
        <w:r w:rsidR="0011512C" w:rsidRPr="00710AC6">
          <w:rPr>
            <w:rStyle w:val="Hyperlink"/>
            <w:sz w:val="20"/>
            <w:szCs w:val="20"/>
          </w:rPr>
          <w:t>daina.rozenberga@pmlp.gov.lv</w:t>
        </w:r>
      </w:hyperlink>
      <w:r w:rsidR="0011512C">
        <w:rPr>
          <w:sz w:val="20"/>
          <w:szCs w:val="20"/>
        </w:rPr>
        <w:t xml:space="preserve"> </w:t>
      </w:r>
    </w:p>
    <w:sectPr w:rsidR="005104A0" w:rsidRPr="00D258D3" w:rsidSect="00CE2A41">
      <w:headerReference w:type="default" r:id="rId9"/>
      <w:footerReference w:type="default" r:id="rId10"/>
      <w:footerReference w:type="first" r:id="rId11"/>
      <w:pgSz w:w="11906" w:h="16838"/>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927" w:rsidRDefault="00356927" w:rsidP="008F4F83">
      <w:r>
        <w:separator/>
      </w:r>
    </w:p>
  </w:endnote>
  <w:endnote w:type="continuationSeparator" w:id="0">
    <w:p w:rsidR="00356927" w:rsidRDefault="00356927" w:rsidP="008F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97" w:rsidRPr="00CE6CCB" w:rsidRDefault="00A36C97" w:rsidP="008F4F83">
    <w:pPr>
      <w:jc w:val="both"/>
      <w:rPr>
        <w:sz w:val="20"/>
        <w:szCs w:val="20"/>
      </w:rPr>
    </w:pPr>
    <w:r>
      <w:rPr>
        <w:sz w:val="20"/>
      </w:rPr>
      <w:t>I</w:t>
    </w:r>
    <w:r w:rsidR="00243CB1">
      <w:rPr>
        <w:sz w:val="20"/>
      </w:rPr>
      <w:t>E</w:t>
    </w:r>
    <w:r>
      <w:rPr>
        <w:sz w:val="20"/>
      </w:rPr>
      <w:t>MAn</w:t>
    </w:r>
    <w:r w:rsidRPr="00DA0110">
      <w:rPr>
        <w:sz w:val="20"/>
      </w:rPr>
      <w:t>ot_</w:t>
    </w:r>
    <w:r w:rsidR="00376568">
      <w:rPr>
        <w:sz w:val="20"/>
      </w:rPr>
      <w:t>23</w:t>
    </w:r>
    <w:r w:rsidR="00E90171">
      <w:rPr>
        <w:sz w:val="20"/>
      </w:rPr>
      <w:t>0</w:t>
    </w:r>
    <w:r w:rsidR="005B21C1">
      <w:rPr>
        <w:sz w:val="20"/>
      </w:rPr>
      <w:t>31</w:t>
    </w:r>
    <w:r w:rsidR="00E90171">
      <w:rPr>
        <w:sz w:val="20"/>
      </w:rPr>
      <w:t>7</w:t>
    </w:r>
    <w:r w:rsidR="009A373F">
      <w:rPr>
        <w:sz w:val="20"/>
      </w:rPr>
      <w:t>_</w:t>
    </w:r>
    <w:r w:rsidR="00D84FB2">
      <w:rPr>
        <w:sz w:val="20"/>
      </w:rPr>
      <w:t>676</w:t>
    </w:r>
    <w:r w:rsidR="005B21C1">
      <w:rPr>
        <w:sz w:val="20"/>
      </w:rPr>
      <w:t>Vizu</w:t>
    </w:r>
    <w:r w:rsidRPr="00DA0110">
      <w:rPr>
        <w:sz w:val="20"/>
      </w:rPr>
      <w:t xml:space="preserve">; Ministru kabineta noteikumu projekts </w:t>
    </w:r>
    <w:r w:rsidRPr="00DA0110">
      <w:rPr>
        <w:bCs/>
        <w:sz w:val="20"/>
      </w:rPr>
      <w:t>„</w:t>
    </w:r>
    <w:r w:rsidR="00D84FB2">
      <w:rPr>
        <w:bCs/>
        <w:sz w:val="20"/>
      </w:rPr>
      <w:t xml:space="preserve">Grozījumi Ministru kabineta </w:t>
    </w:r>
    <w:proofErr w:type="gramStart"/>
    <w:r w:rsidR="00D84FB2">
      <w:rPr>
        <w:bCs/>
        <w:sz w:val="20"/>
      </w:rPr>
      <w:t>2011.gada</w:t>
    </w:r>
    <w:proofErr w:type="gramEnd"/>
    <w:r w:rsidR="00D84FB2">
      <w:rPr>
        <w:bCs/>
        <w:sz w:val="20"/>
      </w:rPr>
      <w:t xml:space="preserve"> 30.augusta noteikumos Nr.676 „Vīzu </w:t>
    </w:r>
    <w:r w:rsidR="00CE6CCB" w:rsidRPr="00CE6CCB">
      <w:rPr>
        <w:bCs/>
        <w:sz w:val="20"/>
        <w:szCs w:val="20"/>
      </w:rPr>
      <w:t>noteikumi</w:t>
    </w:r>
    <w:r w:rsidR="00D84FB2">
      <w:rPr>
        <w:sz w:val="20"/>
        <w:szCs w:val="20"/>
      </w:rPr>
      <w:t>””</w:t>
    </w:r>
  </w:p>
  <w:p w:rsidR="00A36C97" w:rsidRPr="00CE6CCB" w:rsidRDefault="00A36C97">
    <w:pPr>
      <w:pStyle w:val="Footer"/>
      <w:rPr>
        <w:sz w:val="20"/>
        <w:szCs w:val="20"/>
      </w:rPr>
    </w:pPr>
  </w:p>
  <w:p w:rsidR="00CE6CCB" w:rsidRDefault="00CE6C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B2" w:rsidRPr="00CE6CCB" w:rsidRDefault="005B21C1" w:rsidP="00D84FB2">
    <w:pPr>
      <w:jc w:val="both"/>
      <w:rPr>
        <w:sz w:val="20"/>
        <w:szCs w:val="20"/>
      </w:rPr>
    </w:pPr>
    <w:r>
      <w:rPr>
        <w:sz w:val="20"/>
      </w:rPr>
      <w:t>IEMAn</w:t>
    </w:r>
    <w:r w:rsidRPr="00DA0110">
      <w:rPr>
        <w:sz w:val="20"/>
      </w:rPr>
      <w:t>ot_</w:t>
    </w:r>
    <w:r w:rsidR="00376568">
      <w:rPr>
        <w:sz w:val="20"/>
      </w:rPr>
      <w:t>23</w:t>
    </w:r>
    <w:r>
      <w:rPr>
        <w:sz w:val="20"/>
      </w:rPr>
      <w:t>0317_676Vizu</w:t>
    </w:r>
    <w:r w:rsidR="00D84FB2" w:rsidRPr="00DA0110">
      <w:rPr>
        <w:sz w:val="20"/>
      </w:rPr>
      <w:t xml:space="preserve">; Ministru kabineta noteikumu projekts </w:t>
    </w:r>
    <w:r w:rsidR="00D84FB2" w:rsidRPr="00DA0110">
      <w:rPr>
        <w:bCs/>
        <w:sz w:val="20"/>
      </w:rPr>
      <w:t>„</w:t>
    </w:r>
    <w:r w:rsidR="00D84FB2">
      <w:rPr>
        <w:bCs/>
        <w:sz w:val="20"/>
      </w:rPr>
      <w:t xml:space="preserve">Grozījumi Ministru kabineta </w:t>
    </w:r>
    <w:proofErr w:type="gramStart"/>
    <w:r w:rsidR="00D84FB2">
      <w:rPr>
        <w:bCs/>
        <w:sz w:val="20"/>
      </w:rPr>
      <w:t>2011.gada</w:t>
    </w:r>
    <w:proofErr w:type="gramEnd"/>
    <w:r w:rsidR="00D84FB2">
      <w:rPr>
        <w:bCs/>
        <w:sz w:val="20"/>
      </w:rPr>
      <w:t xml:space="preserve"> 30.augusta noteikumos Nr.676 „Vīzu </w:t>
    </w:r>
    <w:r w:rsidR="00D84FB2" w:rsidRPr="00CE6CCB">
      <w:rPr>
        <w:bCs/>
        <w:sz w:val="20"/>
        <w:szCs w:val="20"/>
      </w:rPr>
      <w:t>noteikumi</w:t>
    </w:r>
    <w:r w:rsidR="00D84FB2">
      <w:rPr>
        <w:sz w:val="20"/>
        <w:szCs w:val="20"/>
      </w:rPr>
      <w:t>””</w:t>
    </w:r>
  </w:p>
  <w:p w:rsidR="00D84FB2" w:rsidRDefault="00D84FB2">
    <w:pPr>
      <w:pStyle w:val="Footer"/>
    </w:pPr>
  </w:p>
  <w:p w:rsidR="00D84FB2" w:rsidRDefault="00D84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927" w:rsidRDefault="00356927" w:rsidP="008F4F83">
      <w:r>
        <w:separator/>
      </w:r>
    </w:p>
  </w:footnote>
  <w:footnote w:type="continuationSeparator" w:id="0">
    <w:p w:rsidR="00356927" w:rsidRDefault="00356927" w:rsidP="008F4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2E" w:rsidRDefault="00BE1633">
    <w:pPr>
      <w:pStyle w:val="Header"/>
      <w:jc w:val="center"/>
    </w:pPr>
    <w:r>
      <w:fldChar w:fldCharType="begin"/>
    </w:r>
    <w:r w:rsidR="00155D2E">
      <w:instrText xml:space="preserve"> PAGE   \* MERGEFORMAT </w:instrText>
    </w:r>
    <w:r>
      <w:fldChar w:fldCharType="separate"/>
    </w:r>
    <w:r w:rsidR="001916ED">
      <w:rPr>
        <w:noProof/>
      </w:rPr>
      <w:t>5</w:t>
    </w:r>
    <w:r>
      <w:rPr>
        <w:noProof/>
      </w:rPr>
      <w:fldChar w:fldCharType="end"/>
    </w:r>
  </w:p>
  <w:p w:rsidR="00155D2E" w:rsidRDefault="00155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0B7"/>
    <w:multiLevelType w:val="hybridMultilevel"/>
    <w:tmpl w:val="55F4C4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DF78D4"/>
    <w:multiLevelType w:val="hybridMultilevel"/>
    <w:tmpl w:val="BC50C4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BD5302"/>
    <w:multiLevelType w:val="hybridMultilevel"/>
    <w:tmpl w:val="9A263D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83"/>
    <w:rsid w:val="00012687"/>
    <w:rsid w:val="0001687C"/>
    <w:rsid w:val="00017D48"/>
    <w:rsid w:val="00031EBE"/>
    <w:rsid w:val="0005180B"/>
    <w:rsid w:val="00053E0D"/>
    <w:rsid w:val="00060098"/>
    <w:rsid w:val="00061C83"/>
    <w:rsid w:val="000744B0"/>
    <w:rsid w:val="00074690"/>
    <w:rsid w:val="00075BD5"/>
    <w:rsid w:val="00091E98"/>
    <w:rsid w:val="000A6ACF"/>
    <w:rsid w:val="000D0285"/>
    <w:rsid w:val="000E528D"/>
    <w:rsid w:val="000F4A3F"/>
    <w:rsid w:val="00112560"/>
    <w:rsid w:val="0011289E"/>
    <w:rsid w:val="001143A0"/>
    <w:rsid w:val="0011512C"/>
    <w:rsid w:val="00120E95"/>
    <w:rsid w:val="00122732"/>
    <w:rsid w:val="00126227"/>
    <w:rsid w:val="00134003"/>
    <w:rsid w:val="001455B1"/>
    <w:rsid w:val="00155D2E"/>
    <w:rsid w:val="0015720C"/>
    <w:rsid w:val="00172108"/>
    <w:rsid w:val="00174E91"/>
    <w:rsid w:val="001800B6"/>
    <w:rsid w:val="00184EAF"/>
    <w:rsid w:val="001916ED"/>
    <w:rsid w:val="001B2183"/>
    <w:rsid w:val="001B6EB7"/>
    <w:rsid w:val="001C5A15"/>
    <w:rsid w:val="001D2ABD"/>
    <w:rsid w:val="001D62CE"/>
    <w:rsid w:val="001E1D29"/>
    <w:rsid w:val="001E1FB6"/>
    <w:rsid w:val="001E792C"/>
    <w:rsid w:val="00203F16"/>
    <w:rsid w:val="00221A32"/>
    <w:rsid w:val="002312B4"/>
    <w:rsid w:val="0023213A"/>
    <w:rsid w:val="00240665"/>
    <w:rsid w:val="00243CB1"/>
    <w:rsid w:val="0024473F"/>
    <w:rsid w:val="00256526"/>
    <w:rsid w:val="00282350"/>
    <w:rsid w:val="00283351"/>
    <w:rsid w:val="002A2FC0"/>
    <w:rsid w:val="002B26E8"/>
    <w:rsid w:val="002B64BD"/>
    <w:rsid w:val="002C53EA"/>
    <w:rsid w:val="002C60E1"/>
    <w:rsid w:val="002F3A99"/>
    <w:rsid w:val="002F41AF"/>
    <w:rsid w:val="002F7569"/>
    <w:rsid w:val="002F77EF"/>
    <w:rsid w:val="00320562"/>
    <w:rsid w:val="003254E4"/>
    <w:rsid w:val="0032682C"/>
    <w:rsid w:val="00336959"/>
    <w:rsid w:val="00340262"/>
    <w:rsid w:val="00351026"/>
    <w:rsid w:val="00356927"/>
    <w:rsid w:val="00361830"/>
    <w:rsid w:val="003648FF"/>
    <w:rsid w:val="003745BF"/>
    <w:rsid w:val="00376568"/>
    <w:rsid w:val="003858D7"/>
    <w:rsid w:val="003A52BE"/>
    <w:rsid w:val="003B06D0"/>
    <w:rsid w:val="003B1B0D"/>
    <w:rsid w:val="003B383E"/>
    <w:rsid w:val="003B67D6"/>
    <w:rsid w:val="003C6776"/>
    <w:rsid w:val="003D11EE"/>
    <w:rsid w:val="003D534A"/>
    <w:rsid w:val="003E2BDB"/>
    <w:rsid w:val="003F32D1"/>
    <w:rsid w:val="00406A65"/>
    <w:rsid w:val="0042206A"/>
    <w:rsid w:val="00422109"/>
    <w:rsid w:val="004233A6"/>
    <w:rsid w:val="00427722"/>
    <w:rsid w:val="0045247A"/>
    <w:rsid w:val="00453860"/>
    <w:rsid w:val="00460939"/>
    <w:rsid w:val="004735E9"/>
    <w:rsid w:val="004743A8"/>
    <w:rsid w:val="0049757C"/>
    <w:rsid w:val="00497F87"/>
    <w:rsid w:val="004C5C88"/>
    <w:rsid w:val="004D698F"/>
    <w:rsid w:val="004F12C0"/>
    <w:rsid w:val="004F25DF"/>
    <w:rsid w:val="0050198B"/>
    <w:rsid w:val="005104A0"/>
    <w:rsid w:val="00520F72"/>
    <w:rsid w:val="00533D69"/>
    <w:rsid w:val="005442AD"/>
    <w:rsid w:val="00557CDE"/>
    <w:rsid w:val="005618B5"/>
    <w:rsid w:val="0057548B"/>
    <w:rsid w:val="00580C51"/>
    <w:rsid w:val="00583E47"/>
    <w:rsid w:val="00585F3E"/>
    <w:rsid w:val="005B21C1"/>
    <w:rsid w:val="005C01F8"/>
    <w:rsid w:val="005C7C60"/>
    <w:rsid w:val="005D025C"/>
    <w:rsid w:val="0060184E"/>
    <w:rsid w:val="006040A3"/>
    <w:rsid w:val="006073E1"/>
    <w:rsid w:val="00634020"/>
    <w:rsid w:val="00635F27"/>
    <w:rsid w:val="00644E58"/>
    <w:rsid w:val="0067379F"/>
    <w:rsid w:val="00677CDF"/>
    <w:rsid w:val="006B0325"/>
    <w:rsid w:val="006B163C"/>
    <w:rsid w:val="006B1784"/>
    <w:rsid w:val="006B246F"/>
    <w:rsid w:val="006C057B"/>
    <w:rsid w:val="006C2CA8"/>
    <w:rsid w:val="006C3384"/>
    <w:rsid w:val="006C6A2D"/>
    <w:rsid w:val="00710E18"/>
    <w:rsid w:val="007154BC"/>
    <w:rsid w:val="007160F3"/>
    <w:rsid w:val="007245E8"/>
    <w:rsid w:val="0072642E"/>
    <w:rsid w:val="00733597"/>
    <w:rsid w:val="007401AC"/>
    <w:rsid w:val="00744628"/>
    <w:rsid w:val="00757736"/>
    <w:rsid w:val="00763E90"/>
    <w:rsid w:val="007875A4"/>
    <w:rsid w:val="00787E38"/>
    <w:rsid w:val="007916D4"/>
    <w:rsid w:val="00792802"/>
    <w:rsid w:val="007A4014"/>
    <w:rsid w:val="007C7595"/>
    <w:rsid w:val="007D0F85"/>
    <w:rsid w:val="007E4D1E"/>
    <w:rsid w:val="008133DF"/>
    <w:rsid w:val="008549D6"/>
    <w:rsid w:val="00855A82"/>
    <w:rsid w:val="0086515C"/>
    <w:rsid w:val="00871B41"/>
    <w:rsid w:val="008814ED"/>
    <w:rsid w:val="00887952"/>
    <w:rsid w:val="008B023A"/>
    <w:rsid w:val="008B105F"/>
    <w:rsid w:val="008E0A76"/>
    <w:rsid w:val="008E1E7C"/>
    <w:rsid w:val="008E5661"/>
    <w:rsid w:val="008F4F83"/>
    <w:rsid w:val="00900024"/>
    <w:rsid w:val="009572F2"/>
    <w:rsid w:val="00971827"/>
    <w:rsid w:val="00972C08"/>
    <w:rsid w:val="00981039"/>
    <w:rsid w:val="009847E2"/>
    <w:rsid w:val="00991548"/>
    <w:rsid w:val="009A1EDD"/>
    <w:rsid w:val="009A373F"/>
    <w:rsid w:val="009A4A52"/>
    <w:rsid w:val="009C479E"/>
    <w:rsid w:val="009D190E"/>
    <w:rsid w:val="009D5C07"/>
    <w:rsid w:val="009E127E"/>
    <w:rsid w:val="009E2D68"/>
    <w:rsid w:val="009E4993"/>
    <w:rsid w:val="00A20320"/>
    <w:rsid w:val="00A24182"/>
    <w:rsid w:val="00A304A8"/>
    <w:rsid w:val="00A36C97"/>
    <w:rsid w:val="00A418AC"/>
    <w:rsid w:val="00A54EFF"/>
    <w:rsid w:val="00A55906"/>
    <w:rsid w:val="00A659F1"/>
    <w:rsid w:val="00A73A08"/>
    <w:rsid w:val="00A93EF5"/>
    <w:rsid w:val="00AA6494"/>
    <w:rsid w:val="00AB615E"/>
    <w:rsid w:val="00AC1043"/>
    <w:rsid w:val="00AC25D2"/>
    <w:rsid w:val="00AC586C"/>
    <w:rsid w:val="00AE179A"/>
    <w:rsid w:val="00AE17DD"/>
    <w:rsid w:val="00AE38E3"/>
    <w:rsid w:val="00AE74BE"/>
    <w:rsid w:val="00AF04FF"/>
    <w:rsid w:val="00AF07FD"/>
    <w:rsid w:val="00AF5235"/>
    <w:rsid w:val="00B05C3A"/>
    <w:rsid w:val="00B13C92"/>
    <w:rsid w:val="00B263B4"/>
    <w:rsid w:val="00B27713"/>
    <w:rsid w:val="00B3225A"/>
    <w:rsid w:val="00B43E97"/>
    <w:rsid w:val="00B44CF5"/>
    <w:rsid w:val="00B4763A"/>
    <w:rsid w:val="00B625D3"/>
    <w:rsid w:val="00B759FC"/>
    <w:rsid w:val="00B80819"/>
    <w:rsid w:val="00B811CA"/>
    <w:rsid w:val="00BA65F5"/>
    <w:rsid w:val="00BC2A5C"/>
    <w:rsid w:val="00BD2FFF"/>
    <w:rsid w:val="00BD38E6"/>
    <w:rsid w:val="00BD51C0"/>
    <w:rsid w:val="00BE1633"/>
    <w:rsid w:val="00BE6045"/>
    <w:rsid w:val="00C021AC"/>
    <w:rsid w:val="00C021B2"/>
    <w:rsid w:val="00C13617"/>
    <w:rsid w:val="00C145CA"/>
    <w:rsid w:val="00C23238"/>
    <w:rsid w:val="00C3032B"/>
    <w:rsid w:val="00C335D5"/>
    <w:rsid w:val="00C34F9B"/>
    <w:rsid w:val="00C36EF0"/>
    <w:rsid w:val="00C42090"/>
    <w:rsid w:val="00C62EEF"/>
    <w:rsid w:val="00C76494"/>
    <w:rsid w:val="00C81873"/>
    <w:rsid w:val="00C876CF"/>
    <w:rsid w:val="00C92E78"/>
    <w:rsid w:val="00C9794E"/>
    <w:rsid w:val="00CB05FF"/>
    <w:rsid w:val="00CD2932"/>
    <w:rsid w:val="00CD634D"/>
    <w:rsid w:val="00CE019E"/>
    <w:rsid w:val="00CE2A41"/>
    <w:rsid w:val="00CE6CCB"/>
    <w:rsid w:val="00CF2FF4"/>
    <w:rsid w:val="00D130D4"/>
    <w:rsid w:val="00D135FA"/>
    <w:rsid w:val="00D14DA5"/>
    <w:rsid w:val="00D177ED"/>
    <w:rsid w:val="00D17863"/>
    <w:rsid w:val="00D235ED"/>
    <w:rsid w:val="00D278AD"/>
    <w:rsid w:val="00D34EF1"/>
    <w:rsid w:val="00D41F7C"/>
    <w:rsid w:val="00D4285D"/>
    <w:rsid w:val="00D46417"/>
    <w:rsid w:val="00D46A00"/>
    <w:rsid w:val="00D51B5B"/>
    <w:rsid w:val="00D60885"/>
    <w:rsid w:val="00D65D1F"/>
    <w:rsid w:val="00D723D8"/>
    <w:rsid w:val="00D82876"/>
    <w:rsid w:val="00D84FB2"/>
    <w:rsid w:val="00D9060D"/>
    <w:rsid w:val="00DA6917"/>
    <w:rsid w:val="00DA79F3"/>
    <w:rsid w:val="00DD1160"/>
    <w:rsid w:val="00DD13FB"/>
    <w:rsid w:val="00DD5009"/>
    <w:rsid w:val="00DE634C"/>
    <w:rsid w:val="00E00C1B"/>
    <w:rsid w:val="00E0137A"/>
    <w:rsid w:val="00E06CFA"/>
    <w:rsid w:val="00E274B9"/>
    <w:rsid w:val="00E324E0"/>
    <w:rsid w:val="00E42D93"/>
    <w:rsid w:val="00E46406"/>
    <w:rsid w:val="00E60758"/>
    <w:rsid w:val="00E6203B"/>
    <w:rsid w:val="00E624A8"/>
    <w:rsid w:val="00E727E6"/>
    <w:rsid w:val="00E86857"/>
    <w:rsid w:val="00E90171"/>
    <w:rsid w:val="00EA7250"/>
    <w:rsid w:val="00EB3A73"/>
    <w:rsid w:val="00EE06A3"/>
    <w:rsid w:val="00EE1FAF"/>
    <w:rsid w:val="00F0432A"/>
    <w:rsid w:val="00F04A73"/>
    <w:rsid w:val="00F16D6E"/>
    <w:rsid w:val="00F36F4C"/>
    <w:rsid w:val="00F377EE"/>
    <w:rsid w:val="00F55568"/>
    <w:rsid w:val="00F57E6E"/>
    <w:rsid w:val="00F61391"/>
    <w:rsid w:val="00F67F50"/>
    <w:rsid w:val="00F74A85"/>
    <w:rsid w:val="00F82E1C"/>
    <w:rsid w:val="00F85A4C"/>
    <w:rsid w:val="00FC6A33"/>
    <w:rsid w:val="00FD2583"/>
    <w:rsid w:val="00FD650A"/>
    <w:rsid w:val="00FF1EE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DE7BBA-A1FC-40B5-B0EA-A60A5694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A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8F4F83"/>
    <w:pPr>
      <w:spacing w:before="45" w:line="360" w:lineRule="auto"/>
      <w:ind w:firstLine="300"/>
    </w:pPr>
    <w:rPr>
      <w:i/>
      <w:iCs/>
      <w:color w:val="414142"/>
      <w:sz w:val="20"/>
      <w:szCs w:val="20"/>
    </w:rPr>
  </w:style>
  <w:style w:type="paragraph" w:styleId="Header">
    <w:name w:val="header"/>
    <w:basedOn w:val="Normal"/>
    <w:link w:val="HeaderChar"/>
    <w:uiPriority w:val="99"/>
    <w:rsid w:val="008F4F83"/>
    <w:pPr>
      <w:tabs>
        <w:tab w:val="center" w:pos="4153"/>
        <w:tab w:val="right" w:pos="8306"/>
      </w:tabs>
    </w:pPr>
  </w:style>
  <w:style w:type="character" w:customStyle="1" w:styleId="HeaderChar">
    <w:name w:val="Header Char"/>
    <w:link w:val="Header"/>
    <w:uiPriority w:val="99"/>
    <w:rsid w:val="008F4F83"/>
    <w:rPr>
      <w:sz w:val="24"/>
      <w:szCs w:val="24"/>
    </w:rPr>
  </w:style>
  <w:style w:type="paragraph" w:styleId="Footer">
    <w:name w:val="footer"/>
    <w:basedOn w:val="Normal"/>
    <w:link w:val="FooterChar"/>
    <w:uiPriority w:val="99"/>
    <w:rsid w:val="008F4F83"/>
    <w:pPr>
      <w:tabs>
        <w:tab w:val="center" w:pos="4153"/>
        <w:tab w:val="right" w:pos="8306"/>
      </w:tabs>
    </w:pPr>
  </w:style>
  <w:style w:type="character" w:customStyle="1" w:styleId="FooterChar">
    <w:name w:val="Footer Char"/>
    <w:link w:val="Footer"/>
    <w:uiPriority w:val="99"/>
    <w:rsid w:val="008F4F83"/>
    <w:rPr>
      <w:sz w:val="24"/>
      <w:szCs w:val="24"/>
    </w:rPr>
  </w:style>
  <w:style w:type="paragraph" w:styleId="BalloonText">
    <w:name w:val="Balloon Text"/>
    <w:basedOn w:val="Normal"/>
    <w:link w:val="BalloonTextChar"/>
    <w:rsid w:val="008F4F83"/>
    <w:rPr>
      <w:rFonts w:ascii="Tahoma" w:hAnsi="Tahoma"/>
      <w:sz w:val="16"/>
      <w:szCs w:val="16"/>
    </w:rPr>
  </w:style>
  <w:style w:type="character" w:customStyle="1" w:styleId="BalloonTextChar">
    <w:name w:val="Balloon Text Char"/>
    <w:link w:val="BalloonText"/>
    <w:rsid w:val="008F4F83"/>
    <w:rPr>
      <w:rFonts w:ascii="Tahoma" w:hAnsi="Tahoma" w:cs="Tahoma"/>
      <w:sz w:val="16"/>
      <w:szCs w:val="16"/>
    </w:rPr>
  </w:style>
  <w:style w:type="character" w:styleId="Hyperlink">
    <w:name w:val="Hyperlink"/>
    <w:rsid w:val="00533D69"/>
    <w:rPr>
      <w:color w:val="0000FF"/>
      <w:u w:val="single"/>
    </w:rPr>
  </w:style>
  <w:style w:type="character" w:customStyle="1" w:styleId="apple-converted-space">
    <w:name w:val="apple-converted-space"/>
    <w:uiPriority w:val="99"/>
    <w:rsid w:val="00871B41"/>
    <w:rPr>
      <w:rFonts w:cs="Times New Roman"/>
    </w:rPr>
  </w:style>
  <w:style w:type="paragraph" w:customStyle="1" w:styleId="RakstzRakstzRakstzCharCharCharCharCharCharChar">
    <w:name w:val="Rakstz. Rakstz. Rakstz. Char Char Char Char Char Char Char"/>
    <w:basedOn w:val="Normal"/>
    <w:rsid w:val="00871B41"/>
    <w:pPr>
      <w:spacing w:before="40"/>
    </w:pPr>
    <w:rPr>
      <w:lang w:val="pl-PL" w:eastAsia="pl-PL"/>
    </w:rPr>
  </w:style>
  <w:style w:type="paragraph" w:customStyle="1" w:styleId="tvhtml">
    <w:name w:val="tv_html"/>
    <w:basedOn w:val="Normal"/>
    <w:rsid w:val="007D0F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28125">
      <w:bodyDiv w:val="1"/>
      <w:marLeft w:val="0"/>
      <w:marRight w:val="0"/>
      <w:marTop w:val="0"/>
      <w:marBottom w:val="0"/>
      <w:divBdr>
        <w:top w:val="none" w:sz="0" w:space="0" w:color="auto"/>
        <w:left w:val="none" w:sz="0" w:space="0" w:color="auto"/>
        <w:bottom w:val="none" w:sz="0" w:space="0" w:color="auto"/>
        <w:right w:val="none" w:sz="0" w:space="0" w:color="auto"/>
      </w:divBdr>
    </w:div>
    <w:div w:id="1676033444">
      <w:bodyDiv w:val="1"/>
      <w:marLeft w:val="0"/>
      <w:marRight w:val="0"/>
      <w:marTop w:val="0"/>
      <w:marBottom w:val="0"/>
      <w:divBdr>
        <w:top w:val="none" w:sz="0" w:space="0" w:color="auto"/>
        <w:left w:val="none" w:sz="0" w:space="0" w:color="auto"/>
        <w:bottom w:val="none" w:sz="0" w:space="0" w:color="auto"/>
        <w:right w:val="none" w:sz="0" w:space="0" w:color="auto"/>
      </w:divBdr>
      <w:divsChild>
        <w:div w:id="1413163103">
          <w:marLeft w:val="0"/>
          <w:marRight w:val="0"/>
          <w:marTop w:val="0"/>
          <w:marBottom w:val="0"/>
          <w:divBdr>
            <w:top w:val="none" w:sz="0" w:space="0" w:color="auto"/>
            <w:left w:val="none" w:sz="0" w:space="0" w:color="auto"/>
            <w:bottom w:val="none" w:sz="0" w:space="0" w:color="auto"/>
            <w:right w:val="none" w:sz="0" w:space="0" w:color="auto"/>
          </w:divBdr>
          <w:divsChild>
            <w:div w:id="1373724624">
              <w:marLeft w:val="0"/>
              <w:marRight w:val="0"/>
              <w:marTop w:val="0"/>
              <w:marBottom w:val="0"/>
              <w:divBdr>
                <w:top w:val="none" w:sz="0" w:space="0" w:color="auto"/>
                <w:left w:val="none" w:sz="0" w:space="0" w:color="auto"/>
                <w:bottom w:val="none" w:sz="0" w:space="0" w:color="auto"/>
                <w:right w:val="none" w:sz="0" w:space="0" w:color="auto"/>
              </w:divBdr>
              <w:divsChild>
                <w:div w:id="1826818087">
                  <w:marLeft w:val="0"/>
                  <w:marRight w:val="0"/>
                  <w:marTop w:val="0"/>
                  <w:marBottom w:val="0"/>
                  <w:divBdr>
                    <w:top w:val="none" w:sz="0" w:space="0" w:color="auto"/>
                    <w:left w:val="none" w:sz="0" w:space="0" w:color="auto"/>
                    <w:bottom w:val="none" w:sz="0" w:space="0" w:color="auto"/>
                    <w:right w:val="none" w:sz="0" w:space="0" w:color="auto"/>
                  </w:divBdr>
                  <w:divsChild>
                    <w:div w:id="1304309072">
                      <w:marLeft w:val="0"/>
                      <w:marRight w:val="0"/>
                      <w:marTop w:val="0"/>
                      <w:marBottom w:val="0"/>
                      <w:divBdr>
                        <w:top w:val="none" w:sz="0" w:space="0" w:color="auto"/>
                        <w:left w:val="none" w:sz="0" w:space="0" w:color="auto"/>
                        <w:bottom w:val="none" w:sz="0" w:space="0" w:color="auto"/>
                        <w:right w:val="none" w:sz="0" w:space="0" w:color="auto"/>
                      </w:divBdr>
                      <w:divsChild>
                        <w:div w:id="813908568">
                          <w:marLeft w:val="0"/>
                          <w:marRight w:val="0"/>
                          <w:marTop w:val="300"/>
                          <w:marBottom w:val="0"/>
                          <w:divBdr>
                            <w:top w:val="none" w:sz="0" w:space="0" w:color="auto"/>
                            <w:left w:val="none" w:sz="0" w:space="0" w:color="auto"/>
                            <w:bottom w:val="none" w:sz="0" w:space="0" w:color="auto"/>
                            <w:right w:val="none" w:sz="0" w:space="0" w:color="auto"/>
                          </w:divBdr>
                          <w:divsChild>
                            <w:div w:id="1043678402">
                              <w:marLeft w:val="0"/>
                              <w:marRight w:val="0"/>
                              <w:marTop w:val="400"/>
                              <w:marBottom w:val="0"/>
                              <w:divBdr>
                                <w:top w:val="none" w:sz="0" w:space="0" w:color="auto"/>
                                <w:left w:val="none" w:sz="0" w:space="0" w:color="auto"/>
                                <w:bottom w:val="none" w:sz="0" w:space="0" w:color="auto"/>
                                <w:right w:val="none" w:sz="0" w:space="0" w:color="auto"/>
                              </w:divBdr>
                            </w:div>
                            <w:div w:id="1654720927">
                              <w:marLeft w:val="0"/>
                              <w:marRight w:val="0"/>
                              <w:marTop w:val="240"/>
                              <w:marBottom w:val="0"/>
                              <w:divBdr>
                                <w:top w:val="none" w:sz="0" w:space="0" w:color="auto"/>
                                <w:left w:val="none" w:sz="0" w:space="0" w:color="auto"/>
                                <w:bottom w:val="none" w:sz="0" w:space="0" w:color="auto"/>
                                <w:right w:val="none" w:sz="0" w:space="0" w:color="auto"/>
                              </w:divBdr>
                            </w:div>
                            <w:div w:id="1704134581">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rozenberga@pmlp.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9AE93F26BC47338241EB347005F11F"/>
        <w:category>
          <w:name w:val="General"/>
          <w:gallery w:val="placeholder"/>
        </w:category>
        <w:types>
          <w:type w:val="bbPlcHdr"/>
        </w:types>
        <w:behaviors>
          <w:behavior w:val="content"/>
        </w:behaviors>
        <w:guid w:val="{5E31929C-BC10-4DE8-9F24-EA3245854A87}"/>
      </w:docPartPr>
      <w:docPartBody>
        <w:p w:rsidR="000D113A" w:rsidRDefault="00E776C3" w:rsidP="00E776C3">
          <w:pPr>
            <w:pStyle w:val="E69AE93F26BC47338241EB347005F11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D5C6F9F15A6E4B7DBD6885F1A821F2BB"/>
        <w:category>
          <w:name w:val="General"/>
          <w:gallery w:val="placeholder"/>
        </w:category>
        <w:types>
          <w:type w:val="bbPlcHdr"/>
        </w:types>
        <w:behaviors>
          <w:behavior w:val="content"/>
        </w:behaviors>
        <w:guid w:val="{41E0444C-553E-4CF9-AE55-2F5FC65B4DD5}"/>
      </w:docPartPr>
      <w:docPartBody>
        <w:p w:rsidR="000D113A" w:rsidRDefault="00E776C3" w:rsidP="00E776C3">
          <w:pPr>
            <w:pStyle w:val="D5C6F9F15A6E4B7DBD6885F1A821F2B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963849F83784460A7816D44DC2E8645"/>
        <w:category>
          <w:name w:val="General"/>
          <w:gallery w:val="placeholder"/>
        </w:category>
        <w:types>
          <w:type w:val="bbPlcHdr"/>
        </w:types>
        <w:behaviors>
          <w:behavior w:val="content"/>
        </w:behaviors>
        <w:guid w:val="{8C7EF826-87F5-44DA-93BC-CACB8EE43539}"/>
      </w:docPartPr>
      <w:docPartBody>
        <w:p w:rsidR="000D113A" w:rsidRDefault="00E776C3" w:rsidP="00E776C3">
          <w:pPr>
            <w:pStyle w:val="5963849F83784460A7816D44DC2E8645"/>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6849ED089CAE4A67B4881CE5977EF181"/>
        <w:category>
          <w:name w:val="General"/>
          <w:gallery w:val="placeholder"/>
        </w:category>
        <w:types>
          <w:type w:val="bbPlcHdr"/>
        </w:types>
        <w:behaviors>
          <w:behavior w:val="content"/>
        </w:behaviors>
        <w:guid w:val="{30A3BD35-159A-4AD1-B045-9699AF223C28}"/>
      </w:docPartPr>
      <w:docPartBody>
        <w:p w:rsidR="00E776C3" w:rsidRPr="00894C55" w:rsidRDefault="00E776C3"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0D113A" w:rsidRDefault="00E776C3" w:rsidP="00E776C3">
          <w:pPr>
            <w:pStyle w:val="6849ED089CAE4A67B4881CE5977EF181"/>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776C3"/>
    <w:rsid w:val="000D113A"/>
    <w:rsid w:val="005267D0"/>
    <w:rsid w:val="00DE443D"/>
    <w:rsid w:val="00E776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9AE93F26BC47338241EB347005F11F">
    <w:name w:val="E69AE93F26BC47338241EB347005F11F"/>
    <w:rsid w:val="00E776C3"/>
  </w:style>
  <w:style w:type="paragraph" w:customStyle="1" w:styleId="D5C6F9F15A6E4B7DBD6885F1A821F2BB">
    <w:name w:val="D5C6F9F15A6E4B7DBD6885F1A821F2BB"/>
    <w:rsid w:val="00E776C3"/>
  </w:style>
  <w:style w:type="paragraph" w:customStyle="1" w:styleId="5963849F83784460A7816D44DC2E8645">
    <w:name w:val="5963849F83784460A7816D44DC2E8645"/>
    <w:rsid w:val="00E776C3"/>
  </w:style>
  <w:style w:type="paragraph" w:customStyle="1" w:styleId="6849ED089CAE4A67B4881CE5977EF181">
    <w:name w:val="6849ED089CAE4A67B4881CE5977EF181"/>
    <w:rsid w:val="00E77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E308B-77FC-4112-B9B4-FCED9FD4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1155</Words>
  <Characters>8303</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Ministru kabineta noteikumu projekta „Kārtība, kādā Latvijas Republikā  notiek bēgļa, alternatīvo statusu vai pagaidu aizsardzību ieguvušās personas ģimenes atkalapvienošana” sākotnējās ietekmes novērtējuma ziņojums (anotācija)</vt:lpstr>
    </vt:vector>
  </TitlesOfParts>
  <Company>Microsoft</Company>
  <LinksUpToDate>false</LinksUpToDate>
  <CharactersWithSpaces>9440</CharactersWithSpaces>
  <SharedDoc>false</SharedDoc>
  <HLinks>
    <vt:vector size="36" baseType="variant">
      <vt:variant>
        <vt:i4>2621452</vt:i4>
      </vt:variant>
      <vt:variant>
        <vt:i4>15</vt:i4>
      </vt:variant>
      <vt:variant>
        <vt:i4>0</vt:i4>
      </vt:variant>
      <vt:variant>
        <vt:i4>5</vt:i4>
      </vt:variant>
      <vt:variant>
        <vt:lpwstr>mailto:ilze.briede@pmlp.gov.lv</vt:lpwstr>
      </vt:variant>
      <vt:variant>
        <vt:lpwstr/>
      </vt:variant>
      <vt:variant>
        <vt:i4>3342369</vt:i4>
      </vt:variant>
      <vt:variant>
        <vt:i4>12</vt:i4>
      </vt:variant>
      <vt:variant>
        <vt:i4>0</vt:i4>
      </vt:variant>
      <vt:variant>
        <vt:i4>5</vt:i4>
      </vt:variant>
      <vt:variant>
        <vt:lpwstr>http://eur-lex.europa.eu/eli/dir/2004/38?locale=LV</vt:lpwstr>
      </vt:variant>
      <vt:variant>
        <vt:lpwstr/>
      </vt:variant>
      <vt:variant>
        <vt:i4>3342369</vt:i4>
      </vt:variant>
      <vt:variant>
        <vt:i4>9</vt:i4>
      </vt:variant>
      <vt:variant>
        <vt:i4>0</vt:i4>
      </vt:variant>
      <vt:variant>
        <vt:i4>5</vt:i4>
      </vt:variant>
      <vt:variant>
        <vt:lpwstr>http://eur-lex.europa.eu/eli/dir/2004/38?locale=LV</vt:lpwstr>
      </vt:variant>
      <vt:variant>
        <vt:lpwstr/>
      </vt:variant>
      <vt:variant>
        <vt:i4>3342369</vt:i4>
      </vt:variant>
      <vt:variant>
        <vt:i4>6</vt:i4>
      </vt:variant>
      <vt:variant>
        <vt:i4>0</vt:i4>
      </vt:variant>
      <vt:variant>
        <vt:i4>5</vt:i4>
      </vt:variant>
      <vt:variant>
        <vt:lpwstr>http://eur-lex.europa.eu/eli/dir/2004/38?locale=LV</vt:lpwstr>
      </vt:variant>
      <vt:variant>
        <vt:lpwstr/>
      </vt:variant>
      <vt:variant>
        <vt:i4>3342369</vt:i4>
      </vt:variant>
      <vt:variant>
        <vt:i4>3</vt:i4>
      </vt:variant>
      <vt:variant>
        <vt:i4>0</vt:i4>
      </vt:variant>
      <vt:variant>
        <vt:i4>5</vt:i4>
      </vt:variant>
      <vt:variant>
        <vt:lpwstr>http://eur-lex.europa.eu/eli/dir/2004/38?locale=LV</vt:lpwstr>
      </vt:variant>
      <vt:variant>
        <vt:lpwstr/>
      </vt:variant>
      <vt:variant>
        <vt:i4>3342369</vt:i4>
      </vt:variant>
      <vt:variant>
        <vt:i4>0</vt:i4>
      </vt:variant>
      <vt:variant>
        <vt:i4>0</vt:i4>
      </vt:variant>
      <vt:variant>
        <vt:i4>5</vt:i4>
      </vt:variant>
      <vt:variant>
        <vt:lpwstr>http://eur-lex.europa.eu/eli/dir/2004/38?locale=LV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Latvijas Republikā  notiek bēgļa, alternatīvo statusu vai pagaidu aizsardzību ieguvušās personas ģimenes atkalapvienošana” sākotnējās ietekmes novērtējuma ziņojums (anotācija)</dc:title>
  <dc:subject/>
  <dc:creator>Daina Rozenberga</dc:creator>
  <cp:keywords/>
  <cp:lastModifiedBy>Daina Rozenberga</cp:lastModifiedBy>
  <cp:revision>4</cp:revision>
  <cp:lastPrinted>2017-03-23T11:29:00Z</cp:lastPrinted>
  <dcterms:created xsi:type="dcterms:W3CDTF">2017-03-23T06:52:00Z</dcterms:created>
  <dcterms:modified xsi:type="dcterms:W3CDTF">2017-03-23T11:56:00Z</dcterms:modified>
</cp:coreProperties>
</file>