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9F" w:rsidRPr="000513C2" w:rsidRDefault="00965309" w:rsidP="00DF0D9F">
      <w:pPr>
        <w:pStyle w:val="Kjene"/>
        <w:ind w:firstLine="0"/>
        <w:jc w:val="center"/>
        <w:rPr>
          <w:b/>
          <w:sz w:val="24"/>
          <w:szCs w:val="24"/>
        </w:rPr>
      </w:pPr>
      <w:bookmarkStart w:id="0" w:name="_GoBack"/>
      <w:bookmarkEnd w:id="0"/>
      <w:r w:rsidRPr="000513C2">
        <w:rPr>
          <w:b/>
          <w:sz w:val="24"/>
          <w:szCs w:val="24"/>
        </w:rPr>
        <w:t>Ministru kabineta noteikumu projekta</w:t>
      </w:r>
      <w:r w:rsidR="000C6111" w:rsidRPr="000513C2">
        <w:rPr>
          <w:b/>
          <w:sz w:val="24"/>
          <w:szCs w:val="24"/>
        </w:rPr>
        <w:t xml:space="preserve"> </w:t>
      </w:r>
      <w:r w:rsidR="00DF0D9F" w:rsidRPr="000513C2">
        <w:rPr>
          <w:b/>
          <w:sz w:val="24"/>
          <w:szCs w:val="24"/>
        </w:rPr>
        <w:t>“</w:t>
      </w:r>
      <w:r w:rsidR="00D559AC" w:rsidRPr="000513C2">
        <w:rPr>
          <w:b/>
          <w:sz w:val="24"/>
          <w:szCs w:val="24"/>
        </w:rPr>
        <w:t>Noteikumi par juridiskās vai fiziskās personas resursu iesaistīšanu reaģēšanas un seku likvidēšanas pasākumos</w:t>
      </w:r>
      <w:r w:rsidR="00446D53" w:rsidRPr="000513C2">
        <w:rPr>
          <w:b/>
          <w:sz w:val="24"/>
          <w:szCs w:val="24"/>
        </w:rPr>
        <w:t xml:space="preserve"> vai</w:t>
      </w:r>
      <w:r w:rsidR="00D559AC" w:rsidRPr="000513C2">
        <w:rPr>
          <w:b/>
          <w:sz w:val="24"/>
          <w:szCs w:val="24"/>
        </w:rPr>
        <w:t xml:space="preserve"> ugunsgrēku dzēšanā vai glābšanas darbos un tiem radušos izdevumu un zaudējumu kompensācija aprēķināšanas kārtīb</w:t>
      </w:r>
      <w:r w:rsidR="00446D53" w:rsidRPr="000513C2">
        <w:rPr>
          <w:b/>
          <w:sz w:val="24"/>
          <w:szCs w:val="24"/>
        </w:rPr>
        <w:t>u</w:t>
      </w:r>
      <w:r w:rsidR="00DF0D9F" w:rsidRPr="000513C2">
        <w:rPr>
          <w:b/>
          <w:sz w:val="24"/>
          <w:szCs w:val="24"/>
        </w:rPr>
        <w:t>” sākotnējās ietekmes novērtējuma ziņojums (anotācija)</w:t>
      </w:r>
    </w:p>
    <w:p w:rsidR="00965309" w:rsidRPr="00157B3D" w:rsidRDefault="00DF0D9F" w:rsidP="00DF0D9F">
      <w:pPr>
        <w:jc w:val="center"/>
        <w:rPr>
          <w:sz w:val="24"/>
          <w:szCs w:val="24"/>
        </w:rPr>
      </w:pPr>
      <w:r>
        <w:rPr>
          <w:b/>
          <w:bCs/>
          <w:sz w:val="24"/>
          <w:szCs w:val="24"/>
          <w:lang w:eastAsia="lv-LV"/>
        </w:rPr>
        <w:t xml:space="preserve"> </w:t>
      </w:r>
    </w:p>
    <w:tbl>
      <w:tblPr>
        <w:tblStyle w:val="Reatabula"/>
        <w:tblpPr w:leftFromText="180" w:rightFromText="180" w:vertAnchor="text" w:tblpXSpec="right" w:tblpY="1"/>
        <w:tblOverlap w:val="never"/>
        <w:tblW w:w="5164" w:type="pct"/>
        <w:tblLook w:val="00A0" w:firstRow="1" w:lastRow="0" w:firstColumn="1" w:lastColumn="0" w:noHBand="0" w:noVBand="0"/>
      </w:tblPr>
      <w:tblGrid>
        <w:gridCol w:w="703"/>
        <w:gridCol w:w="2978"/>
        <w:gridCol w:w="5677"/>
      </w:tblGrid>
      <w:tr w:rsidR="00965309" w:rsidRPr="00BA35CF" w:rsidTr="00217FB7">
        <w:trPr>
          <w:trHeight w:val="405"/>
        </w:trPr>
        <w:tc>
          <w:tcPr>
            <w:tcW w:w="5000" w:type="pct"/>
            <w:gridSpan w:val="3"/>
          </w:tcPr>
          <w:p w:rsidR="00965309" w:rsidRPr="00157B3D" w:rsidRDefault="00965309" w:rsidP="00217FB7">
            <w:pPr>
              <w:spacing w:before="100" w:beforeAutospacing="1" w:after="100" w:afterAutospacing="1"/>
              <w:ind w:firstLine="0"/>
              <w:jc w:val="center"/>
              <w:rPr>
                <w:b/>
                <w:bCs/>
                <w:sz w:val="24"/>
                <w:szCs w:val="24"/>
                <w:lang w:eastAsia="lv-LV"/>
              </w:rPr>
            </w:pPr>
            <w:r w:rsidRPr="00157B3D">
              <w:rPr>
                <w:b/>
                <w:bCs/>
                <w:sz w:val="24"/>
                <w:szCs w:val="24"/>
                <w:lang w:eastAsia="lv-LV"/>
              </w:rPr>
              <w:t>I. Tiesību akta projekta izstrādes nepieciešamība</w:t>
            </w:r>
          </w:p>
        </w:tc>
      </w:tr>
      <w:tr w:rsidR="00965309" w:rsidRPr="00BA35CF" w:rsidTr="00217FB7">
        <w:trPr>
          <w:trHeight w:val="405"/>
        </w:trPr>
        <w:tc>
          <w:tcPr>
            <w:tcW w:w="376" w:type="pct"/>
          </w:tcPr>
          <w:p w:rsidR="00965309" w:rsidRPr="00157B3D" w:rsidRDefault="00965309" w:rsidP="00217FB7">
            <w:pPr>
              <w:spacing w:before="100" w:beforeAutospacing="1" w:after="100" w:afterAutospacing="1"/>
              <w:ind w:firstLine="0"/>
              <w:jc w:val="center"/>
              <w:rPr>
                <w:sz w:val="24"/>
                <w:szCs w:val="24"/>
                <w:lang w:eastAsia="lv-LV"/>
              </w:rPr>
            </w:pPr>
            <w:r w:rsidRPr="00157B3D">
              <w:rPr>
                <w:sz w:val="24"/>
                <w:szCs w:val="24"/>
                <w:lang w:eastAsia="lv-LV"/>
              </w:rPr>
              <w:t>1.</w:t>
            </w:r>
          </w:p>
        </w:tc>
        <w:tc>
          <w:tcPr>
            <w:tcW w:w="1591" w:type="pct"/>
          </w:tcPr>
          <w:p w:rsidR="00965309" w:rsidRPr="00157B3D" w:rsidRDefault="00965309" w:rsidP="00217FB7">
            <w:pPr>
              <w:ind w:firstLine="0"/>
              <w:jc w:val="left"/>
              <w:rPr>
                <w:sz w:val="24"/>
                <w:szCs w:val="24"/>
                <w:lang w:eastAsia="lv-LV"/>
              </w:rPr>
            </w:pPr>
            <w:r w:rsidRPr="00157B3D">
              <w:rPr>
                <w:sz w:val="24"/>
                <w:szCs w:val="24"/>
                <w:lang w:eastAsia="lv-LV"/>
              </w:rPr>
              <w:t>Pamatojums</w:t>
            </w:r>
          </w:p>
        </w:tc>
        <w:tc>
          <w:tcPr>
            <w:tcW w:w="3033" w:type="pct"/>
          </w:tcPr>
          <w:p w:rsidR="003C3021" w:rsidRPr="003C3021" w:rsidRDefault="00CD6044" w:rsidP="00217FB7">
            <w:pPr>
              <w:pStyle w:val="Virsraksts5"/>
              <w:ind w:firstLine="513"/>
              <w:jc w:val="both"/>
              <w:rPr>
                <w:b w:val="0"/>
                <w:sz w:val="24"/>
                <w:szCs w:val="24"/>
              </w:rPr>
            </w:pPr>
            <w:r w:rsidRPr="003C3021">
              <w:rPr>
                <w:b w:val="0"/>
                <w:sz w:val="24"/>
                <w:szCs w:val="24"/>
              </w:rPr>
              <w:t>Civilās aizsardzības un katastrofas pārvaldīšanas likum</w:t>
            </w:r>
            <w:r w:rsidR="003C3021" w:rsidRPr="003C3021">
              <w:rPr>
                <w:b w:val="0"/>
                <w:sz w:val="24"/>
                <w:szCs w:val="24"/>
              </w:rPr>
              <w:t>a</w:t>
            </w:r>
            <w:r w:rsidR="00635085" w:rsidRPr="003C3021">
              <w:rPr>
                <w:b w:val="0"/>
                <w:sz w:val="24"/>
                <w:szCs w:val="24"/>
              </w:rPr>
              <w:t xml:space="preserve"> </w:t>
            </w:r>
            <w:r w:rsidRPr="003C3021">
              <w:rPr>
                <w:b w:val="0"/>
                <w:sz w:val="24"/>
                <w:szCs w:val="24"/>
              </w:rPr>
              <w:t xml:space="preserve"> 8.panta otrās daļas 4. un 5. punkt</w:t>
            </w:r>
            <w:r w:rsidR="00B94FE3" w:rsidRPr="003C3021">
              <w:rPr>
                <w:b w:val="0"/>
                <w:sz w:val="24"/>
                <w:szCs w:val="24"/>
              </w:rPr>
              <w:t>s</w:t>
            </w:r>
            <w:r w:rsidR="003C3021" w:rsidRPr="003C3021">
              <w:rPr>
                <w:b w:val="0"/>
                <w:sz w:val="24"/>
                <w:szCs w:val="24"/>
              </w:rPr>
              <w:t>.</w:t>
            </w:r>
            <w:r w:rsidRPr="003C3021">
              <w:rPr>
                <w:b w:val="0"/>
                <w:sz w:val="24"/>
                <w:szCs w:val="24"/>
              </w:rPr>
              <w:t xml:space="preserve"> </w:t>
            </w:r>
          </w:p>
          <w:p w:rsidR="00965309" w:rsidRPr="00D559AC" w:rsidRDefault="003C3021" w:rsidP="00217FB7">
            <w:pPr>
              <w:pStyle w:val="Virsraksts5"/>
              <w:ind w:firstLine="513"/>
              <w:jc w:val="both"/>
              <w:rPr>
                <w:b w:val="0"/>
                <w:sz w:val="24"/>
                <w:szCs w:val="24"/>
                <w:lang w:eastAsia="lv-LV"/>
              </w:rPr>
            </w:pPr>
            <w:r w:rsidRPr="003C3021">
              <w:rPr>
                <w:b w:val="0"/>
                <w:iCs/>
                <w:sz w:val="24"/>
                <w:szCs w:val="24"/>
                <w:lang w:eastAsia="lv-LV"/>
              </w:rPr>
              <w:t>Ugunsdrošības un ugunsdzēsības likuma 20.pants.</w:t>
            </w:r>
          </w:p>
        </w:tc>
      </w:tr>
      <w:tr w:rsidR="00965309" w:rsidRPr="00BA35CF" w:rsidTr="00217FB7">
        <w:trPr>
          <w:trHeight w:val="465"/>
        </w:trPr>
        <w:tc>
          <w:tcPr>
            <w:tcW w:w="376" w:type="pct"/>
          </w:tcPr>
          <w:p w:rsidR="00965309" w:rsidRPr="00157B3D" w:rsidRDefault="00965309" w:rsidP="00217FB7">
            <w:pPr>
              <w:spacing w:before="100" w:beforeAutospacing="1" w:after="100" w:afterAutospacing="1"/>
              <w:ind w:firstLine="0"/>
              <w:jc w:val="center"/>
              <w:rPr>
                <w:sz w:val="24"/>
                <w:szCs w:val="24"/>
                <w:lang w:eastAsia="lv-LV"/>
              </w:rPr>
            </w:pPr>
            <w:r w:rsidRPr="00157B3D">
              <w:rPr>
                <w:sz w:val="24"/>
                <w:szCs w:val="24"/>
                <w:lang w:eastAsia="lv-LV"/>
              </w:rPr>
              <w:t>2.</w:t>
            </w:r>
          </w:p>
        </w:tc>
        <w:tc>
          <w:tcPr>
            <w:tcW w:w="1591" w:type="pct"/>
          </w:tcPr>
          <w:p w:rsidR="00965309" w:rsidRPr="00157B3D" w:rsidRDefault="00965309" w:rsidP="00217FB7">
            <w:pPr>
              <w:ind w:firstLine="0"/>
              <w:jc w:val="left"/>
              <w:rPr>
                <w:sz w:val="24"/>
                <w:szCs w:val="24"/>
                <w:lang w:eastAsia="lv-LV"/>
              </w:rPr>
            </w:pPr>
            <w:r w:rsidRPr="00157B3D">
              <w:rPr>
                <w:sz w:val="24"/>
                <w:szCs w:val="24"/>
                <w:lang w:eastAsia="lv-LV"/>
              </w:rPr>
              <w:t>Pašreizējā situācija un problēmas, kuru risināšanai tiesību akta projekts izstrādāts, tiesiskā regulējuma mērķis un būtība</w:t>
            </w:r>
          </w:p>
        </w:tc>
        <w:tc>
          <w:tcPr>
            <w:tcW w:w="3033" w:type="pct"/>
          </w:tcPr>
          <w:p w:rsidR="00AC62DD" w:rsidRPr="00AC62DD" w:rsidRDefault="00AC62DD" w:rsidP="00217FB7">
            <w:pPr>
              <w:ind w:firstLine="400"/>
              <w:rPr>
                <w:bCs/>
                <w:iCs/>
                <w:sz w:val="24"/>
                <w:szCs w:val="24"/>
              </w:rPr>
            </w:pPr>
            <w:r w:rsidRPr="00AC62DD">
              <w:rPr>
                <w:iCs/>
                <w:sz w:val="24"/>
                <w:szCs w:val="24"/>
              </w:rPr>
              <w:t xml:space="preserve">2016.gada 1.oktobrī stājās spēkā Civilās aizsardzības un katastrofas pārvaldīšanas likums. Saskaņā  ar </w:t>
            </w:r>
            <w:r w:rsidRPr="00AC62DD">
              <w:rPr>
                <w:bCs/>
                <w:iCs/>
                <w:sz w:val="24"/>
                <w:szCs w:val="24"/>
              </w:rPr>
              <w:t xml:space="preserve">Civilās aizsardzības un katastrofas pārvaldīšanas likuma  8.panta otrās daļas 4. un 5. punktu Ministru kabinets nosaka: </w:t>
            </w:r>
          </w:p>
          <w:p w:rsidR="00AC62DD" w:rsidRPr="00AC62DD" w:rsidRDefault="00AC62DD" w:rsidP="00217FB7">
            <w:pPr>
              <w:autoSpaceDE w:val="0"/>
              <w:autoSpaceDN w:val="0"/>
              <w:adjustRightInd w:val="0"/>
              <w:ind w:firstLine="400"/>
              <w:rPr>
                <w:iCs/>
                <w:sz w:val="24"/>
                <w:szCs w:val="24"/>
              </w:rPr>
            </w:pPr>
            <w:r w:rsidRPr="00AC62DD">
              <w:rPr>
                <w:iCs/>
                <w:sz w:val="24"/>
                <w:szCs w:val="24"/>
              </w:rPr>
              <w:t>1) kārtību, kādā valsts vai pašvaldības institūcija iesaista reaģēšanas un seku likvidēšanas pasākumos juridiskās vai fiziskās personas rīcībā esošos resursus;</w:t>
            </w:r>
          </w:p>
          <w:p w:rsidR="00AC62DD" w:rsidRPr="00AC62DD" w:rsidRDefault="00AC62DD" w:rsidP="00217FB7">
            <w:pPr>
              <w:autoSpaceDE w:val="0"/>
              <w:autoSpaceDN w:val="0"/>
              <w:adjustRightInd w:val="0"/>
              <w:ind w:firstLine="400"/>
              <w:rPr>
                <w:iCs/>
                <w:sz w:val="24"/>
                <w:szCs w:val="24"/>
              </w:rPr>
            </w:pPr>
            <w:r w:rsidRPr="00AC62DD">
              <w:rPr>
                <w:iCs/>
                <w:sz w:val="24"/>
                <w:szCs w:val="24"/>
              </w:rPr>
              <w:t xml:space="preserve">2) kārtību, kādā juridiskajai vai fiziskajai personai kompensējami izdevumi un zaudējumi, kas radušies, tās resursus iesaistot reaģēšanas un seku likvidēšanas pasākumos, kā arī kompensācijas apmēra aprēķināšanas kārtību. </w:t>
            </w:r>
          </w:p>
          <w:p w:rsidR="00AC62DD" w:rsidRPr="00AC62DD" w:rsidRDefault="00AC62DD" w:rsidP="00217FB7">
            <w:pPr>
              <w:autoSpaceDE w:val="0"/>
              <w:autoSpaceDN w:val="0"/>
              <w:adjustRightInd w:val="0"/>
              <w:ind w:firstLine="400"/>
              <w:rPr>
                <w:iCs/>
                <w:sz w:val="24"/>
                <w:szCs w:val="24"/>
              </w:rPr>
            </w:pPr>
            <w:r w:rsidRPr="00AC62DD">
              <w:rPr>
                <w:iCs/>
                <w:sz w:val="24"/>
                <w:szCs w:val="24"/>
              </w:rPr>
              <w:t>Saskaņā ar Civilās aizsardzības un katastrofas pārvaldīšanas likuma Pārejas noteikumu 2.punkta 5.punktu</w:t>
            </w:r>
            <w:r w:rsidRPr="00AC62DD">
              <w:t xml:space="preserve"> </w:t>
            </w:r>
            <w:r w:rsidRPr="00AC62DD">
              <w:rPr>
                <w:iCs/>
                <w:sz w:val="24"/>
                <w:szCs w:val="24"/>
              </w:rPr>
              <w:t xml:space="preserve">Ministru kabinets līdz 2017.gada 1.februārim izdod šā likuma </w:t>
            </w:r>
            <w:hyperlink r:id="rId7" w:anchor="p8" w:tgtFrame="_blank" w:history="1">
              <w:r w:rsidRPr="00AC62DD">
                <w:rPr>
                  <w:rStyle w:val="Hipersaite"/>
                  <w:iCs/>
                  <w:color w:val="auto"/>
                  <w:sz w:val="24"/>
                  <w:szCs w:val="24"/>
                  <w:u w:val="none"/>
                </w:rPr>
                <w:t>8.panta</w:t>
              </w:r>
            </w:hyperlink>
            <w:r w:rsidRPr="00AC62DD">
              <w:rPr>
                <w:iCs/>
                <w:sz w:val="24"/>
                <w:szCs w:val="24"/>
              </w:rPr>
              <w:t xml:space="preserve"> otrās daļas 2., 3., 4., 5., 6. un 7.punktā, </w:t>
            </w:r>
            <w:hyperlink r:id="rId8" w:anchor="p15" w:tgtFrame="_blank" w:history="1">
              <w:r w:rsidRPr="00AC62DD">
                <w:rPr>
                  <w:rStyle w:val="Hipersaite"/>
                  <w:iCs/>
                  <w:color w:val="auto"/>
                  <w:sz w:val="24"/>
                  <w:szCs w:val="24"/>
                  <w:u w:val="none"/>
                </w:rPr>
                <w:t>15.panta</w:t>
              </w:r>
            </w:hyperlink>
            <w:r w:rsidRPr="00AC62DD">
              <w:rPr>
                <w:iCs/>
                <w:sz w:val="24"/>
                <w:szCs w:val="24"/>
              </w:rPr>
              <w:t xml:space="preserve"> otrajā daļā, </w:t>
            </w:r>
            <w:hyperlink r:id="rId9" w:anchor="p19" w:tgtFrame="_blank" w:history="1">
              <w:r w:rsidRPr="00AC62DD">
                <w:rPr>
                  <w:rStyle w:val="Hipersaite"/>
                  <w:iCs/>
                  <w:color w:val="auto"/>
                  <w:sz w:val="24"/>
                  <w:szCs w:val="24"/>
                  <w:u w:val="none"/>
                </w:rPr>
                <w:t>19.panta</w:t>
              </w:r>
            </w:hyperlink>
            <w:r w:rsidRPr="00AC62DD">
              <w:rPr>
                <w:iCs/>
                <w:sz w:val="24"/>
                <w:szCs w:val="24"/>
              </w:rPr>
              <w:t xml:space="preserve"> ceturtajā daļā, </w:t>
            </w:r>
            <w:hyperlink r:id="rId10" w:anchor="p23" w:tgtFrame="_blank" w:history="1">
              <w:r w:rsidRPr="00AC62DD">
                <w:rPr>
                  <w:rStyle w:val="Hipersaite"/>
                  <w:iCs/>
                  <w:color w:val="auto"/>
                  <w:sz w:val="24"/>
                  <w:szCs w:val="24"/>
                  <w:u w:val="none"/>
                </w:rPr>
                <w:t>23.panta</w:t>
              </w:r>
            </w:hyperlink>
            <w:r w:rsidRPr="00AC62DD">
              <w:rPr>
                <w:iCs/>
                <w:sz w:val="24"/>
                <w:szCs w:val="24"/>
              </w:rPr>
              <w:t xml:space="preserve"> pirmajā un trešajā daļā un </w:t>
            </w:r>
            <w:hyperlink r:id="rId11" w:anchor="p24" w:tgtFrame="_blank" w:history="1">
              <w:r w:rsidRPr="00AC62DD">
                <w:rPr>
                  <w:rStyle w:val="Hipersaite"/>
                  <w:iCs/>
                  <w:color w:val="auto"/>
                  <w:sz w:val="24"/>
                  <w:szCs w:val="24"/>
                  <w:u w:val="none"/>
                </w:rPr>
                <w:t>24.panta</w:t>
              </w:r>
            </w:hyperlink>
            <w:r w:rsidRPr="00AC62DD">
              <w:rPr>
                <w:iCs/>
                <w:sz w:val="24"/>
                <w:szCs w:val="24"/>
              </w:rPr>
              <w:t xml:space="preserve"> ceturtajā un piektajā daļā paredzētos Ministru kabineta noteikumus. Savukārt  atbilstoši minēta likuma 2.punkta 5.punktam Līdz attiecīgo Ministru kabineta noteikumu spēkā stāšanās dienai, bet ne ilgāk kā līdz 2017.gada 1.decembrim ir piemērojami Ministru kabineta 2007.gada 11.decembra noteikumi Nr.842 "</w:t>
            </w:r>
            <w:hyperlink r:id="rId12" w:tgtFrame="_blank" w:history="1">
              <w:r w:rsidRPr="00AC62DD">
                <w:rPr>
                  <w:rStyle w:val="Hipersaite"/>
                  <w:iCs/>
                  <w:color w:val="auto"/>
                  <w:sz w:val="24"/>
                  <w:szCs w:val="24"/>
                  <w:u w:val="none"/>
                </w:rPr>
                <w:t>Kārtība, kādā juridiskajām un fiziskajām personām kompensējami izdevumi un zaudējumi, kas radušies, iesaistot personu resursus reaģēšanas pasākumos, ugunsgrēka dzēšanā vai glābšanas darbos, un kompensācijas apmēra aprēķināšanas kārtība</w:t>
              </w:r>
            </w:hyperlink>
            <w:r w:rsidRPr="00AC62DD">
              <w:rPr>
                <w:iCs/>
                <w:sz w:val="24"/>
                <w:szCs w:val="24"/>
              </w:rPr>
              <w:t>".</w:t>
            </w:r>
          </w:p>
          <w:p w:rsidR="00AC62DD" w:rsidRPr="00AC62DD" w:rsidRDefault="00AC62DD" w:rsidP="00217FB7">
            <w:pPr>
              <w:autoSpaceDE w:val="0"/>
              <w:autoSpaceDN w:val="0"/>
              <w:adjustRightInd w:val="0"/>
              <w:ind w:firstLine="400"/>
              <w:rPr>
                <w:iCs/>
                <w:sz w:val="24"/>
                <w:szCs w:val="24"/>
              </w:rPr>
            </w:pPr>
            <w:r w:rsidRPr="00AC62DD">
              <w:rPr>
                <w:iCs/>
                <w:sz w:val="24"/>
                <w:szCs w:val="24"/>
              </w:rPr>
              <w:t>Ņemot vērā minēto, ir sagatavots Ministru kabineta noteikumu projekts “Noteikumi par juridiskās vai fiziskās personas resursu iesaistīšanu reaģēšanas un seku likvidēšanas pasākumos vai ugunsgrēku dzēšanā vai glābšanas darbos un tiem radušos izdevumu un zaudējumu kompensācija aprēķināšanas kārtība” (turpmāk – Noteikumu projekts).</w:t>
            </w:r>
          </w:p>
          <w:p w:rsidR="00AC62DD" w:rsidRPr="00AC62DD" w:rsidRDefault="00AC62DD" w:rsidP="00217FB7">
            <w:pPr>
              <w:autoSpaceDE w:val="0"/>
              <w:autoSpaceDN w:val="0"/>
              <w:adjustRightInd w:val="0"/>
              <w:ind w:firstLine="400"/>
              <w:rPr>
                <w:iCs/>
                <w:sz w:val="24"/>
                <w:szCs w:val="24"/>
              </w:rPr>
            </w:pPr>
            <w:r w:rsidRPr="00AC62DD">
              <w:rPr>
                <w:iCs/>
                <w:sz w:val="24"/>
                <w:szCs w:val="24"/>
              </w:rPr>
              <w:t xml:space="preserve">Noteikumu projekts pēc būtības paredz līdzīgu regulējumu, kāds jau ir noteikts, taču tiek precizētas atsevišķas normas, kas risina problēmas, kuras identificētas, piemērojot spēkā esošo tiesisko regulējumu, kas attiecas uz resursu iesaisti reaģēšanas un </w:t>
            </w:r>
            <w:r w:rsidRPr="00AC62DD">
              <w:rPr>
                <w:iCs/>
                <w:sz w:val="24"/>
                <w:szCs w:val="24"/>
              </w:rPr>
              <w:lastRenderedPageBreak/>
              <w:t>seku likvidēšanas pasākumos vai ugunsgrēku dzēšanā vai glābšanas darbos un tiem radušos izdevumu un zaudējumu kompensācija aprēķināšanu.</w:t>
            </w:r>
          </w:p>
          <w:p w:rsidR="00374EE1" w:rsidRDefault="00F51BD6" w:rsidP="00217FB7">
            <w:pPr>
              <w:autoSpaceDE w:val="0"/>
              <w:autoSpaceDN w:val="0"/>
              <w:adjustRightInd w:val="0"/>
              <w:ind w:firstLine="400"/>
              <w:rPr>
                <w:iCs/>
                <w:sz w:val="24"/>
                <w:szCs w:val="24"/>
              </w:rPr>
            </w:pPr>
            <w:r w:rsidRPr="00026B5B">
              <w:rPr>
                <w:iCs/>
                <w:sz w:val="24"/>
                <w:szCs w:val="24"/>
              </w:rPr>
              <w:t>2013. gada 21. novembrī notika "</w:t>
            </w:r>
            <w:hyperlink r:id="rId13" w:tooltip="Maxima" w:history="1">
              <w:r w:rsidRPr="00026B5B">
                <w:rPr>
                  <w:iCs/>
                  <w:sz w:val="24"/>
                  <w:szCs w:val="24"/>
                </w:rPr>
                <w:t>Maxima</w:t>
              </w:r>
            </w:hyperlink>
            <w:r w:rsidRPr="00026B5B">
              <w:rPr>
                <w:iCs/>
                <w:sz w:val="24"/>
                <w:szCs w:val="24"/>
              </w:rPr>
              <w:t xml:space="preserve">" </w:t>
            </w:r>
            <w:hyperlink r:id="rId14" w:tooltip="Lielveikals" w:history="1">
              <w:r w:rsidRPr="00026B5B">
                <w:rPr>
                  <w:iCs/>
                  <w:sz w:val="24"/>
                  <w:szCs w:val="24"/>
                </w:rPr>
                <w:t>lielveikal</w:t>
              </w:r>
            </w:hyperlink>
            <w:r w:rsidRPr="00026B5B">
              <w:rPr>
                <w:iCs/>
                <w:sz w:val="24"/>
                <w:szCs w:val="24"/>
              </w:rPr>
              <w:t xml:space="preserve">a </w:t>
            </w:r>
            <w:hyperlink r:id="rId15" w:tooltip="Priedaines iela (Rīga) (vēl nav uzrakstīts)" w:history="1">
              <w:r w:rsidRPr="00026B5B">
                <w:rPr>
                  <w:iCs/>
                  <w:sz w:val="24"/>
                  <w:szCs w:val="24"/>
                </w:rPr>
                <w:t>Priedaines ielā</w:t>
              </w:r>
            </w:hyperlink>
            <w:r w:rsidRPr="00026B5B">
              <w:rPr>
                <w:iCs/>
                <w:sz w:val="24"/>
                <w:szCs w:val="24"/>
              </w:rPr>
              <w:t xml:space="preserve"> 20 konstrukciju sabrukšana, kuras rezultātā gāja bojā 54 cilvēki. </w:t>
            </w:r>
            <w:r w:rsidR="00D52F89" w:rsidRPr="00026B5B">
              <w:rPr>
                <w:iCs/>
                <w:sz w:val="24"/>
                <w:szCs w:val="24"/>
              </w:rPr>
              <w:t xml:space="preserve">Minētās katastrofas seku novēršanai </w:t>
            </w:r>
            <w:r w:rsidR="00374EE1" w:rsidRPr="00026B5B">
              <w:rPr>
                <w:iCs/>
                <w:sz w:val="24"/>
                <w:szCs w:val="24"/>
              </w:rPr>
              <w:t>Valsts ugunsdzēsības un glābšanas dienests (turpmāk –VUGD) sadarbībā ar Rīgas pilsētas pašvaldību 2013.gadā laika posmā no 21. līdz 28.novembrim iesaistīja specifiskus juridisko personu (turpmāk – komersant</w:t>
            </w:r>
            <w:r w:rsidR="005978A6">
              <w:rPr>
                <w:iCs/>
                <w:sz w:val="24"/>
                <w:szCs w:val="24"/>
              </w:rPr>
              <w:t>u</w:t>
            </w:r>
            <w:r w:rsidR="00374EE1" w:rsidRPr="00026B5B">
              <w:rPr>
                <w:iCs/>
                <w:sz w:val="24"/>
                <w:szCs w:val="24"/>
              </w:rPr>
              <w:t>) smagās tehnikas, kā arī cilvēku resursus, jo tika apdraudēta cilvēku dzīvība un veselība, un resursu tūlītēja neiesaistīšana varēja radīt nenovēršamas sekas.  Reaģēšanas pasākumos tika iesaistīt</w:t>
            </w:r>
            <w:r w:rsidR="005F1404">
              <w:rPr>
                <w:iCs/>
                <w:sz w:val="24"/>
                <w:szCs w:val="24"/>
              </w:rPr>
              <w:t>i</w:t>
            </w:r>
            <w:r w:rsidR="00374EE1" w:rsidRPr="00026B5B">
              <w:rPr>
                <w:iCs/>
                <w:sz w:val="24"/>
                <w:szCs w:val="24"/>
              </w:rPr>
              <w:t xml:space="preserve"> komersantu – SIA „Alfis”, SIA „Arsava”, AS „Ceļu pārvalde”, SIA „Metrum”, SIA „Roadex”, SIA „Tilts”, SIA „Viadukts”, SIA „Jūrmalnieks AK”</w:t>
            </w:r>
            <w:r w:rsidR="00D2380C" w:rsidRPr="00026B5B">
              <w:rPr>
                <w:iCs/>
                <w:sz w:val="24"/>
                <w:szCs w:val="24"/>
              </w:rPr>
              <w:t>, SIA “E-Būvvadība”</w:t>
            </w:r>
            <w:r w:rsidR="00374EE1" w:rsidRPr="00026B5B">
              <w:rPr>
                <w:iCs/>
                <w:sz w:val="24"/>
                <w:szCs w:val="24"/>
              </w:rPr>
              <w:t xml:space="preserve"> un SIA „Rīgas tilti” tehnika un cilvēku resursi.</w:t>
            </w:r>
          </w:p>
          <w:p w:rsidR="00071778" w:rsidRDefault="00587970" w:rsidP="00217FB7">
            <w:pPr>
              <w:autoSpaceDE w:val="0"/>
              <w:autoSpaceDN w:val="0"/>
              <w:adjustRightInd w:val="0"/>
              <w:ind w:firstLine="400"/>
              <w:rPr>
                <w:iCs/>
                <w:sz w:val="24"/>
                <w:szCs w:val="24"/>
              </w:rPr>
            </w:pPr>
            <w:r w:rsidRPr="00587970">
              <w:rPr>
                <w:iCs/>
                <w:sz w:val="24"/>
                <w:szCs w:val="24"/>
              </w:rPr>
              <w:t>Valsts ugunsdzēsības un glābšanas dienests sadarbībā ar Iekšlietu ministriju, pamatojoties uz noteikum</w:t>
            </w:r>
            <w:r w:rsidR="00071778">
              <w:rPr>
                <w:iCs/>
                <w:sz w:val="24"/>
                <w:szCs w:val="24"/>
              </w:rPr>
              <w:t>os</w:t>
            </w:r>
            <w:r w:rsidR="00071778" w:rsidRPr="00026B5B">
              <w:rPr>
                <w:iCs/>
                <w:sz w:val="24"/>
                <w:szCs w:val="24"/>
              </w:rPr>
              <w:t xml:space="preserve"> Nr.842 „Kārtība, kādā juridiskajām un fiziskajām personām kompensējami izdevumi un zaudējumi, kas radušies, iesaistot personu resursus reaģēšanas pasākumos, ugunsgrēka dzēšanā vai glābšanas darbos, un kompensācijas apmēra aprēķināšanas kārtība” (turpmāk – noteikumi Nr.842) </w:t>
            </w:r>
            <w:r w:rsidR="005978A6">
              <w:rPr>
                <w:iCs/>
                <w:sz w:val="24"/>
                <w:szCs w:val="24"/>
              </w:rPr>
              <w:t>noteikto kārtību</w:t>
            </w:r>
            <w:r w:rsidR="00446D53">
              <w:rPr>
                <w:iCs/>
                <w:sz w:val="24"/>
                <w:szCs w:val="24"/>
              </w:rPr>
              <w:t>,</w:t>
            </w:r>
            <w:r w:rsidR="005978A6">
              <w:rPr>
                <w:iCs/>
                <w:sz w:val="24"/>
                <w:szCs w:val="24"/>
              </w:rPr>
              <w:t xml:space="preserve"> </w:t>
            </w:r>
            <w:r w:rsidRPr="00587970">
              <w:rPr>
                <w:iCs/>
                <w:sz w:val="24"/>
                <w:szCs w:val="24"/>
              </w:rPr>
              <w:t>veica darbības (vienošanās slēgšana, komersanta iesnieguma izskatīšana un atzinuma sagatavošana, kā arī lēmuma sagatavošana), lai komersantiem varētu kompensēt radīt</w:t>
            </w:r>
            <w:r w:rsidR="00E13F52">
              <w:rPr>
                <w:iCs/>
                <w:sz w:val="24"/>
                <w:szCs w:val="24"/>
              </w:rPr>
              <w:t>os izdevumus</w:t>
            </w:r>
            <w:r w:rsidRPr="00587970">
              <w:rPr>
                <w:iCs/>
                <w:sz w:val="24"/>
                <w:szCs w:val="24"/>
              </w:rPr>
              <w:t xml:space="preserve"> un zaudējumus par to resursu iesaistīšanu reaģēšanas pasākumos.</w:t>
            </w:r>
            <w:r w:rsidR="009E49B1">
              <w:rPr>
                <w:iCs/>
                <w:sz w:val="24"/>
                <w:szCs w:val="24"/>
              </w:rPr>
              <w:t xml:space="preserve"> </w:t>
            </w:r>
          </w:p>
          <w:p w:rsidR="00483FFF" w:rsidRDefault="00587970" w:rsidP="00217FB7">
            <w:pPr>
              <w:autoSpaceDE w:val="0"/>
              <w:autoSpaceDN w:val="0"/>
              <w:adjustRightInd w:val="0"/>
              <w:ind w:firstLine="400"/>
              <w:rPr>
                <w:iCs/>
                <w:sz w:val="24"/>
                <w:szCs w:val="24"/>
              </w:rPr>
            </w:pPr>
            <w:r>
              <w:rPr>
                <w:iCs/>
                <w:sz w:val="24"/>
                <w:szCs w:val="24"/>
              </w:rPr>
              <w:t>Minēt</w:t>
            </w:r>
            <w:r w:rsidR="00071778">
              <w:rPr>
                <w:iCs/>
                <w:sz w:val="24"/>
                <w:szCs w:val="24"/>
              </w:rPr>
              <w:t>o darbību ietvaros, praktiski veicot izdevumu atlīdzināšanu, tika konstatētas vairākas problēmas, kas negatīvi ietekmēja  kompensācijas</w:t>
            </w:r>
            <w:r w:rsidR="00483FFF">
              <w:rPr>
                <w:iCs/>
                <w:sz w:val="24"/>
                <w:szCs w:val="24"/>
              </w:rPr>
              <w:t xml:space="preserve"> procesa operativitāti un efektivitāti:</w:t>
            </w:r>
          </w:p>
          <w:p w:rsidR="00483FFF" w:rsidRDefault="00483FFF" w:rsidP="00217FB7">
            <w:pPr>
              <w:pStyle w:val="Sarakstarindkopa"/>
              <w:numPr>
                <w:ilvl w:val="0"/>
                <w:numId w:val="10"/>
              </w:numPr>
              <w:autoSpaceDE w:val="0"/>
              <w:autoSpaceDN w:val="0"/>
              <w:adjustRightInd w:val="0"/>
              <w:rPr>
                <w:iCs/>
                <w:sz w:val="24"/>
                <w:szCs w:val="24"/>
              </w:rPr>
            </w:pPr>
            <w:r>
              <w:rPr>
                <w:iCs/>
                <w:sz w:val="24"/>
                <w:szCs w:val="24"/>
              </w:rPr>
              <w:t>komersantiem radās grūtības ar dokumentu, kas pamatotu to iesaistīto resursu īpašuma un valdījuma tiesības, identificēšanu;</w:t>
            </w:r>
          </w:p>
          <w:p w:rsidR="00483FFF" w:rsidRPr="0070036B" w:rsidRDefault="00483FFF" w:rsidP="00217FB7">
            <w:pPr>
              <w:pStyle w:val="Sarakstarindkopa"/>
              <w:numPr>
                <w:ilvl w:val="0"/>
                <w:numId w:val="10"/>
              </w:numPr>
              <w:autoSpaceDE w:val="0"/>
              <w:autoSpaceDN w:val="0"/>
              <w:adjustRightInd w:val="0"/>
              <w:rPr>
                <w:iCs/>
                <w:sz w:val="24"/>
                <w:szCs w:val="24"/>
              </w:rPr>
            </w:pPr>
            <w:r w:rsidRPr="0070036B">
              <w:rPr>
                <w:iCs/>
                <w:sz w:val="24"/>
                <w:szCs w:val="24"/>
              </w:rPr>
              <w:t xml:space="preserve">netika noteikts, ka fiziskai vai juridiskai personai </w:t>
            </w:r>
            <w:r w:rsidR="00EA402B">
              <w:rPr>
                <w:iCs/>
                <w:sz w:val="24"/>
                <w:szCs w:val="24"/>
              </w:rPr>
              <w:t>kompensējamās</w:t>
            </w:r>
            <w:r w:rsidRPr="0070036B">
              <w:rPr>
                <w:iCs/>
                <w:sz w:val="24"/>
                <w:szCs w:val="24"/>
              </w:rPr>
              <w:t xml:space="preserve"> izmaksas nedrīkst pārsniegt vidējo tirgus cenu Latvijā, izņemot gadījumus</w:t>
            </w:r>
            <w:r w:rsidR="0070036B" w:rsidRPr="0070036B">
              <w:rPr>
                <w:iCs/>
                <w:sz w:val="24"/>
                <w:szCs w:val="24"/>
              </w:rPr>
              <w:t>, kad</w:t>
            </w:r>
            <w:r w:rsidR="00071778" w:rsidRPr="0070036B">
              <w:rPr>
                <w:iCs/>
                <w:sz w:val="24"/>
                <w:szCs w:val="24"/>
              </w:rPr>
              <w:t xml:space="preserve"> </w:t>
            </w:r>
            <w:r w:rsidR="0070036B" w:rsidRPr="0070036B">
              <w:rPr>
                <w:color w:val="000000" w:themeColor="text1"/>
                <w:sz w:val="24"/>
                <w:szCs w:val="24"/>
              </w:rPr>
              <w:t>Latvijas tirgū ir pieejams tikai viens šāds resurss</w:t>
            </w:r>
            <w:r w:rsidR="0070036B">
              <w:rPr>
                <w:color w:val="000000" w:themeColor="text1"/>
                <w:sz w:val="24"/>
                <w:szCs w:val="24"/>
              </w:rPr>
              <w:t>;</w:t>
            </w:r>
          </w:p>
          <w:p w:rsidR="0070036B" w:rsidRPr="0070036B" w:rsidRDefault="0070036B" w:rsidP="00217FB7">
            <w:pPr>
              <w:pStyle w:val="Sarakstarindkopa"/>
              <w:numPr>
                <w:ilvl w:val="0"/>
                <w:numId w:val="10"/>
              </w:numPr>
              <w:autoSpaceDE w:val="0"/>
              <w:autoSpaceDN w:val="0"/>
              <w:adjustRightInd w:val="0"/>
              <w:rPr>
                <w:iCs/>
                <w:sz w:val="24"/>
                <w:szCs w:val="24"/>
              </w:rPr>
            </w:pPr>
            <w:r>
              <w:rPr>
                <w:iCs/>
                <w:sz w:val="24"/>
                <w:szCs w:val="24"/>
              </w:rPr>
              <w:t>netika pilnīgi identificēti varianti, no kādiem līdzekļiem institūcija var izmaksāt kompensāciju.</w:t>
            </w:r>
          </w:p>
          <w:p w:rsidR="00AC62DD" w:rsidRPr="00AC62DD" w:rsidRDefault="00AC62DD" w:rsidP="00217FB7">
            <w:pPr>
              <w:autoSpaceDE w:val="0"/>
              <w:autoSpaceDN w:val="0"/>
              <w:adjustRightInd w:val="0"/>
              <w:ind w:firstLine="400"/>
              <w:rPr>
                <w:iCs/>
                <w:sz w:val="24"/>
                <w:szCs w:val="24"/>
              </w:rPr>
            </w:pPr>
            <w:r w:rsidRPr="00AC62DD">
              <w:rPr>
                <w:iCs/>
                <w:sz w:val="24"/>
                <w:szCs w:val="24"/>
              </w:rPr>
              <w:t xml:space="preserve">Ņemot vērā minēto, Noteikumu projektā tika iestrādāta norāde (2.pielikums) ar piemēru, kāda veida </w:t>
            </w:r>
            <w:r w:rsidRPr="00AC62DD">
              <w:rPr>
                <w:iCs/>
                <w:sz w:val="24"/>
                <w:szCs w:val="24"/>
              </w:rPr>
              <w:lastRenderedPageBreak/>
              <w:t>dokumentu kopijas juridiskai vai fiziskai personai būtu jāiesniedz, lai pamatotu iesaistīto resursu īpašuma un valdījuma tiesības. Noteikumu projekts paredz, ka juridiskai vai fiziskai personai radušos izdevumu un zaudējumu izmaksas nedrīkst pārsniegt vidējo tirgus cenu Latvijā, kā arī tiek noteikts, norādīts no kādiem līdzekļiem institūcija var izmaksāt kompensāciju</w:t>
            </w:r>
          </w:p>
          <w:p w:rsidR="00965309" w:rsidRPr="00026B5B" w:rsidRDefault="00AC62DD" w:rsidP="00217FB7">
            <w:pPr>
              <w:autoSpaceDE w:val="0"/>
              <w:autoSpaceDN w:val="0"/>
              <w:adjustRightInd w:val="0"/>
              <w:ind w:firstLine="400"/>
              <w:rPr>
                <w:iCs/>
                <w:sz w:val="24"/>
                <w:szCs w:val="24"/>
              </w:rPr>
            </w:pPr>
            <w:r w:rsidRPr="00AC62DD">
              <w:rPr>
                <w:iCs/>
                <w:sz w:val="24"/>
                <w:szCs w:val="24"/>
              </w:rPr>
              <w:t>Noteikumu projekts paredz, ka lēmumu par izdevumu un zaudējumu kompensēšanu pieņem Administratīvā procesa likuma noteiktajā kārtībā, savukārt par pieņemto lēmumu informē saskaņā ar Paziņošanas likumā noteikto kārtību.</w:t>
            </w:r>
            <w:r w:rsidR="00164382" w:rsidRPr="00AC62DD">
              <w:rPr>
                <w:sz w:val="24"/>
                <w:szCs w:val="24"/>
              </w:rPr>
              <w:t xml:space="preserve"> </w:t>
            </w:r>
          </w:p>
        </w:tc>
      </w:tr>
      <w:tr w:rsidR="00965309" w:rsidRPr="00BA35CF" w:rsidTr="00217FB7">
        <w:trPr>
          <w:trHeight w:val="465"/>
        </w:trPr>
        <w:tc>
          <w:tcPr>
            <w:tcW w:w="376" w:type="pct"/>
          </w:tcPr>
          <w:p w:rsidR="00965309" w:rsidRPr="00157B3D" w:rsidRDefault="00965309" w:rsidP="00217FB7">
            <w:pPr>
              <w:spacing w:before="100" w:beforeAutospacing="1" w:after="100" w:afterAutospacing="1"/>
              <w:ind w:firstLine="0"/>
              <w:jc w:val="center"/>
              <w:rPr>
                <w:sz w:val="24"/>
                <w:szCs w:val="24"/>
                <w:lang w:eastAsia="lv-LV"/>
              </w:rPr>
            </w:pPr>
            <w:r w:rsidRPr="00157B3D">
              <w:rPr>
                <w:sz w:val="24"/>
                <w:szCs w:val="24"/>
                <w:lang w:eastAsia="lv-LV"/>
              </w:rPr>
              <w:lastRenderedPageBreak/>
              <w:t>3.</w:t>
            </w:r>
          </w:p>
        </w:tc>
        <w:tc>
          <w:tcPr>
            <w:tcW w:w="1591" w:type="pct"/>
          </w:tcPr>
          <w:p w:rsidR="00965309" w:rsidRPr="00157B3D" w:rsidRDefault="00965309" w:rsidP="00217FB7">
            <w:pPr>
              <w:ind w:firstLine="0"/>
              <w:jc w:val="left"/>
              <w:rPr>
                <w:sz w:val="24"/>
                <w:szCs w:val="24"/>
                <w:lang w:eastAsia="lv-LV"/>
              </w:rPr>
            </w:pPr>
            <w:r w:rsidRPr="00157B3D">
              <w:rPr>
                <w:sz w:val="24"/>
                <w:szCs w:val="24"/>
                <w:lang w:eastAsia="lv-LV"/>
              </w:rPr>
              <w:t>Projekta izstrādē iesaistītās institūcijas</w:t>
            </w:r>
          </w:p>
        </w:tc>
        <w:tc>
          <w:tcPr>
            <w:tcW w:w="3033" w:type="pct"/>
          </w:tcPr>
          <w:p w:rsidR="00965309" w:rsidRPr="00157B3D" w:rsidRDefault="00965309" w:rsidP="00217FB7">
            <w:pPr>
              <w:ind w:firstLine="0"/>
              <w:jc w:val="left"/>
              <w:rPr>
                <w:sz w:val="24"/>
                <w:szCs w:val="24"/>
                <w:lang w:eastAsia="lv-LV"/>
              </w:rPr>
            </w:pPr>
            <w:r w:rsidRPr="00157B3D">
              <w:rPr>
                <w:sz w:val="24"/>
                <w:szCs w:val="24"/>
                <w:lang w:eastAsia="lv-LV"/>
              </w:rPr>
              <w:t>Iekšlietu ministrija</w:t>
            </w:r>
            <w:r w:rsidR="00390C55">
              <w:rPr>
                <w:sz w:val="24"/>
                <w:szCs w:val="24"/>
                <w:lang w:eastAsia="lv-LV"/>
              </w:rPr>
              <w:t>, Valsts ugunsdzēsības un glābšanas dienests</w:t>
            </w:r>
            <w:r w:rsidRPr="00157B3D">
              <w:rPr>
                <w:sz w:val="24"/>
                <w:szCs w:val="24"/>
                <w:lang w:eastAsia="lv-LV"/>
              </w:rPr>
              <w:t>.</w:t>
            </w:r>
          </w:p>
        </w:tc>
      </w:tr>
      <w:tr w:rsidR="00965309" w:rsidRPr="00BA35CF" w:rsidTr="00217FB7">
        <w:tc>
          <w:tcPr>
            <w:tcW w:w="376" w:type="pct"/>
          </w:tcPr>
          <w:p w:rsidR="00965309" w:rsidRPr="00157B3D" w:rsidRDefault="00965309" w:rsidP="00217FB7">
            <w:pPr>
              <w:spacing w:before="100" w:beforeAutospacing="1" w:after="100" w:afterAutospacing="1"/>
              <w:ind w:firstLine="0"/>
              <w:jc w:val="center"/>
              <w:rPr>
                <w:sz w:val="24"/>
                <w:szCs w:val="24"/>
                <w:lang w:eastAsia="lv-LV"/>
              </w:rPr>
            </w:pPr>
            <w:r w:rsidRPr="00157B3D">
              <w:rPr>
                <w:sz w:val="24"/>
                <w:szCs w:val="24"/>
                <w:lang w:eastAsia="lv-LV"/>
              </w:rPr>
              <w:t>4.</w:t>
            </w:r>
          </w:p>
        </w:tc>
        <w:tc>
          <w:tcPr>
            <w:tcW w:w="1591" w:type="pct"/>
          </w:tcPr>
          <w:p w:rsidR="00965309" w:rsidRPr="00157B3D" w:rsidRDefault="00965309" w:rsidP="00217FB7">
            <w:pPr>
              <w:ind w:firstLine="0"/>
              <w:jc w:val="left"/>
              <w:rPr>
                <w:sz w:val="24"/>
                <w:szCs w:val="24"/>
                <w:lang w:eastAsia="lv-LV"/>
              </w:rPr>
            </w:pPr>
            <w:r w:rsidRPr="00157B3D">
              <w:rPr>
                <w:sz w:val="24"/>
                <w:szCs w:val="24"/>
                <w:lang w:eastAsia="lv-LV"/>
              </w:rPr>
              <w:t>Cita informācija</w:t>
            </w:r>
          </w:p>
        </w:tc>
        <w:tc>
          <w:tcPr>
            <w:tcW w:w="3033" w:type="pct"/>
          </w:tcPr>
          <w:p w:rsidR="00965309" w:rsidRPr="00157B3D" w:rsidRDefault="00965309" w:rsidP="00217FB7">
            <w:pPr>
              <w:tabs>
                <w:tab w:val="center" w:pos="3516"/>
              </w:tabs>
              <w:spacing w:before="100" w:beforeAutospacing="1" w:after="100" w:afterAutospacing="1"/>
              <w:ind w:firstLine="0"/>
              <w:jc w:val="left"/>
              <w:rPr>
                <w:sz w:val="24"/>
                <w:szCs w:val="24"/>
                <w:lang w:eastAsia="lv-LV"/>
              </w:rPr>
            </w:pPr>
            <w:r w:rsidRPr="00157B3D">
              <w:rPr>
                <w:sz w:val="24"/>
                <w:szCs w:val="24"/>
                <w:lang w:eastAsia="lv-LV"/>
              </w:rPr>
              <w:t>Nav.</w:t>
            </w:r>
            <w:r w:rsidR="00D52F89">
              <w:rPr>
                <w:sz w:val="24"/>
                <w:szCs w:val="24"/>
                <w:lang w:eastAsia="lv-LV"/>
              </w:rPr>
              <w:tab/>
            </w:r>
          </w:p>
        </w:tc>
      </w:tr>
    </w:tbl>
    <w:p w:rsidR="00394F72" w:rsidRDefault="00217FB7" w:rsidP="00F50C84">
      <w:pPr>
        <w:ind w:firstLine="0"/>
        <w:jc w:val="left"/>
        <w:rPr>
          <w:sz w:val="24"/>
          <w:szCs w:val="24"/>
          <w:lang w:eastAsia="lv-LV"/>
        </w:rPr>
      </w:pPr>
      <w:r>
        <w:rPr>
          <w:sz w:val="24"/>
          <w:szCs w:val="24"/>
          <w:lang w:eastAsia="lv-LV"/>
        </w:rPr>
        <w:br w:type="textWrapping" w:clear="all"/>
      </w:r>
      <w:r w:rsidR="00965309" w:rsidRPr="00157B3D">
        <w:rPr>
          <w:sz w:val="24"/>
          <w:szCs w:val="24"/>
          <w:lang w:eastAsia="lv-LV"/>
        </w:rPr>
        <w:t> </w:t>
      </w:r>
    </w:p>
    <w:p w:rsidR="00394F72" w:rsidRDefault="00394F72"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704"/>
        <w:gridCol w:w="3076"/>
        <w:gridCol w:w="5576"/>
      </w:tblGrid>
      <w:tr w:rsidR="00D1691E" w:rsidRPr="00610F1C" w:rsidTr="00394F72">
        <w:tc>
          <w:tcPr>
            <w:tcW w:w="9356" w:type="dxa"/>
            <w:gridSpan w:val="3"/>
          </w:tcPr>
          <w:p w:rsidR="00D1691E" w:rsidRPr="00610F1C" w:rsidRDefault="00D1691E" w:rsidP="00485A47">
            <w:pPr>
              <w:pStyle w:val="Paraststmeklis"/>
              <w:tabs>
                <w:tab w:val="left" w:pos="552"/>
              </w:tabs>
              <w:spacing w:before="0" w:beforeAutospacing="0" w:after="0" w:afterAutospacing="0"/>
              <w:ind w:firstLine="525"/>
              <w:jc w:val="center"/>
              <w:rPr>
                <w:bCs/>
              </w:rPr>
            </w:pPr>
            <w:r w:rsidRPr="00610F1C">
              <w:rPr>
                <w:b/>
                <w:bCs/>
              </w:rPr>
              <w:t>II. Tiesību akta projekta ietekme uz sabiedrību, tautsaimniecības attīstību un administratīvo slogu</w:t>
            </w:r>
          </w:p>
        </w:tc>
      </w:tr>
      <w:tr w:rsidR="00D1691E" w:rsidRPr="00610F1C" w:rsidTr="00394F72">
        <w:tc>
          <w:tcPr>
            <w:tcW w:w="704"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1.</w:t>
            </w:r>
          </w:p>
        </w:tc>
        <w:tc>
          <w:tcPr>
            <w:tcW w:w="3076" w:type="dxa"/>
          </w:tcPr>
          <w:p w:rsidR="00D1691E" w:rsidRPr="007A7ADE" w:rsidRDefault="00D1691E" w:rsidP="007A7ADE">
            <w:pPr>
              <w:spacing w:before="100" w:beforeAutospacing="1" w:after="100" w:afterAutospacing="1"/>
              <w:ind w:firstLine="136"/>
              <w:rPr>
                <w:sz w:val="24"/>
                <w:szCs w:val="24"/>
              </w:rPr>
            </w:pPr>
            <w:r w:rsidRPr="007A7ADE">
              <w:rPr>
                <w:sz w:val="24"/>
                <w:szCs w:val="24"/>
              </w:rPr>
              <w:t>Sabiedrības mērķgrupas, kuras tiesiskais regulējums ietekmē vai varētu ietekmēt</w:t>
            </w:r>
          </w:p>
        </w:tc>
        <w:tc>
          <w:tcPr>
            <w:tcW w:w="5576" w:type="dxa"/>
          </w:tcPr>
          <w:p w:rsidR="00D1691E" w:rsidRPr="00683920" w:rsidRDefault="00D1691E" w:rsidP="00BF2ED7">
            <w:pPr>
              <w:ind w:left="57" w:firstLine="284"/>
              <w:rPr>
                <w:color w:val="0070C0"/>
                <w:sz w:val="24"/>
                <w:szCs w:val="24"/>
              </w:rPr>
            </w:pPr>
            <w:r w:rsidRPr="00BF2ED7">
              <w:rPr>
                <w:sz w:val="24"/>
                <w:szCs w:val="24"/>
              </w:rPr>
              <w:t xml:space="preserve">Noteikumu projekts </w:t>
            </w:r>
            <w:r w:rsidR="00126571" w:rsidRPr="00BF2ED7">
              <w:rPr>
                <w:sz w:val="24"/>
                <w:szCs w:val="24"/>
              </w:rPr>
              <w:t xml:space="preserve">varētu ietekmēt </w:t>
            </w:r>
            <w:r w:rsidR="008D64D3" w:rsidRPr="00BF2ED7">
              <w:rPr>
                <w:sz w:val="24"/>
                <w:szCs w:val="24"/>
              </w:rPr>
              <w:t>fiziskās un juridiskās personas</w:t>
            </w:r>
            <w:r w:rsidR="001C58DA" w:rsidRPr="00BF2ED7">
              <w:rPr>
                <w:sz w:val="24"/>
                <w:szCs w:val="24"/>
              </w:rPr>
              <w:t xml:space="preserve"> (turpmāk – personas)</w:t>
            </w:r>
            <w:r w:rsidR="008D64D3" w:rsidRPr="00BF2ED7">
              <w:rPr>
                <w:sz w:val="24"/>
                <w:szCs w:val="24"/>
              </w:rPr>
              <w:t>, kuru resursi tiks iesaistīti reaģēšanas un seku likvidēšanas pasākumos</w:t>
            </w:r>
            <w:r w:rsidR="00E13D23" w:rsidRPr="00BF2ED7">
              <w:rPr>
                <w:sz w:val="24"/>
                <w:szCs w:val="24"/>
              </w:rPr>
              <w:t>, kā arī ugunsgrēku</w:t>
            </w:r>
            <w:r w:rsidR="00BF2ED7" w:rsidRPr="00BF2ED7">
              <w:rPr>
                <w:sz w:val="24"/>
                <w:szCs w:val="24"/>
              </w:rPr>
              <w:t xml:space="preserve"> dzēšanas un glābšanas darbos.</w:t>
            </w:r>
          </w:p>
        </w:tc>
      </w:tr>
      <w:tr w:rsidR="00D1691E" w:rsidRPr="00610F1C" w:rsidTr="00394F72">
        <w:trPr>
          <w:trHeight w:val="284"/>
        </w:trPr>
        <w:tc>
          <w:tcPr>
            <w:tcW w:w="704"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2.</w:t>
            </w:r>
          </w:p>
        </w:tc>
        <w:tc>
          <w:tcPr>
            <w:tcW w:w="3076" w:type="dxa"/>
          </w:tcPr>
          <w:p w:rsidR="00D1691E" w:rsidRPr="007A7ADE" w:rsidRDefault="00D1691E" w:rsidP="007A7ADE">
            <w:pPr>
              <w:spacing w:before="100" w:beforeAutospacing="1" w:after="100" w:afterAutospacing="1"/>
              <w:ind w:firstLine="136"/>
              <w:rPr>
                <w:sz w:val="24"/>
                <w:szCs w:val="24"/>
              </w:rPr>
            </w:pPr>
            <w:r w:rsidRPr="007A7ADE">
              <w:rPr>
                <w:sz w:val="24"/>
                <w:szCs w:val="24"/>
              </w:rPr>
              <w:t>Tiesiskā regulējuma ietekme uz tautsaimniecību un administratīvo slogu</w:t>
            </w:r>
          </w:p>
        </w:tc>
        <w:tc>
          <w:tcPr>
            <w:tcW w:w="5576" w:type="dxa"/>
          </w:tcPr>
          <w:p w:rsidR="00D1691E" w:rsidRPr="007673B9" w:rsidRDefault="007673B9" w:rsidP="007673B9">
            <w:pPr>
              <w:ind w:firstLine="340"/>
              <w:rPr>
                <w:color w:val="0070C0"/>
                <w:sz w:val="24"/>
                <w:szCs w:val="24"/>
              </w:rPr>
            </w:pPr>
            <w:r w:rsidRPr="007673B9">
              <w:rPr>
                <w:sz w:val="24"/>
                <w:szCs w:val="24"/>
              </w:rPr>
              <w:t>Administratīvais slogs nemainās un sabiedrības grupām un institūcijām projekta tiesiskais regulējums nemaina tiesības un pienākumus, kā arī veicamās darbības</w:t>
            </w:r>
            <w:r>
              <w:rPr>
                <w:sz w:val="24"/>
                <w:szCs w:val="24"/>
              </w:rPr>
              <w:t>, jo jebkurai juridiskai vai fiziskai personai pastāv iespēja neparakstīt vienošanos un līdz ar to resursi netiks iesaistīti.</w:t>
            </w:r>
          </w:p>
        </w:tc>
      </w:tr>
      <w:tr w:rsidR="00D1691E" w:rsidRPr="00610F1C" w:rsidTr="00394F72">
        <w:trPr>
          <w:trHeight w:val="284"/>
        </w:trPr>
        <w:tc>
          <w:tcPr>
            <w:tcW w:w="704"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3.</w:t>
            </w:r>
          </w:p>
        </w:tc>
        <w:tc>
          <w:tcPr>
            <w:tcW w:w="3076" w:type="dxa"/>
          </w:tcPr>
          <w:p w:rsidR="00D1691E" w:rsidRPr="007A7ADE" w:rsidRDefault="00D1691E" w:rsidP="007A7ADE">
            <w:pPr>
              <w:spacing w:before="100" w:beforeAutospacing="1" w:after="100" w:afterAutospacing="1"/>
              <w:ind w:firstLine="136"/>
              <w:rPr>
                <w:sz w:val="24"/>
                <w:szCs w:val="24"/>
              </w:rPr>
            </w:pPr>
            <w:r w:rsidRPr="007A7ADE">
              <w:rPr>
                <w:sz w:val="24"/>
                <w:szCs w:val="24"/>
              </w:rPr>
              <w:t>Administratīvo izmaksu monetārs novērtējums</w:t>
            </w:r>
          </w:p>
        </w:tc>
        <w:tc>
          <w:tcPr>
            <w:tcW w:w="5576" w:type="dxa"/>
          </w:tcPr>
          <w:p w:rsidR="00D1691E" w:rsidRPr="00EA5740" w:rsidRDefault="007673B9" w:rsidP="007673B9">
            <w:pPr>
              <w:spacing w:before="100" w:beforeAutospacing="1" w:after="100" w:afterAutospacing="1"/>
              <w:ind w:firstLine="340"/>
              <w:rPr>
                <w:color w:val="0070C0"/>
                <w:sz w:val="24"/>
                <w:szCs w:val="24"/>
              </w:rPr>
            </w:pPr>
            <w:r w:rsidRPr="00EA5740">
              <w:rPr>
                <w:sz w:val="24"/>
                <w:szCs w:val="24"/>
              </w:rPr>
              <w:t xml:space="preserve">Administratīvās izmaksas (naudas izteiksmē) gada laikā mērķgrupai, ko veido fiziskas personas nepārsniedz 200 </w:t>
            </w:r>
            <w:r w:rsidRPr="00EA5740">
              <w:rPr>
                <w:i/>
                <w:sz w:val="24"/>
                <w:szCs w:val="24"/>
              </w:rPr>
              <w:t>euro</w:t>
            </w:r>
            <w:r w:rsidRPr="00EA5740">
              <w:rPr>
                <w:sz w:val="24"/>
                <w:szCs w:val="24"/>
              </w:rPr>
              <w:t xml:space="preserve">, bet mērķgrupai, kuru veido juridiskas personas nepārsniedz 2000 </w:t>
            </w:r>
            <w:r w:rsidRPr="00EA5740">
              <w:rPr>
                <w:i/>
                <w:sz w:val="24"/>
                <w:szCs w:val="24"/>
              </w:rPr>
              <w:t>euro</w:t>
            </w:r>
            <w:r w:rsidRPr="00EA5740">
              <w:rPr>
                <w:sz w:val="24"/>
                <w:szCs w:val="24"/>
              </w:rPr>
              <w:t xml:space="preserve">. </w:t>
            </w:r>
          </w:p>
        </w:tc>
      </w:tr>
      <w:tr w:rsidR="00D1691E" w:rsidRPr="00D1691E" w:rsidTr="00394F72">
        <w:trPr>
          <w:trHeight w:val="284"/>
        </w:trPr>
        <w:tc>
          <w:tcPr>
            <w:tcW w:w="704" w:type="dxa"/>
          </w:tcPr>
          <w:p w:rsidR="00D1691E" w:rsidRPr="007A7ADE" w:rsidRDefault="00D1691E" w:rsidP="007A7ADE">
            <w:pPr>
              <w:spacing w:before="100" w:beforeAutospacing="1" w:after="100" w:afterAutospacing="1"/>
              <w:ind w:firstLine="0"/>
              <w:jc w:val="center"/>
              <w:rPr>
                <w:sz w:val="24"/>
                <w:szCs w:val="24"/>
              </w:rPr>
            </w:pPr>
            <w:r w:rsidRPr="007A7ADE">
              <w:rPr>
                <w:sz w:val="24"/>
                <w:szCs w:val="24"/>
              </w:rPr>
              <w:t>4.</w:t>
            </w:r>
          </w:p>
        </w:tc>
        <w:tc>
          <w:tcPr>
            <w:tcW w:w="3076" w:type="dxa"/>
          </w:tcPr>
          <w:p w:rsidR="00D1691E" w:rsidRPr="007A7ADE" w:rsidRDefault="00D1691E" w:rsidP="001F5735">
            <w:pPr>
              <w:spacing w:before="100" w:beforeAutospacing="1" w:after="100" w:afterAutospacing="1"/>
              <w:ind w:firstLine="131"/>
              <w:rPr>
                <w:sz w:val="24"/>
                <w:szCs w:val="24"/>
              </w:rPr>
            </w:pPr>
            <w:r w:rsidRPr="007A7ADE">
              <w:rPr>
                <w:sz w:val="24"/>
                <w:szCs w:val="24"/>
              </w:rPr>
              <w:t>Cita informācija</w:t>
            </w:r>
          </w:p>
        </w:tc>
        <w:tc>
          <w:tcPr>
            <w:tcW w:w="5576" w:type="dxa"/>
          </w:tcPr>
          <w:p w:rsidR="00D1691E" w:rsidRPr="008D64D3" w:rsidRDefault="00D1691E" w:rsidP="007A7ADE">
            <w:pPr>
              <w:spacing w:before="100" w:beforeAutospacing="1" w:after="100" w:afterAutospacing="1"/>
              <w:ind w:firstLine="340"/>
              <w:rPr>
                <w:sz w:val="24"/>
                <w:szCs w:val="24"/>
              </w:rPr>
            </w:pPr>
            <w:r w:rsidRPr="008D64D3">
              <w:rPr>
                <w:sz w:val="24"/>
                <w:szCs w:val="24"/>
              </w:rPr>
              <w:t>Nav.</w:t>
            </w:r>
          </w:p>
        </w:tc>
      </w:tr>
    </w:tbl>
    <w:p w:rsidR="00394F72" w:rsidRDefault="00394F72"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540"/>
        <w:gridCol w:w="3240"/>
        <w:gridCol w:w="5576"/>
      </w:tblGrid>
      <w:tr w:rsidR="00394F72" w:rsidRPr="00394F72" w:rsidTr="00592E2E">
        <w:tc>
          <w:tcPr>
            <w:tcW w:w="9356" w:type="dxa"/>
            <w:gridSpan w:val="3"/>
          </w:tcPr>
          <w:p w:rsidR="00394F72" w:rsidRPr="00394F72" w:rsidRDefault="00394F72" w:rsidP="00485A47">
            <w:pPr>
              <w:pStyle w:val="Paraststmeklis"/>
              <w:tabs>
                <w:tab w:val="left" w:pos="552"/>
                <w:tab w:val="left" w:pos="2145"/>
                <w:tab w:val="center" w:pos="5043"/>
              </w:tabs>
              <w:spacing w:before="0" w:beforeAutospacing="0" w:after="0" w:afterAutospacing="0"/>
              <w:ind w:firstLine="525"/>
              <w:jc w:val="center"/>
              <w:rPr>
                <w:b/>
                <w:bCs/>
              </w:rPr>
            </w:pPr>
            <w:r w:rsidRPr="00394F72">
              <w:rPr>
                <w:b/>
                <w:bCs/>
              </w:rPr>
              <w:t>VI. Sabiedrības līdzdalība un komunikācijas aktivitātes</w:t>
            </w:r>
          </w:p>
        </w:tc>
      </w:tr>
      <w:tr w:rsidR="00394F72" w:rsidRPr="00592E2E" w:rsidTr="00592E2E">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1.</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Plānotās sabiedrības līdzdalības un komunikācijas aktivitātes saistībā ar projektu</w:t>
            </w:r>
          </w:p>
        </w:tc>
        <w:tc>
          <w:tcPr>
            <w:tcW w:w="5576" w:type="dxa"/>
          </w:tcPr>
          <w:p w:rsidR="00394F72" w:rsidRPr="00787F59" w:rsidRDefault="00787F59" w:rsidP="00485A47">
            <w:pPr>
              <w:ind w:left="57" w:firstLine="346"/>
              <w:rPr>
                <w:sz w:val="24"/>
                <w:szCs w:val="24"/>
              </w:rPr>
            </w:pPr>
            <w:r w:rsidRPr="00787F59">
              <w:rPr>
                <w:sz w:val="24"/>
                <w:szCs w:val="24"/>
              </w:rPr>
              <w:t>Sabiedrības līdzdalība tika nodrošināta saskaņā ar Ministru kabineta 2009.gada 25.augusta noteikumiem Nr.970 “Sabiedrības līdzdalības kārtība attīstības plānošanas procesā”, sagatavojot un publicējot paziņojumu par līdzdalības procesu.</w:t>
            </w:r>
            <w:r>
              <w:rPr>
                <w:sz w:val="24"/>
                <w:szCs w:val="24"/>
              </w:rPr>
              <w:t xml:space="preserve"> </w:t>
            </w:r>
            <w:r w:rsidR="00592E2E" w:rsidRPr="00787F59">
              <w:rPr>
                <w:sz w:val="24"/>
                <w:szCs w:val="24"/>
              </w:rPr>
              <w:t>Projekts ir publicēts Iekšlietu ministrijas tīmekļa vietnē sadaļā „Sabiedrības līdzdalība”.</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2.</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 projekta izstrādē</w:t>
            </w:r>
          </w:p>
        </w:tc>
        <w:tc>
          <w:tcPr>
            <w:tcW w:w="5576" w:type="dxa"/>
          </w:tcPr>
          <w:p w:rsidR="00394F72" w:rsidRPr="00592E2E" w:rsidRDefault="00787F59" w:rsidP="00035347">
            <w:pPr>
              <w:ind w:left="57" w:firstLine="284"/>
              <w:rPr>
                <w:sz w:val="24"/>
                <w:szCs w:val="24"/>
              </w:rPr>
            </w:pPr>
            <w:r w:rsidRPr="00787F59">
              <w:rPr>
                <w:rFonts w:eastAsia="Times New Roman"/>
                <w:sz w:val="24"/>
                <w:szCs w:val="24"/>
                <w:lang w:eastAsia="lv-LV"/>
              </w:rPr>
              <w:t xml:space="preserve">Projekts un tā sākotnējās ietekmes novērtējuma ziņojums (anotācija) 2016.gada </w:t>
            </w:r>
            <w:r w:rsidR="00FE794E">
              <w:rPr>
                <w:rFonts w:eastAsia="Times New Roman"/>
                <w:sz w:val="24"/>
                <w:szCs w:val="24"/>
                <w:lang w:eastAsia="lv-LV"/>
              </w:rPr>
              <w:t>2</w:t>
            </w:r>
            <w:r w:rsidR="00035347">
              <w:rPr>
                <w:rFonts w:eastAsia="Times New Roman"/>
                <w:sz w:val="24"/>
                <w:szCs w:val="24"/>
                <w:lang w:eastAsia="lv-LV"/>
              </w:rPr>
              <w:t>6</w:t>
            </w:r>
            <w:r w:rsidRPr="00787F59">
              <w:rPr>
                <w:rFonts w:eastAsia="Times New Roman"/>
                <w:sz w:val="24"/>
                <w:szCs w:val="24"/>
                <w:lang w:eastAsia="lv-LV"/>
              </w:rPr>
              <w:t>.</w:t>
            </w:r>
            <w:r w:rsidR="008D46B1">
              <w:rPr>
                <w:rFonts w:eastAsia="Times New Roman"/>
                <w:sz w:val="24"/>
                <w:szCs w:val="24"/>
                <w:lang w:eastAsia="lv-LV"/>
              </w:rPr>
              <w:t>septem</w:t>
            </w:r>
            <w:r>
              <w:rPr>
                <w:rFonts w:eastAsia="Times New Roman"/>
                <w:sz w:val="24"/>
                <w:szCs w:val="24"/>
                <w:lang w:eastAsia="lv-LV"/>
              </w:rPr>
              <w:t>brī</w:t>
            </w:r>
            <w:r w:rsidRPr="00787F59">
              <w:rPr>
                <w:rFonts w:eastAsia="Times New Roman"/>
                <w:sz w:val="24"/>
                <w:szCs w:val="24"/>
                <w:lang w:eastAsia="lv-LV"/>
              </w:rPr>
              <w:t xml:space="preserve"> ievietots Iekšlietu ministrijas tīmekļvietnē </w:t>
            </w:r>
            <w:hyperlink r:id="rId16" w:history="1">
              <w:r w:rsidRPr="00582BFC">
                <w:rPr>
                  <w:rFonts w:eastAsia="Times New Roman"/>
                  <w:sz w:val="24"/>
                  <w:szCs w:val="24"/>
                  <w:lang w:eastAsia="lv-LV"/>
                </w:rPr>
                <w:t>www.iem.gov.lv</w:t>
              </w:r>
            </w:hyperlink>
            <w:r w:rsidRPr="00582BFC">
              <w:rPr>
                <w:rFonts w:eastAsia="Times New Roman"/>
                <w:sz w:val="24"/>
                <w:szCs w:val="24"/>
                <w:lang w:eastAsia="lv-LV"/>
              </w:rPr>
              <w:t xml:space="preserve"> </w:t>
            </w:r>
            <w:r w:rsidRPr="00787F59">
              <w:rPr>
                <w:rFonts w:eastAsia="Times New Roman"/>
                <w:sz w:val="24"/>
                <w:szCs w:val="24"/>
                <w:lang w:eastAsia="lv-LV"/>
              </w:rPr>
              <w:lastRenderedPageBreak/>
              <w:t xml:space="preserve">sadaļā “Sabiedrības līdzdalība”, aicinot sabiedrību rakstveidā izteikt savu viedokli par projektu līdz 2016.gada </w:t>
            </w:r>
            <w:r w:rsidR="00FE794E">
              <w:rPr>
                <w:rFonts w:eastAsia="Times New Roman"/>
                <w:sz w:val="24"/>
                <w:szCs w:val="24"/>
                <w:lang w:eastAsia="lv-LV"/>
              </w:rPr>
              <w:t>07.</w:t>
            </w:r>
            <w:r w:rsidR="006F2559">
              <w:rPr>
                <w:rFonts w:eastAsia="Times New Roman"/>
                <w:sz w:val="24"/>
                <w:szCs w:val="24"/>
                <w:lang w:eastAsia="lv-LV"/>
              </w:rPr>
              <w:t>okto</w:t>
            </w:r>
            <w:r>
              <w:rPr>
                <w:rFonts w:eastAsia="Times New Roman"/>
                <w:sz w:val="24"/>
                <w:szCs w:val="24"/>
                <w:lang w:eastAsia="lv-LV"/>
              </w:rPr>
              <w:t xml:space="preserve">brim. </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lastRenderedPageBreak/>
              <w:t>3.</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Sabiedrības līdzdalības rezultāti</w:t>
            </w:r>
          </w:p>
        </w:tc>
        <w:tc>
          <w:tcPr>
            <w:tcW w:w="5576" w:type="dxa"/>
          </w:tcPr>
          <w:p w:rsidR="00394F72" w:rsidRPr="006F2559" w:rsidRDefault="00FE794E" w:rsidP="00485A47">
            <w:pPr>
              <w:ind w:left="57" w:firstLine="284"/>
              <w:rPr>
                <w:sz w:val="24"/>
                <w:szCs w:val="24"/>
              </w:rPr>
            </w:pPr>
            <w:r>
              <w:rPr>
                <w:sz w:val="24"/>
                <w:szCs w:val="24"/>
              </w:rPr>
              <w:t>Iebildumi un priekšlikumi netika saņemti</w:t>
            </w:r>
            <w:r w:rsidR="00004C67" w:rsidRPr="006F2559">
              <w:rPr>
                <w:sz w:val="24"/>
                <w:szCs w:val="24"/>
              </w:rPr>
              <w:t>.</w:t>
            </w:r>
          </w:p>
        </w:tc>
      </w:tr>
      <w:tr w:rsidR="00394F72" w:rsidRPr="00592E2E" w:rsidTr="00592E2E">
        <w:trPr>
          <w:trHeight w:val="284"/>
        </w:trPr>
        <w:tc>
          <w:tcPr>
            <w:tcW w:w="540" w:type="dxa"/>
          </w:tcPr>
          <w:p w:rsidR="00394F72" w:rsidRPr="00592E2E" w:rsidRDefault="00394F72" w:rsidP="00592E2E">
            <w:pPr>
              <w:spacing w:before="100" w:beforeAutospacing="1" w:after="100" w:afterAutospacing="1"/>
              <w:ind w:firstLine="29"/>
              <w:rPr>
                <w:sz w:val="24"/>
                <w:szCs w:val="24"/>
              </w:rPr>
            </w:pPr>
            <w:r w:rsidRPr="00592E2E">
              <w:rPr>
                <w:sz w:val="24"/>
                <w:szCs w:val="24"/>
              </w:rPr>
              <w:t>4.</w:t>
            </w:r>
          </w:p>
        </w:tc>
        <w:tc>
          <w:tcPr>
            <w:tcW w:w="3240" w:type="dxa"/>
          </w:tcPr>
          <w:p w:rsidR="00394F72" w:rsidRPr="00592E2E" w:rsidRDefault="00394F72" w:rsidP="00592E2E">
            <w:pPr>
              <w:spacing w:before="100" w:beforeAutospacing="1" w:after="100" w:afterAutospacing="1"/>
              <w:ind w:left="-86" w:firstLine="284"/>
              <w:rPr>
                <w:sz w:val="24"/>
                <w:szCs w:val="24"/>
              </w:rPr>
            </w:pPr>
            <w:r w:rsidRPr="00592E2E">
              <w:rPr>
                <w:sz w:val="24"/>
                <w:szCs w:val="24"/>
                <w:shd w:val="clear" w:color="auto" w:fill="FFFFFF"/>
              </w:rPr>
              <w:t>Cita informācija</w:t>
            </w:r>
          </w:p>
        </w:tc>
        <w:tc>
          <w:tcPr>
            <w:tcW w:w="5576" w:type="dxa"/>
          </w:tcPr>
          <w:p w:rsidR="00394F72" w:rsidRPr="00592E2E" w:rsidRDefault="00394F72" w:rsidP="00485A47">
            <w:pPr>
              <w:spacing w:before="100" w:beforeAutospacing="1" w:after="100" w:afterAutospacing="1"/>
              <w:ind w:firstLine="345"/>
              <w:rPr>
                <w:sz w:val="24"/>
                <w:szCs w:val="24"/>
              </w:rPr>
            </w:pPr>
            <w:r w:rsidRPr="00592E2E">
              <w:rPr>
                <w:sz w:val="24"/>
                <w:szCs w:val="24"/>
              </w:rPr>
              <w:t>Nav.</w:t>
            </w:r>
          </w:p>
        </w:tc>
      </w:tr>
    </w:tbl>
    <w:p w:rsidR="008D64D3" w:rsidRPr="00592E2E" w:rsidRDefault="008D64D3" w:rsidP="00F50C84">
      <w:pPr>
        <w:ind w:firstLine="0"/>
        <w:jc w:val="left"/>
        <w:rPr>
          <w:sz w:val="24"/>
          <w:szCs w:val="24"/>
          <w:lang w:eastAsia="lv-LV"/>
        </w:rPr>
      </w:pPr>
    </w:p>
    <w:p w:rsidR="008D64D3" w:rsidRPr="00D1691E" w:rsidRDefault="008D64D3" w:rsidP="00F50C84">
      <w:pPr>
        <w:ind w:firstLine="0"/>
        <w:jc w:val="left"/>
        <w:rPr>
          <w:sz w:val="24"/>
          <w:szCs w:val="24"/>
          <w:lang w:eastAsia="lv-LV"/>
        </w:rPr>
      </w:pPr>
    </w:p>
    <w:tbl>
      <w:tblPr>
        <w:tblStyle w:val="Reatabula"/>
        <w:tblW w:w="5160" w:type="pct"/>
        <w:tblLook w:val="00A0" w:firstRow="1" w:lastRow="0" w:firstColumn="1" w:lastColumn="0" w:noHBand="0" w:noVBand="0"/>
      </w:tblPr>
      <w:tblGrid>
        <w:gridCol w:w="651"/>
        <w:gridCol w:w="3877"/>
        <w:gridCol w:w="4823"/>
      </w:tblGrid>
      <w:tr w:rsidR="00965309" w:rsidRPr="00BA35CF" w:rsidTr="0039002B">
        <w:trPr>
          <w:trHeight w:val="375"/>
        </w:trPr>
        <w:tc>
          <w:tcPr>
            <w:tcW w:w="5000" w:type="pct"/>
            <w:gridSpan w:val="3"/>
          </w:tcPr>
          <w:p w:rsidR="00965309" w:rsidRPr="00157B3D" w:rsidRDefault="00510DE8" w:rsidP="00862D0F">
            <w:pPr>
              <w:spacing w:before="100" w:beforeAutospacing="1" w:after="100" w:afterAutospacing="1"/>
              <w:ind w:firstLine="0"/>
              <w:jc w:val="center"/>
              <w:rPr>
                <w:b/>
                <w:bCs/>
                <w:sz w:val="24"/>
                <w:szCs w:val="24"/>
                <w:lang w:eastAsia="lv-LV"/>
              </w:rPr>
            </w:pPr>
            <w:r>
              <w:rPr>
                <w:b/>
                <w:bCs/>
                <w:sz w:val="24"/>
                <w:szCs w:val="24"/>
                <w:lang w:eastAsia="lv-LV"/>
              </w:rPr>
              <w:t>VII</w:t>
            </w:r>
            <w:r w:rsidR="00965309" w:rsidRPr="00157B3D">
              <w:rPr>
                <w:b/>
                <w:bCs/>
                <w:sz w:val="24"/>
                <w:szCs w:val="24"/>
                <w:lang w:eastAsia="lv-LV"/>
              </w:rPr>
              <w:t>. Tiesību akta projekta izpildes nodrošināšana un tās ietekme uz institūcijām</w:t>
            </w:r>
          </w:p>
        </w:tc>
      </w:tr>
      <w:tr w:rsidR="00965309" w:rsidRPr="00BA35CF" w:rsidTr="0039002B">
        <w:trPr>
          <w:trHeight w:val="420"/>
        </w:trPr>
        <w:tc>
          <w:tcPr>
            <w:tcW w:w="348" w:type="pct"/>
          </w:tcPr>
          <w:p w:rsidR="00965309" w:rsidRPr="00157B3D" w:rsidRDefault="00965309" w:rsidP="00862D0F">
            <w:pPr>
              <w:ind w:firstLine="0"/>
              <w:jc w:val="left"/>
              <w:rPr>
                <w:sz w:val="24"/>
                <w:szCs w:val="24"/>
                <w:lang w:eastAsia="lv-LV"/>
              </w:rPr>
            </w:pPr>
            <w:r w:rsidRPr="00157B3D">
              <w:rPr>
                <w:sz w:val="24"/>
                <w:szCs w:val="24"/>
                <w:lang w:eastAsia="lv-LV"/>
              </w:rPr>
              <w:t>1.</w:t>
            </w:r>
          </w:p>
        </w:tc>
        <w:tc>
          <w:tcPr>
            <w:tcW w:w="2073" w:type="pct"/>
          </w:tcPr>
          <w:p w:rsidR="00965309" w:rsidRPr="00157B3D" w:rsidRDefault="00965309" w:rsidP="00862D0F">
            <w:pPr>
              <w:ind w:firstLine="0"/>
              <w:jc w:val="left"/>
              <w:rPr>
                <w:sz w:val="24"/>
                <w:szCs w:val="24"/>
                <w:lang w:eastAsia="lv-LV"/>
              </w:rPr>
            </w:pPr>
            <w:r w:rsidRPr="00157B3D">
              <w:rPr>
                <w:sz w:val="24"/>
                <w:szCs w:val="24"/>
                <w:lang w:eastAsia="lv-LV"/>
              </w:rPr>
              <w:t>Projekta izpildē iesaistītās institūcijas</w:t>
            </w:r>
          </w:p>
        </w:tc>
        <w:tc>
          <w:tcPr>
            <w:tcW w:w="2579" w:type="pct"/>
          </w:tcPr>
          <w:p w:rsidR="00965309" w:rsidRPr="00157B3D" w:rsidRDefault="0039002B" w:rsidP="006F2559">
            <w:pPr>
              <w:ind w:hanging="105"/>
              <w:rPr>
                <w:sz w:val="24"/>
                <w:szCs w:val="24"/>
                <w:lang w:eastAsia="lv-LV"/>
              </w:rPr>
            </w:pPr>
            <w:r w:rsidRPr="006F2559">
              <w:rPr>
                <w:sz w:val="24"/>
                <w:szCs w:val="24"/>
                <w:lang w:eastAsia="lv-LV"/>
              </w:rPr>
              <w:t xml:space="preserve">Projekta izpildē var tikt </w:t>
            </w:r>
            <w:r w:rsidR="006F2559" w:rsidRPr="006F2559">
              <w:rPr>
                <w:sz w:val="24"/>
                <w:szCs w:val="24"/>
                <w:lang w:eastAsia="lv-LV"/>
              </w:rPr>
              <w:t xml:space="preserve">iesaistīta </w:t>
            </w:r>
            <w:r w:rsidR="00500AD3" w:rsidRPr="006F2559">
              <w:rPr>
                <w:sz w:val="24"/>
                <w:szCs w:val="24"/>
                <w:lang w:eastAsia="lv-LV"/>
              </w:rPr>
              <w:t>jebkura institūcija, kas v</w:t>
            </w:r>
            <w:r w:rsidRPr="006F2559">
              <w:rPr>
                <w:sz w:val="24"/>
                <w:szCs w:val="24"/>
                <w:lang w:eastAsia="lv-LV"/>
              </w:rPr>
              <w:t>alsts civilās aizsardzības plānā</w:t>
            </w:r>
            <w:r w:rsidR="00500AD3" w:rsidRPr="006F2559">
              <w:rPr>
                <w:sz w:val="24"/>
                <w:szCs w:val="24"/>
                <w:lang w:eastAsia="lv-LV"/>
              </w:rPr>
              <w:t xml:space="preserve"> vai sadarbības teritoriju civilās aizsardzības plānā</w:t>
            </w:r>
            <w:r w:rsidRPr="006F2559">
              <w:rPr>
                <w:sz w:val="24"/>
                <w:szCs w:val="24"/>
                <w:lang w:eastAsia="lv-LV"/>
              </w:rPr>
              <w:t xml:space="preserve"> tiks noteikta kā reaģēšanas un seku likvidēšanas darb</w:t>
            </w:r>
            <w:r w:rsidR="0078077B" w:rsidRPr="006F2559">
              <w:rPr>
                <w:sz w:val="24"/>
                <w:szCs w:val="24"/>
                <w:lang w:eastAsia="lv-LV"/>
              </w:rPr>
              <w:t>u</w:t>
            </w:r>
            <w:r w:rsidRPr="006F2559">
              <w:rPr>
                <w:sz w:val="24"/>
                <w:szCs w:val="24"/>
                <w:lang w:eastAsia="lv-LV"/>
              </w:rPr>
              <w:t xml:space="preserve"> vadītājs</w:t>
            </w:r>
            <w:r w:rsidR="0078077B" w:rsidRPr="006F2559">
              <w:rPr>
                <w:sz w:val="24"/>
                <w:szCs w:val="24"/>
                <w:lang w:eastAsia="lv-LV"/>
              </w:rPr>
              <w:t>.</w:t>
            </w:r>
            <w:r w:rsidRPr="006F2559">
              <w:rPr>
                <w:sz w:val="24"/>
                <w:szCs w:val="24"/>
                <w:lang w:eastAsia="lv-LV"/>
              </w:rPr>
              <w:t xml:space="preserve"> </w:t>
            </w:r>
          </w:p>
        </w:tc>
      </w:tr>
      <w:tr w:rsidR="00965309" w:rsidRPr="00BA35CF" w:rsidTr="0039002B">
        <w:trPr>
          <w:trHeight w:val="450"/>
        </w:trPr>
        <w:tc>
          <w:tcPr>
            <w:tcW w:w="348" w:type="pct"/>
          </w:tcPr>
          <w:p w:rsidR="00965309" w:rsidRPr="00157B3D" w:rsidRDefault="00965309" w:rsidP="00862D0F">
            <w:pPr>
              <w:ind w:firstLine="0"/>
              <w:jc w:val="left"/>
              <w:rPr>
                <w:sz w:val="24"/>
                <w:szCs w:val="24"/>
                <w:lang w:eastAsia="lv-LV"/>
              </w:rPr>
            </w:pPr>
            <w:r w:rsidRPr="00157B3D">
              <w:rPr>
                <w:sz w:val="24"/>
                <w:szCs w:val="24"/>
                <w:lang w:eastAsia="lv-LV"/>
              </w:rPr>
              <w:t>2.</w:t>
            </w:r>
          </w:p>
        </w:tc>
        <w:tc>
          <w:tcPr>
            <w:tcW w:w="2073" w:type="pct"/>
          </w:tcPr>
          <w:p w:rsidR="00965309" w:rsidRPr="00157B3D" w:rsidRDefault="00965309" w:rsidP="00FF7CC5">
            <w:pPr>
              <w:ind w:firstLine="0"/>
              <w:rPr>
                <w:sz w:val="24"/>
                <w:szCs w:val="24"/>
                <w:lang w:eastAsia="lv-LV"/>
              </w:rPr>
            </w:pPr>
            <w:r w:rsidRPr="00157B3D">
              <w:rPr>
                <w:sz w:val="24"/>
                <w:szCs w:val="24"/>
                <w:lang w:eastAsia="lv-LV"/>
              </w:rPr>
              <w:t>Projekta izpildes ietekme uz pārvaldes funkcijām un institucionālo struktūru.</w:t>
            </w:r>
            <w:r w:rsidR="00FF7CC5">
              <w:rPr>
                <w:sz w:val="24"/>
                <w:szCs w:val="24"/>
                <w:lang w:eastAsia="lv-LV"/>
              </w:rPr>
              <w:t xml:space="preserve"> </w:t>
            </w:r>
            <w:r w:rsidRPr="00157B3D">
              <w:rPr>
                <w:sz w:val="24"/>
                <w:szCs w:val="24"/>
                <w:lang w:eastAsia="lv-LV"/>
              </w:rPr>
              <w:t>Jaunu institūciju izveide, esošu institūciju likvidācija vai reorganizācija, to ietekme uz institūcijas cilvēkresursiem.</w:t>
            </w:r>
          </w:p>
        </w:tc>
        <w:tc>
          <w:tcPr>
            <w:tcW w:w="2579" w:type="pct"/>
          </w:tcPr>
          <w:p w:rsidR="00390C55" w:rsidRPr="00390C55" w:rsidRDefault="00390C55" w:rsidP="0071489B">
            <w:pPr>
              <w:ind w:left="98" w:right="140" w:hanging="105"/>
              <w:rPr>
                <w:rFonts w:eastAsia="Times New Roman"/>
                <w:bCs/>
                <w:sz w:val="24"/>
                <w:szCs w:val="24"/>
                <w:lang w:eastAsia="lv-LV"/>
              </w:rPr>
            </w:pPr>
            <w:r w:rsidRPr="00390C55">
              <w:rPr>
                <w:rFonts w:eastAsia="Times New Roman"/>
                <w:bCs/>
                <w:sz w:val="24"/>
                <w:szCs w:val="24"/>
                <w:lang w:eastAsia="lv-LV"/>
              </w:rPr>
              <w:t xml:space="preserve">Jaunas funkcijas un uzdevumi netiek radīti. </w:t>
            </w:r>
          </w:p>
          <w:p w:rsidR="0071489B" w:rsidRDefault="00390C55" w:rsidP="0071489B">
            <w:pPr>
              <w:ind w:left="98" w:right="140" w:hanging="105"/>
              <w:rPr>
                <w:rFonts w:eastAsia="Times New Roman"/>
                <w:bCs/>
                <w:sz w:val="24"/>
                <w:szCs w:val="24"/>
                <w:lang w:eastAsia="lv-LV"/>
              </w:rPr>
            </w:pPr>
            <w:r w:rsidRPr="00390C55">
              <w:rPr>
                <w:rFonts w:eastAsia="Times New Roman"/>
                <w:bCs/>
                <w:sz w:val="24"/>
                <w:szCs w:val="24"/>
                <w:lang w:eastAsia="lv-LV"/>
              </w:rPr>
              <w:t>Instit</w:t>
            </w:r>
            <w:r w:rsidR="0071489B">
              <w:rPr>
                <w:rFonts w:eastAsia="Times New Roman"/>
                <w:bCs/>
                <w:sz w:val="24"/>
                <w:szCs w:val="24"/>
                <w:lang w:eastAsia="lv-LV"/>
              </w:rPr>
              <w:t>ūcijai pieejamos cilvēkresursus</w:t>
            </w:r>
          </w:p>
          <w:p w:rsidR="00390C55" w:rsidRPr="00390C55" w:rsidRDefault="00390C55" w:rsidP="0071489B">
            <w:pPr>
              <w:ind w:left="98" w:right="140" w:hanging="105"/>
              <w:rPr>
                <w:rFonts w:eastAsia="Times New Roman"/>
                <w:bCs/>
                <w:sz w:val="24"/>
                <w:szCs w:val="24"/>
                <w:lang w:eastAsia="lv-LV"/>
              </w:rPr>
            </w:pPr>
            <w:r w:rsidRPr="00390C55">
              <w:rPr>
                <w:rFonts w:eastAsia="Times New Roman"/>
                <w:bCs/>
                <w:sz w:val="24"/>
                <w:szCs w:val="24"/>
                <w:lang w:eastAsia="lv-LV"/>
              </w:rPr>
              <w:t>neietekmē.</w:t>
            </w:r>
          </w:p>
          <w:p w:rsidR="00390C55" w:rsidRPr="00390C55" w:rsidRDefault="00390C55" w:rsidP="0071489B">
            <w:pPr>
              <w:ind w:left="98" w:right="140" w:hanging="105"/>
              <w:rPr>
                <w:rFonts w:eastAsia="Times New Roman"/>
                <w:bCs/>
                <w:sz w:val="24"/>
                <w:szCs w:val="24"/>
                <w:lang w:eastAsia="lv-LV"/>
              </w:rPr>
            </w:pPr>
            <w:r w:rsidRPr="00390C55">
              <w:rPr>
                <w:rFonts w:eastAsia="Times New Roman"/>
                <w:bCs/>
                <w:sz w:val="24"/>
                <w:szCs w:val="24"/>
                <w:lang w:eastAsia="lv-LV"/>
              </w:rPr>
              <w:t xml:space="preserve">Jaunas institūcijas netiks veidotas. </w:t>
            </w:r>
          </w:p>
          <w:p w:rsidR="00965309" w:rsidRPr="00226A78" w:rsidRDefault="00FF7CC5" w:rsidP="0071489B">
            <w:pPr>
              <w:ind w:hanging="105"/>
              <w:rPr>
                <w:sz w:val="24"/>
                <w:szCs w:val="24"/>
              </w:rPr>
            </w:pPr>
            <w:r>
              <w:rPr>
                <w:sz w:val="24"/>
                <w:szCs w:val="24"/>
              </w:rPr>
              <w:t xml:space="preserve">  </w:t>
            </w:r>
            <w:r w:rsidR="00390C55" w:rsidRPr="00390C55">
              <w:rPr>
                <w:sz w:val="24"/>
                <w:szCs w:val="24"/>
              </w:rPr>
              <w:t>Esošo institūciju likvidācija vai reorganizācija nav plānota.</w:t>
            </w:r>
          </w:p>
        </w:tc>
      </w:tr>
      <w:tr w:rsidR="00965309" w:rsidRPr="00BA35CF" w:rsidTr="0039002B">
        <w:trPr>
          <w:trHeight w:val="390"/>
        </w:trPr>
        <w:tc>
          <w:tcPr>
            <w:tcW w:w="348" w:type="pct"/>
          </w:tcPr>
          <w:p w:rsidR="00965309" w:rsidRPr="00157B3D" w:rsidRDefault="00965309" w:rsidP="00862D0F">
            <w:pPr>
              <w:ind w:firstLine="0"/>
              <w:jc w:val="left"/>
              <w:rPr>
                <w:sz w:val="24"/>
                <w:szCs w:val="24"/>
                <w:lang w:eastAsia="lv-LV"/>
              </w:rPr>
            </w:pPr>
            <w:r w:rsidRPr="00157B3D">
              <w:rPr>
                <w:sz w:val="24"/>
                <w:szCs w:val="24"/>
                <w:lang w:eastAsia="lv-LV"/>
              </w:rPr>
              <w:t>3.</w:t>
            </w:r>
          </w:p>
        </w:tc>
        <w:tc>
          <w:tcPr>
            <w:tcW w:w="2073" w:type="pct"/>
          </w:tcPr>
          <w:p w:rsidR="00965309" w:rsidRPr="00157B3D" w:rsidRDefault="00965309" w:rsidP="00862D0F">
            <w:pPr>
              <w:ind w:firstLine="0"/>
              <w:jc w:val="left"/>
              <w:rPr>
                <w:sz w:val="24"/>
                <w:szCs w:val="24"/>
                <w:lang w:eastAsia="lv-LV"/>
              </w:rPr>
            </w:pPr>
            <w:r w:rsidRPr="00157B3D">
              <w:rPr>
                <w:sz w:val="24"/>
                <w:szCs w:val="24"/>
                <w:lang w:eastAsia="lv-LV"/>
              </w:rPr>
              <w:t>Cita informācija</w:t>
            </w:r>
          </w:p>
        </w:tc>
        <w:tc>
          <w:tcPr>
            <w:tcW w:w="2579" w:type="pct"/>
          </w:tcPr>
          <w:p w:rsidR="00965309" w:rsidRPr="00157B3D" w:rsidRDefault="00965309" w:rsidP="00862D0F">
            <w:pPr>
              <w:spacing w:before="100" w:beforeAutospacing="1" w:after="100" w:afterAutospacing="1"/>
              <w:ind w:firstLine="0"/>
              <w:jc w:val="left"/>
              <w:rPr>
                <w:sz w:val="24"/>
                <w:szCs w:val="24"/>
                <w:lang w:eastAsia="lv-LV"/>
              </w:rPr>
            </w:pPr>
            <w:r w:rsidRPr="00157B3D">
              <w:rPr>
                <w:sz w:val="24"/>
                <w:szCs w:val="24"/>
                <w:lang w:eastAsia="lv-LV"/>
              </w:rPr>
              <w:t>Nav.</w:t>
            </w:r>
          </w:p>
        </w:tc>
      </w:tr>
    </w:tbl>
    <w:p w:rsidR="00965309" w:rsidRPr="00157B3D" w:rsidRDefault="00965309" w:rsidP="00226A78">
      <w:pPr>
        <w:ind w:firstLine="0"/>
        <w:rPr>
          <w:sz w:val="24"/>
          <w:szCs w:val="24"/>
        </w:rPr>
      </w:pPr>
    </w:p>
    <w:p w:rsidR="00965309" w:rsidRPr="002171F7" w:rsidRDefault="00965309" w:rsidP="00226A78">
      <w:pPr>
        <w:ind w:firstLine="0"/>
        <w:rPr>
          <w:sz w:val="24"/>
          <w:szCs w:val="24"/>
        </w:rPr>
      </w:pPr>
      <w:r w:rsidRPr="002171F7">
        <w:rPr>
          <w:sz w:val="24"/>
          <w:szCs w:val="24"/>
        </w:rPr>
        <w:t>Anotācijas III, IV</w:t>
      </w:r>
      <w:r w:rsidR="000D79E6">
        <w:rPr>
          <w:sz w:val="24"/>
          <w:szCs w:val="24"/>
        </w:rPr>
        <w:t xml:space="preserve"> un</w:t>
      </w:r>
      <w:r w:rsidRPr="002171F7">
        <w:rPr>
          <w:sz w:val="24"/>
          <w:szCs w:val="24"/>
        </w:rPr>
        <w:t xml:space="preserve"> V </w:t>
      </w:r>
      <w:r w:rsidR="000D79E6">
        <w:rPr>
          <w:sz w:val="24"/>
          <w:szCs w:val="24"/>
        </w:rPr>
        <w:t xml:space="preserve"> sadaļa </w:t>
      </w:r>
      <w:r w:rsidRPr="002171F7">
        <w:rPr>
          <w:sz w:val="24"/>
          <w:szCs w:val="24"/>
        </w:rPr>
        <w:t>– projekts šīs jomas neskar.</w:t>
      </w:r>
    </w:p>
    <w:p w:rsidR="00965309" w:rsidRPr="002171F7" w:rsidRDefault="00965309" w:rsidP="00226A78">
      <w:pPr>
        <w:ind w:firstLine="0"/>
        <w:rPr>
          <w:sz w:val="24"/>
          <w:szCs w:val="24"/>
        </w:rPr>
      </w:pPr>
    </w:p>
    <w:p w:rsidR="00965309" w:rsidRPr="002171F7" w:rsidRDefault="00965309" w:rsidP="00226A78">
      <w:pPr>
        <w:ind w:firstLine="0"/>
        <w:rPr>
          <w:sz w:val="24"/>
          <w:szCs w:val="24"/>
        </w:rPr>
      </w:pPr>
    </w:p>
    <w:p w:rsidR="00965309" w:rsidRPr="006F2559" w:rsidRDefault="00965309" w:rsidP="00226A78">
      <w:pPr>
        <w:tabs>
          <w:tab w:val="right" w:pos="9071"/>
        </w:tabs>
        <w:ind w:firstLine="0"/>
        <w:rPr>
          <w:szCs w:val="28"/>
        </w:rPr>
      </w:pPr>
      <w:r w:rsidRPr="006F2559">
        <w:rPr>
          <w:szCs w:val="28"/>
        </w:rPr>
        <w:t>Iekšlietu ministrs</w:t>
      </w:r>
      <w:r w:rsidRPr="006F2559">
        <w:rPr>
          <w:szCs w:val="28"/>
        </w:rPr>
        <w:tab/>
        <w:t>R.Kozlovskis</w:t>
      </w:r>
    </w:p>
    <w:p w:rsidR="00965309" w:rsidRPr="006F2559" w:rsidRDefault="00965309" w:rsidP="00140597">
      <w:pPr>
        <w:ind w:firstLine="0"/>
        <w:rPr>
          <w:szCs w:val="28"/>
        </w:rPr>
      </w:pPr>
    </w:p>
    <w:p w:rsidR="00965309" w:rsidRPr="006F2559" w:rsidRDefault="00965309" w:rsidP="00140597">
      <w:pPr>
        <w:ind w:firstLine="0"/>
        <w:rPr>
          <w:szCs w:val="28"/>
        </w:rPr>
      </w:pPr>
    </w:p>
    <w:p w:rsidR="00965309" w:rsidRPr="002171F7" w:rsidRDefault="000D79E6" w:rsidP="00226A78">
      <w:pPr>
        <w:tabs>
          <w:tab w:val="right" w:pos="9071"/>
        </w:tabs>
        <w:ind w:firstLine="0"/>
        <w:rPr>
          <w:sz w:val="24"/>
          <w:szCs w:val="24"/>
        </w:rPr>
      </w:pPr>
      <w:r>
        <w:rPr>
          <w:szCs w:val="28"/>
        </w:rPr>
        <w:t>Iekšlietu ministrijas v</w:t>
      </w:r>
      <w:r w:rsidR="00965309" w:rsidRPr="006F2559">
        <w:rPr>
          <w:szCs w:val="28"/>
        </w:rPr>
        <w:t>alsts sekretāre</w:t>
      </w:r>
      <w:r w:rsidR="00965309" w:rsidRPr="006F2559">
        <w:rPr>
          <w:szCs w:val="28"/>
        </w:rPr>
        <w:tab/>
        <w:t>I.Pētersone – Godmane</w:t>
      </w:r>
    </w:p>
    <w:p w:rsidR="00965309" w:rsidRPr="002171F7" w:rsidRDefault="00965309" w:rsidP="00140597">
      <w:pPr>
        <w:ind w:firstLine="0"/>
        <w:rPr>
          <w:sz w:val="24"/>
          <w:szCs w:val="24"/>
        </w:rPr>
      </w:pPr>
    </w:p>
    <w:p w:rsidR="00965309" w:rsidRPr="00226A78" w:rsidRDefault="00965309"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2A5A1F" w:rsidRDefault="002A5A1F" w:rsidP="00140597">
      <w:pPr>
        <w:ind w:firstLine="0"/>
        <w:rPr>
          <w:sz w:val="20"/>
          <w:szCs w:val="20"/>
        </w:rPr>
      </w:pPr>
    </w:p>
    <w:p w:rsidR="00D364F0" w:rsidRDefault="00D364F0" w:rsidP="00390C55">
      <w:pPr>
        <w:ind w:firstLine="0"/>
        <w:jc w:val="left"/>
        <w:rPr>
          <w:sz w:val="20"/>
          <w:szCs w:val="20"/>
        </w:rPr>
      </w:pPr>
    </w:p>
    <w:p w:rsidR="00D364F0" w:rsidRDefault="00D364F0" w:rsidP="00390C55">
      <w:pPr>
        <w:ind w:firstLine="0"/>
        <w:jc w:val="left"/>
        <w:rPr>
          <w:sz w:val="20"/>
          <w:szCs w:val="20"/>
        </w:rPr>
      </w:pPr>
    </w:p>
    <w:p w:rsidR="00D364F0" w:rsidRDefault="00D364F0" w:rsidP="00390C55">
      <w:pPr>
        <w:ind w:firstLine="0"/>
        <w:jc w:val="left"/>
        <w:rPr>
          <w:sz w:val="20"/>
          <w:szCs w:val="20"/>
        </w:rPr>
      </w:pPr>
    </w:p>
    <w:p w:rsidR="00D364F0" w:rsidRDefault="00D364F0" w:rsidP="00390C55">
      <w:pPr>
        <w:ind w:firstLine="0"/>
        <w:jc w:val="left"/>
        <w:rPr>
          <w:sz w:val="20"/>
          <w:szCs w:val="20"/>
        </w:rPr>
      </w:pPr>
    </w:p>
    <w:p w:rsidR="00D364F0" w:rsidRDefault="00D364F0" w:rsidP="00390C55">
      <w:pPr>
        <w:ind w:firstLine="0"/>
        <w:jc w:val="left"/>
        <w:rPr>
          <w:sz w:val="20"/>
          <w:szCs w:val="20"/>
        </w:rPr>
      </w:pPr>
    </w:p>
    <w:p w:rsidR="00390C55" w:rsidRPr="00390C55" w:rsidRDefault="00390C55" w:rsidP="00390C55">
      <w:pPr>
        <w:ind w:firstLine="0"/>
        <w:jc w:val="left"/>
        <w:rPr>
          <w:rFonts w:eastAsia="Times New Roman"/>
          <w:sz w:val="20"/>
          <w:szCs w:val="20"/>
          <w:lang w:eastAsia="lv-LV"/>
        </w:rPr>
      </w:pPr>
      <w:r>
        <w:rPr>
          <w:sz w:val="20"/>
          <w:szCs w:val="20"/>
        </w:rPr>
        <w:t xml:space="preserve">Urbanovičs, </w:t>
      </w:r>
      <w:r w:rsidRPr="00390C55">
        <w:rPr>
          <w:rFonts w:eastAsia="Times New Roman"/>
          <w:sz w:val="20"/>
          <w:szCs w:val="20"/>
          <w:lang w:eastAsia="lv-LV"/>
        </w:rPr>
        <w:t xml:space="preserve">67075843 </w:t>
      </w:r>
    </w:p>
    <w:p w:rsidR="00965309" w:rsidRPr="00FE68D5" w:rsidRDefault="007A37EB" w:rsidP="00390C55">
      <w:pPr>
        <w:ind w:firstLine="0"/>
        <w:rPr>
          <w:sz w:val="20"/>
          <w:szCs w:val="20"/>
        </w:rPr>
      </w:pPr>
      <w:hyperlink r:id="rId17" w:history="1">
        <w:r w:rsidR="00390C55" w:rsidRPr="00390C55">
          <w:rPr>
            <w:rFonts w:eastAsia="Times New Roman"/>
            <w:sz w:val="20"/>
            <w:szCs w:val="20"/>
            <w:lang w:eastAsia="lv-LV"/>
          </w:rPr>
          <w:t>igors.urbanovics@vugd.gov.lv</w:t>
        </w:r>
      </w:hyperlink>
    </w:p>
    <w:p w:rsidR="00965309" w:rsidRDefault="00965309" w:rsidP="00140597">
      <w:pPr>
        <w:ind w:firstLine="0"/>
        <w:rPr>
          <w:sz w:val="20"/>
          <w:szCs w:val="20"/>
        </w:rPr>
      </w:pPr>
    </w:p>
    <w:sectPr w:rsidR="00965309" w:rsidSect="00E86A6C">
      <w:headerReference w:type="default" r:id="rId18"/>
      <w:footerReference w:type="default" r:id="rId19"/>
      <w:footerReference w:type="first" r:id="rId2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EB" w:rsidRDefault="007A37EB" w:rsidP="00F3628F">
      <w:r>
        <w:separator/>
      </w:r>
    </w:p>
  </w:endnote>
  <w:endnote w:type="continuationSeparator" w:id="0">
    <w:p w:rsidR="007A37EB" w:rsidRDefault="007A37EB"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CC5" w:rsidRPr="00E86A6C" w:rsidRDefault="00ED4313" w:rsidP="00FF7CC5">
    <w:pPr>
      <w:pStyle w:val="Kjene"/>
      <w:ind w:firstLine="0"/>
      <w:rPr>
        <w:sz w:val="20"/>
        <w:szCs w:val="20"/>
      </w:rPr>
    </w:pPr>
    <w:r>
      <w:rPr>
        <w:sz w:val="20"/>
        <w:szCs w:val="20"/>
      </w:rPr>
      <w:t xml:space="preserve"> </w:t>
    </w:r>
  </w:p>
  <w:p w:rsidR="00ED4313" w:rsidRPr="00E86A6C" w:rsidRDefault="00ED4313" w:rsidP="00ED4313">
    <w:pPr>
      <w:pStyle w:val="Kjene"/>
      <w:ind w:firstLine="0"/>
      <w:rPr>
        <w:sz w:val="20"/>
        <w:szCs w:val="20"/>
      </w:rPr>
    </w:pPr>
    <w:r w:rsidRPr="00E86A6C">
      <w:rPr>
        <w:sz w:val="20"/>
        <w:szCs w:val="20"/>
      </w:rPr>
      <w:t>I</w:t>
    </w:r>
    <w:r w:rsidR="006A290D">
      <w:rPr>
        <w:sz w:val="20"/>
        <w:szCs w:val="20"/>
      </w:rPr>
      <w:t>E</w:t>
    </w:r>
    <w:r w:rsidRPr="00E86A6C">
      <w:rPr>
        <w:sz w:val="20"/>
        <w:szCs w:val="20"/>
      </w:rPr>
      <w:t>M</w:t>
    </w:r>
    <w:r w:rsidR="000D79E6">
      <w:rPr>
        <w:sz w:val="20"/>
        <w:szCs w:val="20"/>
      </w:rPr>
      <w:t>a</w:t>
    </w:r>
    <w:r w:rsidRPr="00E86A6C">
      <w:rPr>
        <w:sz w:val="20"/>
        <w:szCs w:val="20"/>
      </w:rPr>
      <w:t>not_</w:t>
    </w:r>
    <w:r w:rsidR="000D79E6">
      <w:rPr>
        <w:sz w:val="20"/>
        <w:szCs w:val="20"/>
      </w:rPr>
      <w:t>23</w:t>
    </w:r>
    <w:r w:rsidR="00FE794E">
      <w:rPr>
        <w:sz w:val="20"/>
        <w:szCs w:val="20"/>
      </w:rPr>
      <w:t>1</w:t>
    </w:r>
    <w:r w:rsidR="00EA402B">
      <w:rPr>
        <w:sz w:val="20"/>
        <w:szCs w:val="20"/>
      </w:rPr>
      <w:t>2</w:t>
    </w:r>
    <w:r w:rsidRPr="00E86A6C">
      <w:rPr>
        <w:sz w:val="20"/>
        <w:szCs w:val="20"/>
      </w:rPr>
      <w:t>1</w:t>
    </w:r>
    <w:r>
      <w:rPr>
        <w:sz w:val="20"/>
        <w:szCs w:val="20"/>
      </w:rPr>
      <w:t>6</w:t>
    </w:r>
    <w:r w:rsidR="000D79E6">
      <w:rPr>
        <w:sz w:val="20"/>
        <w:szCs w:val="20"/>
      </w:rPr>
      <w:t>_</w:t>
    </w:r>
    <w:r w:rsidRPr="00E86A6C">
      <w:rPr>
        <w:sz w:val="20"/>
        <w:szCs w:val="20"/>
      </w:rPr>
      <w:t xml:space="preserve"> Ministru kabineta noteikumu projekt</w:t>
    </w:r>
    <w:r w:rsidR="000D79E6">
      <w:rPr>
        <w:sz w:val="20"/>
        <w:szCs w:val="20"/>
      </w:rPr>
      <w:t>s</w:t>
    </w:r>
    <w:r>
      <w:rPr>
        <w:sz w:val="20"/>
        <w:szCs w:val="20"/>
      </w:rPr>
      <w:t xml:space="preserve"> </w:t>
    </w:r>
    <w:r w:rsidRPr="00692D71">
      <w:rPr>
        <w:sz w:val="20"/>
        <w:szCs w:val="20"/>
      </w:rPr>
      <w:t>“</w:t>
    </w:r>
    <w:r w:rsidR="00D559AC">
      <w:rPr>
        <w:sz w:val="20"/>
        <w:szCs w:val="20"/>
      </w:rPr>
      <w:t>Noteikumi par juridiskās vai fiziskās personas resursu iesaistīšanu reaģēšanas un seku likvidēšanas pasākumos</w:t>
    </w:r>
    <w:r w:rsidR="00446D53">
      <w:rPr>
        <w:sz w:val="20"/>
        <w:szCs w:val="20"/>
      </w:rPr>
      <w:t xml:space="preserve"> vai</w:t>
    </w:r>
    <w:r w:rsidR="00D559AC">
      <w:rPr>
        <w:sz w:val="20"/>
        <w:szCs w:val="20"/>
      </w:rPr>
      <w:t xml:space="preserve"> ugunsgrēku dzēšanā vai glābšanas darbos un tiem radušos izdevumu un zaudējumu kompensācija aprēķināšanas kārtīb</w:t>
    </w:r>
    <w:r w:rsidR="00446D53">
      <w:rPr>
        <w:sz w:val="20"/>
        <w:szCs w:val="20"/>
      </w:rPr>
      <w:t>u</w:t>
    </w:r>
    <w:r w:rsidRPr="00692D71">
      <w:rPr>
        <w:sz w:val="20"/>
        <w:szCs w:val="20"/>
      </w:rPr>
      <w:t>”</w:t>
    </w:r>
    <w:r w:rsidR="00BC7D5C">
      <w:rPr>
        <w:sz w:val="20"/>
        <w:szCs w:val="20"/>
      </w:rPr>
      <w:t xml:space="preserve"> anotācija</w:t>
    </w:r>
    <w:r>
      <w:rPr>
        <w:sz w:val="20"/>
        <w:szCs w:val="20"/>
      </w:rPr>
      <w:t xml:space="preserve"> </w:t>
    </w:r>
  </w:p>
  <w:p w:rsidR="00965309" w:rsidRPr="00E86A6C" w:rsidRDefault="00965309" w:rsidP="00E86A6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E6" w:rsidRPr="00E86A6C" w:rsidRDefault="000D79E6" w:rsidP="000D79E6">
    <w:pPr>
      <w:pStyle w:val="Kjene"/>
      <w:ind w:firstLine="0"/>
      <w:rPr>
        <w:sz w:val="20"/>
        <w:szCs w:val="20"/>
      </w:rPr>
    </w:pPr>
    <w:r w:rsidRPr="00E86A6C">
      <w:rPr>
        <w:sz w:val="20"/>
        <w:szCs w:val="20"/>
      </w:rPr>
      <w:t>I</w:t>
    </w:r>
    <w:r w:rsidR="006A290D">
      <w:rPr>
        <w:sz w:val="20"/>
        <w:szCs w:val="20"/>
      </w:rPr>
      <w:t>E</w:t>
    </w:r>
    <w:r w:rsidRPr="00E86A6C">
      <w:rPr>
        <w:sz w:val="20"/>
        <w:szCs w:val="20"/>
      </w:rPr>
      <w:t>M</w:t>
    </w:r>
    <w:r>
      <w:rPr>
        <w:sz w:val="20"/>
        <w:szCs w:val="20"/>
      </w:rPr>
      <w:t>a</w:t>
    </w:r>
    <w:r w:rsidRPr="00E86A6C">
      <w:rPr>
        <w:sz w:val="20"/>
        <w:szCs w:val="20"/>
      </w:rPr>
      <w:t>not_</w:t>
    </w:r>
    <w:r>
      <w:rPr>
        <w:sz w:val="20"/>
        <w:szCs w:val="20"/>
      </w:rPr>
      <w:t>2312</w:t>
    </w:r>
    <w:r w:rsidRPr="00E86A6C">
      <w:rPr>
        <w:sz w:val="20"/>
        <w:szCs w:val="20"/>
      </w:rPr>
      <w:t>1</w:t>
    </w:r>
    <w:r>
      <w:rPr>
        <w:sz w:val="20"/>
        <w:szCs w:val="20"/>
      </w:rPr>
      <w:t>6_</w:t>
    </w:r>
    <w:r w:rsidRPr="00E86A6C">
      <w:rPr>
        <w:sz w:val="20"/>
        <w:szCs w:val="20"/>
      </w:rPr>
      <w:t xml:space="preserve"> Ministru kabineta noteikumu projekt</w:t>
    </w:r>
    <w:r w:rsidR="00BC7D5C">
      <w:rPr>
        <w:sz w:val="20"/>
        <w:szCs w:val="20"/>
      </w:rPr>
      <w:t>a</w:t>
    </w:r>
    <w:r>
      <w:rPr>
        <w:sz w:val="20"/>
        <w:szCs w:val="20"/>
      </w:rPr>
      <w:t xml:space="preserve"> </w:t>
    </w:r>
    <w:r w:rsidRPr="00692D71">
      <w:rPr>
        <w:sz w:val="20"/>
        <w:szCs w:val="20"/>
      </w:rPr>
      <w:t>“</w:t>
    </w:r>
    <w:r>
      <w:rPr>
        <w:sz w:val="20"/>
        <w:szCs w:val="20"/>
      </w:rPr>
      <w:t>Noteikumi par juridiskās vai fiziskās personas resursu iesaistīšanu reaģēšanas un seku likvidēšanas pasākumos vai ugunsgrēku dzēšanā vai glābšanas darbos un tiem radušos izdevumu un zaudējumu kompensācija aprēķināšanas kārtību</w:t>
    </w:r>
    <w:r w:rsidRPr="00692D71">
      <w:rPr>
        <w:sz w:val="20"/>
        <w:szCs w:val="20"/>
      </w:rPr>
      <w:t>”</w:t>
    </w:r>
    <w:r>
      <w:rPr>
        <w:sz w:val="20"/>
        <w:szCs w:val="20"/>
      </w:rPr>
      <w:t xml:space="preserve"> </w:t>
    </w:r>
    <w:r w:rsidR="00BC7D5C">
      <w:rPr>
        <w:sz w:val="20"/>
        <w:szCs w:val="20"/>
      </w:rPr>
      <w:t>anotācija</w:t>
    </w:r>
  </w:p>
  <w:p w:rsidR="00965309" w:rsidRPr="000D79E6" w:rsidRDefault="00965309" w:rsidP="000D79E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EB" w:rsidRDefault="007A37EB" w:rsidP="00F3628F">
      <w:r>
        <w:separator/>
      </w:r>
    </w:p>
  </w:footnote>
  <w:footnote w:type="continuationSeparator" w:id="0">
    <w:p w:rsidR="007A37EB" w:rsidRDefault="007A37EB"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09" w:rsidRPr="00F50C84" w:rsidRDefault="00965309">
    <w:pPr>
      <w:pStyle w:val="Galvene"/>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BB56D9">
      <w:rPr>
        <w:noProof/>
        <w:sz w:val="24"/>
        <w:szCs w:val="24"/>
      </w:rPr>
      <w:t>2</w:t>
    </w:r>
    <w:r w:rsidRPr="00F50C84">
      <w:rPr>
        <w:sz w:val="24"/>
        <w:szCs w:val="24"/>
      </w:rPr>
      <w:fldChar w:fldCharType="end"/>
    </w:r>
  </w:p>
  <w:p w:rsidR="00965309" w:rsidRPr="00F50C84" w:rsidRDefault="00965309">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6"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7"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1"/>
  </w:num>
  <w:num w:numId="6">
    <w:abstractNumId w:val="9"/>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04C67"/>
    <w:rsid w:val="0001142B"/>
    <w:rsid w:val="00014974"/>
    <w:rsid w:val="00026B5B"/>
    <w:rsid w:val="00035347"/>
    <w:rsid w:val="0004061E"/>
    <w:rsid w:val="000446D7"/>
    <w:rsid w:val="000513C2"/>
    <w:rsid w:val="000662E7"/>
    <w:rsid w:val="00067791"/>
    <w:rsid w:val="00071778"/>
    <w:rsid w:val="0007566F"/>
    <w:rsid w:val="00083D16"/>
    <w:rsid w:val="0008799E"/>
    <w:rsid w:val="00095E60"/>
    <w:rsid w:val="000C02DA"/>
    <w:rsid w:val="000C4566"/>
    <w:rsid w:val="000C6111"/>
    <w:rsid w:val="000D28E0"/>
    <w:rsid w:val="000D513D"/>
    <w:rsid w:val="000D79E6"/>
    <w:rsid w:val="000E5184"/>
    <w:rsid w:val="000E5608"/>
    <w:rsid w:val="000E7ED0"/>
    <w:rsid w:val="000F6679"/>
    <w:rsid w:val="00117AFC"/>
    <w:rsid w:val="00126571"/>
    <w:rsid w:val="0013070F"/>
    <w:rsid w:val="001347D1"/>
    <w:rsid w:val="0013550B"/>
    <w:rsid w:val="0013569A"/>
    <w:rsid w:val="00140597"/>
    <w:rsid w:val="00141133"/>
    <w:rsid w:val="0014431E"/>
    <w:rsid w:val="00151C8F"/>
    <w:rsid w:val="001538D6"/>
    <w:rsid w:val="00157B3D"/>
    <w:rsid w:val="00161FC1"/>
    <w:rsid w:val="00164382"/>
    <w:rsid w:val="00171E4F"/>
    <w:rsid w:val="00173968"/>
    <w:rsid w:val="001816BD"/>
    <w:rsid w:val="00183AE1"/>
    <w:rsid w:val="001865B0"/>
    <w:rsid w:val="001963E5"/>
    <w:rsid w:val="001A0BAB"/>
    <w:rsid w:val="001A1E8C"/>
    <w:rsid w:val="001A4487"/>
    <w:rsid w:val="001B71B1"/>
    <w:rsid w:val="001C1E10"/>
    <w:rsid w:val="001C56BA"/>
    <w:rsid w:val="001C58DA"/>
    <w:rsid w:val="001D0E04"/>
    <w:rsid w:val="001D510D"/>
    <w:rsid w:val="001D5646"/>
    <w:rsid w:val="001D681A"/>
    <w:rsid w:val="001E4331"/>
    <w:rsid w:val="001E4DC4"/>
    <w:rsid w:val="001F5735"/>
    <w:rsid w:val="00205CD5"/>
    <w:rsid w:val="00206680"/>
    <w:rsid w:val="0021213F"/>
    <w:rsid w:val="002121FE"/>
    <w:rsid w:val="002171F7"/>
    <w:rsid w:val="00217FB7"/>
    <w:rsid w:val="00221A97"/>
    <w:rsid w:val="00221C68"/>
    <w:rsid w:val="00223C57"/>
    <w:rsid w:val="00226A78"/>
    <w:rsid w:val="00226D12"/>
    <w:rsid w:val="00227ED8"/>
    <w:rsid w:val="00230A3D"/>
    <w:rsid w:val="00243873"/>
    <w:rsid w:val="002572D4"/>
    <w:rsid w:val="0025773E"/>
    <w:rsid w:val="0027319E"/>
    <w:rsid w:val="0027455A"/>
    <w:rsid w:val="0027656E"/>
    <w:rsid w:val="00282ADF"/>
    <w:rsid w:val="002836E1"/>
    <w:rsid w:val="00294B40"/>
    <w:rsid w:val="00295EA0"/>
    <w:rsid w:val="00296449"/>
    <w:rsid w:val="002A3D3A"/>
    <w:rsid w:val="002A5A1F"/>
    <w:rsid w:val="002A6CD7"/>
    <w:rsid w:val="002B51B0"/>
    <w:rsid w:val="002C01C2"/>
    <w:rsid w:val="002C20B4"/>
    <w:rsid w:val="002C307E"/>
    <w:rsid w:val="002D2B36"/>
    <w:rsid w:val="002D7A33"/>
    <w:rsid w:val="002E13FB"/>
    <w:rsid w:val="002E4A57"/>
    <w:rsid w:val="003102AA"/>
    <w:rsid w:val="003124CB"/>
    <w:rsid w:val="00313576"/>
    <w:rsid w:val="003149E9"/>
    <w:rsid w:val="00321EEC"/>
    <w:rsid w:val="003235AA"/>
    <w:rsid w:val="003265F3"/>
    <w:rsid w:val="00327260"/>
    <w:rsid w:val="00332417"/>
    <w:rsid w:val="003417A9"/>
    <w:rsid w:val="00345C48"/>
    <w:rsid w:val="0036053F"/>
    <w:rsid w:val="0036204A"/>
    <w:rsid w:val="00372B9A"/>
    <w:rsid w:val="00374EE1"/>
    <w:rsid w:val="00381DB1"/>
    <w:rsid w:val="0039002B"/>
    <w:rsid w:val="00390C55"/>
    <w:rsid w:val="00394F72"/>
    <w:rsid w:val="003A451A"/>
    <w:rsid w:val="003A6E22"/>
    <w:rsid w:val="003C3021"/>
    <w:rsid w:val="003C5128"/>
    <w:rsid w:val="003C530F"/>
    <w:rsid w:val="003D171B"/>
    <w:rsid w:val="003D6EA8"/>
    <w:rsid w:val="00407DCE"/>
    <w:rsid w:val="004118C9"/>
    <w:rsid w:val="00420A06"/>
    <w:rsid w:val="004261EB"/>
    <w:rsid w:val="00430257"/>
    <w:rsid w:val="0044584E"/>
    <w:rsid w:val="00446D53"/>
    <w:rsid w:val="00451713"/>
    <w:rsid w:val="00457411"/>
    <w:rsid w:val="004625F8"/>
    <w:rsid w:val="004701FD"/>
    <w:rsid w:val="004734AF"/>
    <w:rsid w:val="00476B02"/>
    <w:rsid w:val="00476E9D"/>
    <w:rsid w:val="00483FFF"/>
    <w:rsid w:val="00490159"/>
    <w:rsid w:val="004B1DA3"/>
    <w:rsid w:val="004C5BEA"/>
    <w:rsid w:val="004D2053"/>
    <w:rsid w:val="004D5AEA"/>
    <w:rsid w:val="004D79D0"/>
    <w:rsid w:val="004F55B2"/>
    <w:rsid w:val="004F62C2"/>
    <w:rsid w:val="00500AD3"/>
    <w:rsid w:val="00506EE0"/>
    <w:rsid w:val="00507BA0"/>
    <w:rsid w:val="00510DE8"/>
    <w:rsid w:val="00512301"/>
    <w:rsid w:val="00516DA6"/>
    <w:rsid w:val="005401E9"/>
    <w:rsid w:val="00541B5D"/>
    <w:rsid w:val="005575B9"/>
    <w:rsid w:val="00571B50"/>
    <w:rsid w:val="00580DDF"/>
    <w:rsid w:val="00582BFC"/>
    <w:rsid w:val="00583CFA"/>
    <w:rsid w:val="005855AB"/>
    <w:rsid w:val="00587970"/>
    <w:rsid w:val="00587B5D"/>
    <w:rsid w:val="00592E2E"/>
    <w:rsid w:val="005937BE"/>
    <w:rsid w:val="005978A6"/>
    <w:rsid w:val="005A2741"/>
    <w:rsid w:val="005B7774"/>
    <w:rsid w:val="005D08F3"/>
    <w:rsid w:val="005D5148"/>
    <w:rsid w:val="005E36D1"/>
    <w:rsid w:val="005F1404"/>
    <w:rsid w:val="006020DB"/>
    <w:rsid w:val="00616CC7"/>
    <w:rsid w:val="00617E10"/>
    <w:rsid w:val="006206EC"/>
    <w:rsid w:val="00622F65"/>
    <w:rsid w:val="00623A32"/>
    <w:rsid w:val="00635085"/>
    <w:rsid w:val="006462A7"/>
    <w:rsid w:val="006569D9"/>
    <w:rsid w:val="006569DF"/>
    <w:rsid w:val="00683920"/>
    <w:rsid w:val="00683BBE"/>
    <w:rsid w:val="00687DEE"/>
    <w:rsid w:val="006A290D"/>
    <w:rsid w:val="006A4326"/>
    <w:rsid w:val="006B01BA"/>
    <w:rsid w:val="006B279B"/>
    <w:rsid w:val="006C7180"/>
    <w:rsid w:val="006C76BC"/>
    <w:rsid w:val="006D6A94"/>
    <w:rsid w:val="006F0E22"/>
    <w:rsid w:val="006F223E"/>
    <w:rsid w:val="006F2559"/>
    <w:rsid w:val="0070036B"/>
    <w:rsid w:val="00707F33"/>
    <w:rsid w:val="0071489B"/>
    <w:rsid w:val="00714D96"/>
    <w:rsid w:val="00715FE0"/>
    <w:rsid w:val="00721B5C"/>
    <w:rsid w:val="00727142"/>
    <w:rsid w:val="007341F5"/>
    <w:rsid w:val="0073700E"/>
    <w:rsid w:val="007536A2"/>
    <w:rsid w:val="007552DE"/>
    <w:rsid w:val="0076636C"/>
    <w:rsid w:val="007673B9"/>
    <w:rsid w:val="007747B8"/>
    <w:rsid w:val="0078077B"/>
    <w:rsid w:val="00785725"/>
    <w:rsid w:val="00787F59"/>
    <w:rsid w:val="00791DB5"/>
    <w:rsid w:val="007A37EB"/>
    <w:rsid w:val="007A7ADE"/>
    <w:rsid w:val="007B2C1F"/>
    <w:rsid w:val="007C3329"/>
    <w:rsid w:val="007D3319"/>
    <w:rsid w:val="007E03A6"/>
    <w:rsid w:val="007E0AEF"/>
    <w:rsid w:val="007E486A"/>
    <w:rsid w:val="007F3BE1"/>
    <w:rsid w:val="007F459D"/>
    <w:rsid w:val="007F50AD"/>
    <w:rsid w:val="007F5ACC"/>
    <w:rsid w:val="00800BE8"/>
    <w:rsid w:val="0080485C"/>
    <w:rsid w:val="0081050B"/>
    <w:rsid w:val="008230AB"/>
    <w:rsid w:val="0083114B"/>
    <w:rsid w:val="0084143A"/>
    <w:rsid w:val="00844FE7"/>
    <w:rsid w:val="00845DE8"/>
    <w:rsid w:val="00850A1C"/>
    <w:rsid w:val="00862D0F"/>
    <w:rsid w:val="00864391"/>
    <w:rsid w:val="008773AE"/>
    <w:rsid w:val="0088221C"/>
    <w:rsid w:val="00887DF1"/>
    <w:rsid w:val="008925DF"/>
    <w:rsid w:val="00893484"/>
    <w:rsid w:val="0089767B"/>
    <w:rsid w:val="008A295E"/>
    <w:rsid w:val="008A427F"/>
    <w:rsid w:val="008A504B"/>
    <w:rsid w:val="008A7E54"/>
    <w:rsid w:val="008B0502"/>
    <w:rsid w:val="008C16EE"/>
    <w:rsid w:val="008C7F21"/>
    <w:rsid w:val="008D46B1"/>
    <w:rsid w:val="008D5E43"/>
    <w:rsid w:val="008D64D3"/>
    <w:rsid w:val="008D71A1"/>
    <w:rsid w:val="008D722E"/>
    <w:rsid w:val="008E2044"/>
    <w:rsid w:val="008E398C"/>
    <w:rsid w:val="008F4718"/>
    <w:rsid w:val="008F4997"/>
    <w:rsid w:val="00902BE1"/>
    <w:rsid w:val="009043E0"/>
    <w:rsid w:val="00907B1F"/>
    <w:rsid w:val="00915D58"/>
    <w:rsid w:val="0092222F"/>
    <w:rsid w:val="009310A1"/>
    <w:rsid w:val="00954D39"/>
    <w:rsid w:val="009566B4"/>
    <w:rsid w:val="00957BD6"/>
    <w:rsid w:val="00961452"/>
    <w:rsid w:val="009629B8"/>
    <w:rsid w:val="00963E11"/>
    <w:rsid w:val="00965309"/>
    <w:rsid w:val="009677AF"/>
    <w:rsid w:val="00977A7F"/>
    <w:rsid w:val="00990253"/>
    <w:rsid w:val="009A0E3A"/>
    <w:rsid w:val="009B2E47"/>
    <w:rsid w:val="009B479F"/>
    <w:rsid w:val="009C1D16"/>
    <w:rsid w:val="009C5B54"/>
    <w:rsid w:val="009D6FFF"/>
    <w:rsid w:val="009E49B1"/>
    <w:rsid w:val="009E6169"/>
    <w:rsid w:val="009F49C6"/>
    <w:rsid w:val="009F78BC"/>
    <w:rsid w:val="00A0497D"/>
    <w:rsid w:val="00A24594"/>
    <w:rsid w:val="00A26085"/>
    <w:rsid w:val="00A5312C"/>
    <w:rsid w:val="00A67BC0"/>
    <w:rsid w:val="00A770C7"/>
    <w:rsid w:val="00A82305"/>
    <w:rsid w:val="00A900F4"/>
    <w:rsid w:val="00A9559E"/>
    <w:rsid w:val="00A974F2"/>
    <w:rsid w:val="00AA12CF"/>
    <w:rsid w:val="00AB6F4E"/>
    <w:rsid w:val="00AC62DD"/>
    <w:rsid w:val="00AF1141"/>
    <w:rsid w:val="00AF1735"/>
    <w:rsid w:val="00AF2B4C"/>
    <w:rsid w:val="00AF4B51"/>
    <w:rsid w:val="00AF6149"/>
    <w:rsid w:val="00AF7FCC"/>
    <w:rsid w:val="00B00591"/>
    <w:rsid w:val="00B140F4"/>
    <w:rsid w:val="00B16423"/>
    <w:rsid w:val="00B21D01"/>
    <w:rsid w:val="00B30091"/>
    <w:rsid w:val="00B37FF8"/>
    <w:rsid w:val="00B40AF0"/>
    <w:rsid w:val="00B603FA"/>
    <w:rsid w:val="00B605EA"/>
    <w:rsid w:val="00B66D7F"/>
    <w:rsid w:val="00B725BF"/>
    <w:rsid w:val="00B75620"/>
    <w:rsid w:val="00B91689"/>
    <w:rsid w:val="00B94FE3"/>
    <w:rsid w:val="00BA35CF"/>
    <w:rsid w:val="00BA5524"/>
    <w:rsid w:val="00BA60EB"/>
    <w:rsid w:val="00BA74DB"/>
    <w:rsid w:val="00BB56D9"/>
    <w:rsid w:val="00BC485F"/>
    <w:rsid w:val="00BC7D5C"/>
    <w:rsid w:val="00BE147B"/>
    <w:rsid w:val="00BE22DB"/>
    <w:rsid w:val="00BE3F75"/>
    <w:rsid w:val="00BE5F28"/>
    <w:rsid w:val="00BE6D54"/>
    <w:rsid w:val="00BF2ED7"/>
    <w:rsid w:val="00BF4C08"/>
    <w:rsid w:val="00C00BF4"/>
    <w:rsid w:val="00C139B6"/>
    <w:rsid w:val="00C20BB3"/>
    <w:rsid w:val="00C22A7A"/>
    <w:rsid w:val="00C46783"/>
    <w:rsid w:val="00C469CC"/>
    <w:rsid w:val="00C544AD"/>
    <w:rsid w:val="00C6177A"/>
    <w:rsid w:val="00C64146"/>
    <w:rsid w:val="00C735B1"/>
    <w:rsid w:val="00C75CD7"/>
    <w:rsid w:val="00CA2C35"/>
    <w:rsid w:val="00CB0FEC"/>
    <w:rsid w:val="00CC131A"/>
    <w:rsid w:val="00CC29F8"/>
    <w:rsid w:val="00CD3498"/>
    <w:rsid w:val="00CD6044"/>
    <w:rsid w:val="00CE29C6"/>
    <w:rsid w:val="00CE60DB"/>
    <w:rsid w:val="00CF1022"/>
    <w:rsid w:val="00CF35F7"/>
    <w:rsid w:val="00D03670"/>
    <w:rsid w:val="00D068AD"/>
    <w:rsid w:val="00D0737C"/>
    <w:rsid w:val="00D10525"/>
    <w:rsid w:val="00D12454"/>
    <w:rsid w:val="00D12AF7"/>
    <w:rsid w:val="00D1691E"/>
    <w:rsid w:val="00D16D46"/>
    <w:rsid w:val="00D22081"/>
    <w:rsid w:val="00D2380C"/>
    <w:rsid w:val="00D364F0"/>
    <w:rsid w:val="00D37BC1"/>
    <w:rsid w:val="00D40C1D"/>
    <w:rsid w:val="00D4453F"/>
    <w:rsid w:val="00D52F89"/>
    <w:rsid w:val="00D5553F"/>
    <w:rsid w:val="00D559AC"/>
    <w:rsid w:val="00D63A07"/>
    <w:rsid w:val="00D82659"/>
    <w:rsid w:val="00D846DD"/>
    <w:rsid w:val="00D847A7"/>
    <w:rsid w:val="00D87E7A"/>
    <w:rsid w:val="00D910B0"/>
    <w:rsid w:val="00D92DCC"/>
    <w:rsid w:val="00DA01E7"/>
    <w:rsid w:val="00DA192D"/>
    <w:rsid w:val="00DB0ED8"/>
    <w:rsid w:val="00DB1169"/>
    <w:rsid w:val="00DC27BA"/>
    <w:rsid w:val="00DC7DDC"/>
    <w:rsid w:val="00DD20F4"/>
    <w:rsid w:val="00DD22B3"/>
    <w:rsid w:val="00DD7078"/>
    <w:rsid w:val="00DE0A42"/>
    <w:rsid w:val="00DF0D9F"/>
    <w:rsid w:val="00DF157D"/>
    <w:rsid w:val="00DF183D"/>
    <w:rsid w:val="00DF1871"/>
    <w:rsid w:val="00DF3ACB"/>
    <w:rsid w:val="00E100ED"/>
    <w:rsid w:val="00E13D23"/>
    <w:rsid w:val="00E13F52"/>
    <w:rsid w:val="00E21D7E"/>
    <w:rsid w:val="00E2692A"/>
    <w:rsid w:val="00E27ED1"/>
    <w:rsid w:val="00E3289B"/>
    <w:rsid w:val="00E361DC"/>
    <w:rsid w:val="00E42023"/>
    <w:rsid w:val="00E655B2"/>
    <w:rsid w:val="00E74BF6"/>
    <w:rsid w:val="00E84650"/>
    <w:rsid w:val="00E86A6C"/>
    <w:rsid w:val="00E93F6A"/>
    <w:rsid w:val="00EA0FC6"/>
    <w:rsid w:val="00EA1991"/>
    <w:rsid w:val="00EA402B"/>
    <w:rsid w:val="00EA5740"/>
    <w:rsid w:val="00EB0963"/>
    <w:rsid w:val="00EC1DC1"/>
    <w:rsid w:val="00ED4313"/>
    <w:rsid w:val="00EF0B69"/>
    <w:rsid w:val="00EF35E7"/>
    <w:rsid w:val="00EF52DE"/>
    <w:rsid w:val="00F0237B"/>
    <w:rsid w:val="00F03016"/>
    <w:rsid w:val="00F03494"/>
    <w:rsid w:val="00F04140"/>
    <w:rsid w:val="00F1568B"/>
    <w:rsid w:val="00F26636"/>
    <w:rsid w:val="00F34631"/>
    <w:rsid w:val="00F3474A"/>
    <w:rsid w:val="00F3628F"/>
    <w:rsid w:val="00F36502"/>
    <w:rsid w:val="00F37DCD"/>
    <w:rsid w:val="00F37EB7"/>
    <w:rsid w:val="00F42508"/>
    <w:rsid w:val="00F50C84"/>
    <w:rsid w:val="00F51BD6"/>
    <w:rsid w:val="00F6068A"/>
    <w:rsid w:val="00F620BE"/>
    <w:rsid w:val="00F66AD9"/>
    <w:rsid w:val="00F705E3"/>
    <w:rsid w:val="00F71F05"/>
    <w:rsid w:val="00F73CB8"/>
    <w:rsid w:val="00F771CE"/>
    <w:rsid w:val="00F81D8F"/>
    <w:rsid w:val="00F8250F"/>
    <w:rsid w:val="00F83BDB"/>
    <w:rsid w:val="00F86EBD"/>
    <w:rsid w:val="00F90E64"/>
    <w:rsid w:val="00F953D7"/>
    <w:rsid w:val="00FC6E7B"/>
    <w:rsid w:val="00FD45F9"/>
    <w:rsid w:val="00FD61B9"/>
    <w:rsid w:val="00FE68D5"/>
    <w:rsid w:val="00FE794E"/>
    <w:rsid w:val="00FF0E79"/>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76D92E-6027-4CAE-BDB2-A78DD90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D96"/>
    <w:pPr>
      <w:ind w:firstLine="720"/>
      <w:jc w:val="both"/>
    </w:pPr>
    <w:rPr>
      <w:sz w:val="28"/>
      <w:lang w:eastAsia="en-US"/>
    </w:rPr>
  </w:style>
  <w:style w:type="paragraph" w:styleId="Virsraksts5">
    <w:name w:val="heading 5"/>
    <w:basedOn w:val="Parasts"/>
    <w:next w:val="Parasts"/>
    <w:link w:val="Virsraksts5Rakstz"/>
    <w:qFormat/>
    <w:locked/>
    <w:rsid w:val="00864391"/>
    <w:pPr>
      <w:keepNext/>
      <w:autoSpaceDE w:val="0"/>
      <w:autoSpaceDN w:val="0"/>
      <w:adjustRightInd w:val="0"/>
      <w:ind w:firstLine="0"/>
      <w:jc w:val="center"/>
      <w:outlineLvl w:val="4"/>
    </w:pPr>
    <w:rPr>
      <w:rFonts w:eastAsia="Times New Roman"/>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Vresteksts">
    <w:name w:val="footnote text"/>
    <w:basedOn w:val="Parasts"/>
    <w:link w:val="VrestekstsRakstz"/>
    <w:uiPriority w:val="99"/>
    <w:rsid w:val="00F3628F"/>
    <w:pPr>
      <w:ind w:firstLine="0"/>
      <w:jc w:val="left"/>
    </w:pPr>
    <w:rPr>
      <w:rFonts w:eastAsia="Times New Roman"/>
      <w:sz w:val="20"/>
      <w:szCs w:val="20"/>
      <w:lang w:eastAsia="lv-LV"/>
    </w:rPr>
  </w:style>
  <w:style w:type="character" w:customStyle="1" w:styleId="VrestekstsRakstz">
    <w:name w:val="Vēres teksts Rakstz."/>
    <w:basedOn w:val="Noklusjumarindkopasfonts"/>
    <w:link w:val="Vresteksts"/>
    <w:uiPriority w:val="99"/>
    <w:locked/>
    <w:rsid w:val="00F3628F"/>
    <w:rPr>
      <w:rFonts w:eastAsia="Times New Roman" w:cs="Times New Roman"/>
      <w:sz w:val="20"/>
      <w:szCs w:val="20"/>
      <w:lang w:eastAsia="lv-LV"/>
    </w:rPr>
  </w:style>
  <w:style w:type="character" w:styleId="Vresatsauce">
    <w:name w:val="footnote reference"/>
    <w:aliases w:val="Footnote Reference Number"/>
    <w:basedOn w:val="Noklusjumarindkopasfonts"/>
    <w:uiPriority w:val="99"/>
    <w:rsid w:val="00F3628F"/>
    <w:rPr>
      <w:rFonts w:cs="Times New Roman"/>
      <w:vertAlign w:val="superscript"/>
    </w:rPr>
  </w:style>
  <w:style w:type="paragraph" w:customStyle="1" w:styleId="naisf">
    <w:name w:val="naisf"/>
    <w:basedOn w:val="Parasts"/>
    <w:uiPriority w:val="99"/>
    <w:rsid w:val="00F3628F"/>
    <w:pPr>
      <w:spacing w:before="75" w:after="75"/>
      <w:ind w:firstLine="375"/>
    </w:pPr>
    <w:rPr>
      <w:sz w:val="24"/>
      <w:szCs w:val="24"/>
      <w:lang w:eastAsia="lv-LV"/>
    </w:rPr>
  </w:style>
  <w:style w:type="paragraph" w:styleId="Sarakstarindkopa">
    <w:name w:val="List Paragraph"/>
    <w:basedOn w:val="Parasts"/>
    <w:uiPriority w:val="99"/>
    <w:qFormat/>
    <w:rsid w:val="00623A32"/>
    <w:pPr>
      <w:ind w:left="720"/>
      <w:contextualSpacing/>
    </w:pPr>
  </w:style>
  <w:style w:type="paragraph" w:customStyle="1" w:styleId="naisnod">
    <w:name w:val="naisnod"/>
    <w:basedOn w:val="Parasts"/>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Paraststmeklis">
    <w:name w:val="Normal (Web)"/>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Galvene">
    <w:name w:val="header"/>
    <w:basedOn w:val="Parasts"/>
    <w:link w:val="GalveneRakstz"/>
    <w:uiPriority w:val="99"/>
    <w:rsid w:val="00B605EA"/>
    <w:pPr>
      <w:tabs>
        <w:tab w:val="center" w:pos="4153"/>
        <w:tab w:val="right" w:pos="8306"/>
      </w:tabs>
    </w:pPr>
  </w:style>
  <w:style w:type="character" w:customStyle="1" w:styleId="GalveneRakstz">
    <w:name w:val="Galvene Rakstz."/>
    <w:basedOn w:val="Noklusjumarindkopasfonts"/>
    <w:link w:val="Galvene"/>
    <w:uiPriority w:val="99"/>
    <w:locked/>
    <w:rsid w:val="00B605EA"/>
    <w:rPr>
      <w:rFonts w:cs="Times New Roman"/>
    </w:rPr>
  </w:style>
  <w:style w:type="paragraph" w:styleId="Kjene">
    <w:name w:val="footer"/>
    <w:basedOn w:val="Parasts"/>
    <w:link w:val="KjeneRakstz"/>
    <w:uiPriority w:val="99"/>
    <w:rsid w:val="00B605EA"/>
    <w:pPr>
      <w:tabs>
        <w:tab w:val="center" w:pos="4153"/>
        <w:tab w:val="right" w:pos="8306"/>
      </w:tabs>
    </w:pPr>
  </w:style>
  <w:style w:type="character" w:customStyle="1" w:styleId="KjeneRakstz">
    <w:name w:val="Kājene Rakstz."/>
    <w:basedOn w:val="Noklusjumarindkopasfonts"/>
    <w:link w:val="Kjene"/>
    <w:uiPriority w:val="99"/>
    <w:locked/>
    <w:rsid w:val="00B605EA"/>
    <w:rPr>
      <w:rFonts w:cs="Times New Roman"/>
    </w:rPr>
  </w:style>
  <w:style w:type="paragraph" w:styleId="Balonteksts">
    <w:name w:val="Balloon Text"/>
    <w:basedOn w:val="Parasts"/>
    <w:link w:val="BalontekstsRakstz"/>
    <w:uiPriority w:val="99"/>
    <w:semiHidden/>
    <w:rsid w:val="00887DF1"/>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87DF1"/>
    <w:rPr>
      <w:rFonts w:ascii="Arial" w:hAnsi="Arial" w:cs="Arial"/>
      <w:sz w:val="18"/>
      <w:szCs w:val="18"/>
    </w:rPr>
  </w:style>
  <w:style w:type="character" w:styleId="Hipersaite">
    <w:name w:val="Hyperlink"/>
    <w:basedOn w:val="Noklusjumarindkopasfonts"/>
    <w:uiPriority w:val="99"/>
    <w:rsid w:val="00963E11"/>
    <w:rPr>
      <w:rFonts w:cs="Times New Roman"/>
      <w:color w:val="0563C1"/>
      <w:u w:val="single"/>
    </w:rPr>
  </w:style>
  <w:style w:type="character" w:customStyle="1" w:styleId="Virsraksts5Rakstz">
    <w:name w:val="Virsraksts 5 Rakstz."/>
    <w:basedOn w:val="Noklusjumarindkopasfonts"/>
    <w:link w:val="Virsraksts5"/>
    <w:rsid w:val="00864391"/>
    <w:rPr>
      <w:rFonts w:eastAsia="Times New Roman"/>
      <w:b/>
      <w:bCs/>
      <w:sz w:val="28"/>
      <w:szCs w:val="28"/>
      <w:lang w:eastAsia="en-US"/>
    </w:rPr>
  </w:style>
  <w:style w:type="table" w:styleId="Reatabula">
    <w:name w:val="Table Grid"/>
    <w:basedOn w:val="Parastatabula"/>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2333-civilas-aizsardzibas-un-katastrofas-parvaldisanas-likums" TargetMode="External"/><Relationship Id="rId13" Type="http://schemas.openxmlformats.org/officeDocument/2006/relationships/hyperlink" Target="http://lv.wikipedia.org/wiki/Maxim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kumi.lv/ta/id/282333-civilas-aizsardzibas-un-katastrofas-parvaldisanas-likums" TargetMode="External"/><Relationship Id="rId12" Type="http://schemas.openxmlformats.org/officeDocument/2006/relationships/hyperlink" Target="http://likumi.lv/ta/id/167909-kartiba-kada-juridiskajam-un-fiziskajam-personam-kompensejami-izdevumi-un-zaudejumi-kas-radusies-iesaistot-personu-resursus-rea..." TargetMode="External"/><Relationship Id="rId17" Type="http://schemas.openxmlformats.org/officeDocument/2006/relationships/hyperlink" Target="mailto:igors.urbanovics@vugd.gov.lv" TargetMode="External"/><Relationship Id="rId2" Type="http://schemas.openxmlformats.org/officeDocument/2006/relationships/styles" Target="styles.xml"/><Relationship Id="rId16" Type="http://schemas.openxmlformats.org/officeDocument/2006/relationships/hyperlink" Target="http://www.iem.gov.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282333-civilas-aizsardzibas-un-katastrofas-parvaldisanas-likums" TargetMode="External"/><Relationship Id="rId5" Type="http://schemas.openxmlformats.org/officeDocument/2006/relationships/footnotes" Target="footnotes.xml"/><Relationship Id="rId15" Type="http://schemas.openxmlformats.org/officeDocument/2006/relationships/hyperlink" Target="http://lv.wikipedia.org/w/index.php?title=Priedaines_iela_(R%C4%ABga)&amp;action=edit&amp;redlink=1" TargetMode="External"/><Relationship Id="rId10" Type="http://schemas.openxmlformats.org/officeDocument/2006/relationships/hyperlink" Target="http://likumi.lv/ta/id/282333-civilas-aizsardzibas-un-katastrofas-parvaldisanas-likum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kumi.lv/ta/id/282333-civilas-aizsardzibas-un-katastrofas-parvaldisanas-likums" TargetMode="External"/><Relationship Id="rId14" Type="http://schemas.openxmlformats.org/officeDocument/2006/relationships/hyperlink" Target="http://lv.wikipedia.org/wiki/Lielveik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6240</Words>
  <Characters>3558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anotācija</vt:lpstr>
      <vt:lpstr>Ministru kabineta rīkojuma projekta anotācija</vt:lpstr>
    </vt:vector>
  </TitlesOfParts>
  <Company>IeM</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IEManot_231216_ Ministru kabineta noteikumu projekta “Noteikumi par juridiskās vai fiziskās personas resursu iesaistīšanu reaģēšanas un seku likvidēšanas pasākumos vai ugunsgrēku dzēšanā vai glābšanas darbos un tiem radušos izdevumu un zaudējumu kompensācija aprēķināšanas kārtību” anotācija</dc:title>
  <dc:subject>Anotācija</dc:subject>
  <dc:creator>Igors Urbanovičs</dc:creator>
  <cp:keywords/>
  <dc:description>igors.urbanovics@vugd.gov.lv, 67075843</dc:description>
  <cp:lastModifiedBy>Igors Urbanovičs</cp:lastModifiedBy>
  <cp:revision>2</cp:revision>
  <cp:lastPrinted>2016-09-02T10:53:00Z</cp:lastPrinted>
  <dcterms:created xsi:type="dcterms:W3CDTF">2017-01-06T07:13:00Z</dcterms:created>
  <dcterms:modified xsi:type="dcterms:W3CDTF">2017-01-06T07:13:00Z</dcterms:modified>
</cp:coreProperties>
</file>