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35" w:rsidRPr="00AF581E" w:rsidRDefault="008D6C35" w:rsidP="008D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F58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Likumprojekta “Grozījumi Profesionālās izglītī</w:t>
      </w:r>
      <w:bookmarkStart w:id="0" w:name="_GoBack"/>
      <w:bookmarkEnd w:id="0"/>
      <w:r w:rsidRPr="00AF58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bas likumā” sākotnējās ietekmes novērtējuma ziņojums (anotācija)</w:t>
      </w:r>
    </w:p>
    <w:p w:rsidR="008D6C35" w:rsidRPr="00AF581E" w:rsidRDefault="008D6C35" w:rsidP="008D6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3058"/>
        <w:gridCol w:w="5175"/>
      </w:tblGrid>
      <w:tr w:rsidR="00AF581E" w:rsidRPr="00AF581E" w:rsidTr="008D6C35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6C35" w:rsidRPr="00AF581E" w:rsidRDefault="008D6C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F581E" w:rsidRPr="00AF581E" w:rsidTr="00AF581E">
        <w:trPr>
          <w:trHeight w:val="40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3F5C16" w:rsidP="00CA4B2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Likumprojekts </w:t>
            </w:r>
            <w:r w:rsidR="007974D5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“Grozījumi Profesionālās izglītības likumā” (turpmāk - likumprojekts)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izstrādāts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,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pamatojoties uz Ministru kabineta 201</w:t>
            </w:r>
            <w:r w:rsidR="00C20E3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6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 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gada </w:t>
            </w:r>
            <w:r w:rsidR="00343C04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27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 septembra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protokollēmum</w:t>
            </w:r>
            <w:r w:rsidR="0007758F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“</w:t>
            </w:r>
            <w:r w:rsidR="00343C04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Noteikumu projekts “Profesijas standarta, profesionālās kvalifikācijas prasību (ja profesijai neapstiprina profesijas standartu) un nozares kvalifikāciju struktūras izstrādes kārtība”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” (protokols Nr.</w:t>
            </w:r>
            <w:r w:rsidR="008E34E0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48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="008E34E0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17</w:t>
            </w:r>
            <w:r w:rsidR="00D2369B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  <w:r w:rsidR="00C20E3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§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) </w:t>
            </w:r>
            <w:r w:rsidR="00C20E3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3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  <w:r w:rsidR="00406177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 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punktā</w:t>
            </w:r>
            <w:r w:rsidR="0007758F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doto uzdevumu</w:t>
            </w:r>
            <w:r w:rsidR="00C20E3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Izglītības un zinātnes ministrijai sagatavot un izglītības un zinātnes ministram līdz </w:t>
            </w:r>
            <w:r w:rsidR="008E34E0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2016. gada 1. </w:t>
            </w:r>
            <w:r w:rsidR="00476237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decembrim 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iesniegt izskatīšanai Ministru kabinetā likumprojektu par grozījumiem Profesionālās izglītības likumā, paredzot tiesības Nacionālās trīspusējās sadarbības padomes Profesionālās izglītības un nodarbinātības trīspusējās sadarbības </w:t>
            </w:r>
            <w:proofErr w:type="spellStart"/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apakšpadomei</w:t>
            </w:r>
            <w:proofErr w:type="spellEnd"/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apstiprināt profesijas standartus, profesionālās kvalifikācijas prasības (ja profesijai neapstiprina profesijas standartu) </w:t>
            </w:r>
            <w:r w:rsidR="00CA4B2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un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nozares kvalifikāciju struktūru, kā arī deleģējumu, Ministru kabinetam noteikt obligāti piemērojamo profesijas standartu </w:t>
            </w:r>
            <w:r w:rsidR="00CA4B2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un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profesionālās kvalifikācijas prasību sarakstu.</w:t>
            </w:r>
          </w:p>
        </w:tc>
      </w:tr>
      <w:tr w:rsidR="00AF581E" w:rsidRPr="00AF581E" w:rsidTr="00AF581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6C35" w:rsidRPr="00AF581E" w:rsidRDefault="00FC43E7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Profesionālās izglītības likuma</w:t>
            </w:r>
            <w:r w:rsidR="00F869B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</w:t>
            </w:r>
            <w:r w:rsidR="007C4DB8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panta 2.</w:t>
            </w:r>
            <w:r w:rsidR="00FB65E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punktā ir noteikts, ka Ministru kabinets nosaka profesijas standarta, profesi</w:t>
            </w:r>
            <w:r w:rsidR="00D67E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onālās kvalifikācijas prasību (ja profesijai neapstiprina profesijas standartu) un nozares </w:t>
            </w:r>
            <w:r w:rsidR="0075732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kvalifikāciju struktūras izstrādes kārtību, kā arī institūciju, kas izstrādā un aktualizē n</w:t>
            </w:r>
            <w:r w:rsidR="00CF004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ozares kvalifikāciju struktūru.</w:t>
            </w:r>
            <w:r w:rsidR="004E59FB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F869B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Šobrīd </w:t>
            </w:r>
            <w:r w:rsidR="0071103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Profesionālās izglītības likum</w:t>
            </w:r>
            <w:r w:rsidR="00F869B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 nav noteikts, kas apstiprina</w:t>
            </w:r>
            <w:r w:rsidR="0003387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profesijas standartu, profesionālās kvalifikācijas prasības (ja profesijai neapstiprina profesijas standartu) un nozares kvalifikāciju struktūru.</w:t>
            </w:r>
            <w:r w:rsidR="00F869B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E22FA4" w:rsidRPr="00AF581E" w:rsidRDefault="004E59FB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Iepriekš </w:t>
            </w:r>
            <w:r w:rsidR="00C3155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saskaņā ar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</w:t>
            </w:r>
            <w:r w:rsidR="00536B9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inistru kabineta 2007. gada 27. </w:t>
            </w:r>
            <w:r w:rsidR="00FB65E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februāra noteikumiem Nr. 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149 “Profesiju standartu izstrādes kārtība” (bija spēkā līdz 2015. gada 31. decembrim) </w:t>
            </w:r>
            <w:r w:rsidR="00C9701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(turpmāk - Ministru kabineta noteikumi Nr.</w:t>
            </w:r>
            <w:r w:rsidR="00FB65E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C9701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149) </w:t>
            </w:r>
            <w:r w:rsidR="00B47FCB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profesij</w:t>
            </w:r>
            <w:r w:rsidR="007925F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="00B47FCB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standartus saskaņoja Nacionālās trīspusējās sadarbības padomes Profesionālās izglītības un nodarbinātības trīspusējās sadarbības </w:t>
            </w:r>
            <w:proofErr w:type="spellStart"/>
            <w:r w:rsidR="00B47FCB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apakšpadome</w:t>
            </w:r>
            <w:proofErr w:type="spellEnd"/>
            <w:r w:rsidR="00B47FCB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un saskaņā ar </w:t>
            </w:r>
            <w:r w:rsidR="00940712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Ministru kabineta 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2010. gada 18. maija noteikumiem Nr.461 “Noteikumi par Profesiju klasifikatoru, profesijai atbilstošiem pamatuzdevumiem un kvalifikācijas pamatprasībām un Profesiju klasifikatora lietošanas un aktualizēšanas kārtību” profesiju standarti bija iekļaujami minēto noteikumu</w:t>
            </w:r>
            <w:r w:rsidR="00755A1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(turpmāk - </w:t>
            </w:r>
            <w:r w:rsidR="00755A15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Ministru kabineta noteikumi Nr. 461</w:t>
            </w:r>
            <w:r w:rsidR="00755A1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2.</w:t>
            </w:r>
            <w:r w:rsidR="00536B9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pielikumā. Tas radīja situāciju, ka profesionālās izglītības sistēma nevar</w:t>
            </w:r>
            <w:r w:rsidR="006C74C1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ēja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elastīgi un operatīvi reaģēt uz izmaiņām darba tirgū, jo profesiju standartu izstrādes un saskaņošanas process </w:t>
            </w:r>
            <w:r w:rsidR="006C74C1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="006C74C1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ilgstošs un komplicēts, kas ilg</w:t>
            </w:r>
            <w:r w:rsidR="00B47FCB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vismaz vienu vai pusotru gadu, jo profesiju klasifikators tiek aktualizēts tikai 2 reizes gadā un profesiju standarti tiek izdoti Ministru kabineta noteikumu</w:t>
            </w:r>
            <w:r w:rsidR="00A375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veidā</w:t>
            </w:r>
            <w:r w:rsidR="00E22FA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E22FA4" w:rsidRPr="00AF581E" w:rsidRDefault="00E22FA4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Ar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Ministru kabineta noteikumiem Nr. 461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apstiprinātais profesiju klasifikators ir veidots, adaptējot “Starptautisko standartizēto profesiju klasifikāciju” (</w:t>
            </w:r>
            <w:proofErr w:type="spellStart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International</w:t>
            </w:r>
            <w:proofErr w:type="spellEnd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Standard</w:t>
            </w:r>
            <w:proofErr w:type="spellEnd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Classification</w:t>
            </w:r>
            <w:proofErr w:type="spellEnd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of</w:t>
            </w:r>
            <w:proofErr w:type="spellEnd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Occupations</w:t>
            </w:r>
            <w:proofErr w:type="spellEnd"/>
            <w:r w:rsidRPr="00AF581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)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Profesiju klasifikators ir sistematizēts profesiju (arodu, amatu, specialitāšu) saraksts, kas veidots, lai nodrošinātu starptautiskajai praksei atbilstošu darbaspēka uzskaiti un salīdzināšanu.</w:t>
            </w:r>
          </w:p>
          <w:p w:rsidR="00E22FA4" w:rsidRPr="00AF581E" w:rsidRDefault="00E22FA4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Latvijā saskaņā ar </w:t>
            </w:r>
            <w:r w:rsidRPr="00AF581E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Izglītības likuma 8.</w:t>
            </w:r>
            <w:r w:rsidRPr="00AF581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lv-LV"/>
              </w:rPr>
              <w:t>1</w:t>
            </w:r>
            <w:r w:rsidR="00536B9A" w:rsidRPr="00AF581E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 </w:t>
            </w:r>
            <w:r w:rsidRPr="00AF581E">
              <w:rPr>
                <w:rFonts w:ascii="Times New Roman" w:hAnsi="Times New Roman" w:cs="Times New Roman"/>
                <w:bCs/>
                <w:sz w:val="28"/>
                <w:szCs w:val="28"/>
                <w:lang w:val="lv-LV"/>
              </w:rPr>
              <w:t>pantu ir ieviesta</w:t>
            </w:r>
            <w:r w:rsidRPr="00AF58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Latvijas kvalifikāciju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ietvarstruktūra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kas ir astoņu kvalifikācijas līmeņu sistēma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un aptver visas izglītības pakāpes un veidus, tā veidota, ņemot vērā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Eiropas kvalifikāciju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ietvarstruktūru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(EQF).</w:t>
            </w:r>
          </w:p>
          <w:p w:rsidR="00E22FA4" w:rsidRPr="00AF581E" w:rsidRDefault="00E22FA4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Atbilstoši Latvijas kvalifikāciju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ietvarstruktūrai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tiks izstrādāta</w:t>
            </w:r>
            <w:r w:rsidR="00A375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nozar</w:t>
            </w:r>
            <w:r w:rsidR="007925F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kvalifikāciju struktūras, lai Latvijā iegūtās profesionālās kvalifikācijas būtu salīdzināmas ar vienoto Eiropas kvalifikāciju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ietvarstruktūru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E22FA4" w:rsidRPr="00AF581E" w:rsidRDefault="00E22FA4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Nozares kvalifikāciju struktūra balstās uz Latvijas nacionālās kvalifikācijas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ietvarstruktūru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kas darbojas kā instruments iegūto profesionālo kvalifikāciju salīdzināšanai un skaidrošanai, veicinot izglītojamo un darbinieku starpvalstu mobilitāti un sekmējot viņu mūžizglītību. Atbilstoši Latvijas kvalifikāciju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ietvarstruktūrai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tiks izstrādāti arī nepieciešamie profesij</w:t>
            </w:r>
            <w:r w:rsidR="007925F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</w:t>
            </w:r>
            <w:r w:rsidR="00406177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profesionālās kvalifikācijas prasības</w:t>
            </w:r>
            <w:r w:rsidR="006C74C1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saskaņā ar </w:t>
            </w:r>
            <w:r w:rsidR="00517B1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Ministru kabineta </w:t>
            </w:r>
            <w:r w:rsidR="00476237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2016. gada 27. septembra </w:t>
            </w:r>
            <w:r w:rsidR="00271A28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noteikumiem Nr. </w:t>
            </w:r>
            <w:r w:rsidR="00476237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633</w:t>
            </w:r>
            <w:r w:rsidR="00517B1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“</w:t>
            </w:r>
            <w:r w:rsidR="00343C0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Profesijas standarta, profesionālās kvalifikācijas prasību (ja profesijai neapstiprina profesijas standartu) un nozares kvalifikāciju struktūras izstrādes kārtība</w:t>
            </w:r>
            <w:r w:rsidR="00517B1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  <w:r w:rsidR="009A6BE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(turpmāk - </w:t>
            </w:r>
            <w:r w:rsidR="009A6B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noteikumi Nr. 633</w:t>
            </w:r>
            <w:r w:rsidR="009A6BE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  <w:r w:rsidR="00517B1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AC49FA" w:rsidRPr="00AF581E" w:rsidRDefault="00E22FA4" w:rsidP="00906FF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Eiropas kvalifikāciju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ietvarstruktūrai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attiecīgi Latvijas kvalifikācijas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ietvarstruktūrai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nav tiešas saistības ar “Starptautisko standartizēto profesiju klasifikāciju”, kas tiek izmantota darbaspēka uzskaites statistiskiem mērķiem. Līdz ar to profesiju standartiem nav jābūt Profesiju klasifikatora daļai, kā tas ir pašlaik.</w:t>
            </w:r>
            <w:r w:rsidR="00672311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Pamats profesiju standartu iekļaušanai Ministru kabineta noteikumos Nr. 461 bija Profesionālās izglītības likuma 24.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pantā noteiktais, ka profesijas standarts ir Profesiju klasifikatora daļa (redakcijā, kas bija spēkā līdz 2015.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gada 14.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maijam). Ar grozījumiem 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Profesionālās izglītības likumā, kas stājās spēkā 2015. gada 15. maijā profesionālās izglītības satura reformas sekmīgai 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īstenošanai minētais nosacījums tika izslēgts un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 2016.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gada 1.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janvāra 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Ministru kabineta 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noteikumos Nr.</w:t>
            </w:r>
            <w:r w:rsidR="00FB65E4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AC49FA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461 jauni profesiju standarti netiek iekļauti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  <w:p w:rsidR="006A180C" w:rsidRPr="00097189" w:rsidRDefault="00FB65E4" w:rsidP="00156FF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Ņemot vērā iepriekš minēto,</w:t>
            </w:r>
            <w:r w:rsidR="006C74C1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nav </w:t>
            </w:r>
            <w:r w:rsidR="006C74C1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lietderīgi izdot profesij</w:t>
            </w:r>
            <w:r w:rsidR="00473B0D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="006C74C1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standartus Ministru kabineta noteikumu </w:t>
            </w:r>
            <w:r w:rsidR="00A375FC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veid</w:t>
            </w:r>
            <w:r w:rsidR="006C74C1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ā, tādēļ </w:t>
            </w:r>
            <w:r w:rsidR="00406177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likumprojekts</w:t>
            </w:r>
            <w:r w:rsidR="007619EE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paredz</w:t>
            </w:r>
            <w:r w:rsidR="007619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deleģējumu Ministru kabinetam noteikt obligāti piemērojamo profesij</w:t>
            </w:r>
            <w:r w:rsidR="00473B0D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="007619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standartu </w:t>
            </w:r>
            <w:r w:rsidR="00906F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</w:t>
            </w:r>
            <w:r w:rsidR="007619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profesionāl</w:t>
            </w:r>
            <w:r w:rsidR="00981F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</w:t>
            </w:r>
            <w:r w:rsidR="007619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kvalifikācij</w:t>
            </w:r>
            <w:r w:rsidR="00981F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7619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prasību sarakstu</w:t>
            </w:r>
            <w:r w:rsidR="000543A2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</w:t>
            </w:r>
            <w:r w:rsidR="000543A2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šajā sarakstā iekļauto </w:t>
            </w:r>
            <w:r w:rsidR="000543A2" w:rsidRPr="00AF581E">
              <w:rPr>
                <w:rFonts w:ascii="Times New Roman" w:hAnsi="Times New Roman"/>
                <w:sz w:val="28"/>
                <w:szCs w:val="28"/>
                <w:lang w:val="lv-LV"/>
              </w:rPr>
              <w:t>profesiju standartu un profesionāl</w:t>
            </w:r>
            <w:r w:rsidR="00981FAC">
              <w:rPr>
                <w:rFonts w:ascii="Times New Roman" w:hAnsi="Times New Roman"/>
                <w:sz w:val="28"/>
                <w:szCs w:val="28"/>
                <w:lang w:val="lv-LV"/>
              </w:rPr>
              <w:t>ās kvalifikācijas</w:t>
            </w:r>
            <w:r w:rsidR="000543A2" w:rsidRPr="00AF581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prasību</w:t>
            </w:r>
            <w:r w:rsidR="000543A2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publis</w:t>
            </w:r>
            <w:r w:rsidR="00E759BE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košanas</w:t>
            </w:r>
            <w:r w:rsidR="000543A2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kārtību</w:t>
            </w:r>
            <w:r w:rsidR="007619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kā arī </w:t>
            </w:r>
            <w:r w:rsidR="007619EE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noteikt </w:t>
            </w:r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tiesības Nacionālās trīspusējās sadarbības padomes Profesionālās izglītības un nodarbinātības trīspusējās sadarbības </w:t>
            </w:r>
            <w:proofErr w:type="spellStart"/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apakšpadomei</w:t>
            </w:r>
            <w:proofErr w:type="spellEnd"/>
            <w:r w:rsidR="00C87B86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apstiprināt profesij</w:t>
            </w:r>
            <w:r w:rsidR="00473B0D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standartus, profesionāl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</w:t>
            </w:r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kvalifikācij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prasības (ja profesijai neapstiprina profesijas standartu) </w:t>
            </w:r>
            <w:r w:rsidR="00C16575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</w:t>
            </w:r>
            <w:r w:rsidR="00CD25D9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6A180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nozares kvalifikāciju struktūru</w:t>
            </w:r>
            <w:r w:rsidR="006A180C" w:rsidRPr="00E932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nodrošinot to satur</w:t>
            </w:r>
            <w:r w:rsidR="001967B2" w:rsidRPr="00E932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6A180C" w:rsidRPr="00E932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atbilstību</w:t>
            </w:r>
            <w:r w:rsidR="00A51A50" w:rsidRPr="00E932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normatīvo aktu un</w:t>
            </w:r>
            <w:r w:rsidR="006A180C" w:rsidRPr="00E932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darba tirgus prasībām.</w:t>
            </w:r>
          </w:p>
          <w:p w:rsidR="0086597A" w:rsidRPr="00097189" w:rsidRDefault="0071103A" w:rsidP="008659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Likumprojekts nosaka arī pārejas noteikumus</w:t>
            </w:r>
            <w:r w:rsidR="00E14E3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E14E3B" w:rsidRPr="00110443">
              <w:rPr>
                <w:rFonts w:ascii="Times New Roman" w:hAnsi="Times New Roman"/>
                <w:sz w:val="28"/>
                <w:szCs w:val="28"/>
                <w:lang w:val="lv-LV"/>
              </w:rPr>
              <w:t>līdz 2015. gada 31. decembrim</w:t>
            </w:r>
            <w:r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E14E3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</w:t>
            </w:r>
            <w:r w:rsidR="00274D39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36150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E14E3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apstiprināto</w:t>
            </w:r>
            <w:r w:rsidR="0036150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profesiju standartu piemērošanai. Saskaņā ar 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Statistikas likum</w:t>
            </w:r>
            <w:r w:rsidR="0036150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 Pārejas noteikumu 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 punkta </w:t>
            </w:r>
            <w:r w:rsidR="0036150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apakš</w:t>
            </w:r>
            <w:r w:rsidR="0036150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punktu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Ministru kabineta noteikumi Nr. 461 ir piemērojami ne ilgāk kā līdz 2017. gada 31. maijam. Labklājības ministrija paredzējusi iz</w:t>
            </w:r>
            <w:r w:rsidR="007F0536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strādāt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jaunus Ministru kabineta noteikumus</w:t>
            </w:r>
            <w:r w:rsidR="007F0536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„</w:t>
            </w:r>
            <w:r w:rsidR="007068FC" w:rsidRPr="007068F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Noteikumi par Profesiju klasifikatoru, profesijai atbilstošiem pamatuzdevumiem un kvalifikācijas pamatprasībām</w:t>
            </w:r>
            <w:r w:rsidR="007F0536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 (turpmāk - Noteikumi par Profesiju klasifikatoru),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kas</w:t>
            </w:r>
            <w:r w:rsidR="007F0536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stāsies spēkā 2017. gada 1. jūnijā. Noteikumi par Profesiju klasifikatoru aizstās Ministru kabineta noteikumus Nr. 461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="007F0536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taču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tajos netiks iekļauts 2.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 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pielikums </w:t>
            </w:r>
            <w:r w:rsidR="00274D39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“Profesiju standarti” </w:t>
            </w:r>
            <w:r w:rsidR="00547F2A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un 305 profesiju standarti </w:t>
            </w:r>
            <w:r w:rsidR="00547F2A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tiks nodoti </w:t>
            </w:r>
            <w:r w:rsidR="001967B2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izglītības satura centram un</w:t>
            </w:r>
            <w:r w:rsidR="00547F2A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tiks publiskoti </w:t>
            </w:r>
            <w:r w:rsidR="001967B2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tā</w:t>
            </w:r>
            <w:r w:rsidR="00547F2A" w:rsidRPr="0019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tīmekļvietnē.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Šie profesiju 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standarti būs piemērojami l</w:t>
            </w:r>
            <w:r w:rsidR="003E22B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īdz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brīdim, kad Nacionālās trīspusējās sadarbības padomes Profesionālās izglītības un nodarbinātības trīspusējās sadarbības </w:t>
            </w:r>
            <w:proofErr w:type="spellStart"/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apakšpadome</w:t>
            </w:r>
            <w:proofErr w:type="spellEnd"/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būs apstiprinājusi</w:t>
            </w:r>
            <w:r w:rsidR="00274D39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 jauna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izstrādātos un aktualizētos </w:t>
            </w:r>
            <w:r w:rsidR="003E22B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profesiju standartu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  <w:r w:rsidR="003E22B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profesionāl</w:t>
            </w:r>
            <w:r w:rsidR="00981F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 kvalifikācijas</w:t>
            </w:r>
            <w:r w:rsidR="003E22B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</w:t>
            </w:r>
            <w:r w:rsidR="00FF75C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="00E14E3B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="003E22B3" w:rsidRPr="001104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to </w:t>
            </w:r>
            <w:r w:rsidR="003E22B3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nosaukum</w:t>
            </w:r>
            <w:r w:rsidR="00FF75C3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 būs</w:t>
            </w:r>
            <w:r w:rsidR="003E22B3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iekļau</w:t>
            </w:r>
            <w:r w:rsidR="00FF75C3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</w:t>
            </w:r>
            <w:r w:rsidR="003E22B3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 </w:t>
            </w:r>
            <w:r w:rsidR="00E14E3B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noteikumos par obligāti piemērojamo profesiju standartu un profesionāl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 kvalifikācijas</w:t>
            </w:r>
            <w:r w:rsidR="00E14E3B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prasību sarakstu</w:t>
            </w:r>
            <w:r w:rsidR="0086597A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</w:t>
            </w:r>
          </w:p>
          <w:p w:rsidR="0086597A" w:rsidRPr="00110443" w:rsidRDefault="0086597A" w:rsidP="0086597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en-GB"/>
              </w:rPr>
            </w:pP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noteikumi par obligāti piemērojamo pro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fesiju standartu un profesionālās kvalifikācijas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prasību sarakstu tiks izdoti līdz 2017. gada 31. maijam</w:t>
            </w:r>
            <w:r w:rsidR="00BE0CC0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tajos iekļau</w:t>
            </w:r>
            <w:r w:rsidR="00BE0CC0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jot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097189">
              <w:rPr>
                <w:rFonts w:ascii="Times New Roman" w:eastAsia="Times New Roman" w:hAnsi="Times New Roman" w:cs="Times New Roman"/>
                <w:sz w:val="28"/>
                <w:szCs w:val="28"/>
                <w:lang w:val="lv-LV" w:eastAsia="en-GB"/>
              </w:rPr>
              <w:t xml:space="preserve">aktualizēto 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profesiju standartu un profesionāl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kvalifikācij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prasību nosaukumus. Minēto noteikumu papildināšana ar Nacionālās trīspusējās sadarbības padomes Profesionālās izglītības un nodarbinātības trīspusējās sadarbības </w:t>
            </w:r>
            <w:proofErr w:type="spellStart"/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apakšpadomes</w:t>
            </w:r>
            <w:proofErr w:type="spellEnd"/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apstiprināt</w:t>
            </w:r>
            <w:r w:rsidR="00D6092E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Valsts izglītības satura centra tīmekļvietnē publiskot</w:t>
            </w:r>
            <w:r w:rsidR="00D6092E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profesiju standartu un profesionāl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 kvalifikācijas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prasību nosaukumiem paredzēta</w:t>
            </w:r>
            <w:r w:rsidR="00EE2382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pakāpeniski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līdz </w:t>
            </w:r>
            <w:r w:rsidRPr="00097189">
              <w:rPr>
                <w:rFonts w:ascii="Times New Roman" w:eastAsia="Times New Roman" w:hAnsi="Times New Roman" w:cs="Times New Roman"/>
                <w:sz w:val="28"/>
                <w:szCs w:val="28"/>
                <w:lang w:val="lv-LV" w:eastAsia="en-GB"/>
              </w:rPr>
              <w:t xml:space="preserve">2021. gada 31. decembrim, kad pilnībā būs pabeigta jauno 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profesiju standartu un profesionāl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kvalifikācij</w:t>
            </w:r>
            <w:r w:rsidR="00981FAC"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as</w:t>
            </w:r>
            <w:r w:rsidRPr="0009718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prasību </w:t>
            </w:r>
            <w:r w:rsidRPr="00097189">
              <w:rPr>
                <w:rFonts w:ascii="Times New Roman" w:eastAsia="Times New Roman" w:hAnsi="Times New Roman" w:cs="Times New Roman"/>
                <w:sz w:val="28"/>
                <w:szCs w:val="28"/>
                <w:lang w:val="lv-LV" w:eastAsia="en-GB"/>
              </w:rPr>
              <w:t>izstrāde.</w:t>
            </w:r>
          </w:p>
          <w:p w:rsidR="007F0536" w:rsidRPr="00EE2382" w:rsidRDefault="00EE2382" w:rsidP="00981FAC">
            <w:pPr>
              <w:spacing w:after="120" w:line="240" w:lineRule="auto"/>
              <w:ind w:firstLine="4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1044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Paredzams, ka pēc 2021. gada 31. decembra profesiju standartu un profesionāl</w:t>
            </w:r>
            <w:r w:rsidR="00981FA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ās</w:t>
            </w:r>
            <w:r w:rsidRPr="0011044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kvalifikācij</w:t>
            </w:r>
            <w:r w:rsidR="00981FA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as</w:t>
            </w:r>
            <w:r w:rsidRPr="0011044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prasību</w:t>
            </w:r>
            <w:r w:rsidRPr="0011044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1044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izstrāde pilnībā būs pabeigta un pārsvarā notiks tikai to aktualizācija atbilstoši darba tirgus prasību izmaiņām.</w:t>
            </w:r>
          </w:p>
        </w:tc>
      </w:tr>
      <w:tr w:rsidR="00AF581E" w:rsidRPr="00AF581E" w:rsidTr="00AF581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167AB7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Valsts izglītības satura centrs, </w:t>
            </w:r>
            <w:r w:rsidR="008D6C3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Izglītības un zinātnes ministrija.</w:t>
            </w:r>
          </w:p>
        </w:tc>
      </w:tr>
      <w:tr w:rsidR="00AF581E" w:rsidRPr="00AF581E" w:rsidTr="00AF581E"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8433E0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Nav</w:t>
            </w:r>
            <w:r w:rsidR="00C16575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</w:p>
        </w:tc>
      </w:tr>
    </w:tbl>
    <w:p w:rsidR="00D06077" w:rsidRPr="00AF581E" w:rsidRDefault="00D06077" w:rsidP="00D077F7">
      <w:pPr>
        <w:pStyle w:val="NoSpacing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3058"/>
        <w:gridCol w:w="5175"/>
      </w:tblGrid>
      <w:tr w:rsidR="00AF581E" w:rsidRPr="00AF581E" w:rsidTr="00DD77D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6077" w:rsidRPr="00AF581E" w:rsidRDefault="00D06077" w:rsidP="00DD77D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F581E" w:rsidRPr="00AF581E" w:rsidTr="00AF581E">
        <w:trPr>
          <w:trHeight w:val="2258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lastRenderedPageBreak/>
              <w:t>1.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E3DC3" w:rsidRPr="00AF581E" w:rsidRDefault="00C9701E" w:rsidP="00981FA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Likumprojekts paredz tiesības Nacionālās trīspusējās sadarbības padomes Profesionālās izglītības un nodarbinātības trīspusējās sadarbības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apakšpadomei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apstiprināt profesij</w:t>
            </w:r>
            <w:r w:rsidR="0058157A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u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standartus, profesionāl</w:t>
            </w:r>
            <w:r w:rsidR="00981FAC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ās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kvalifikācijas prasības (ja profesijai neapstiprina profesijas standartu) </w:t>
            </w:r>
            <w:r w:rsidR="00CA4B2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un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nozares kvalifikāciju struktūru</w:t>
            </w:r>
            <w:r w:rsidR="006E3DC3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, </w:t>
            </w:r>
            <w:r w:rsidR="006E3DC3" w:rsidRPr="00E9329B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kā arī to, ka profesiju standarti tiks </w:t>
            </w:r>
            <w:r w:rsidR="004C482E" w:rsidRPr="00E9329B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publiskoti Valsts izglītības satura centra tīmekļvietnē.</w:t>
            </w:r>
          </w:p>
        </w:tc>
      </w:tr>
      <w:tr w:rsidR="00AF581E" w:rsidRPr="00AF581E" w:rsidTr="00AF581E">
        <w:trPr>
          <w:trHeight w:val="510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0385" w:rsidRPr="00097189" w:rsidRDefault="00C9701E" w:rsidP="00B903D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Nacionālās trīspusējās sadarbības padomes Profesionālās izglītības un nodarbinātības trīspusējās sadarbības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apakšpadome</w:t>
            </w:r>
            <w:proofErr w:type="spell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jau iepriekš saskaņoja profesij</w:t>
            </w:r>
            <w:r w:rsidR="0058157A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u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standartus atbilstoši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noteikumi</w:t>
            </w:r>
            <w:r w:rsidR="008433E0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em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</w:t>
            </w:r>
            <w:r w:rsidR="003C0407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r. 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149</w:t>
            </w:r>
            <w:r w:rsidR="002578B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un </w:t>
            </w:r>
            <w:r w:rsidR="001630A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Valsts izglītības satura centrs </w:t>
            </w:r>
            <w:r w:rsidR="00B903D5" w:rsidRPr="002578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nodrošināja</w:t>
            </w:r>
            <w:r w:rsidR="00B903D5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1630A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savā </w:t>
            </w:r>
            <w:r w:rsidR="002578BE" w:rsidRPr="002578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tīmekļvietnē </w:t>
            </w:r>
            <w:r w:rsidR="001630AE" w:rsidRPr="002578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profesij</w:t>
            </w:r>
            <w:r w:rsidR="0058157A" w:rsidRPr="002578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="001630AE" w:rsidRPr="002578B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standartu publiskošanu.</w:t>
            </w:r>
            <w:r w:rsidR="00FF038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FF0385" w:rsidRPr="00E9329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Likumprojekts samazinās administratīvo slogu </w:t>
            </w:r>
            <w:r w:rsidR="00FF0385" w:rsidRPr="00E9329B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Nacionālās trīspusējās sadarbības padomes Profesionālās izglītības un nodarbinātības trīspusējās sadarbības </w:t>
            </w:r>
            <w:proofErr w:type="spellStart"/>
            <w:r w:rsidR="00FF0385" w:rsidRPr="00E9329B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apakšpadomei</w:t>
            </w:r>
            <w:proofErr w:type="spellEnd"/>
            <w:r w:rsidR="00FF0385" w:rsidRPr="00E9329B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, jo tai</w:t>
            </w:r>
            <w:r w:rsidR="00552C91" w:rsidRPr="00E9329B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="00FF0385" w:rsidRPr="00E9329B">
              <w:rPr>
                <w:rFonts w:ascii="Times New Roman" w:hAnsi="Times New Roman"/>
                <w:sz w:val="26"/>
                <w:szCs w:val="26"/>
                <w:lang w:val="lv-LV"/>
              </w:rPr>
              <w:t>480 profesijas standartu vietā (kurus tā</w:t>
            </w:r>
            <w:r w:rsidR="00552C91" w:rsidRPr="00E9329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iepriekš</w:t>
            </w:r>
            <w:r w:rsidR="00FF0385" w:rsidRPr="00E9329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saskaņoja), būs jāapstiprina </w:t>
            </w:r>
            <w:r w:rsidR="00552C91" w:rsidRPr="00E9329B">
              <w:rPr>
                <w:rFonts w:ascii="Times New Roman" w:hAnsi="Times New Roman"/>
                <w:sz w:val="26"/>
                <w:szCs w:val="26"/>
                <w:lang w:val="lv-LV"/>
              </w:rPr>
              <w:t>240 profesiju standart</w:t>
            </w:r>
            <w:r w:rsidR="001967B2" w:rsidRPr="00E9329B">
              <w:rPr>
                <w:rFonts w:ascii="Times New Roman" w:hAnsi="Times New Roman"/>
                <w:sz w:val="26"/>
                <w:szCs w:val="26"/>
                <w:lang w:val="lv-LV"/>
              </w:rPr>
              <w:t>i</w:t>
            </w:r>
            <w:r w:rsidR="00552C91" w:rsidRPr="00E9329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vai profesionāl</w:t>
            </w:r>
            <w:r w:rsidR="00CE6BB0" w:rsidRPr="00E9329B">
              <w:rPr>
                <w:rFonts w:ascii="Times New Roman" w:hAnsi="Times New Roman"/>
                <w:sz w:val="26"/>
                <w:szCs w:val="26"/>
                <w:lang w:val="lv-LV"/>
              </w:rPr>
              <w:t>ās kvalifikācijas</w:t>
            </w:r>
            <w:r w:rsidR="00552C91" w:rsidRPr="00E9329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prasīb</w:t>
            </w:r>
            <w:r w:rsidR="00CE6BB0" w:rsidRPr="00E9329B">
              <w:rPr>
                <w:rFonts w:ascii="Times New Roman" w:hAnsi="Times New Roman"/>
                <w:sz w:val="26"/>
                <w:szCs w:val="26"/>
                <w:lang w:val="lv-LV"/>
              </w:rPr>
              <w:t>as</w:t>
            </w:r>
            <w:r w:rsidR="00552C91" w:rsidRPr="00E9329B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  <w:p w:rsidR="006E3DC3" w:rsidRPr="00552C91" w:rsidRDefault="001630AE" w:rsidP="00B903D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en-GB"/>
              </w:rPr>
            </w:pPr>
            <w:r w:rsidRPr="00B903D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 </w:t>
            </w:r>
            <w:proofErr w:type="gramStart"/>
            <w:r w:rsidRPr="00B903D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norādīts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kabineta noteikumu</w:t>
            </w:r>
            <w:proofErr w:type="gramEnd"/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Nr. 633 sākotnējās ietekmes novērtējuma ziņojumā (anotācijā) administratīvās izmaksas Valsts izglītības satura centram ievietojot profesij</w:t>
            </w:r>
            <w:r w:rsidR="007925F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standartu</w:t>
            </w:r>
            <w:r w:rsidR="00B903D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profesionāl</w:t>
            </w:r>
            <w:r w:rsidR="00981FA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 kvalifikācijas prasības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Valsts izglītības satura centra mājaslapā internetā</w:t>
            </w:r>
            <w:r w:rsidRPr="00AF581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en-GB"/>
              </w:rPr>
              <w:t xml:space="preserve"> tiks segtas esošo valsts budžeta līdzekļu ietvaros.</w:t>
            </w:r>
          </w:p>
        </w:tc>
      </w:tr>
      <w:tr w:rsidR="00AF581E" w:rsidRPr="00AF581E" w:rsidTr="00AF581E">
        <w:trPr>
          <w:trHeight w:val="510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8433E0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Nav attiecināms.</w:t>
            </w:r>
          </w:p>
        </w:tc>
      </w:tr>
      <w:tr w:rsidR="00AF581E" w:rsidRPr="00AF581E" w:rsidTr="00AF581E">
        <w:trPr>
          <w:trHeight w:val="34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7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D06077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6077" w:rsidRPr="00AF581E" w:rsidRDefault="008433E0" w:rsidP="00343C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D06077" w:rsidRPr="00AF581E" w:rsidRDefault="00D06077" w:rsidP="00D077F7">
      <w:pPr>
        <w:pStyle w:val="NoSpacing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tbl>
      <w:tblPr>
        <w:tblW w:w="4999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6"/>
      </w:tblGrid>
      <w:tr w:rsidR="00AF581E" w:rsidRPr="00AF581E" w:rsidTr="00D077F7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33E0" w:rsidRPr="00AF581E" w:rsidRDefault="008433E0" w:rsidP="00DD77D5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8433E0" w:rsidRPr="00AF581E" w:rsidTr="00D077F7">
        <w:trPr>
          <w:trHeight w:val="24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433E0" w:rsidRPr="00AF581E" w:rsidRDefault="008433E0" w:rsidP="00DD77D5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8433E0" w:rsidRPr="00AF581E" w:rsidRDefault="008433E0" w:rsidP="00D077F7">
      <w:pPr>
        <w:pStyle w:val="NoSpacing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"/>
        <w:gridCol w:w="3056"/>
        <w:gridCol w:w="5177"/>
      </w:tblGrid>
      <w:tr w:rsidR="00AF581E" w:rsidRPr="00AF581E" w:rsidTr="00DD77D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71A28" w:rsidRPr="00AF581E" w:rsidRDefault="00271A28" w:rsidP="00DD77D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lastRenderedPageBreak/>
              <w:t>IV. Tiesību akta projekta ietekme uz spēkā esošo tiesību normu sistēmu</w:t>
            </w:r>
          </w:p>
        </w:tc>
      </w:tr>
      <w:tr w:rsidR="00AF581E" w:rsidRPr="00AF581E" w:rsidTr="00AF581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1A28" w:rsidRPr="00AF581E" w:rsidRDefault="00271A28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7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1A28" w:rsidRPr="00AF581E" w:rsidRDefault="00271A28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en-GB"/>
              </w:rPr>
              <w:t>Nepieciešamie saistītie tiesību aktu projekti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1A28" w:rsidRPr="00AF581E" w:rsidRDefault="00271A28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Likumprojekts ir saistīts ar šād</w:t>
            </w:r>
            <w:r w:rsidR="00755A15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ā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m </w:t>
            </w:r>
            <w:r w:rsidR="00755A15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izmaiņām normatīvajos aktos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:</w:t>
            </w:r>
          </w:p>
          <w:p w:rsidR="006815BF" w:rsidRPr="00AF581E" w:rsidRDefault="00271A28" w:rsidP="0071103A">
            <w:pPr>
              <w:spacing w:after="120" w:line="24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1. </w:t>
            </w:r>
            <w:r w:rsidR="006815BF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Labklājības ministrijas gatavotajiem Ministru kabineta noteikumiem</w:t>
            </w:r>
            <w:r w:rsidR="0071103A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par Profesiju klasifikatoru</w:t>
            </w:r>
            <w:r w:rsidR="00755A15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081708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815BF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ar kuriem paredzēts aizstāt Ministru kabineta </w:t>
            </w:r>
            <w:r w:rsidR="000660F7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noteikumu Nr. </w:t>
            </w:r>
            <w:r w:rsidR="00A375FC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461</w:t>
            </w:r>
            <w:r w:rsidR="00081708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regulējumu</w:t>
            </w:r>
            <w:r w:rsidR="00D070E0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kas vairs neparedzēs Ministru kabineta noteikumu Nr. 461 2. pielikumā noteiktos profesiju standartus</w:t>
            </w:r>
            <w:r w:rsidR="00081708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6815BF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903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Minētie </w:t>
            </w:r>
            <w:r w:rsidR="00B903D5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profesiju standart</w:t>
            </w:r>
            <w:r w:rsidR="00B903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 pilnībā </w:t>
            </w:r>
            <w:r w:rsidR="00B903D5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tiks</w:t>
            </w:r>
            <w:r w:rsidR="00B903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publiskoti </w:t>
            </w:r>
            <w:r w:rsidR="00816BC9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Valsts izglītības satura centra tīmekļvietn</w:t>
            </w:r>
            <w:r w:rsidR="00B903D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ē.</w:t>
            </w:r>
            <w:r w:rsidR="00816BC9" w:rsidRPr="00AF581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D6186A" w:rsidRPr="00AF581E" w:rsidRDefault="00271A28" w:rsidP="00D077F7">
            <w:pPr>
              <w:pStyle w:val="NoSpacing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proofErr w:type="gram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2. </w:t>
            </w:r>
            <w:r w:rsidR="00167AB7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Grozījumiem </w:t>
            </w:r>
            <w:r w:rsidR="004C3319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Ministru kabineta </w:t>
            </w:r>
            <w:r w:rsidR="00476237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noteikum</w:t>
            </w:r>
            <w:r w:rsidR="009A6BEE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os</w:t>
            </w:r>
            <w:proofErr w:type="gramEnd"/>
            <w:r w:rsidR="00476237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Nr. 633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,</w:t>
            </w:r>
            <w:r w:rsidR="009A6BEE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saskaņojot minētajos noteikumos lietoto terminoloģiju ar likumprojektu.</w:t>
            </w:r>
          </w:p>
          <w:p w:rsidR="00993DF5" w:rsidRPr="00AF581E" w:rsidRDefault="00C03C31" w:rsidP="00815535">
            <w:pPr>
              <w:pStyle w:val="NoSpacing"/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3. </w:t>
            </w:r>
            <w:r w:rsidR="00D6186A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Būs jāizdod Ministru kabineta noteikumi atbilstoši likumprojektā paredzētajam deleģējumam</w:t>
            </w:r>
            <w:r w:rsidR="00A375FC"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A375FC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Ministru kabinetam noteikt </w:t>
            </w:r>
            <w:r w:rsidR="00993DF5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obligāti piemērojamo profesiju standartu un profesionāl</w:t>
            </w:r>
            <w:r w:rsidR="0081553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ās</w:t>
            </w:r>
            <w:r w:rsidR="00993DF5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kvalifikācij</w:t>
            </w:r>
            <w:r w:rsidR="00815535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as</w:t>
            </w:r>
            <w:r w:rsidR="00993DF5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prasību sarakstu un šajā sarakstā iekļauto </w:t>
            </w:r>
            <w:r w:rsidR="00993DF5" w:rsidRPr="00AF581E">
              <w:rPr>
                <w:rFonts w:ascii="Times New Roman" w:hAnsi="Times New Roman"/>
                <w:sz w:val="28"/>
                <w:szCs w:val="28"/>
                <w:lang w:val="lv-LV"/>
              </w:rPr>
              <w:t>pro</w:t>
            </w:r>
            <w:r w:rsidR="00815535">
              <w:rPr>
                <w:rFonts w:ascii="Times New Roman" w:hAnsi="Times New Roman"/>
                <w:sz w:val="28"/>
                <w:szCs w:val="28"/>
                <w:lang w:val="lv-LV"/>
              </w:rPr>
              <w:t>fesiju standartu un profesionālās kvalifikācijas</w:t>
            </w:r>
            <w:r w:rsidR="00993DF5" w:rsidRPr="00AF581E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prasību</w:t>
            </w:r>
            <w:r w:rsidR="00993DF5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publis</w:t>
            </w:r>
            <w:r w:rsidR="00E759BE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košanas</w:t>
            </w:r>
            <w:r w:rsidR="00993DF5" w:rsidRPr="00AF581E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kārtību.</w:t>
            </w:r>
          </w:p>
        </w:tc>
      </w:tr>
      <w:tr w:rsidR="00AF581E" w:rsidRPr="00AF581E" w:rsidTr="00AF581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71A28" w:rsidRPr="00AF581E" w:rsidRDefault="00271A28" w:rsidP="00DD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71A28" w:rsidRPr="00AF581E" w:rsidRDefault="00271A28" w:rsidP="00DD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F58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Atbildīgā institūcija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71A28" w:rsidRPr="00AF581E" w:rsidRDefault="00271A28" w:rsidP="00271A2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Izglītības un zinātnes ministrija, Labklājības ministrija.</w:t>
            </w:r>
          </w:p>
        </w:tc>
      </w:tr>
      <w:tr w:rsidR="00AF581E" w:rsidRPr="00AF581E" w:rsidTr="00AF581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71A28" w:rsidRPr="00AF581E" w:rsidRDefault="00271A28" w:rsidP="00DD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71A28" w:rsidRPr="00AF581E" w:rsidRDefault="00271A28" w:rsidP="00DD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F581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71A28" w:rsidRPr="00AF581E" w:rsidRDefault="00271A28" w:rsidP="00271A2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:rsidR="00271A28" w:rsidRPr="00AF581E" w:rsidRDefault="00271A28" w:rsidP="00D077F7">
      <w:pPr>
        <w:pStyle w:val="NoSpacing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tbl>
      <w:tblPr>
        <w:tblW w:w="5034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67"/>
      </w:tblGrid>
      <w:tr w:rsidR="00AF581E" w:rsidRPr="00AF581E" w:rsidTr="007118CD">
        <w:trPr>
          <w:trHeight w:val="291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433E0" w:rsidRPr="00AF581E" w:rsidRDefault="008433E0" w:rsidP="00DD77D5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8433E0" w:rsidRPr="00AF581E" w:rsidTr="007118CD">
        <w:trPr>
          <w:trHeight w:val="27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433E0" w:rsidRPr="00AF581E" w:rsidRDefault="008433E0" w:rsidP="00DD77D5">
            <w:pPr>
              <w:spacing w:after="0" w:line="240" w:lineRule="auto"/>
              <w:ind w:left="142" w:firstLine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8D6C35" w:rsidRPr="00AF581E" w:rsidRDefault="008D6C35" w:rsidP="00D077F7">
      <w:pPr>
        <w:pStyle w:val="NoSpacing"/>
        <w:rPr>
          <w:rFonts w:ascii="Times New Roman" w:hAnsi="Times New Roman" w:cs="Times New Roman"/>
          <w:sz w:val="28"/>
          <w:szCs w:val="28"/>
          <w:lang w:val="lv-LV"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3001"/>
        <w:gridCol w:w="5177"/>
      </w:tblGrid>
      <w:tr w:rsidR="00AF581E" w:rsidRPr="00AF581E" w:rsidTr="008D6C35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D6C35" w:rsidRPr="00AF581E" w:rsidRDefault="008D6C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AF581E" w:rsidRPr="00AF581E" w:rsidTr="00AF581E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C03C31" w:rsidP="00343C0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Likumprojekts būtiski nemaina esošo regulējumu, tādēļ ī</w:t>
            </w:r>
            <w:r w:rsidR="00944879"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pašas sabiedrības līdzdalības un komunikācijas aktivitātes nav plānotas.</w:t>
            </w:r>
          </w:p>
        </w:tc>
      </w:tr>
      <w:tr w:rsidR="00AF581E" w:rsidRPr="00AF581E" w:rsidTr="00AF581E">
        <w:trPr>
          <w:trHeight w:val="33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lastRenderedPageBreak/>
              <w:t>2.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Sabiedrības līdzdalība projekta izstrādē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944879" w:rsidP="00DB789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 xml:space="preserve">Lai informētu sabiedrību un nodrošinātu iespēju izteikt viedokļus, </w:t>
            </w:r>
            <w:r w:rsidR="00DB789F"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likum</w:t>
            </w: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 xml:space="preserve">projekts kopā ar sākotnējās ietekmes novērtējuma ziņojumu tika ievietots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en-GB"/>
              </w:rPr>
              <w:t>Izglītības un zinātnes</w:t>
            </w: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C03C31"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mājas</w:t>
            </w: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lapā internetā.</w:t>
            </w:r>
          </w:p>
        </w:tc>
      </w:tr>
      <w:tr w:rsidR="00AF581E" w:rsidRPr="00AF581E" w:rsidTr="00AF581E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Sabiedrības līdzdalības rezultāti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944879" w:rsidP="00343C0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Atsauksmes vai viedokļi par likumprojektu netika saņemti.</w:t>
            </w:r>
          </w:p>
        </w:tc>
      </w:tr>
      <w:tr w:rsidR="00AF581E" w:rsidRPr="00AF581E" w:rsidTr="00AF581E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8D6C35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D6C35" w:rsidRPr="00AF581E" w:rsidRDefault="00944879" w:rsidP="00D077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eastAsia="Calibri" w:hAnsi="Times New Roman" w:cs="Times New Roman"/>
                <w:sz w:val="28"/>
                <w:szCs w:val="28"/>
                <w:lang w:val="lv-LV"/>
              </w:rPr>
              <w:t>Nav.</w:t>
            </w:r>
          </w:p>
        </w:tc>
      </w:tr>
    </w:tbl>
    <w:p w:rsidR="00D077F7" w:rsidRPr="00AF581E" w:rsidRDefault="00D077F7" w:rsidP="00D077F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3001"/>
        <w:gridCol w:w="5177"/>
      </w:tblGrid>
      <w:tr w:rsidR="00AF581E" w:rsidRPr="00AF581E" w:rsidTr="00DD77D5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44879" w:rsidRPr="00AF581E" w:rsidRDefault="00944879" w:rsidP="00DD77D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F5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AF581E" w:rsidRPr="00AF581E" w:rsidTr="00AF581E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C03C31" w:rsidP="00167AB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Izglītības un zinātnes ministrija, 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Nacionālās trīspusējās sadarbības padomes Profesionālās izglītības un nodarbinātības trīspusējās sadarbības </w:t>
            </w:r>
            <w:proofErr w:type="spellStart"/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apakšpadome</w:t>
            </w:r>
            <w:proofErr w:type="spellEnd"/>
            <w:r w:rsidR="00167AB7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un</w:t>
            </w:r>
            <w:r w:rsidR="00A375FC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 Valsts izglītības satura centrs</w:t>
            </w: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AF581E" w:rsidRPr="00AF581E" w:rsidTr="00AF581E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Projekta izpildes ietekme uz pārvaldes funkcijām un institucionālo struktūru.</w:t>
            </w:r>
          </w:p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C03C31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 xml:space="preserve">Likumprojekts nerada institucionālas izmaiņas attiecībā uz izpildē iesaistītajām valsts pārvaldes institūcijām. </w:t>
            </w:r>
            <w:r w:rsidR="00944879"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Jaunas institūcijas netiek veidotas.</w:t>
            </w:r>
          </w:p>
        </w:tc>
      </w:tr>
      <w:tr w:rsidR="00AF581E" w:rsidRPr="00AF581E" w:rsidTr="00AF581E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17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944879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4879" w:rsidRPr="00AF581E" w:rsidRDefault="00C03C31" w:rsidP="00D077F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AF581E"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  <w:t>Nav.</w:t>
            </w:r>
          </w:p>
        </w:tc>
      </w:tr>
    </w:tbl>
    <w:p w:rsidR="00944879" w:rsidRPr="00AF581E" w:rsidRDefault="00944879" w:rsidP="00C267C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A375FC" w:rsidRPr="00AF581E" w:rsidRDefault="00A375FC" w:rsidP="00A3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1E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A375FC" w:rsidRPr="00AF581E" w:rsidRDefault="00A375FC" w:rsidP="00C267C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03223" w:rsidRPr="00AF581E" w:rsidRDefault="00003223" w:rsidP="00C267C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AF581E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4C6777" w:rsidRPr="00AF581E">
        <w:rPr>
          <w:rFonts w:ascii="Times New Roman" w:hAnsi="Times New Roman" w:cs="Times New Roman"/>
          <w:sz w:val="28"/>
          <w:szCs w:val="28"/>
          <w:lang w:val="lv-LV"/>
        </w:rPr>
        <w:t>z</w:t>
      </w:r>
      <w:r w:rsidRPr="00AF581E">
        <w:rPr>
          <w:rFonts w:ascii="Times New Roman" w:hAnsi="Times New Roman" w:cs="Times New Roman"/>
          <w:sz w:val="28"/>
          <w:szCs w:val="28"/>
          <w:lang w:val="lv-LV"/>
        </w:rPr>
        <w:t>glītības un zinātnes ministrs</w:t>
      </w:r>
      <w:r w:rsidRPr="00AF58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F58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F58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F581E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F581E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gramStart"/>
      <w:r w:rsidR="00167AB7" w:rsidRPr="00AF581E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proofErr w:type="gramEnd"/>
      <w:r w:rsidRPr="00AF581E">
        <w:rPr>
          <w:rFonts w:ascii="Times New Roman" w:hAnsi="Times New Roman" w:cs="Times New Roman"/>
          <w:sz w:val="28"/>
          <w:szCs w:val="28"/>
          <w:lang w:val="lv-LV"/>
        </w:rPr>
        <w:t>Kārlis Šadurskis</w:t>
      </w:r>
    </w:p>
    <w:p w:rsidR="00003223" w:rsidRPr="00AF581E" w:rsidRDefault="00003223" w:rsidP="00C267C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03223" w:rsidRPr="00AF581E" w:rsidRDefault="00003223" w:rsidP="0000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81E">
        <w:rPr>
          <w:rFonts w:ascii="Times New Roman" w:hAnsi="Times New Roman" w:cs="Times New Roman"/>
          <w:sz w:val="28"/>
          <w:szCs w:val="28"/>
        </w:rPr>
        <w:t xml:space="preserve">Vizē: </w:t>
      </w:r>
    </w:p>
    <w:p w:rsidR="00003223" w:rsidRPr="00AF581E" w:rsidRDefault="00003223" w:rsidP="0000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81E">
        <w:rPr>
          <w:rFonts w:ascii="Times New Roman" w:hAnsi="Times New Roman" w:cs="Times New Roman"/>
          <w:sz w:val="28"/>
          <w:szCs w:val="28"/>
        </w:rPr>
        <w:t>Valsts sekretāre</w:t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Pr="00AF581E">
        <w:rPr>
          <w:rFonts w:ascii="Times New Roman" w:hAnsi="Times New Roman" w:cs="Times New Roman"/>
          <w:sz w:val="28"/>
          <w:szCs w:val="28"/>
        </w:rPr>
        <w:tab/>
      </w:r>
      <w:r w:rsidR="00167AB7" w:rsidRPr="00AF581E">
        <w:rPr>
          <w:rFonts w:ascii="Times New Roman" w:hAnsi="Times New Roman" w:cs="Times New Roman"/>
          <w:sz w:val="28"/>
          <w:szCs w:val="28"/>
        </w:rPr>
        <w:t>Līga Lejiņa</w:t>
      </w:r>
    </w:p>
    <w:p w:rsidR="00003223" w:rsidRPr="00AF581E" w:rsidRDefault="00003223" w:rsidP="00C267C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003223" w:rsidRPr="00097189" w:rsidRDefault="009F7ACA" w:rsidP="00003223">
      <w:p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>
        <w:rPr>
          <w:rFonts w:ascii="Times New Roman" w:hAnsi="Times New Roman"/>
          <w:sz w:val="20"/>
          <w:szCs w:val="20"/>
          <w:lang w:eastAsia="en-GB"/>
        </w:rPr>
        <w:t>09</w:t>
      </w:r>
      <w:r w:rsidR="00003223" w:rsidRPr="00097189">
        <w:rPr>
          <w:rFonts w:ascii="Times New Roman" w:hAnsi="Times New Roman"/>
          <w:sz w:val="20"/>
          <w:szCs w:val="20"/>
          <w:lang w:eastAsia="en-GB"/>
        </w:rPr>
        <w:t>.</w:t>
      </w:r>
      <w:r w:rsidR="00097189">
        <w:rPr>
          <w:rFonts w:ascii="Times New Roman" w:hAnsi="Times New Roman"/>
          <w:sz w:val="20"/>
          <w:szCs w:val="20"/>
          <w:lang w:eastAsia="en-GB"/>
        </w:rPr>
        <w:t>0</w:t>
      </w:r>
      <w:r>
        <w:rPr>
          <w:rFonts w:ascii="Times New Roman" w:hAnsi="Times New Roman"/>
          <w:sz w:val="20"/>
          <w:szCs w:val="20"/>
          <w:lang w:eastAsia="en-GB"/>
        </w:rPr>
        <w:t>2</w:t>
      </w:r>
      <w:r w:rsidR="00003223" w:rsidRPr="00097189">
        <w:rPr>
          <w:rFonts w:ascii="Times New Roman" w:hAnsi="Times New Roman"/>
          <w:sz w:val="20"/>
          <w:szCs w:val="20"/>
          <w:lang w:eastAsia="en-GB"/>
        </w:rPr>
        <w:t>.201</w:t>
      </w:r>
      <w:r w:rsidR="00097189">
        <w:rPr>
          <w:rFonts w:ascii="Times New Roman" w:hAnsi="Times New Roman"/>
          <w:sz w:val="20"/>
          <w:szCs w:val="20"/>
          <w:lang w:eastAsia="en-GB"/>
        </w:rPr>
        <w:t>7</w:t>
      </w:r>
      <w:r w:rsidR="00003223" w:rsidRPr="00097189">
        <w:rPr>
          <w:rFonts w:ascii="Times New Roman" w:hAnsi="Times New Roman"/>
          <w:sz w:val="20"/>
          <w:szCs w:val="20"/>
          <w:lang w:eastAsia="en-GB"/>
        </w:rPr>
        <w:t>. 1</w:t>
      </w:r>
      <w:r w:rsidR="007816CF" w:rsidRPr="00097189">
        <w:rPr>
          <w:rFonts w:ascii="Times New Roman" w:hAnsi="Times New Roman"/>
          <w:sz w:val="20"/>
          <w:szCs w:val="20"/>
          <w:lang w:eastAsia="en-GB"/>
        </w:rPr>
        <w:t>0</w:t>
      </w:r>
      <w:r w:rsidR="00003223" w:rsidRPr="00097189">
        <w:rPr>
          <w:rFonts w:ascii="Times New Roman" w:hAnsi="Times New Roman"/>
          <w:sz w:val="20"/>
          <w:szCs w:val="20"/>
          <w:lang w:eastAsia="en-GB"/>
        </w:rPr>
        <w:t>:31</w:t>
      </w:r>
    </w:p>
    <w:p w:rsidR="00003223" w:rsidRPr="00097189" w:rsidRDefault="00003223" w:rsidP="00003223">
      <w:p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097189">
        <w:rPr>
          <w:rFonts w:ascii="Times New Roman" w:hAnsi="Times New Roman"/>
          <w:sz w:val="20"/>
          <w:szCs w:val="20"/>
          <w:lang w:eastAsia="en-GB"/>
        </w:rPr>
        <w:t>1</w:t>
      </w:r>
      <w:r w:rsidR="001967B2">
        <w:rPr>
          <w:rFonts w:ascii="Times New Roman" w:hAnsi="Times New Roman"/>
          <w:sz w:val="20"/>
          <w:szCs w:val="20"/>
          <w:lang w:eastAsia="en-GB"/>
        </w:rPr>
        <w:t>499</w:t>
      </w:r>
    </w:p>
    <w:p w:rsidR="00003223" w:rsidRPr="00097189" w:rsidRDefault="00003223" w:rsidP="00003223">
      <w:p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097189">
        <w:rPr>
          <w:rFonts w:ascii="Times New Roman" w:hAnsi="Times New Roman"/>
          <w:sz w:val="20"/>
          <w:szCs w:val="20"/>
          <w:lang w:eastAsia="en-GB"/>
        </w:rPr>
        <w:t>I.Zemļanskis</w:t>
      </w:r>
    </w:p>
    <w:p w:rsidR="00003223" w:rsidRPr="00097189" w:rsidRDefault="00003223" w:rsidP="00003223">
      <w:p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097189">
        <w:rPr>
          <w:rFonts w:ascii="Times New Roman" w:hAnsi="Times New Roman"/>
          <w:sz w:val="20"/>
          <w:szCs w:val="20"/>
          <w:lang w:eastAsia="en-GB"/>
        </w:rPr>
        <w:t>67814452, ivars.zemlanskis@visc.gov.lv</w:t>
      </w:r>
    </w:p>
    <w:p w:rsidR="00C267C7" w:rsidRPr="00AF581E" w:rsidRDefault="00C267C7" w:rsidP="00C267C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sectPr w:rsidR="00C267C7" w:rsidRPr="00AF581E" w:rsidSect="00FD5FC4">
      <w:headerReference w:type="default" r:id="rId8"/>
      <w:footerReference w:type="default" r:id="rId9"/>
      <w:footerReference w:type="first" r:id="rId10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0" w:rsidRDefault="00B43150" w:rsidP="0003387E">
      <w:pPr>
        <w:spacing w:after="0" w:line="240" w:lineRule="auto"/>
      </w:pPr>
      <w:r>
        <w:separator/>
      </w:r>
    </w:p>
  </w:endnote>
  <w:endnote w:type="continuationSeparator" w:id="0">
    <w:p w:rsidR="00B43150" w:rsidRDefault="00B43150" w:rsidP="0003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FC" w:rsidRPr="00A375FC" w:rsidRDefault="00A375FC">
    <w:pPr>
      <w:pStyle w:val="Footer"/>
      <w:rPr>
        <w:rFonts w:ascii="Times New Roman" w:hAnsi="Times New Roman" w:cs="Times New Roman"/>
        <w:sz w:val="20"/>
        <w:szCs w:val="20"/>
      </w:rPr>
    </w:pPr>
    <w:r w:rsidRPr="00374D10">
      <w:rPr>
        <w:rFonts w:ascii="Times New Roman" w:hAnsi="Times New Roman" w:cs="Times New Roman"/>
        <w:sz w:val="20"/>
        <w:szCs w:val="20"/>
      </w:rPr>
      <w:t>IZMAnot_</w:t>
    </w:r>
    <w:r w:rsidR="009F7ACA">
      <w:rPr>
        <w:rFonts w:ascii="Times New Roman" w:hAnsi="Times New Roman" w:cs="Times New Roman"/>
        <w:sz w:val="20"/>
        <w:szCs w:val="20"/>
      </w:rPr>
      <w:t>0902</w:t>
    </w:r>
    <w:r w:rsidR="00097189">
      <w:rPr>
        <w:rFonts w:ascii="Times New Roman" w:hAnsi="Times New Roman" w:cs="Times New Roman"/>
        <w:sz w:val="20"/>
        <w:szCs w:val="20"/>
      </w:rPr>
      <w:t>17</w:t>
    </w:r>
    <w:r w:rsidRPr="00374D10">
      <w:rPr>
        <w:rFonts w:ascii="Times New Roman" w:hAnsi="Times New Roman" w:cs="Times New Roman"/>
        <w:sz w:val="20"/>
        <w:szCs w:val="20"/>
      </w:rPr>
      <w:t>_PIL_</w:t>
    </w:r>
    <w:r w:rsidR="006F04AA">
      <w:rPr>
        <w:rFonts w:ascii="Times New Roman" w:hAnsi="Times New Roman" w:cs="Times New Roman"/>
        <w:sz w:val="20"/>
        <w:szCs w:val="20"/>
      </w:rPr>
      <w:t>groz_ps</w:t>
    </w:r>
    <w:r w:rsidRPr="00374D10">
      <w:rPr>
        <w:rFonts w:ascii="Times New Roman" w:hAnsi="Times New Roman" w:cs="Times New Roman"/>
        <w:sz w:val="20"/>
        <w:szCs w:val="20"/>
      </w:rPr>
      <w:t>; Likumprojekta "Grozījumi Profesionālās izglītības likumā"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FC" w:rsidRPr="00A375FC" w:rsidRDefault="00A375FC">
    <w:pPr>
      <w:pStyle w:val="Footer"/>
      <w:rPr>
        <w:rFonts w:ascii="Times New Roman" w:hAnsi="Times New Roman" w:cs="Times New Roman"/>
        <w:sz w:val="20"/>
        <w:szCs w:val="20"/>
      </w:rPr>
    </w:pPr>
    <w:r w:rsidRPr="00374D10">
      <w:rPr>
        <w:rFonts w:ascii="Times New Roman" w:hAnsi="Times New Roman" w:cs="Times New Roman"/>
        <w:sz w:val="20"/>
        <w:szCs w:val="20"/>
      </w:rPr>
      <w:t>IZMAnot_</w:t>
    </w:r>
    <w:r w:rsidR="009F7ACA">
      <w:rPr>
        <w:rFonts w:ascii="Times New Roman" w:hAnsi="Times New Roman" w:cs="Times New Roman"/>
        <w:sz w:val="20"/>
        <w:szCs w:val="20"/>
      </w:rPr>
      <w:t>0902</w:t>
    </w:r>
    <w:r w:rsidR="00097189">
      <w:rPr>
        <w:rFonts w:ascii="Times New Roman" w:hAnsi="Times New Roman" w:cs="Times New Roman"/>
        <w:sz w:val="20"/>
        <w:szCs w:val="20"/>
      </w:rPr>
      <w:t>17</w:t>
    </w:r>
    <w:r w:rsidRPr="00374D10">
      <w:rPr>
        <w:rFonts w:ascii="Times New Roman" w:hAnsi="Times New Roman" w:cs="Times New Roman"/>
        <w:sz w:val="20"/>
        <w:szCs w:val="20"/>
      </w:rPr>
      <w:t>_PIL_</w:t>
    </w:r>
    <w:r w:rsidR="006F04AA">
      <w:rPr>
        <w:rFonts w:ascii="Times New Roman" w:hAnsi="Times New Roman" w:cs="Times New Roman"/>
        <w:sz w:val="20"/>
        <w:szCs w:val="20"/>
      </w:rPr>
      <w:t>groz_ps</w:t>
    </w:r>
    <w:r w:rsidRPr="00374D10">
      <w:rPr>
        <w:rFonts w:ascii="Times New Roman" w:hAnsi="Times New Roman" w:cs="Times New Roman"/>
        <w:sz w:val="20"/>
        <w:szCs w:val="20"/>
      </w:rPr>
      <w:t>; Likumprojekta "Grozījumi Profesionālās izglītības likumā"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0" w:rsidRDefault="00B43150" w:rsidP="0003387E">
      <w:pPr>
        <w:spacing w:after="0" w:line="240" w:lineRule="auto"/>
      </w:pPr>
      <w:r>
        <w:separator/>
      </w:r>
    </w:p>
  </w:footnote>
  <w:footnote w:type="continuationSeparator" w:id="0">
    <w:p w:rsidR="00B43150" w:rsidRDefault="00B43150" w:rsidP="0003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76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0037" w:rsidRDefault="004B00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4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87E" w:rsidRDefault="00033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8"/>
    <w:rsid w:val="00003223"/>
    <w:rsid w:val="00015E2D"/>
    <w:rsid w:val="0003387E"/>
    <w:rsid w:val="000543A2"/>
    <w:rsid w:val="000660F7"/>
    <w:rsid w:val="0007758F"/>
    <w:rsid w:val="00081708"/>
    <w:rsid w:val="00097189"/>
    <w:rsid w:val="000A144E"/>
    <w:rsid w:val="000A70B7"/>
    <w:rsid w:val="000F15EC"/>
    <w:rsid w:val="00110443"/>
    <w:rsid w:val="00110AE8"/>
    <w:rsid w:val="001536BF"/>
    <w:rsid w:val="00156FFB"/>
    <w:rsid w:val="001630AE"/>
    <w:rsid w:val="00167AB7"/>
    <w:rsid w:val="001770C7"/>
    <w:rsid w:val="001967B2"/>
    <w:rsid w:val="00216EB9"/>
    <w:rsid w:val="002578BE"/>
    <w:rsid w:val="00271A28"/>
    <w:rsid w:val="00274D39"/>
    <w:rsid w:val="002A086C"/>
    <w:rsid w:val="002C077B"/>
    <w:rsid w:val="002F039E"/>
    <w:rsid w:val="00323ED0"/>
    <w:rsid w:val="00326542"/>
    <w:rsid w:val="003433C2"/>
    <w:rsid w:val="00343C04"/>
    <w:rsid w:val="003566B4"/>
    <w:rsid w:val="0036150B"/>
    <w:rsid w:val="00396F64"/>
    <w:rsid w:val="003C02C4"/>
    <w:rsid w:val="003C0407"/>
    <w:rsid w:val="003E22B3"/>
    <w:rsid w:val="003F5C16"/>
    <w:rsid w:val="00406177"/>
    <w:rsid w:val="00430B7F"/>
    <w:rsid w:val="00473B0D"/>
    <w:rsid w:val="00476237"/>
    <w:rsid w:val="004A0E90"/>
    <w:rsid w:val="004A3B2E"/>
    <w:rsid w:val="004B0037"/>
    <w:rsid w:val="004C3319"/>
    <w:rsid w:val="004C482E"/>
    <w:rsid w:val="004C6777"/>
    <w:rsid w:val="004E59FB"/>
    <w:rsid w:val="00517B15"/>
    <w:rsid w:val="00536B9A"/>
    <w:rsid w:val="0054335A"/>
    <w:rsid w:val="00547F2A"/>
    <w:rsid w:val="00552C91"/>
    <w:rsid w:val="00565558"/>
    <w:rsid w:val="0057474E"/>
    <w:rsid w:val="0058157A"/>
    <w:rsid w:val="00600820"/>
    <w:rsid w:val="006260CE"/>
    <w:rsid w:val="0064685D"/>
    <w:rsid w:val="0064775C"/>
    <w:rsid w:val="00672311"/>
    <w:rsid w:val="006815BF"/>
    <w:rsid w:val="006909ED"/>
    <w:rsid w:val="006A180C"/>
    <w:rsid w:val="006A72A5"/>
    <w:rsid w:val="006C74C1"/>
    <w:rsid w:val="006E3589"/>
    <w:rsid w:val="006E3DC3"/>
    <w:rsid w:val="006F04AA"/>
    <w:rsid w:val="007068FC"/>
    <w:rsid w:val="0071103A"/>
    <w:rsid w:val="007118CD"/>
    <w:rsid w:val="00725DCB"/>
    <w:rsid w:val="00736A7E"/>
    <w:rsid w:val="00755A15"/>
    <w:rsid w:val="0075732A"/>
    <w:rsid w:val="007619EE"/>
    <w:rsid w:val="00764AF8"/>
    <w:rsid w:val="0077274F"/>
    <w:rsid w:val="007816CF"/>
    <w:rsid w:val="00790206"/>
    <w:rsid w:val="007925FE"/>
    <w:rsid w:val="007974D5"/>
    <w:rsid w:val="007C4DB8"/>
    <w:rsid w:val="007D2D91"/>
    <w:rsid w:val="007E31C4"/>
    <w:rsid w:val="007F0536"/>
    <w:rsid w:val="007F7A9C"/>
    <w:rsid w:val="00810FFA"/>
    <w:rsid w:val="00815535"/>
    <w:rsid w:val="00816BC9"/>
    <w:rsid w:val="008433E0"/>
    <w:rsid w:val="00845136"/>
    <w:rsid w:val="00865039"/>
    <w:rsid w:val="0086597A"/>
    <w:rsid w:val="00886EB9"/>
    <w:rsid w:val="008A1084"/>
    <w:rsid w:val="008D6C35"/>
    <w:rsid w:val="008E34E0"/>
    <w:rsid w:val="008E5118"/>
    <w:rsid w:val="009068AA"/>
    <w:rsid w:val="00906FFC"/>
    <w:rsid w:val="00940712"/>
    <w:rsid w:val="00941890"/>
    <w:rsid w:val="00944879"/>
    <w:rsid w:val="00962B69"/>
    <w:rsid w:val="00981FAC"/>
    <w:rsid w:val="00987D2B"/>
    <w:rsid w:val="00993DF5"/>
    <w:rsid w:val="009A6BEE"/>
    <w:rsid w:val="009C758F"/>
    <w:rsid w:val="009F7ACA"/>
    <w:rsid w:val="00A030DD"/>
    <w:rsid w:val="00A375FC"/>
    <w:rsid w:val="00A51A50"/>
    <w:rsid w:val="00A6117F"/>
    <w:rsid w:val="00AB3D93"/>
    <w:rsid w:val="00AC49FA"/>
    <w:rsid w:val="00AF581E"/>
    <w:rsid w:val="00B43150"/>
    <w:rsid w:val="00B47FCB"/>
    <w:rsid w:val="00B67401"/>
    <w:rsid w:val="00B87ED9"/>
    <w:rsid w:val="00B903D5"/>
    <w:rsid w:val="00BE0CC0"/>
    <w:rsid w:val="00C03C31"/>
    <w:rsid w:val="00C16575"/>
    <w:rsid w:val="00C20E3E"/>
    <w:rsid w:val="00C267C7"/>
    <w:rsid w:val="00C3155E"/>
    <w:rsid w:val="00C47B47"/>
    <w:rsid w:val="00C87B86"/>
    <w:rsid w:val="00C9701E"/>
    <w:rsid w:val="00CA4B2E"/>
    <w:rsid w:val="00CB12C0"/>
    <w:rsid w:val="00CD25D9"/>
    <w:rsid w:val="00CE4E8B"/>
    <w:rsid w:val="00CE6BB0"/>
    <w:rsid w:val="00CF004E"/>
    <w:rsid w:val="00D06077"/>
    <w:rsid w:val="00D070E0"/>
    <w:rsid w:val="00D077F7"/>
    <w:rsid w:val="00D154D4"/>
    <w:rsid w:val="00D15806"/>
    <w:rsid w:val="00D2369B"/>
    <w:rsid w:val="00D4270C"/>
    <w:rsid w:val="00D55F74"/>
    <w:rsid w:val="00D6092E"/>
    <w:rsid w:val="00D6186A"/>
    <w:rsid w:val="00D67EEE"/>
    <w:rsid w:val="00DB789F"/>
    <w:rsid w:val="00E14E3B"/>
    <w:rsid w:val="00E22FA4"/>
    <w:rsid w:val="00E759BE"/>
    <w:rsid w:val="00E9329B"/>
    <w:rsid w:val="00EC298E"/>
    <w:rsid w:val="00EE2382"/>
    <w:rsid w:val="00F112FA"/>
    <w:rsid w:val="00F869B5"/>
    <w:rsid w:val="00FB65E4"/>
    <w:rsid w:val="00FC43E7"/>
    <w:rsid w:val="00FD5FC4"/>
    <w:rsid w:val="00FE3239"/>
    <w:rsid w:val="00FF0385"/>
    <w:rsid w:val="00FF346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D6C3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3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7E"/>
  </w:style>
  <w:style w:type="paragraph" w:styleId="Footer">
    <w:name w:val="footer"/>
    <w:basedOn w:val="Normal"/>
    <w:link w:val="FooterChar"/>
    <w:uiPriority w:val="99"/>
    <w:unhideWhenUsed/>
    <w:rsid w:val="00033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7E"/>
  </w:style>
  <w:style w:type="paragraph" w:customStyle="1" w:styleId="labojumupamats1">
    <w:name w:val="labojumu_pamats1"/>
    <w:basedOn w:val="Normal"/>
    <w:rsid w:val="00E22FA4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E22FA4"/>
    <w:pPr>
      <w:spacing w:after="0" w:line="240" w:lineRule="auto"/>
    </w:pPr>
    <w:rPr>
      <w:lang w:val="en-GB"/>
    </w:rPr>
  </w:style>
  <w:style w:type="paragraph" w:customStyle="1" w:styleId="tv213">
    <w:name w:val="tv213"/>
    <w:basedOn w:val="Normal"/>
    <w:rsid w:val="00C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D6C3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3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7E"/>
  </w:style>
  <w:style w:type="paragraph" w:styleId="Footer">
    <w:name w:val="footer"/>
    <w:basedOn w:val="Normal"/>
    <w:link w:val="FooterChar"/>
    <w:uiPriority w:val="99"/>
    <w:unhideWhenUsed/>
    <w:rsid w:val="00033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7E"/>
  </w:style>
  <w:style w:type="paragraph" w:customStyle="1" w:styleId="labojumupamats1">
    <w:name w:val="labojumu_pamats1"/>
    <w:basedOn w:val="Normal"/>
    <w:rsid w:val="00E22FA4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E22FA4"/>
    <w:pPr>
      <w:spacing w:after="0" w:line="240" w:lineRule="auto"/>
    </w:pPr>
    <w:rPr>
      <w:lang w:val="en-GB"/>
    </w:rPr>
  </w:style>
  <w:style w:type="paragraph" w:customStyle="1" w:styleId="tv213">
    <w:name w:val="tv213"/>
    <w:basedOn w:val="Normal"/>
    <w:rsid w:val="00C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D929-0DBF-4440-AAA1-DD41AF0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8382</Words>
  <Characters>4778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Profesionālās izglītības likumā” sākotnējās ietekmes novērtējuma ziņojums (anotācija)</vt:lpstr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Profesionālās izglītības likumā” sākotnējās ietekmes novērtējuma ziņojums (anotācija)</dc:title>
  <dc:subject/>
  <dc:creator/>
  <cp:keywords/>
  <dc:description/>
  <cp:lastModifiedBy>Ivars Zemļanskis</cp:lastModifiedBy>
  <cp:revision>53</cp:revision>
  <cp:lastPrinted>2016-11-21T11:54:00Z</cp:lastPrinted>
  <dcterms:created xsi:type="dcterms:W3CDTF">2016-01-20T15:09:00Z</dcterms:created>
  <dcterms:modified xsi:type="dcterms:W3CDTF">2017-02-09T15:16:00Z</dcterms:modified>
</cp:coreProperties>
</file>