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3B" w:rsidRPr="00621595" w:rsidRDefault="00D32E3B" w:rsidP="00B65C59">
      <w:pPr>
        <w:spacing w:after="0" w:line="240" w:lineRule="auto"/>
        <w:outlineLvl w:val="3"/>
        <w:rPr>
          <w:rFonts w:ascii="Times New Roman" w:eastAsia="Times New Roman" w:hAnsi="Times New Roman"/>
          <w:b/>
          <w:bCs/>
          <w:sz w:val="28"/>
          <w:szCs w:val="28"/>
          <w:lang w:eastAsia="lv-LV"/>
        </w:rPr>
      </w:pPr>
      <w:bookmarkStart w:id="0" w:name="OLE_LINK1"/>
      <w:bookmarkStart w:id="1" w:name="OLE_LINK2"/>
      <w:bookmarkStart w:id="2" w:name="OLE_LINK4"/>
      <w:bookmarkStart w:id="3" w:name="OLE_LINK5"/>
      <w:bookmarkStart w:id="4" w:name="_GoBack"/>
      <w:bookmarkEnd w:id="4"/>
    </w:p>
    <w:p w:rsidR="004A505F" w:rsidRPr="00621595" w:rsidRDefault="004A505F" w:rsidP="005C42B1">
      <w:pPr>
        <w:spacing w:after="0" w:line="240" w:lineRule="auto"/>
        <w:jc w:val="center"/>
        <w:outlineLvl w:val="3"/>
        <w:rPr>
          <w:rFonts w:ascii="Times New Roman" w:eastAsia="Times New Roman" w:hAnsi="Times New Roman"/>
          <w:b/>
          <w:bCs/>
          <w:sz w:val="28"/>
          <w:szCs w:val="28"/>
          <w:lang w:eastAsia="lv-LV"/>
        </w:rPr>
      </w:pPr>
    </w:p>
    <w:p w:rsidR="007C5781" w:rsidRPr="00621595" w:rsidRDefault="00C05444" w:rsidP="005C42B1">
      <w:pPr>
        <w:spacing w:after="0" w:line="240" w:lineRule="auto"/>
        <w:jc w:val="center"/>
        <w:outlineLvl w:val="3"/>
        <w:rPr>
          <w:rFonts w:ascii="Times New Roman" w:eastAsia="Times New Roman" w:hAnsi="Times New Roman"/>
          <w:b/>
          <w:bCs/>
          <w:sz w:val="28"/>
          <w:szCs w:val="28"/>
          <w:lang w:eastAsia="lv-LV"/>
        </w:rPr>
      </w:pPr>
      <w:r w:rsidRPr="00621595">
        <w:rPr>
          <w:rFonts w:ascii="Times New Roman" w:eastAsia="Times New Roman" w:hAnsi="Times New Roman"/>
          <w:b/>
          <w:bCs/>
          <w:sz w:val="28"/>
          <w:szCs w:val="28"/>
          <w:lang w:eastAsia="lv-LV"/>
        </w:rPr>
        <w:t xml:space="preserve">Ministru kabineta noteikumu projekta </w:t>
      </w:r>
      <w:bookmarkEnd w:id="0"/>
      <w:bookmarkEnd w:id="1"/>
      <w:r w:rsidR="001B53A6" w:rsidRPr="00621595">
        <w:rPr>
          <w:rFonts w:ascii="Times New Roman" w:eastAsia="Times New Roman" w:hAnsi="Times New Roman"/>
          <w:b/>
          <w:bCs/>
          <w:sz w:val="28"/>
          <w:szCs w:val="28"/>
          <w:lang w:eastAsia="lv-LV"/>
        </w:rPr>
        <w:t>“Grozījumi Ministru kabineta 2015.</w:t>
      </w:r>
      <w:r w:rsidR="000F5A14" w:rsidRPr="00621595">
        <w:rPr>
          <w:rFonts w:ascii="Times New Roman" w:eastAsia="Times New Roman" w:hAnsi="Times New Roman"/>
          <w:b/>
          <w:bCs/>
          <w:sz w:val="28"/>
          <w:szCs w:val="28"/>
          <w:lang w:eastAsia="lv-LV"/>
        </w:rPr>
        <w:t> </w:t>
      </w:r>
      <w:r w:rsidR="001B53A6" w:rsidRPr="00621595">
        <w:rPr>
          <w:rFonts w:ascii="Times New Roman" w:eastAsia="Times New Roman" w:hAnsi="Times New Roman"/>
          <w:b/>
          <w:bCs/>
          <w:sz w:val="28"/>
          <w:szCs w:val="28"/>
          <w:lang w:eastAsia="lv-LV"/>
        </w:rPr>
        <w:t>gada 14.</w:t>
      </w:r>
      <w:r w:rsidR="000F5A14" w:rsidRPr="00621595">
        <w:rPr>
          <w:rFonts w:ascii="Times New Roman" w:eastAsia="Times New Roman" w:hAnsi="Times New Roman"/>
          <w:b/>
          <w:bCs/>
          <w:sz w:val="28"/>
          <w:szCs w:val="28"/>
          <w:lang w:eastAsia="lv-LV"/>
        </w:rPr>
        <w:t> </w:t>
      </w:r>
      <w:r w:rsidR="001B53A6" w:rsidRPr="00621595">
        <w:rPr>
          <w:rFonts w:ascii="Times New Roman" w:eastAsia="Times New Roman" w:hAnsi="Times New Roman"/>
          <w:b/>
          <w:bCs/>
          <w:sz w:val="28"/>
          <w:szCs w:val="28"/>
          <w:lang w:eastAsia="lv-LV"/>
        </w:rPr>
        <w:t>jūlija noteikumos Nr.40</w:t>
      </w:r>
      <w:r w:rsidR="000F5A14" w:rsidRPr="00621595">
        <w:rPr>
          <w:rFonts w:ascii="Times New Roman" w:eastAsia="Times New Roman" w:hAnsi="Times New Roman"/>
          <w:b/>
          <w:bCs/>
          <w:sz w:val="28"/>
          <w:szCs w:val="28"/>
          <w:lang w:eastAsia="lv-LV"/>
        </w:rPr>
        <w:t>8</w:t>
      </w:r>
      <w:r w:rsidR="001B53A6" w:rsidRPr="00621595">
        <w:rPr>
          <w:rFonts w:ascii="Times New Roman" w:eastAsia="Times New Roman" w:hAnsi="Times New Roman"/>
          <w:b/>
          <w:bCs/>
          <w:sz w:val="28"/>
          <w:szCs w:val="28"/>
          <w:lang w:eastAsia="lv-LV"/>
        </w:rPr>
        <w:t xml:space="preserve"> “</w:t>
      </w:r>
      <w:r w:rsidR="000F5A14" w:rsidRPr="00621595">
        <w:rPr>
          <w:rFonts w:ascii="Times New Roman" w:eastAsia="Times New Roman" w:hAnsi="Times New Roman"/>
          <w:b/>
          <w:bCs/>
          <w:sz w:val="28"/>
          <w:szCs w:val="28"/>
          <w:lang w:eastAsia="lv-LV"/>
        </w:rPr>
        <w:t>Studiju programmu licencēšanas noteikumi</w:t>
      </w:r>
      <w:r w:rsidR="001B53A6" w:rsidRPr="00621595">
        <w:rPr>
          <w:rFonts w:ascii="Times New Roman" w:eastAsia="Times New Roman" w:hAnsi="Times New Roman"/>
          <w:b/>
          <w:bCs/>
          <w:sz w:val="28"/>
          <w:szCs w:val="28"/>
          <w:lang w:eastAsia="lv-LV"/>
        </w:rPr>
        <w:t xml:space="preserve">”” </w:t>
      </w:r>
      <w:r w:rsidRPr="00621595">
        <w:rPr>
          <w:rFonts w:ascii="Times New Roman" w:hAnsi="Times New Roman"/>
          <w:b/>
          <w:sz w:val="28"/>
          <w:szCs w:val="28"/>
        </w:rPr>
        <w:t>sākotnējās ietekmes novērtējuma ziņojums (anotācija)</w:t>
      </w:r>
      <w:bookmarkEnd w:id="2"/>
      <w:bookmarkEnd w:id="3"/>
    </w:p>
    <w:p w:rsidR="005C42B1" w:rsidRPr="00621595" w:rsidRDefault="005C42B1" w:rsidP="00583A5D">
      <w:pPr>
        <w:spacing w:after="0" w:line="240" w:lineRule="auto"/>
        <w:outlineLvl w:val="3"/>
        <w:rPr>
          <w:rFonts w:ascii="Times New Roman" w:eastAsia="Times New Roman" w:hAnsi="Times New Roman"/>
          <w:b/>
          <w:bCs/>
          <w:sz w:val="28"/>
          <w:szCs w:val="28"/>
          <w:lang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426"/>
        <w:gridCol w:w="2716"/>
        <w:gridCol w:w="6204"/>
      </w:tblGrid>
      <w:tr w:rsidR="00812271" w:rsidRPr="00621595" w:rsidTr="00AF6AED">
        <w:tc>
          <w:tcPr>
            <w:tcW w:w="4968" w:type="pct"/>
            <w:gridSpan w:val="3"/>
            <w:hideMark/>
          </w:tcPr>
          <w:p w:rsidR="00392D00" w:rsidRPr="00621595" w:rsidRDefault="00392D00" w:rsidP="00AF6AED">
            <w:pPr>
              <w:spacing w:after="0" w:line="240" w:lineRule="auto"/>
              <w:jc w:val="center"/>
              <w:rPr>
                <w:rFonts w:ascii="Times New Roman" w:eastAsia="Times New Roman" w:hAnsi="Times New Roman"/>
                <w:b/>
                <w:bCs/>
                <w:sz w:val="28"/>
                <w:szCs w:val="28"/>
                <w:lang w:eastAsia="lv-LV"/>
              </w:rPr>
            </w:pPr>
            <w:r w:rsidRPr="00621595">
              <w:rPr>
                <w:rFonts w:ascii="Times New Roman" w:eastAsia="Times New Roman" w:hAnsi="Times New Roman"/>
                <w:b/>
                <w:bCs/>
                <w:sz w:val="28"/>
                <w:szCs w:val="28"/>
                <w:lang w:eastAsia="lv-LV"/>
              </w:rPr>
              <w:t>I. Tiesību akta projekta izstrādes nepieciešamība</w:t>
            </w:r>
          </w:p>
        </w:tc>
      </w:tr>
      <w:tr w:rsidR="00812271" w:rsidRPr="00621595" w:rsidTr="00AF6AED">
        <w:tc>
          <w:tcPr>
            <w:tcW w:w="153" w:type="pct"/>
            <w:hideMark/>
          </w:tcPr>
          <w:p w:rsidR="00392D00" w:rsidRPr="00621595" w:rsidRDefault="00392D00" w:rsidP="00AF6AED">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1.</w:t>
            </w:r>
          </w:p>
        </w:tc>
        <w:tc>
          <w:tcPr>
            <w:tcW w:w="1480" w:type="pct"/>
            <w:hideMark/>
          </w:tcPr>
          <w:p w:rsidR="00392D00" w:rsidRPr="00621595" w:rsidRDefault="00392D00" w:rsidP="00AF6AED">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Pamatojums</w:t>
            </w:r>
          </w:p>
        </w:tc>
        <w:tc>
          <w:tcPr>
            <w:tcW w:w="3304" w:type="pct"/>
            <w:hideMark/>
          </w:tcPr>
          <w:p w:rsidR="005866B5" w:rsidRPr="00621595" w:rsidRDefault="002D0EB1" w:rsidP="00621595">
            <w:pPr>
              <w:spacing w:after="0" w:line="240" w:lineRule="auto"/>
              <w:jc w:val="both"/>
              <w:rPr>
                <w:rFonts w:ascii="Times New Roman" w:hAnsi="Times New Roman"/>
                <w:sz w:val="28"/>
                <w:szCs w:val="28"/>
              </w:rPr>
            </w:pPr>
            <w:r w:rsidRPr="00621595">
              <w:rPr>
                <w:rFonts w:ascii="Times New Roman" w:eastAsia="Times New Roman" w:hAnsi="Times New Roman"/>
                <w:bCs/>
                <w:sz w:val="28"/>
                <w:szCs w:val="28"/>
                <w:lang w:eastAsia="lv-LV"/>
              </w:rPr>
              <w:t>Mini</w:t>
            </w:r>
            <w:r w:rsidR="007147BE" w:rsidRPr="00621595">
              <w:rPr>
                <w:rFonts w:ascii="Times New Roman" w:eastAsia="Times New Roman" w:hAnsi="Times New Roman"/>
                <w:bCs/>
                <w:sz w:val="28"/>
                <w:szCs w:val="28"/>
                <w:lang w:eastAsia="lv-LV"/>
              </w:rPr>
              <w:t>stru kabineta noteikumu projekt</w:t>
            </w:r>
            <w:r w:rsidR="00A24CE8" w:rsidRPr="00621595">
              <w:rPr>
                <w:rFonts w:ascii="Times New Roman" w:eastAsia="Times New Roman" w:hAnsi="Times New Roman"/>
                <w:bCs/>
                <w:sz w:val="28"/>
                <w:szCs w:val="28"/>
                <w:lang w:eastAsia="lv-LV"/>
              </w:rPr>
              <w:t>s</w:t>
            </w:r>
            <w:r w:rsidR="001B53A6" w:rsidRPr="00621595">
              <w:rPr>
                <w:rFonts w:ascii="Times New Roman" w:eastAsia="Times New Roman" w:hAnsi="Times New Roman"/>
                <w:bCs/>
                <w:sz w:val="28"/>
                <w:szCs w:val="28"/>
                <w:lang w:eastAsia="lv-LV"/>
              </w:rPr>
              <w:t xml:space="preserve"> “</w:t>
            </w:r>
            <w:r w:rsidR="00A54BE6" w:rsidRPr="00621595">
              <w:rPr>
                <w:rFonts w:ascii="Times New Roman" w:hAnsi="Times New Roman"/>
                <w:bCs/>
                <w:sz w:val="28"/>
                <w:szCs w:val="28"/>
              </w:rPr>
              <w:t>Grozījumi</w:t>
            </w:r>
            <w:r w:rsidRPr="00621595">
              <w:rPr>
                <w:rFonts w:ascii="Times New Roman" w:hAnsi="Times New Roman"/>
                <w:bCs/>
                <w:sz w:val="28"/>
                <w:szCs w:val="28"/>
              </w:rPr>
              <w:t xml:space="preserve"> </w:t>
            </w:r>
            <w:r w:rsidR="001B53A6" w:rsidRPr="00621595">
              <w:rPr>
                <w:rFonts w:ascii="Times New Roman" w:hAnsi="Times New Roman"/>
                <w:sz w:val="28"/>
                <w:szCs w:val="28"/>
              </w:rPr>
              <w:t>Ministru kabineta 2015.gada 14.jūlija noteikumos Nr.40</w:t>
            </w:r>
            <w:r w:rsidR="000F5A14" w:rsidRPr="00621595">
              <w:rPr>
                <w:rFonts w:ascii="Times New Roman" w:hAnsi="Times New Roman"/>
                <w:sz w:val="28"/>
                <w:szCs w:val="28"/>
              </w:rPr>
              <w:t>8</w:t>
            </w:r>
            <w:r w:rsidRPr="00621595">
              <w:rPr>
                <w:rFonts w:ascii="Times New Roman" w:hAnsi="Times New Roman"/>
                <w:sz w:val="28"/>
                <w:szCs w:val="28"/>
              </w:rPr>
              <w:t xml:space="preserve"> </w:t>
            </w:r>
            <w:r w:rsidR="001B53A6" w:rsidRPr="00621595">
              <w:rPr>
                <w:rFonts w:ascii="Times New Roman" w:hAnsi="Times New Roman"/>
                <w:sz w:val="28"/>
                <w:szCs w:val="28"/>
              </w:rPr>
              <w:t>“</w:t>
            </w:r>
            <w:r w:rsidR="000F5A14" w:rsidRPr="00621595">
              <w:rPr>
                <w:rFonts w:ascii="Times New Roman" w:hAnsi="Times New Roman"/>
                <w:sz w:val="28"/>
                <w:szCs w:val="28"/>
              </w:rPr>
              <w:t>Studiju programmu licencēšanas noteikumi</w:t>
            </w:r>
            <w:r w:rsidRPr="00621595">
              <w:rPr>
                <w:rFonts w:ascii="Times New Roman" w:hAnsi="Times New Roman"/>
                <w:sz w:val="28"/>
                <w:szCs w:val="28"/>
              </w:rPr>
              <w:t>” (turpmāk –</w:t>
            </w:r>
            <w:r w:rsidR="00A54BE6" w:rsidRPr="00621595">
              <w:rPr>
                <w:rFonts w:ascii="Times New Roman" w:hAnsi="Times New Roman"/>
                <w:sz w:val="28"/>
                <w:szCs w:val="28"/>
              </w:rPr>
              <w:t xml:space="preserve"> </w:t>
            </w:r>
            <w:r w:rsidRPr="00621595">
              <w:rPr>
                <w:rFonts w:ascii="Times New Roman" w:hAnsi="Times New Roman"/>
                <w:sz w:val="28"/>
                <w:szCs w:val="28"/>
              </w:rPr>
              <w:t>pr</w:t>
            </w:r>
            <w:r w:rsidR="001B53A6" w:rsidRPr="00621595">
              <w:rPr>
                <w:rFonts w:ascii="Times New Roman" w:hAnsi="Times New Roman"/>
                <w:sz w:val="28"/>
                <w:szCs w:val="28"/>
              </w:rPr>
              <w:t>ojekts)</w:t>
            </w:r>
            <w:r w:rsidR="005866B5" w:rsidRPr="00621595">
              <w:rPr>
                <w:rFonts w:ascii="Times New Roman" w:hAnsi="Times New Roman"/>
                <w:sz w:val="28"/>
                <w:szCs w:val="28"/>
              </w:rPr>
              <w:t xml:space="preserve"> ir izstrādāts</w:t>
            </w:r>
            <w:r w:rsidR="001B53A6" w:rsidRPr="00621595">
              <w:rPr>
                <w:rFonts w:ascii="Times New Roman" w:hAnsi="Times New Roman"/>
                <w:sz w:val="28"/>
                <w:szCs w:val="28"/>
              </w:rPr>
              <w:t xml:space="preserve"> saskaņā ar</w:t>
            </w:r>
            <w:r w:rsidR="005866B5" w:rsidRPr="00621595">
              <w:rPr>
                <w:rFonts w:ascii="Times New Roman" w:hAnsi="Times New Roman"/>
                <w:sz w:val="28"/>
                <w:szCs w:val="28"/>
              </w:rPr>
              <w:t>:</w:t>
            </w:r>
          </w:p>
          <w:p w:rsidR="00357C02" w:rsidRPr="00621595" w:rsidRDefault="00DA32A6" w:rsidP="00621595">
            <w:pPr>
              <w:spacing w:after="0" w:line="240" w:lineRule="auto"/>
              <w:jc w:val="both"/>
              <w:rPr>
                <w:rFonts w:ascii="Times New Roman" w:eastAsia="Times New Roman" w:hAnsi="Times New Roman"/>
                <w:iCs/>
                <w:sz w:val="28"/>
                <w:szCs w:val="28"/>
                <w:lang w:eastAsia="lv-LV"/>
              </w:rPr>
            </w:pPr>
            <w:r w:rsidRPr="00621595">
              <w:rPr>
                <w:rFonts w:ascii="Times New Roman" w:hAnsi="Times New Roman"/>
                <w:sz w:val="28"/>
                <w:szCs w:val="28"/>
              </w:rPr>
              <w:t xml:space="preserve">     </w:t>
            </w:r>
            <w:r w:rsidR="005866B5" w:rsidRPr="00621595">
              <w:rPr>
                <w:rFonts w:ascii="Times New Roman" w:hAnsi="Times New Roman"/>
                <w:sz w:val="28"/>
                <w:szCs w:val="28"/>
              </w:rPr>
              <w:t xml:space="preserve">1) </w:t>
            </w:r>
            <w:hyperlink r:id="rId8" w:tgtFrame="_blank" w:history="1">
              <w:r w:rsidR="00F7119F" w:rsidRPr="00621595">
                <w:rPr>
                  <w:rFonts w:ascii="Times New Roman" w:eastAsia="Times New Roman" w:hAnsi="Times New Roman"/>
                  <w:iCs/>
                  <w:sz w:val="28"/>
                  <w:szCs w:val="28"/>
                  <w:lang w:eastAsia="lv-LV"/>
                </w:rPr>
                <w:t>Augstskolu likuma</w:t>
              </w:r>
            </w:hyperlink>
            <w:r w:rsidR="00F7119F" w:rsidRPr="00621595">
              <w:rPr>
                <w:rFonts w:ascii="Times New Roman" w:eastAsia="Times New Roman" w:hAnsi="Times New Roman"/>
                <w:iCs/>
                <w:sz w:val="28"/>
                <w:szCs w:val="28"/>
                <w:lang w:eastAsia="lv-LV"/>
              </w:rPr>
              <w:t xml:space="preserve"> </w:t>
            </w:r>
            <w:hyperlink r:id="rId9" w:anchor="p55.1" w:tgtFrame="_blank" w:history="1">
              <w:r w:rsidR="00F7119F" w:rsidRPr="00621595">
                <w:rPr>
                  <w:rFonts w:ascii="Times New Roman" w:eastAsia="Times New Roman" w:hAnsi="Times New Roman"/>
                  <w:iCs/>
                  <w:sz w:val="28"/>
                  <w:szCs w:val="28"/>
                  <w:lang w:eastAsia="lv-LV"/>
                </w:rPr>
                <w:t>55.</w:t>
              </w:r>
              <w:r w:rsidR="00F7119F" w:rsidRPr="00621595">
                <w:rPr>
                  <w:rFonts w:ascii="Times New Roman" w:eastAsia="Times New Roman" w:hAnsi="Times New Roman"/>
                  <w:iCs/>
                  <w:sz w:val="28"/>
                  <w:szCs w:val="28"/>
                  <w:vertAlign w:val="superscript"/>
                  <w:lang w:eastAsia="lv-LV"/>
                </w:rPr>
                <w:t>1</w:t>
              </w:r>
              <w:r w:rsidR="00F7119F" w:rsidRPr="00621595">
                <w:rPr>
                  <w:rFonts w:ascii="Times New Roman" w:eastAsia="Times New Roman" w:hAnsi="Times New Roman"/>
                  <w:iCs/>
                  <w:sz w:val="28"/>
                  <w:szCs w:val="28"/>
                  <w:lang w:eastAsia="lv-LV"/>
                </w:rPr>
                <w:t xml:space="preserve"> panta</w:t>
              </w:r>
            </w:hyperlink>
            <w:r w:rsidR="00F7119F" w:rsidRPr="00621595">
              <w:rPr>
                <w:rFonts w:ascii="Times New Roman" w:eastAsia="Times New Roman" w:hAnsi="Times New Roman"/>
                <w:iCs/>
                <w:sz w:val="28"/>
                <w:szCs w:val="28"/>
                <w:lang w:eastAsia="lv-LV"/>
              </w:rPr>
              <w:t xml:space="preserve"> trešo daļu, </w:t>
            </w:r>
            <w:hyperlink r:id="rId10" w:anchor="p55.2" w:tgtFrame="_blank" w:history="1">
              <w:r w:rsidR="00F7119F" w:rsidRPr="00621595">
                <w:rPr>
                  <w:rFonts w:ascii="Times New Roman" w:eastAsia="Times New Roman" w:hAnsi="Times New Roman"/>
                  <w:iCs/>
                  <w:sz w:val="28"/>
                  <w:szCs w:val="28"/>
                  <w:lang w:eastAsia="lv-LV"/>
                </w:rPr>
                <w:t>55.</w:t>
              </w:r>
              <w:r w:rsidR="00F7119F" w:rsidRPr="00621595">
                <w:rPr>
                  <w:rFonts w:ascii="Times New Roman" w:eastAsia="Times New Roman" w:hAnsi="Times New Roman"/>
                  <w:iCs/>
                  <w:sz w:val="28"/>
                  <w:szCs w:val="28"/>
                  <w:vertAlign w:val="superscript"/>
                  <w:lang w:eastAsia="lv-LV"/>
                </w:rPr>
                <w:t>2</w:t>
              </w:r>
              <w:r w:rsidR="00F7119F" w:rsidRPr="00621595">
                <w:rPr>
                  <w:rFonts w:ascii="Times New Roman" w:eastAsia="Times New Roman" w:hAnsi="Times New Roman"/>
                  <w:iCs/>
                  <w:sz w:val="28"/>
                  <w:szCs w:val="28"/>
                  <w:lang w:eastAsia="lv-LV"/>
                </w:rPr>
                <w:t xml:space="preserve"> panta</w:t>
              </w:r>
            </w:hyperlink>
            <w:r w:rsidR="00F7119F" w:rsidRPr="00621595">
              <w:rPr>
                <w:rFonts w:ascii="Times New Roman" w:eastAsia="Times New Roman" w:hAnsi="Times New Roman"/>
                <w:iCs/>
                <w:sz w:val="28"/>
                <w:szCs w:val="28"/>
                <w:lang w:eastAsia="lv-LV"/>
              </w:rPr>
              <w:t xml:space="preserve"> septīto daļu un </w:t>
            </w:r>
            <w:hyperlink r:id="rId11" w:tgtFrame="_blank" w:history="1">
              <w:r w:rsidR="00F7119F" w:rsidRPr="00621595">
                <w:rPr>
                  <w:rFonts w:ascii="Times New Roman" w:eastAsia="Times New Roman" w:hAnsi="Times New Roman"/>
                  <w:iCs/>
                  <w:sz w:val="28"/>
                  <w:szCs w:val="28"/>
                  <w:lang w:eastAsia="lv-LV"/>
                </w:rPr>
                <w:t>Izglītības likuma</w:t>
              </w:r>
            </w:hyperlink>
            <w:r w:rsidR="00F7119F" w:rsidRPr="00621595">
              <w:rPr>
                <w:rFonts w:ascii="Times New Roman" w:eastAsia="Times New Roman" w:hAnsi="Times New Roman"/>
                <w:iCs/>
                <w:sz w:val="28"/>
                <w:szCs w:val="28"/>
                <w:lang w:eastAsia="lv-LV"/>
              </w:rPr>
              <w:t xml:space="preserve"> </w:t>
            </w:r>
            <w:hyperlink r:id="rId12" w:anchor="p14" w:tgtFrame="_blank" w:history="1">
              <w:r w:rsidR="00F7119F" w:rsidRPr="00621595">
                <w:rPr>
                  <w:rFonts w:ascii="Times New Roman" w:eastAsia="Times New Roman" w:hAnsi="Times New Roman"/>
                  <w:iCs/>
                  <w:sz w:val="28"/>
                  <w:szCs w:val="28"/>
                  <w:lang w:eastAsia="lv-LV"/>
                </w:rPr>
                <w:t>14. panta</w:t>
              </w:r>
            </w:hyperlink>
            <w:r w:rsidR="00F7119F" w:rsidRPr="00621595">
              <w:rPr>
                <w:rFonts w:ascii="Times New Roman" w:eastAsia="Times New Roman" w:hAnsi="Times New Roman"/>
                <w:iCs/>
                <w:sz w:val="28"/>
                <w:szCs w:val="28"/>
                <w:lang w:eastAsia="lv-LV"/>
              </w:rPr>
              <w:t xml:space="preserve"> 11. punktu</w:t>
            </w:r>
            <w:r w:rsidR="005866B5" w:rsidRPr="00621595">
              <w:rPr>
                <w:rFonts w:ascii="Times New Roman" w:eastAsia="Times New Roman" w:hAnsi="Times New Roman"/>
                <w:iCs/>
                <w:sz w:val="28"/>
                <w:szCs w:val="28"/>
                <w:lang w:eastAsia="lv-LV"/>
              </w:rPr>
              <w:t>;</w:t>
            </w:r>
          </w:p>
          <w:p w:rsidR="0022159D" w:rsidRPr="00621595" w:rsidRDefault="00DA32A6" w:rsidP="00621595">
            <w:pPr>
              <w:spacing w:after="0" w:line="240" w:lineRule="auto"/>
              <w:jc w:val="both"/>
              <w:rPr>
                <w:rFonts w:ascii="Times New Roman" w:eastAsia="Times New Roman" w:hAnsi="Times New Roman"/>
                <w:bCs/>
                <w:iCs/>
                <w:sz w:val="28"/>
                <w:szCs w:val="28"/>
                <w:lang w:eastAsia="lv-LV"/>
              </w:rPr>
            </w:pPr>
            <w:r w:rsidRPr="00621595">
              <w:rPr>
                <w:rFonts w:ascii="Times New Roman" w:eastAsia="Times New Roman" w:hAnsi="Times New Roman"/>
                <w:iCs/>
                <w:sz w:val="28"/>
                <w:szCs w:val="28"/>
                <w:lang w:eastAsia="lv-LV"/>
              </w:rPr>
              <w:t xml:space="preserve">     2) </w:t>
            </w:r>
            <w:r w:rsidR="0036535E" w:rsidRPr="00621595">
              <w:rPr>
                <w:rFonts w:ascii="Times New Roman" w:eastAsia="Times New Roman" w:hAnsi="Times New Roman"/>
                <w:bCs/>
                <w:iCs/>
                <w:sz w:val="28"/>
                <w:szCs w:val="28"/>
                <w:lang w:eastAsia="lv-LV"/>
              </w:rPr>
              <w:t>Izglītības attīstības pamatnostādņu 2014.-2020.gadam īstenošanas plān</w:t>
            </w:r>
            <w:r w:rsidR="00224523" w:rsidRPr="00621595">
              <w:rPr>
                <w:rFonts w:ascii="Times New Roman" w:eastAsia="Times New Roman" w:hAnsi="Times New Roman"/>
                <w:bCs/>
                <w:iCs/>
                <w:sz w:val="28"/>
                <w:szCs w:val="28"/>
                <w:lang w:eastAsia="lv-LV"/>
              </w:rPr>
              <w:t>a</w:t>
            </w:r>
            <w:r w:rsidR="0036535E" w:rsidRPr="00621595">
              <w:rPr>
                <w:rFonts w:ascii="Times New Roman" w:eastAsia="Times New Roman" w:hAnsi="Times New Roman"/>
                <w:bCs/>
                <w:iCs/>
                <w:sz w:val="28"/>
                <w:szCs w:val="28"/>
                <w:lang w:eastAsia="lv-LV"/>
              </w:rPr>
              <w:t xml:space="preserve"> 2015.-2017.gadam</w:t>
            </w:r>
            <w:r w:rsidR="00224523" w:rsidRPr="00621595">
              <w:rPr>
                <w:rFonts w:ascii="Times New Roman" w:eastAsia="Times New Roman" w:hAnsi="Times New Roman"/>
                <w:bCs/>
                <w:iCs/>
                <w:sz w:val="28"/>
                <w:szCs w:val="28"/>
                <w:lang w:eastAsia="lv-LV"/>
              </w:rPr>
              <w:t xml:space="preserve"> (akcep</w:t>
            </w:r>
            <w:r w:rsidR="00621595">
              <w:rPr>
                <w:rFonts w:ascii="Times New Roman" w:eastAsia="Times New Roman" w:hAnsi="Times New Roman"/>
                <w:bCs/>
                <w:iCs/>
                <w:sz w:val="28"/>
                <w:szCs w:val="28"/>
                <w:lang w:eastAsia="lv-LV"/>
              </w:rPr>
              <w:t>tēts ar Ministru kabineta 2015.gada 29.</w:t>
            </w:r>
            <w:r w:rsidR="00224523" w:rsidRPr="00621595">
              <w:rPr>
                <w:rFonts w:ascii="Times New Roman" w:eastAsia="Times New Roman" w:hAnsi="Times New Roman"/>
                <w:bCs/>
                <w:iCs/>
                <w:sz w:val="28"/>
                <w:szCs w:val="28"/>
                <w:lang w:eastAsia="lv-LV"/>
              </w:rPr>
              <w:t xml:space="preserve">jūnija rīkojumu Nr.331) </w:t>
            </w:r>
            <w:r w:rsidR="00B501DC" w:rsidRPr="00621595">
              <w:rPr>
                <w:rFonts w:ascii="Times New Roman" w:eastAsia="Times New Roman" w:hAnsi="Times New Roman"/>
                <w:bCs/>
                <w:iCs/>
                <w:sz w:val="28"/>
                <w:szCs w:val="28"/>
                <w:lang w:eastAsia="lv-LV"/>
              </w:rPr>
              <w:t xml:space="preserve"> (turpmāk – pamatnostādnes)</w:t>
            </w:r>
            <w:r w:rsidR="0036535E" w:rsidRPr="00621595">
              <w:rPr>
                <w:rFonts w:ascii="Times New Roman" w:eastAsia="Times New Roman" w:hAnsi="Times New Roman"/>
                <w:bCs/>
                <w:iCs/>
                <w:sz w:val="28"/>
                <w:szCs w:val="28"/>
                <w:lang w:eastAsia="lv-LV"/>
              </w:rPr>
              <w:t xml:space="preserve"> IV</w:t>
            </w:r>
            <w:r w:rsidR="00224523" w:rsidRPr="00621595">
              <w:rPr>
                <w:rFonts w:ascii="Times New Roman" w:eastAsia="Times New Roman" w:hAnsi="Times New Roman"/>
                <w:bCs/>
                <w:iCs/>
                <w:sz w:val="28"/>
                <w:szCs w:val="28"/>
                <w:lang w:eastAsia="lv-LV"/>
              </w:rPr>
              <w:t xml:space="preserve"> </w:t>
            </w:r>
            <w:r w:rsidR="0036535E" w:rsidRPr="00621595">
              <w:rPr>
                <w:rFonts w:ascii="Times New Roman" w:eastAsia="Times New Roman" w:hAnsi="Times New Roman"/>
                <w:bCs/>
                <w:iCs/>
                <w:sz w:val="28"/>
                <w:szCs w:val="28"/>
                <w:lang w:eastAsia="lv-LV"/>
              </w:rPr>
              <w:t>daļas 3.1.8.apakšpunkt</w:t>
            </w:r>
            <w:r w:rsidR="005866B5" w:rsidRPr="00621595">
              <w:rPr>
                <w:rFonts w:ascii="Times New Roman" w:eastAsia="Times New Roman" w:hAnsi="Times New Roman"/>
                <w:bCs/>
                <w:iCs/>
                <w:sz w:val="28"/>
                <w:szCs w:val="28"/>
                <w:lang w:eastAsia="lv-LV"/>
              </w:rPr>
              <w:t>u, ka</w:t>
            </w:r>
            <w:r w:rsidR="0036535E" w:rsidRPr="00621595">
              <w:rPr>
                <w:rFonts w:ascii="Times New Roman" w:eastAsia="Times New Roman" w:hAnsi="Times New Roman"/>
                <w:bCs/>
                <w:iCs/>
                <w:sz w:val="28"/>
                <w:szCs w:val="28"/>
                <w:lang w:eastAsia="lv-LV"/>
              </w:rPr>
              <w:t>s paredz līdz 2017. gada 30. decembrim veikt</w:t>
            </w:r>
            <w:r w:rsidR="0036535E" w:rsidRPr="00621595">
              <w:rPr>
                <w:rFonts w:ascii="Times New Roman" w:hAnsi="Times New Roman"/>
                <w:sz w:val="28"/>
                <w:szCs w:val="28"/>
                <w:shd w:val="clear" w:color="auto" w:fill="FFFFFF"/>
              </w:rPr>
              <w:t xml:space="preserve"> </w:t>
            </w:r>
            <w:r w:rsidR="0036535E" w:rsidRPr="00621595">
              <w:rPr>
                <w:rFonts w:ascii="Times New Roman" w:eastAsia="Times New Roman" w:hAnsi="Times New Roman"/>
                <w:bCs/>
                <w:iCs/>
                <w:sz w:val="28"/>
                <w:szCs w:val="28"/>
                <w:lang w:eastAsia="lv-LV"/>
              </w:rPr>
              <w:t>nacionālās kvalitātes nodrošināšanas aģentūras darbības izvērtēšanu iekļūšanai Eiropas augstākās izglītības kvalitātes nodrošināšanas reģistrā</w:t>
            </w:r>
            <w:r w:rsidR="000174CC" w:rsidRPr="00621595">
              <w:rPr>
                <w:rStyle w:val="FootnoteReference"/>
                <w:rFonts w:ascii="Times New Roman" w:eastAsia="Times New Roman" w:hAnsi="Times New Roman"/>
                <w:bCs/>
                <w:iCs/>
                <w:sz w:val="28"/>
                <w:szCs w:val="28"/>
                <w:lang w:eastAsia="lv-LV"/>
              </w:rPr>
              <w:footnoteReference w:id="1"/>
            </w:r>
            <w:r w:rsidR="0036535E" w:rsidRPr="00621595">
              <w:rPr>
                <w:rFonts w:ascii="Times New Roman" w:eastAsia="Times New Roman" w:hAnsi="Times New Roman"/>
                <w:bCs/>
                <w:iCs/>
                <w:sz w:val="28"/>
                <w:szCs w:val="28"/>
                <w:lang w:eastAsia="lv-LV"/>
              </w:rPr>
              <w:t xml:space="preserve"> (turpmāk – EQAR).</w:t>
            </w:r>
          </w:p>
        </w:tc>
      </w:tr>
      <w:tr w:rsidR="00812271" w:rsidRPr="00621595" w:rsidTr="00AF6AED">
        <w:tc>
          <w:tcPr>
            <w:tcW w:w="153" w:type="pct"/>
            <w:hideMark/>
          </w:tcPr>
          <w:p w:rsidR="00392D00" w:rsidRPr="00621595" w:rsidRDefault="00392D00" w:rsidP="00AF6AED">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2.</w:t>
            </w:r>
          </w:p>
        </w:tc>
        <w:tc>
          <w:tcPr>
            <w:tcW w:w="1480" w:type="pct"/>
            <w:hideMark/>
          </w:tcPr>
          <w:p w:rsidR="00392D00" w:rsidRPr="00621595" w:rsidRDefault="00812271" w:rsidP="00AF6AED">
            <w:pPr>
              <w:spacing w:after="0" w:line="240" w:lineRule="auto"/>
              <w:jc w:val="both"/>
              <w:rPr>
                <w:rFonts w:ascii="Times New Roman" w:hAnsi="Times New Roman"/>
                <w:sz w:val="28"/>
                <w:szCs w:val="28"/>
              </w:rPr>
            </w:pPr>
            <w:r w:rsidRPr="00621595">
              <w:rPr>
                <w:rFonts w:ascii="Times New Roman" w:hAnsi="Times New Roman"/>
                <w:sz w:val="28"/>
                <w:szCs w:val="28"/>
              </w:rPr>
              <w:t>Pašreizējā situācija un problēmas, kuru risināšanai tiesību akta projekts izstrādāts, tiesiskā regulējuma mērķis un būtība</w:t>
            </w:r>
          </w:p>
          <w:p w:rsidR="00F56A35" w:rsidRPr="00621595" w:rsidRDefault="00F56A35" w:rsidP="00AF6AED">
            <w:pPr>
              <w:spacing w:after="0" w:line="240" w:lineRule="auto"/>
              <w:jc w:val="both"/>
              <w:rPr>
                <w:rFonts w:ascii="Times New Roman" w:eastAsia="Times New Roman" w:hAnsi="Times New Roman"/>
                <w:sz w:val="28"/>
                <w:szCs w:val="28"/>
                <w:lang w:eastAsia="lv-LV"/>
              </w:rPr>
            </w:pPr>
          </w:p>
        </w:tc>
        <w:tc>
          <w:tcPr>
            <w:tcW w:w="3304" w:type="pct"/>
            <w:hideMark/>
          </w:tcPr>
          <w:p w:rsidR="00224523" w:rsidRPr="00621595" w:rsidRDefault="004D4927" w:rsidP="00224523">
            <w:pPr>
              <w:spacing w:after="0" w:line="240" w:lineRule="auto"/>
              <w:jc w:val="both"/>
              <w:rPr>
                <w:rFonts w:ascii="Times New Roman" w:hAnsi="Times New Roman"/>
                <w:color w:val="000000" w:themeColor="text1"/>
                <w:sz w:val="28"/>
                <w:szCs w:val="28"/>
              </w:rPr>
            </w:pPr>
            <w:r w:rsidRPr="00621595">
              <w:rPr>
                <w:rFonts w:ascii="Times New Roman" w:hAnsi="Times New Roman"/>
                <w:sz w:val="28"/>
                <w:szCs w:val="28"/>
              </w:rPr>
              <w:t xml:space="preserve">     </w:t>
            </w:r>
            <w:r w:rsidR="00224523" w:rsidRPr="00621595">
              <w:rPr>
                <w:rFonts w:ascii="Times New Roman" w:hAnsi="Times New Roman"/>
                <w:sz w:val="28"/>
                <w:szCs w:val="28"/>
              </w:rPr>
              <w:t xml:space="preserve">Studiju programmu licencēšanas procedūru regulē Ministru kabineta 2015. gada 14. jūlija noteikumi Nr.408 “Studiju programmu licencēšanas noteikumi” (turpmāk – MK noteikumi), kas </w:t>
            </w:r>
            <w:r w:rsidR="007F4D4F" w:rsidRPr="00621595">
              <w:rPr>
                <w:rFonts w:ascii="Times New Roman" w:hAnsi="Times New Roman"/>
                <w:sz w:val="28"/>
                <w:szCs w:val="28"/>
              </w:rPr>
              <w:t>noteic</w:t>
            </w:r>
            <w:r w:rsidR="00224523" w:rsidRPr="00621595">
              <w:rPr>
                <w:rFonts w:ascii="Times New Roman" w:hAnsi="Times New Roman"/>
                <w:color w:val="000000" w:themeColor="text1"/>
                <w:sz w:val="28"/>
                <w:szCs w:val="28"/>
              </w:rPr>
              <w:t xml:space="preserve">, ka </w:t>
            </w:r>
            <w:r w:rsidR="00224523" w:rsidRPr="00621595">
              <w:rPr>
                <w:rFonts w:ascii="Times New Roman" w:eastAsia="Times New Roman" w:hAnsi="Times New Roman"/>
                <w:color w:val="000000" w:themeColor="text1"/>
                <w:sz w:val="28"/>
                <w:szCs w:val="28"/>
                <w:lang w:eastAsia="lv-LV"/>
              </w:rPr>
              <w:t>studiju programmu licencēšanu organizē nodibinājums “Akadēmiskās informācijas centrs” (turpmāk – centrs)</w:t>
            </w:r>
            <w:r w:rsidR="007F4D4F" w:rsidRPr="00621595">
              <w:rPr>
                <w:rFonts w:ascii="Times New Roman" w:hAnsi="Times New Roman"/>
                <w:color w:val="000000" w:themeColor="text1"/>
                <w:sz w:val="28"/>
                <w:szCs w:val="28"/>
              </w:rPr>
              <w:t>. Papildu minētajam MK noteikumi nosaka</w:t>
            </w:r>
            <w:r w:rsidR="00224523" w:rsidRPr="00621595">
              <w:rPr>
                <w:rFonts w:ascii="Times New Roman" w:hAnsi="Times New Roman"/>
                <w:color w:val="000000" w:themeColor="text1"/>
                <w:sz w:val="28"/>
                <w:szCs w:val="28"/>
              </w:rPr>
              <w:t xml:space="preserve"> studiju programmu licencēšanas kārtību, kritērijus, pēc kuriem vērtē studiju programmas licencēšanas procesā, kārtību, kādā izveidojama studiju programmas licencēšanas komisija, kas pieņem lēmumu par studiju programmas licencēšanu, šis komisijas tiesības un pienākumus, ekspertu kopīgā atzinuma formu, kā arī licences paraugu.</w:t>
            </w:r>
          </w:p>
          <w:p w:rsidR="00E2793C" w:rsidRPr="00621595" w:rsidRDefault="004D4927" w:rsidP="004D4927">
            <w:pPr>
              <w:spacing w:after="0" w:line="240" w:lineRule="auto"/>
              <w:jc w:val="both"/>
              <w:rPr>
                <w:rFonts w:ascii="Times New Roman" w:eastAsia="Times New Roman" w:hAnsi="Times New Roman"/>
                <w:bCs/>
                <w:iCs/>
                <w:sz w:val="28"/>
                <w:szCs w:val="28"/>
                <w:lang w:eastAsia="lv-LV"/>
              </w:rPr>
            </w:pPr>
            <w:r w:rsidRPr="00621595">
              <w:rPr>
                <w:rFonts w:ascii="Times New Roman" w:hAnsi="Times New Roman"/>
                <w:bCs/>
                <w:sz w:val="28"/>
                <w:szCs w:val="28"/>
              </w:rPr>
              <w:t xml:space="preserve">     </w:t>
            </w:r>
            <w:r w:rsidR="00F4186E" w:rsidRPr="00621595">
              <w:rPr>
                <w:rFonts w:ascii="Times New Roman" w:hAnsi="Times New Roman"/>
                <w:bCs/>
                <w:sz w:val="28"/>
                <w:szCs w:val="28"/>
              </w:rPr>
              <w:t xml:space="preserve">Ņemot vērā </w:t>
            </w:r>
            <w:r w:rsidR="00F4186E" w:rsidRPr="00621595">
              <w:rPr>
                <w:rFonts w:ascii="Times New Roman" w:eastAsia="Times New Roman" w:hAnsi="Times New Roman"/>
                <w:bCs/>
                <w:iCs/>
                <w:sz w:val="28"/>
                <w:szCs w:val="28"/>
                <w:lang w:eastAsia="lv-LV"/>
              </w:rPr>
              <w:t xml:space="preserve">Eiropas Savienības Padomes rekomendācijas par augstākās izglītības reformām, kā </w:t>
            </w:r>
            <w:r w:rsidR="00F4186E" w:rsidRPr="00621595">
              <w:rPr>
                <w:rFonts w:ascii="Times New Roman" w:eastAsia="Times New Roman" w:hAnsi="Times New Roman"/>
                <w:bCs/>
                <w:iCs/>
                <w:sz w:val="28"/>
                <w:szCs w:val="28"/>
                <w:lang w:eastAsia="lv-LV"/>
              </w:rPr>
              <w:lastRenderedPageBreak/>
              <w:t>arī to, ka Latvija ir Boloņas procesa</w:t>
            </w:r>
            <w:r w:rsidR="000503AD" w:rsidRPr="00621595">
              <w:rPr>
                <w:rStyle w:val="FootnoteReference"/>
                <w:rFonts w:ascii="Times New Roman" w:eastAsia="Times New Roman" w:hAnsi="Times New Roman"/>
                <w:bCs/>
                <w:iCs/>
                <w:sz w:val="28"/>
                <w:szCs w:val="28"/>
                <w:lang w:eastAsia="lv-LV"/>
              </w:rPr>
              <w:footnoteReference w:id="2"/>
            </w:r>
            <w:r w:rsidR="00F4186E" w:rsidRPr="00621595">
              <w:rPr>
                <w:rFonts w:ascii="Times New Roman" w:eastAsia="Times New Roman" w:hAnsi="Times New Roman"/>
                <w:bCs/>
                <w:iCs/>
                <w:sz w:val="28"/>
                <w:szCs w:val="28"/>
                <w:lang w:eastAsia="lv-LV"/>
              </w:rPr>
              <w:t xml:space="preserve"> dalībvalsts un ir apņēmusies nodrošināt kopīgi izvirzītu mērķu sasniegšanu augstākās izglītības kvalitātes jomā, ir būtiski izveidot tādu kvalitātes nodrošināšanas sistēmu, kas atbilst Standartiem un vadlīnijām kvalitātes </w:t>
            </w:r>
            <w:r w:rsidR="00530499" w:rsidRPr="00621595">
              <w:rPr>
                <w:rFonts w:ascii="Times New Roman" w:eastAsia="Times New Roman" w:hAnsi="Times New Roman"/>
                <w:bCs/>
                <w:iCs/>
                <w:sz w:val="28"/>
                <w:szCs w:val="28"/>
                <w:lang w:eastAsia="lv-LV"/>
              </w:rPr>
              <w:t>nodrošināšanai Eiropas augstākās izglītības telpā</w:t>
            </w:r>
            <w:r w:rsidR="00530499" w:rsidRPr="00621595">
              <w:rPr>
                <w:rStyle w:val="FootnoteReference"/>
                <w:rFonts w:ascii="Times New Roman" w:eastAsia="Times New Roman" w:hAnsi="Times New Roman"/>
                <w:bCs/>
                <w:iCs/>
                <w:sz w:val="28"/>
                <w:szCs w:val="28"/>
                <w:lang w:eastAsia="lv-LV"/>
              </w:rPr>
              <w:footnoteReference w:id="3"/>
            </w:r>
            <w:r w:rsidR="000503AD" w:rsidRPr="00621595">
              <w:rPr>
                <w:rFonts w:ascii="Times New Roman" w:eastAsia="Times New Roman" w:hAnsi="Times New Roman"/>
                <w:bCs/>
                <w:iCs/>
                <w:sz w:val="28"/>
                <w:szCs w:val="28"/>
                <w:lang w:eastAsia="lv-LV"/>
              </w:rPr>
              <w:t xml:space="preserve"> (turpmāk </w:t>
            </w:r>
            <w:r w:rsidR="00DB3DA6" w:rsidRPr="00621595">
              <w:rPr>
                <w:rFonts w:ascii="Times New Roman" w:eastAsia="Times New Roman" w:hAnsi="Times New Roman"/>
                <w:bCs/>
                <w:iCs/>
                <w:sz w:val="28"/>
                <w:szCs w:val="28"/>
                <w:lang w:eastAsia="lv-LV"/>
              </w:rPr>
              <w:t>–</w:t>
            </w:r>
            <w:r w:rsidR="000503AD" w:rsidRPr="00621595">
              <w:rPr>
                <w:rFonts w:ascii="Times New Roman" w:eastAsia="Times New Roman" w:hAnsi="Times New Roman"/>
                <w:bCs/>
                <w:iCs/>
                <w:sz w:val="28"/>
                <w:szCs w:val="28"/>
                <w:lang w:eastAsia="lv-LV"/>
              </w:rPr>
              <w:t xml:space="preserve"> </w:t>
            </w:r>
            <w:r w:rsidR="00DB3DA6" w:rsidRPr="00621595">
              <w:rPr>
                <w:rFonts w:ascii="Times New Roman" w:eastAsia="Times New Roman" w:hAnsi="Times New Roman"/>
                <w:bCs/>
                <w:iCs/>
                <w:sz w:val="28"/>
                <w:szCs w:val="28"/>
                <w:lang w:eastAsia="lv-LV"/>
              </w:rPr>
              <w:t>Standarti</w:t>
            </w:r>
            <w:r w:rsidR="000503AD" w:rsidRPr="00621595">
              <w:rPr>
                <w:rFonts w:ascii="Times New Roman" w:eastAsia="Times New Roman" w:hAnsi="Times New Roman"/>
                <w:bCs/>
                <w:iCs/>
                <w:sz w:val="28"/>
                <w:szCs w:val="28"/>
                <w:lang w:eastAsia="lv-LV"/>
              </w:rPr>
              <w:t>).</w:t>
            </w:r>
            <w:r w:rsidR="00E2793C" w:rsidRPr="00621595">
              <w:rPr>
                <w:rFonts w:ascii="Times New Roman" w:eastAsia="Times New Roman" w:hAnsi="Times New Roman"/>
                <w:bCs/>
                <w:iCs/>
                <w:sz w:val="28"/>
                <w:szCs w:val="28"/>
                <w:lang w:eastAsia="lv-LV"/>
              </w:rPr>
              <w:t xml:space="preserve"> </w:t>
            </w:r>
            <w:r w:rsidR="00E2793C" w:rsidRPr="00621595">
              <w:rPr>
                <w:rFonts w:ascii="Times New Roman" w:hAnsi="Times New Roman"/>
                <w:sz w:val="28"/>
                <w:szCs w:val="28"/>
              </w:rPr>
              <w:t>Līdz ar to Latvijas augstākās izglītības kvalitātes nodrošināšanas institūcijai savā darbībā ir jāievēro S</w:t>
            </w:r>
            <w:r w:rsidR="0060162E" w:rsidRPr="00621595">
              <w:rPr>
                <w:rFonts w:ascii="Times New Roman" w:hAnsi="Times New Roman"/>
                <w:sz w:val="28"/>
                <w:szCs w:val="28"/>
              </w:rPr>
              <w:t>tandarti</w:t>
            </w:r>
            <w:r w:rsidR="00E2793C" w:rsidRPr="00621595">
              <w:rPr>
                <w:rFonts w:ascii="Times New Roman" w:hAnsi="Times New Roman"/>
                <w:sz w:val="28"/>
                <w:szCs w:val="28"/>
              </w:rPr>
              <w:t xml:space="preserve">. </w:t>
            </w:r>
          </w:p>
          <w:p w:rsidR="00530499" w:rsidRPr="00621595" w:rsidRDefault="00DA32A6" w:rsidP="00F4186E">
            <w:pPr>
              <w:spacing w:after="0" w:line="240" w:lineRule="auto"/>
              <w:jc w:val="both"/>
              <w:rPr>
                <w:rFonts w:ascii="Times New Roman" w:eastAsia="Times New Roman" w:hAnsi="Times New Roman"/>
                <w:bCs/>
                <w:iCs/>
                <w:sz w:val="28"/>
                <w:szCs w:val="28"/>
                <w:lang w:eastAsia="lv-LV"/>
              </w:rPr>
            </w:pPr>
            <w:r w:rsidRPr="00621595">
              <w:rPr>
                <w:rFonts w:ascii="Times New Roman" w:eastAsia="Times New Roman" w:hAnsi="Times New Roman"/>
                <w:bCs/>
                <w:iCs/>
                <w:sz w:val="28"/>
                <w:szCs w:val="28"/>
                <w:lang w:eastAsia="lv-LV"/>
              </w:rPr>
              <w:t xml:space="preserve">     </w:t>
            </w:r>
            <w:r w:rsidR="00530499" w:rsidRPr="00621595">
              <w:rPr>
                <w:rFonts w:ascii="Times New Roman" w:eastAsia="Times New Roman" w:hAnsi="Times New Roman"/>
                <w:bCs/>
                <w:iCs/>
                <w:sz w:val="28"/>
                <w:szCs w:val="28"/>
                <w:lang w:eastAsia="lv-LV"/>
              </w:rPr>
              <w:t>Ar Ministru kabineta 2014.gada 3.novembra rīkojuma Nr.640 “Par koncepciju “Latvijas augstākās izglītības ārējās kvalitātes nodrošināšanas si</w:t>
            </w:r>
            <w:r w:rsidR="00621595">
              <w:rPr>
                <w:rFonts w:ascii="Times New Roman" w:eastAsia="Times New Roman" w:hAnsi="Times New Roman"/>
                <w:bCs/>
                <w:iCs/>
                <w:sz w:val="28"/>
                <w:szCs w:val="28"/>
                <w:lang w:eastAsia="lv-LV"/>
              </w:rPr>
              <w:t>stēmas pilnveide” 1.punktu tika</w:t>
            </w:r>
            <w:r w:rsidR="00530499" w:rsidRPr="00621595">
              <w:rPr>
                <w:rFonts w:ascii="Times New Roman" w:eastAsia="Times New Roman" w:hAnsi="Times New Roman"/>
                <w:bCs/>
                <w:iCs/>
                <w:sz w:val="28"/>
                <w:szCs w:val="28"/>
                <w:lang w:eastAsia="lv-LV"/>
              </w:rPr>
              <w:t xml:space="preserve"> atbalstīts koncepcijā “Latvijas augstākās izglītības ārējās kvalitātes nodrošināšanas sistēmas pilnveide” ietvertais risinājums - akreditācijas un licencēšanas organizēšanas funkciju nodot centram</w:t>
            </w:r>
            <w:r w:rsidR="00A24CE8" w:rsidRPr="00621595">
              <w:rPr>
                <w:rFonts w:ascii="Times New Roman" w:eastAsia="Times New Roman" w:hAnsi="Times New Roman"/>
                <w:bCs/>
                <w:iCs/>
                <w:sz w:val="28"/>
                <w:szCs w:val="28"/>
                <w:lang w:eastAsia="lv-LV"/>
              </w:rPr>
              <w:t>, kas faktiski pilda nacionālās kvalitātes nodrošināšanas aģentūras funkcijas Standartu izpratnē</w:t>
            </w:r>
            <w:r w:rsidR="00530499" w:rsidRPr="00621595">
              <w:rPr>
                <w:rFonts w:ascii="Times New Roman" w:eastAsia="Times New Roman" w:hAnsi="Times New Roman"/>
                <w:bCs/>
                <w:iCs/>
                <w:sz w:val="28"/>
                <w:szCs w:val="28"/>
                <w:lang w:eastAsia="lv-LV"/>
              </w:rPr>
              <w:t>.</w:t>
            </w:r>
          </w:p>
          <w:p w:rsidR="006827A8" w:rsidRPr="00621595" w:rsidRDefault="006827A8" w:rsidP="00F4186E">
            <w:pPr>
              <w:spacing w:after="0" w:line="240" w:lineRule="auto"/>
              <w:jc w:val="both"/>
              <w:rPr>
                <w:rFonts w:ascii="Times New Roman" w:eastAsia="Times New Roman" w:hAnsi="Times New Roman"/>
                <w:bCs/>
                <w:iCs/>
                <w:sz w:val="28"/>
                <w:szCs w:val="28"/>
                <w:lang w:eastAsia="lv-LV"/>
              </w:rPr>
            </w:pPr>
            <w:r w:rsidRPr="00621595">
              <w:rPr>
                <w:rFonts w:ascii="Times New Roman" w:hAnsi="Times New Roman"/>
                <w:bCs/>
                <w:sz w:val="28"/>
                <w:szCs w:val="28"/>
              </w:rPr>
              <w:t xml:space="preserve">    Atbilstoši Augstskolu likuma 55.</w:t>
            </w:r>
            <w:r w:rsidRPr="00621595">
              <w:rPr>
                <w:rFonts w:ascii="Times New Roman" w:hAnsi="Times New Roman"/>
                <w:bCs/>
                <w:sz w:val="28"/>
                <w:szCs w:val="28"/>
                <w:vertAlign w:val="superscript"/>
              </w:rPr>
              <w:t>2</w:t>
            </w:r>
            <w:r w:rsidRPr="00621595">
              <w:rPr>
                <w:rFonts w:ascii="Times New Roman" w:hAnsi="Times New Roman"/>
                <w:bCs/>
                <w:sz w:val="28"/>
                <w:szCs w:val="28"/>
              </w:rPr>
              <w:t xml:space="preserve"> panta pirmajai prim daļai, studiju programmu licencēšanu organizē centrs. Savukārt centrs, lai nodrošinātu licencēšanas organizēšanu, ir izveidojis departamentu (ar nosaukumu “Augstākās izglītības kvalitātes aģentūra”). Līdz ar to centrs, izpildot Standartu 3.1. un 3.2. punktu, skaidri </w:t>
            </w:r>
            <w:r w:rsidR="003A6FF0" w:rsidRPr="00621595">
              <w:rPr>
                <w:rFonts w:ascii="Times New Roman" w:hAnsi="Times New Roman"/>
                <w:bCs/>
                <w:sz w:val="28"/>
                <w:szCs w:val="28"/>
              </w:rPr>
              <w:t>nodalījis</w:t>
            </w:r>
            <w:r w:rsidRPr="00621595">
              <w:rPr>
                <w:rFonts w:ascii="Times New Roman" w:hAnsi="Times New Roman"/>
                <w:bCs/>
                <w:sz w:val="28"/>
                <w:szCs w:val="28"/>
              </w:rPr>
              <w:t xml:space="preserve"> ārējās kvalitātes nodrošināšanas funkcijas no pārējām centra darbības veidiem.  </w:t>
            </w:r>
          </w:p>
          <w:p w:rsidR="00130164" w:rsidRPr="00621595" w:rsidRDefault="00DA32A6" w:rsidP="00130164">
            <w:pPr>
              <w:spacing w:after="0" w:line="240" w:lineRule="auto"/>
              <w:jc w:val="both"/>
              <w:rPr>
                <w:rFonts w:ascii="Times New Roman" w:eastAsia="Times New Roman" w:hAnsi="Times New Roman"/>
                <w:bCs/>
                <w:iCs/>
                <w:sz w:val="28"/>
                <w:szCs w:val="28"/>
                <w:lang w:eastAsia="lv-LV"/>
              </w:rPr>
            </w:pPr>
            <w:r w:rsidRPr="00621595">
              <w:rPr>
                <w:rFonts w:ascii="Times New Roman" w:eastAsia="Times New Roman" w:hAnsi="Times New Roman"/>
                <w:bCs/>
                <w:iCs/>
                <w:sz w:val="28"/>
                <w:szCs w:val="28"/>
                <w:lang w:eastAsia="lv-LV"/>
              </w:rPr>
              <w:t xml:space="preserve">     </w:t>
            </w:r>
            <w:r w:rsidR="002006B7" w:rsidRPr="00621595">
              <w:rPr>
                <w:rFonts w:ascii="Times New Roman" w:eastAsia="Times New Roman" w:hAnsi="Times New Roman"/>
                <w:iCs/>
                <w:sz w:val="28"/>
                <w:szCs w:val="28"/>
                <w:lang w:eastAsia="lv-LV"/>
              </w:rPr>
              <w:t xml:space="preserve">Ievērojot </w:t>
            </w:r>
            <w:r w:rsidR="00E24812" w:rsidRPr="00621595">
              <w:rPr>
                <w:rFonts w:ascii="Times New Roman" w:eastAsia="Times New Roman" w:hAnsi="Times New Roman"/>
                <w:iCs/>
                <w:sz w:val="28"/>
                <w:szCs w:val="28"/>
                <w:lang w:eastAsia="lv-LV"/>
              </w:rPr>
              <w:t xml:space="preserve">Partnerības līguma Eiropas Savienības investīciju fondu 2014.–2020. gada plānošanas periodam (apstiprināts ar </w:t>
            </w:r>
            <w:r w:rsidR="00E24812" w:rsidRPr="00621595">
              <w:rPr>
                <w:rFonts w:ascii="Times New Roman" w:eastAsia="Times New Roman" w:hAnsi="Times New Roman"/>
                <w:bCs/>
                <w:iCs/>
                <w:sz w:val="28"/>
                <w:szCs w:val="28"/>
                <w:lang w:eastAsia="lv-LV"/>
              </w:rPr>
              <w:t>Ministru kabineta 2014. gada 19. jūnija rīkojumu Nr.313)</w:t>
            </w:r>
            <w:r w:rsidR="00E24812" w:rsidRPr="00621595">
              <w:rPr>
                <w:rFonts w:ascii="Times New Roman" w:eastAsia="Times New Roman" w:hAnsi="Times New Roman"/>
                <w:bCs/>
                <w:iCs/>
                <w:sz w:val="28"/>
                <w:szCs w:val="28"/>
                <w:vertAlign w:val="superscript"/>
                <w:lang w:eastAsia="lv-LV"/>
              </w:rPr>
              <w:footnoteReference w:id="4"/>
            </w:r>
            <w:r w:rsidR="00E24812" w:rsidRPr="00621595">
              <w:rPr>
                <w:rFonts w:ascii="Times New Roman" w:eastAsia="Times New Roman" w:hAnsi="Times New Roman"/>
                <w:bCs/>
                <w:iCs/>
                <w:sz w:val="28"/>
                <w:szCs w:val="28"/>
                <w:lang w:eastAsia="lv-LV"/>
              </w:rPr>
              <w:t xml:space="preserve"> 170.punkt</w:t>
            </w:r>
            <w:r w:rsidR="002006B7" w:rsidRPr="00621595">
              <w:rPr>
                <w:rFonts w:ascii="Times New Roman" w:eastAsia="Times New Roman" w:hAnsi="Times New Roman"/>
                <w:bCs/>
                <w:iCs/>
                <w:sz w:val="28"/>
                <w:szCs w:val="28"/>
                <w:lang w:eastAsia="lv-LV"/>
              </w:rPr>
              <w:t>u</w:t>
            </w:r>
            <w:r w:rsidR="002006B7" w:rsidRPr="00621595">
              <w:rPr>
                <w:rStyle w:val="FootnoteReference"/>
                <w:rFonts w:ascii="Times New Roman" w:eastAsia="Times New Roman" w:hAnsi="Times New Roman"/>
                <w:bCs/>
                <w:iCs/>
                <w:sz w:val="28"/>
                <w:szCs w:val="28"/>
                <w:lang w:eastAsia="lv-LV"/>
              </w:rPr>
              <w:footnoteReference w:id="5"/>
            </w:r>
            <w:r w:rsidR="002006B7" w:rsidRPr="00621595">
              <w:rPr>
                <w:rFonts w:ascii="Times New Roman" w:eastAsia="Times New Roman" w:hAnsi="Times New Roman"/>
                <w:bCs/>
                <w:iCs/>
                <w:sz w:val="28"/>
                <w:szCs w:val="28"/>
                <w:lang w:eastAsia="lv-LV"/>
              </w:rPr>
              <w:t xml:space="preserve"> </w:t>
            </w:r>
            <w:r w:rsidR="002006B7" w:rsidRPr="00621595">
              <w:rPr>
                <w:rFonts w:ascii="Times New Roman" w:eastAsia="Times New Roman" w:hAnsi="Times New Roman"/>
                <w:bCs/>
                <w:iCs/>
                <w:sz w:val="28"/>
                <w:szCs w:val="28"/>
                <w:lang w:eastAsia="lv-LV"/>
              </w:rPr>
              <w:lastRenderedPageBreak/>
              <w:t>un pamatojoties uz</w:t>
            </w:r>
            <w:r w:rsidR="00E24812" w:rsidRPr="00621595">
              <w:rPr>
                <w:rFonts w:ascii="Times New Roman" w:eastAsia="Times New Roman" w:hAnsi="Times New Roman"/>
                <w:bCs/>
                <w:iCs/>
                <w:sz w:val="28"/>
                <w:szCs w:val="28"/>
                <w:lang w:eastAsia="lv-LV"/>
              </w:rPr>
              <w:t xml:space="preserve"> </w:t>
            </w:r>
            <w:r w:rsidR="00130164" w:rsidRPr="00621595">
              <w:rPr>
                <w:rFonts w:ascii="Times New Roman" w:hAnsi="Times New Roman"/>
                <w:bCs/>
                <w:sz w:val="28"/>
                <w:szCs w:val="28"/>
              </w:rPr>
              <w:t>Ministru kabineta 2015.gada 18.augusta noteikumi</w:t>
            </w:r>
            <w:r w:rsidR="002006B7" w:rsidRPr="00621595">
              <w:rPr>
                <w:rFonts w:ascii="Times New Roman" w:hAnsi="Times New Roman"/>
                <w:bCs/>
                <w:sz w:val="28"/>
                <w:szCs w:val="28"/>
              </w:rPr>
              <w:t>em</w:t>
            </w:r>
            <w:r w:rsidR="00130164" w:rsidRPr="00621595">
              <w:rPr>
                <w:rFonts w:ascii="Times New Roman" w:hAnsi="Times New Roman"/>
                <w:bCs/>
                <w:sz w:val="28"/>
                <w:szCs w:val="28"/>
              </w:rPr>
              <w:t xml:space="preserve"> Nr. 479 “Darbības programmas "Izaugsme un nodarbinātība" 8.2.4. specifiskā atbalsta mērķa "Nodrošināt atbalstu EQAR aģentūrai izvirzīto prasību izpildei" īstenošanas noteikumi”,</w:t>
            </w:r>
            <w:r w:rsidR="0060162E" w:rsidRPr="00621595">
              <w:rPr>
                <w:rFonts w:ascii="Times New Roman" w:hAnsi="Times New Roman"/>
                <w:bCs/>
                <w:sz w:val="28"/>
                <w:szCs w:val="28"/>
              </w:rPr>
              <w:t xml:space="preserve"> kas</w:t>
            </w:r>
            <w:r w:rsidR="00130164" w:rsidRPr="00621595">
              <w:rPr>
                <w:rFonts w:ascii="Times New Roman" w:hAnsi="Times New Roman"/>
                <w:bCs/>
                <w:sz w:val="28"/>
                <w:szCs w:val="28"/>
              </w:rPr>
              <w:t xml:space="preserve"> </w:t>
            </w:r>
            <w:r w:rsidR="007F4D4F" w:rsidRPr="00621595">
              <w:rPr>
                <w:rFonts w:ascii="Times New Roman" w:hAnsi="Times New Roman"/>
                <w:bCs/>
                <w:sz w:val="28"/>
                <w:szCs w:val="28"/>
              </w:rPr>
              <w:t>paredz</w:t>
            </w:r>
            <w:r w:rsidR="00130164" w:rsidRPr="00621595">
              <w:rPr>
                <w:rFonts w:ascii="Times New Roman" w:hAnsi="Times New Roman"/>
                <w:bCs/>
                <w:sz w:val="28"/>
                <w:szCs w:val="28"/>
              </w:rPr>
              <w:t xml:space="preserve"> nodrošināt atbalstu EQAR izvirzīto prasību i</w:t>
            </w:r>
            <w:r w:rsidR="000503AD" w:rsidRPr="00621595">
              <w:rPr>
                <w:rFonts w:ascii="Times New Roman" w:hAnsi="Times New Roman"/>
                <w:bCs/>
                <w:sz w:val="28"/>
                <w:szCs w:val="28"/>
              </w:rPr>
              <w:t xml:space="preserve">zpildei, t.i., sniedzot atbalstu </w:t>
            </w:r>
            <w:r w:rsidR="002006B7" w:rsidRPr="00621595">
              <w:rPr>
                <w:rFonts w:ascii="Times New Roman" w:hAnsi="Times New Roman"/>
                <w:bCs/>
                <w:sz w:val="28"/>
                <w:szCs w:val="28"/>
              </w:rPr>
              <w:t>c</w:t>
            </w:r>
            <w:r w:rsidR="000503AD" w:rsidRPr="00621595">
              <w:rPr>
                <w:rFonts w:ascii="Times New Roman" w:hAnsi="Times New Roman"/>
                <w:bCs/>
                <w:sz w:val="28"/>
                <w:szCs w:val="28"/>
              </w:rPr>
              <w:t xml:space="preserve">entram darbības kvalitātes atbalsta pasākumiem un kapacitātes stiprināšanai ar mērķi nodrošināt, ka Latvijas augstākās izglītības kvalitātes nodrošināšanas sistēma atbilst </w:t>
            </w:r>
            <w:r w:rsidR="0060162E" w:rsidRPr="00621595">
              <w:rPr>
                <w:rFonts w:ascii="Times New Roman" w:hAnsi="Times New Roman"/>
                <w:bCs/>
                <w:sz w:val="28"/>
                <w:szCs w:val="28"/>
              </w:rPr>
              <w:t>Standartiem</w:t>
            </w:r>
            <w:r w:rsidR="000503AD" w:rsidRPr="00621595">
              <w:rPr>
                <w:rFonts w:ascii="Times New Roman" w:hAnsi="Times New Roman"/>
                <w:bCs/>
                <w:sz w:val="28"/>
                <w:szCs w:val="28"/>
              </w:rPr>
              <w:t xml:space="preserve">, </w:t>
            </w:r>
            <w:r w:rsidR="00723980" w:rsidRPr="00621595">
              <w:rPr>
                <w:rFonts w:ascii="Times New Roman" w:hAnsi="Times New Roman"/>
                <w:bCs/>
                <w:sz w:val="28"/>
                <w:szCs w:val="28"/>
              </w:rPr>
              <w:t xml:space="preserve">kas nodrošinātu </w:t>
            </w:r>
            <w:r w:rsidR="002006B7" w:rsidRPr="00621595">
              <w:rPr>
                <w:rFonts w:ascii="Times New Roman" w:hAnsi="Times New Roman"/>
                <w:bCs/>
                <w:sz w:val="28"/>
                <w:szCs w:val="28"/>
              </w:rPr>
              <w:t>c</w:t>
            </w:r>
            <w:r w:rsidR="000503AD" w:rsidRPr="00621595">
              <w:rPr>
                <w:rFonts w:ascii="Times New Roman" w:hAnsi="Times New Roman"/>
                <w:bCs/>
                <w:sz w:val="28"/>
                <w:szCs w:val="28"/>
              </w:rPr>
              <w:t>entr</w:t>
            </w:r>
            <w:r w:rsidR="00377D6C" w:rsidRPr="00621595">
              <w:rPr>
                <w:rFonts w:ascii="Times New Roman" w:hAnsi="Times New Roman"/>
                <w:bCs/>
                <w:sz w:val="28"/>
                <w:szCs w:val="28"/>
              </w:rPr>
              <w:t>am kā nacion</w:t>
            </w:r>
            <w:r w:rsidR="0060162E" w:rsidRPr="00621595">
              <w:rPr>
                <w:rFonts w:ascii="Times New Roman" w:hAnsi="Times New Roman"/>
                <w:bCs/>
                <w:sz w:val="28"/>
                <w:szCs w:val="28"/>
              </w:rPr>
              <w:t>ā</w:t>
            </w:r>
            <w:r w:rsidR="00377D6C" w:rsidRPr="00621595">
              <w:rPr>
                <w:rFonts w:ascii="Times New Roman" w:hAnsi="Times New Roman"/>
                <w:bCs/>
                <w:sz w:val="28"/>
                <w:szCs w:val="28"/>
              </w:rPr>
              <w:t>lās kvalitātes nodrošināšanas aģentūra</w:t>
            </w:r>
            <w:r w:rsidR="0060162E" w:rsidRPr="00621595">
              <w:rPr>
                <w:rFonts w:ascii="Times New Roman" w:hAnsi="Times New Roman"/>
                <w:bCs/>
                <w:sz w:val="28"/>
                <w:szCs w:val="28"/>
              </w:rPr>
              <w:t>i</w:t>
            </w:r>
            <w:r w:rsidR="00377D6C" w:rsidRPr="00621595">
              <w:rPr>
                <w:rFonts w:ascii="Times New Roman" w:hAnsi="Times New Roman"/>
                <w:bCs/>
                <w:sz w:val="28"/>
                <w:szCs w:val="28"/>
              </w:rPr>
              <w:t xml:space="preserve"> </w:t>
            </w:r>
            <w:r w:rsidR="000503AD" w:rsidRPr="00621595">
              <w:rPr>
                <w:rFonts w:ascii="Times New Roman" w:hAnsi="Times New Roman"/>
                <w:bCs/>
                <w:sz w:val="28"/>
                <w:szCs w:val="28"/>
              </w:rPr>
              <w:t xml:space="preserve"> iekļū</w:t>
            </w:r>
            <w:r w:rsidR="00723980" w:rsidRPr="00621595">
              <w:rPr>
                <w:rFonts w:ascii="Times New Roman" w:hAnsi="Times New Roman"/>
                <w:bCs/>
                <w:sz w:val="28"/>
                <w:szCs w:val="28"/>
              </w:rPr>
              <w:t>šan</w:t>
            </w:r>
            <w:r w:rsidR="0060162E" w:rsidRPr="00621595">
              <w:rPr>
                <w:rFonts w:ascii="Times New Roman" w:hAnsi="Times New Roman"/>
                <w:bCs/>
                <w:sz w:val="28"/>
                <w:szCs w:val="28"/>
              </w:rPr>
              <w:t>u</w:t>
            </w:r>
            <w:r w:rsidR="00723980" w:rsidRPr="00621595">
              <w:rPr>
                <w:rFonts w:ascii="Times New Roman" w:hAnsi="Times New Roman"/>
                <w:bCs/>
                <w:sz w:val="28"/>
                <w:szCs w:val="28"/>
              </w:rPr>
              <w:t xml:space="preserve"> </w:t>
            </w:r>
            <w:r w:rsidR="000503AD" w:rsidRPr="00621595">
              <w:rPr>
                <w:rFonts w:ascii="Times New Roman" w:hAnsi="Times New Roman"/>
                <w:bCs/>
                <w:sz w:val="28"/>
                <w:szCs w:val="28"/>
              </w:rPr>
              <w:t xml:space="preserve">EQAR un vienlaikus kļūtu par </w:t>
            </w:r>
            <w:r w:rsidR="000503AD" w:rsidRPr="00621595">
              <w:rPr>
                <w:rFonts w:ascii="Times New Roman" w:hAnsi="Times New Roman"/>
                <w:sz w:val="28"/>
                <w:szCs w:val="28"/>
              </w:rPr>
              <w:t>Eiropas asociācijas kvalitātes nodrošināšanai augstākajā izglītībā</w:t>
            </w:r>
            <w:r w:rsidR="000503AD" w:rsidRPr="00621595">
              <w:rPr>
                <w:rFonts w:ascii="Times New Roman" w:hAnsi="Times New Roman"/>
                <w:bCs/>
                <w:sz w:val="28"/>
                <w:szCs w:val="28"/>
              </w:rPr>
              <w:t xml:space="preserve"> (turpmāk – ENQA) pilntiesīgo biedru.</w:t>
            </w:r>
          </w:p>
          <w:p w:rsidR="00DB3DA6" w:rsidRPr="00621595" w:rsidRDefault="00DA32A6" w:rsidP="00DB3DA6">
            <w:pPr>
              <w:spacing w:after="0" w:line="240" w:lineRule="auto"/>
              <w:jc w:val="both"/>
              <w:rPr>
                <w:rFonts w:ascii="Times New Roman" w:hAnsi="Times New Roman"/>
                <w:bCs/>
                <w:sz w:val="28"/>
                <w:szCs w:val="28"/>
              </w:rPr>
            </w:pPr>
            <w:r w:rsidRPr="00621595">
              <w:rPr>
                <w:rFonts w:ascii="Times New Roman" w:hAnsi="Times New Roman"/>
                <w:color w:val="000000" w:themeColor="text1"/>
                <w:sz w:val="28"/>
                <w:szCs w:val="28"/>
              </w:rPr>
              <w:t xml:space="preserve">     </w:t>
            </w:r>
            <w:r w:rsidR="006C41A8" w:rsidRPr="00621595">
              <w:rPr>
                <w:rFonts w:ascii="Times New Roman" w:hAnsi="Times New Roman"/>
                <w:color w:val="000000" w:themeColor="text1"/>
                <w:sz w:val="28"/>
                <w:szCs w:val="28"/>
              </w:rPr>
              <w:t xml:space="preserve">Lai nodrošinātu </w:t>
            </w:r>
            <w:r w:rsidR="0060162E" w:rsidRPr="00621595">
              <w:rPr>
                <w:rFonts w:ascii="Times New Roman" w:hAnsi="Times New Roman"/>
                <w:color w:val="000000" w:themeColor="text1"/>
                <w:sz w:val="28"/>
                <w:szCs w:val="28"/>
              </w:rPr>
              <w:t>centra</w:t>
            </w:r>
            <w:r w:rsidR="006C41A8" w:rsidRPr="00621595">
              <w:rPr>
                <w:rFonts w:ascii="Times New Roman" w:hAnsi="Times New Roman"/>
                <w:color w:val="000000" w:themeColor="text1"/>
                <w:sz w:val="28"/>
                <w:szCs w:val="28"/>
              </w:rPr>
              <w:t xml:space="preserve"> </w:t>
            </w:r>
            <w:r w:rsidR="003066F4" w:rsidRPr="00621595">
              <w:rPr>
                <w:rFonts w:ascii="Times New Roman" w:hAnsi="Times New Roman"/>
                <w:color w:val="000000" w:themeColor="text1"/>
                <w:sz w:val="28"/>
                <w:szCs w:val="28"/>
              </w:rPr>
              <w:t xml:space="preserve"> kā nacionālās</w:t>
            </w:r>
            <w:r w:rsidR="003066F4" w:rsidRPr="00621595">
              <w:rPr>
                <w:rFonts w:ascii="Times New Roman" w:hAnsi="Times New Roman"/>
                <w:bCs/>
                <w:sz w:val="28"/>
                <w:szCs w:val="28"/>
              </w:rPr>
              <w:t xml:space="preserve"> kvalitātes nodrošināšanas aģentūras</w:t>
            </w:r>
            <w:r w:rsidR="003066F4" w:rsidRPr="00621595">
              <w:rPr>
                <w:rFonts w:ascii="Times New Roman" w:hAnsi="Times New Roman"/>
                <w:color w:val="000000" w:themeColor="text1"/>
                <w:sz w:val="28"/>
                <w:szCs w:val="28"/>
              </w:rPr>
              <w:t xml:space="preserve"> </w:t>
            </w:r>
            <w:r w:rsidR="006C41A8" w:rsidRPr="00621595">
              <w:rPr>
                <w:rFonts w:ascii="Times New Roman" w:hAnsi="Times New Roman"/>
                <w:color w:val="000000" w:themeColor="text1"/>
                <w:sz w:val="28"/>
                <w:szCs w:val="28"/>
              </w:rPr>
              <w:t xml:space="preserve">iekļaušanu EQAR, </w:t>
            </w:r>
            <w:r w:rsidR="0060162E" w:rsidRPr="00621595">
              <w:rPr>
                <w:rFonts w:ascii="Times New Roman" w:hAnsi="Times New Roman"/>
                <w:color w:val="000000" w:themeColor="text1"/>
                <w:sz w:val="28"/>
                <w:szCs w:val="28"/>
              </w:rPr>
              <w:t>centra</w:t>
            </w:r>
            <w:r w:rsidR="006C41A8" w:rsidRPr="00621595">
              <w:rPr>
                <w:rFonts w:ascii="Times New Roman" w:hAnsi="Times New Roman"/>
                <w:color w:val="000000" w:themeColor="text1"/>
                <w:sz w:val="28"/>
                <w:szCs w:val="28"/>
              </w:rPr>
              <w:t xml:space="preserve"> darbībām</w:t>
            </w:r>
            <w:r w:rsidR="000E10BF" w:rsidRPr="00621595">
              <w:rPr>
                <w:rFonts w:ascii="Times New Roman" w:hAnsi="Times New Roman"/>
                <w:color w:val="000000" w:themeColor="text1"/>
                <w:sz w:val="28"/>
                <w:szCs w:val="28"/>
              </w:rPr>
              <w:t xml:space="preserve"> </w:t>
            </w:r>
            <w:r w:rsidR="0060162E" w:rsidRPr="00621595">
              <w:rPr>
                <w:rFonts w:ascii="Times New Roman" w:hAnsi="Times New Roman"/>
                <w:color w:val="000000" w:themeColor="text1"/>
                <w:sz w:val="28"/>
                <w:szCs w:val="28"/>
              </w:rPr>
              <w:t xml:space="preserve">kvalitātes nodrošināšanas jomā, t.sk. licencēšanas un akreditācijas procesam, </w:t>
            </w:r>
            <w:r w:rsidR="006C41A8" w:rsidRPr="00621595">
              <w:rPr>
                <w:rFonts w:ascii="Times New Roman" w:hAnsi="Times New Roman"/>
                <w:color w:val="000000" w:themeColor="text1"/>
                <w:sz w:val="28"/>
                <w:szCs w:val="28"/>
              </w:rPr>
              <w:t xml:space="preserve">ir </w:t>
            </w:r>
            <w:r w:rsidR="0060162E" w:rsidRPr="00621595">
              <w:rPr>
                <w:rFonts w:ascii="Times New Roman" w:hAnsi="Times New Roman"/>
                <w:color w:val="000000" w:themeColor="text1"/>
                <w:sz w:val="28"/>
                <w:szCs w:val="28"/>
              </w:rPr>
              <w:t>jāatbilst</w:t>
            </w:r>
            <w:r w:rsidR="006C41A8" w:rsidRPr="00621595">
              <w:rPr>
                <w:rFonts w:ascii="Times New Roman" w:hAnsi="Times New Roman"/>
                <w:color w:val="000000" w:themeColor="text1"/>
                <w:sz w:val="28"/>
                <w:szCs w:val="28"/>
              </w:rPr>
              <w:t xml:space="preserve"> </w:t>
            </w:r>
            <w:r w:rsidR="00DB3DA6" w:rsidRPr="00621595">
              <w:rPr>
                <w:rFonts w:ascii="Times New Roman" w:hAnsi="Times New Roman"/>
                <w:bCs/>
                <w:sz w:val="28"/>
                <w:szCs w:val="28"/>
              </w:rPr>
              <w:t>EQAR prasīb</w:t>
            </w:r>
            <w:r w:rsidR="00377D6C" w:rsidRPr="00621595">
              <w:rPr>
                <w:rFonts w:ascii="Times New Roman" w:hAnsi="Times New Roman"/>
                <w:bCs/>
                <w:sz w:val="28"/>
                <w:szCs w:val="28"/>
              </w:rPr>
              <w:t>ām</w:t>
            </w:r>
            <w:r w:rsidR="003066F4" w:rsidRPr="00621595">
              <w:rPr>
                <w:rFonts w:ascii="Times New Roman" w:hAnsi="Times New Roman"/>
                <w:bCs/>
                <w:sz w:val="28"/>
                <w:szCs w:val="28"/>
              </w:rPr>
              <w:t>, kas</w:t>
            </w:r>
            <w:r w:rsidR="0060162E" w:rsidRPr="00621595">
              <w:rPr>
                <w:rFonts w:ascii="Times New Roman" w:hAnsi="Times New Roman"/>
                <w:bCs/>
                <w:sz w:val="28"/>
                <w:szCs w:val="28"/>
              </w:rPr>
              <w:t xml:space="preserve"> </w:t>
            </w:r>
            <w:r w:rsidR="003066F4" w:rsidRPr="00621595">
              <w:rPr>
                <w:rFonts w:ascii="Times New Roman" w:hAnsi="Times New Roman"/>
                <w:bCs/>
                <w:sz w:val="28"/>
                <w:szCs w:val="28"/>
              </w:rPr>
              <w:t>izvirzītas</w:t>
            </w:r>
            <w:r w:rsidR="003066F4" w:rsidRPr="00621595" w:rsidDel="00AD6930">
              <w:rPr>
                <w:rFonts w:ascii="Times New Roman" w:hAnsi="Times New Roman"/>
                <w:bCs/>
                <w:sz w:val="28"/>
                <w:szCs w:val="28"/>
              </w:rPr>
              <w:t xml:space="preserve"> </w:t>
            </w:r>
            <w:r w:rsidR="00DB3DA6" w:rsidRPr="00621595">
              <w:rPr>
                <w:rFonts w:ascii="Times New Roman" w:hAnsi="Times New Roman"/>
                <w:bCs/>
                <w:sz w:val="28"/>
                <w:szCs w:val="28"/>
              </w:rPr>
              <w:t xml:space="preserve">kvalitātes nodrošināšanas aģentūrām, </w:t>
            </w:r>
            <w:r w:rsidR="0060162E" w:rsidRPr="00621595">
              <w:rPr>
                <w:rFonts w:ascii="Times New Roman" w:hAnsi="Times New Roman"/>
                <w:bCs/>
                <w:sz w:val="28"/>
                <w:szCs w:val="28"/>
              </w:rPr>
              <w:t xml:space="preserve">un </w:t>
            </w:r>
            <w:r w:rsidR="003066F4" w:rsidRPr="00621595">
              <w:rPr>
                <w:rFonts w:ascii="Times New Roman" w:hAnsi="Times New Roman"/>
                <w:bCs/>
                <w:sz w:val="28"/>
                <w:szCs w:val="28"/>
              </w:rPr>
              <w:t xml:space="preserve">tam </w:t>
            </w:r>
            <w:r w:rsidR="00DB3DA6" w:rsidRPr="00621595">
              <w:rPr>
                <w:rFonts w:ascii="Times New Roman" w:hAnsi="Times New Roman"/>
                <w:bCs/>
                <w:sz w:val="28"/>
                <w:szCs w:val="28"/>
              </w:rPr>
              <w:t xml:space="preserve">ir jāiziet novērtēšana ar mērķi </w:t>
            </w:r>
            <w:r w:rsidR="003066F4" w:rsidRPr="00621595">
              <w:rPr>
                <w:rFonts w:ascii="Times New Roman" w:hAnsi="Times New Roman"/>
                <w:bCs/>
                <w:sz w:val="28"/>
                <w:szCs w:val="28"/>
              </w:rPr>
              <w:t>apliecināt</w:t>
            </w:r>
            <w:r w:rsidR="00DB3DA6" w:rsidRPr="00621595">
              <w:rPr>
                <w:rFonts w:ascii="Times New Roman" w:hAnsi="Times New Roman"/>
                <w:bCs/>
                <w:sz w:val="28"/>
                <w:szCs w:val="28"/>
              </w:rPr>
              <w:t xml:space="preserve"> </w:t>
            </w:r>
            <w:r w:rsidR="003066F4" w:rsidRPr="00621595">
              <w:rPr>
                <w:rFonts w:ascii="Times New Roman" w:hAnsi="Times New Roman"/>
                <w:bCs/>
                <w:sz w:val="28"/>
                <w:szCs w:val="28"/>
              </w:rPr>
              <w:t xml:space="preserve">centra </w:t>
            </w:r>
            <w:r w:rsidR="00DB3DA6" w:rsidRPr="00621595">
              <w:rPr>
                <w:rFonts w:ascii="Times New Roman" w:hAnsi="Times New Roman"/>
                <w:bCs/>
                <w:sz w:val="28"/>
                <w:szCs w:val="28"/>
              </w:rPr>
              <w:t>darbības atbilstību Standartiem</w:t>
            </w:r>
            <w:r w:rsidR="00F2661C" w:rsidRPr="00621595">
              <w:rPr>
                <w:rFonts w:ascii="Times New Roman" w:hAnsi="Times New Roman"/>
                <w:bCs/>
                <w:sz w:val="28"/>
                <w:szCs w:val="28"/>
              </w:rPr>
              <w:t>,</w:t>
            </w:r>
            <w:r w:rsidR="0060162E" w:rsidRPr="00621595">
              <w:rPr>
                <w:rFonts w:ascii="Times New Roman" w:hAnsi="Times New Roman"/>
                <w:bCs/>
                <w:sz w:val="28"/>
                <w:szCs w:val="28"/>
              </w:rPr>
              <w:t xml:space="preserve"> </w:t>
            </w:r>
            <w:r w:rsidR="00DB3DA6" w:rsidRPr="00621595">
              <w:rPr>
                <w:rFonts w:ascii="Times New Roman" w:hAnsi="Times New Roman"/>
                <w:bCs/>
                <w:sz w:val="28"/>
                <w:szCs w:val="28"/>
              </w:rPr>
              <w:t>tostarp</w:t>
            </w:r>
            <w:r w:rsidR="00723980" w:rsidRPr="00621595">
              <w:rPr>
                <w:rFonts w:ascii="Times New Roman" w:hAnsi="Times New Roman"/>
                <w:bCs/>
                <w:sz w:val="28"/>
                <w:szCs w:val="28"/>
              </w:rPr>
              <w:t xml:space="preserve"> ir</w:t>
            </w:r>
            <w:r w:rsidR="00DB3DA6" w:rsidRPr="00621595">
              <w:rPr>
                <w:rFonts w:ascii="Times New Roman" w:hAnsi="Times New Roman"/>
                <w:bCs/>
                <w:sz w:val="28"/>
                <w:szCs w:val="28"/>
              </w:rPr>
              <w:t>:</w:t>
            </w:r>
          </w:p>
          <w:p w:rsidR="00DB3DA6" w:rsidRPr="00621595" w:rsidRDefault="00DB3DA6" w:rsidP="00DA32A6">
            <w:pPr>
              <w:pStyle w:val="ListParagraph"/>
              <w:numPr>
                <w:ilvl w:val="0"/>
                <w:numId w:val="1"/>
              </w:numPr>
              <w:spacing w:after="0" w:line="240" w:lineRule="auto"/>
              <w:ind w:left="-121" w:firstLine="481"/>
              <w:jc w:val="both"/>
              <w:rPr>
                <w:rFonts w:ascii="Times New Roman" w:hAnsi="Times New Roman"/>
                <w:bCs/>
                <w:sz w:val="28"/>
                <w:szCs w:val="28"/>
              </w:rPr>
            </w:pPr>
            <w:r w:rsidRPr="00621595">
              <w:rPr>
                <w:rFonts w:ascii="Times New Roman" w:hAnsi="Times New Roman"/>
                <w:bCs/>
                <w:sz w:val="28"/>
                <w:szCs w:val="28"/>
              </w:rPr>
              <w:t>jābūt oficiāli atzītai no valsts institūciju puses</w:t>
            </w:r>
            <w:r w:rsidR="00893F3F" w:rsidRPr="00621595">
              <w:rPr>
                <w:rFonts w:ascii="Times New Roman" w:hAnsi="Times New Roman"/>
                <w:bCs/>
                <w:sz w:val="28"/>
                <w:szCs w:val="28"/>
              </w:rPr>
              <w:t xml:space="preserve"> (Standartu</w:t>
            </w:r>
            <w:r w:rsidRPr="00621595">
              <w:rPr>
                <w:rFonts w:ascii="Times New Roman" w:hAnsi="Times New Roman"/>
                <w:bCs/>
                <w:sz w:val="28"/>
                <w:szCs w:val="28"/>
              </w:rPr>
              <w:t xml:space="preserve"> 3.2., 3.3.punkts);</w:t>
            </w:r>
          </w:p>
          <w:p w:rsidR="00DB3DA6" w:rsidRPr="00621595" w:rsidRDefault="00DB3DA6" w:rsidP="00DA32A6">
            <w:pPr>
              <w:pStyle w:val="ListParagraph"/>
              <w:numPr>
                <w:ilvl w:val="0"/>
                <w:numId w:val="1"/>
              </w:numPr>
              <w:spacing w:after="0" w:line="240" w:lineRule="auto"/>
              <w:ind w:left="-121" w:firstLine="481"/>
              <w:jc w:val="both"/>
              <w:rPr>
                <w:rFonts w:ascii="Times New Roman" w:hAnsi="Times New Roman"/>
                <w:bCs/>
                <w:sz w:val="28"/>
                <w:szCs w:val="28"/>
              </w:rPr>
            </w:pPr>
            <w:r w:rsidRPr="00621595">
              <w:rPr>
                <w:rFonts w:ascii="Times New Roman" w:hAnsi="Times New Roman"/>
                <w:bCs/>
                <w:sz w:val="28"/>
                <w:szCs w:val="28"/>
              </w:rPr>
              <w:t xml:space="preserve"> jābūt neatkarīgai un jāstrādā autonomi, pilnībā atbildot par savām darbībām un šo darbību rezultātiem, tostarp arī jāizveido lēmumu apstrīdēšanas institūcija (</w:t>
            </w:r>
            <w:r w:rsidR="00893F3F" w:rsidRPr="00621595">
              <w:rPr>
                <w:rFonts w:ascii="Times New Roman" w:hAnsi="Times New Roman"/>
                <w:bCs/>
                <w:sz w:val="28"/>
                <w:szCs w:val="28"/>
              </w:rPr>
              <w:t>S</w:t>
            </w:r>
            <w:r w:rsidRPr="00621595">
              <w:rPr>
                <w:rFonts w:ascii="Times New Roman" w:hAnsi="Times New Roman"/>
                <w:bCs/>
                <w:sz w:val="28"/>
                <w:szCs w:val="28"/>
              </w:rPr>
              <w:t>tandart</w:t>
            </w:r>
            <w:r w:rsidR="00893F3F" w:rsidRPr="00621595">
              <w:rPr>
                <w:rFonts w:ascii="Times New Roman" w:hAnsi="Times New Roman"/>
                <w:bCs/>
                <w:sz w:val="28"/>
                <w:szCs w:val="28"/>
              </w:rPr>
              <w:t>u</w:t>
            </w:r>
            <w:r w:rsidRPr="00621595">
              <w:rPr>
                <w:rFonts w:ascii="Times New Roman" w:hAnsi="Times New Roman"/>
                <w:bCs/>
                <w:sz w:val="28"/>
                <w:szCs w:val="28"/>
              </w:rPr>
              <w:t xml:space="preserve"> 3.2., 3.3.punkts);</w:t>
            </w:r>
          </w:p>
          <w:p w:rsidR="00DB3DA6" w:rsidRPr="00621595" w:rsidRDefault="00DB3DA6" w:rsidP="00DA32A6">
            <w:pPr>
              <w:pStyle w:val="ListParagraph"/>
              <w:numPr>
                <w:ilvl w:val="0"/>
                <w:numId w:val="1"/>
              </w:numPr>
              <w:ind w:left="-121" w:firstLine="481"/>
              <w:jc w:val="both"/>
              <w:rPr>
                <w:rFonts w:ascii="Times New Roman" w:hAnsi="Times New Roman"/>
                <w:bCs/>
                <w:sz w:val="28"/>
                <w:szCs w:val="28"/>
              </w:rPr>
            </w:pPr>
            <w:r w:rsidRPr="00621595">
              <w:rPr>
                <w:rFonts w:ascii="Times New Roman" w:hAnsi="Times New Roman"/>
                <w:bCs/>
                <w:sz w:val="28"/>
                <w:szCs w:val="28"/>
              </w:rPr>
              <w:t xml:space="preserve"> </w:t>
            </w:r>
            <w:r w:rsidR="003A6FF0" w:rsidRPr="00621595">
              <w:rPr>
                <w:rFonts w:ascii="Times New Roman" w:hAnsi="Times New Roman"/>
                <w:bCs/>
                <w:sz w:val="28"/>
                <w:szCs w:val="28"/>
              </w:rPr>
              <w:t xml:space="preserve">patstāvīgi </w:t>
            </w:r>
            <w:r w:rsidRPr="00621595">
              <w:rPr>
                <w:rFonts w:ascii="Times New Roman" w:hAnsi="Times New Roman"/>
                <w:bCs/>
                <w:sz w:val="28"/>
                <w:szCs w:val="28"/>
              </w:rPr>
              <w:t>neatkarīgi no trešajām personām jāizveido un jāpielieto procedūras un metodes, kā arī jāizvēlas un jāapstiprina eksperti (</w:t>
            </w:r>
            <w:r w:rsidR="00893F3F" w:rsidRPr="00621595">
              <w:rPr>
                <w:rFonts w:ascii="Times New Roman" w:hAnsi="Times New Roman"/>
                <w:bCs/>
                <w:sz w:val="28"/>
                <w:szCs w:val="28"/>
              </w:rPr>
              <w:t>S</w:t>
            </w:r>
            <w:r w:rsidRPr="00621595">
              <w:rPr>
                <w:rFonts w:ascii="Times New Roman" w:hAnsi="Times New Roman"/>
                <w:bCs/>
                <w:sz w:val="28"/>
                <w:szCs w:val="28"/>
              </w:rPr>
              <w:t>tandart</w:t>
            </w:r>
            <w:r w:rsidR="00893F3F" w:rsidRPr="00621595">
              <w:rPr>
                <w:rFonts w:ascii="Times New Roman" w:hAnsi="Times New Roman"/>
                <w:bCs/>
                <w:sz w:val="28"/>
                <w:szCs w:val="28"/>
              </w:rPr>
              <w:t>u</w:t>
            </w:r>
            <w:r w:rsidRPr="00621595">
              <w:rPr>
                <w:rFonts w:ascii="Times New Roman" w:hAnsi="Times New Roman"/>
                <w:bCs/>
                <w:sz w:val="28"/>
                <w:szCs w:val="28"/>
              </w:rPr>
              <w:t xml:space="preserve"> 2.4., 3.1., 3.3., 3.6.punkts);</w:t>
            </w:r>
          </w:p>
          <w:p w:rsidR="00DB3DA6" w:rsidRPr="00621595" w:rsidRDefault="00DB3DA6" w:rsidP="00DA32A6">
            <w:pPr>
              <w:pStyle w:val="ListParagraph"/>
              <w:numPr>
                <w:ilvl w:val="0"/>
                <w:numId w:val="1"/>
              </w:numPr>
              <w:ind w:left="-121" w:firstLine="481"/>
              <w:jc w:val="both"/>
              <w:rPr>
                <w:rFonts w:ascii="Times New Roman" w:hAnsi="Times New Roman"/>
                <w:bCs/>
                <w:sz w:val="28"/>
                <w:szCs w:val="28"/>
              </w:rPr>
            </w:pPr>
            <w:r w:rsidRPr="00621595">
              <w:rPr>
                <w:rFonts w:ascii="Times New Roman" w:hAnsi="Times New Roman"/>
                <w:bCs/>
                <w:sz w:val="28"/>
                <w:szCs w:val="28"/>
              </w:rPr>
              <w:t xml:space="preserve"> jāizstrādā novērtējamie aspekti, (</w:t>
            </w:r>
            <w:r w:rsidR="00893F3F" w:rsidRPr="00621595">
              <w:rPr>
                <w:rFonts w:ascii="Times New Roman" w:hAnsi="Times New Roman"/>
                <w:bCs/>
                <w:sz w:val="28"/>
                <w:szCs w:val="28"/>
              </w:rPr>
              <w:t>S</w:t>
            </w:r>
            <w:r w:rsidRPr="00621595">
              <w:rPr>
                <w:rFonts w:ascii="Times New Roman" w:hAnsi="Times New Roman"/>
                <w:bCs/>
                <w:sz w:val="28"/>
                <w:szCs w:val="28"/>
              </w:rPr>
              <w:t>tandart</w:t>
            </w:r>
            <w:r w:rsidR="00893F3F" w:rsidRPr="00621595">
              <w:rPr>
                <w:rFonts w:ascii="Times New Roman" w:hAnsi="Times New Roman"/>
                <w:bCs/>
                <w:sz w:val="28"/>
                <w:szCs w:val="28"/>
              </w:rPr>
              <w:t>u</w:t>
            </w:r>
            <w:r w:rsidRPr="00621595">
              <w:rPr>
                <w:rFonts w:ascii="Times New Roman" w:hAnsi="Times New Roman"/>
                <w:bCs/>
                <w:sz w:val="28"/>
                <w:szCs w:val="28"/>
              </w:rPr>
              <w:t xml:space="preserve"> 2.2., 2.3., 2.5., 3.3.punkts);</w:t>
            </w:r>
          </w:p>
          <w:p w:rsidR="00DB3DA6" w:rsidRPr="00621595" w:rsidRDefault="00DB3DA6" w:rsidP="00DA32A6">
            <w:pPr>
              <w:pStyle w:val="ListParagraph"/>
              <w:numPr>
                <w:ilvl w:val="0"/>
                <w:numId w:val="1"/>
              </w:numPr>
              <w:ind w:left="-121" w:firstLine="481"/>
              <w:jc w:val="both"/>
              <w:rPr>
                <w:rFonts w:ascii="Times New Roman" w:hAnsi="Times New Roman"/>
                <w:bCs/>
                <w:sz w:val="28"/>
                <w:szCs w:val="28"/>
              </w:rPr>
            </w:pPr>
            <w:r w:rsidRPr="00621595">
              <w:rPr>
                <w:rFonts w:ascii="Times New Roman" w:hAnsi="Times New Roman"/>
                <w:bCs/>
                <w:sz w:val="28"/>
                <w:szCs w:val="28"/>
              </w:rPr>
              <w:lastRenderedPageBreak/>
              <w:t>jāizstrādā ekspertu grupas kopīgā atzinuma struktūra un jānosak</w:t>
            </w:r>
            <w:r w:rsidR="00893F3F" w:rsidRPr="00621595">
              <w:rPr>
                <w:rFonts w:ascii="Times New Roman" w:hAnsi="Times New Roman"/>
                <w:bCs/>
                <w:sz w:val="28"/>
                <w:szCs w:val="28"/>
              </w:rPr>
              <w:t>a tajā iekļaujamā informācija (S</w:t>
            </w:r>
            <w:r w:rsidRPr="00621595">
              <w:rPr>
                <w:rFonts w:ascii="Times New Roman" w:hAnsi="Times New Roman"/>
                <w:bCs/>
                <w:sz w:val="28"/>
                <w:szCs w:val="28"/>
              </w:rPr>
              <w:t>tandart</w:t>
            </w:r>
            <w:r w:rsidR="00893F3F" w:rsidRPr="00621595">
              <w:rPr>
                <w:rFonts w:ascii="Times New Roman" w:hAnsi="Times New Roman"/>
                <w:bCs/>
                <w:sz w:val="28"/>
                <w:szCs w:val="28"/>
              </w:rPr>
              <w:t>u</w:t>
            </w:r>
            <w:r w:rsidRPr="00621595">
              <w:rPr>
                <w:rFonts w:ascii="Times New Roman" w:hAnsi="Times New Roman"/>
                <w:bCs/>
                <w:sz w:val="28"/>
                <w:szCs w:val="28"/>
              </w:rPr>
              <w:t xml:space="preserve"> 2.2., 2.3., 2.5., 3.3.punkts); </w:t>
            </w:r>
          </w:p>
          <w:p w:rsidR="00DB3DA6" w:rsidRPr="00621595" w:rsidRDefault="00DB3DA6" w:rsidP="00DA32A6">
            <w:pPr>
              <w:pStyle w:val="ListParagraph"/>
              <w:numPr>
                <w:ilvl w:val="0"/>
                <w:numId w:val="1"/>
              </w:numPr>
              <w:spacing w:after="0" w:line="240" w:lineRule="auto"/>
              <w:ind w:left="-121" w:firstLine="481"/>
              <w:jc w:val="both"/>
              <w:rPr>
                <w:rFonts w:ascii="Times New Roman" w:hAnsi="Times New Roman"/>
                <w:bCs/>
                <w:sz w:val="28"/>
                <w:szCs w:val="28"/>
              </w:rPr>
            </w:pPr>
            <w:r w:rsidRPr="00621595">
              <w:rPr>
                <w:rFonts w:ascii="Times New Roman" w:hAnsi="Times New Roman"/>
                <w:bCs/>
                <w:sz w:val="28"/>
                <w:szCs w:val="28"/>
              </w:rPr>
              <w:t>jāatbild par kvalitātes nodrošināšanas procedūru rezultātiem</w:t>
            </w:r>
            <w:r w:rsidR="00893F3F" w:rsidRPr="00621595">
              <w:rPr>
                <w:rFonts w:ascii="Times New Roman" w:hAnsi="Times New Roman"/>
                <w:bCs/>
                <w:sz w:val="28"/>
                <w:szCs w:val="28"/>
              </w:rPr>
              <w:t xml:space="preserve"> (Standartu</w:t>
            </w:r>
            <w:r w:rsidRPr="00621595">
              <w:rPr>
                <w:rFonts w:ascii="Times New Roman" w:hAnsi="Times New Roman"/>
                <w:bCs/>
                <w:sz w:val="28"/>
                <w:szCs w:val="28"/>
              </w:rPr>
              <w:t xml:space="preserve"> 2.2., 2.3., 2.7. punkts);</w:t>
            </w:r>
          </w:p>
          <w:p w:rsidR="00A24CE8" w:rsidRPr="00621595" w:rsidRDefault="00DB3DA6" w:rsidP="00621595">
            <w:pPr>
              <w:pStyle w:val="ListParagraph"/>
              <w:numPr>
                <w:ilvl w:val="0"/>
                <w:numId w:val="1"/>
              </w:numPr>
              <w:spacing w:after="0" w:line="240" w:lineRule="auto"/>
              <w:ind w:left="-121" w:firstLine="481"/>
              <w:jc w:val="both"/>
              <w:rPr>
                <w:rFonts w:ascii="Times New Roman" w:hAnsi="Times New Roman"/>
                <w:bCs/>
                <w:sz w:val="28"/>
                <w:szCs w:val="28"/>
              </w:rPr>
            </w:pPr>
            <w:r w:rsidRPr="00621595">
              <w:rPr>
                <w:rFonts w:ascii="Times New Roman" w:hAnsi="Times New Roman"/>
                <w:bCs/>
                <w:sz w:val="28"/>
                <w:szCs w:val="28"/>
              </w:rPr>
              <w:t>studiju programmu novērtēšanas procesā ir jāiesaista studējošo pārstāvis (</w:t>
            </w:r>
            <w:r w:rsidR="00893F3F" w:rsidRPr="00621595">
              <w:rPr>
                <w:rFonts w:ascii="Times New Roman" w:hAnsi="Times New Roman"/>
                <w:bCs/>
                <w:sz w:val="28"/>
                <w:szCs w:val="28"/>
              </w:rPr>
              <w:t>S</w:t>
            </w:r>
            <w:r w:rsidRPr="00621595">
              <w:rPr>
                <w:rFonts w:ascii="Times New Roman" w:hAnsi="Times New Roman"/>
                <w:bCs/>
                <w:sz w:val="28"/>
                <w:szCs w:val="28"/>
              </w:rPr>
              <w:t>tandart</w:t>
            </w:r>
            <w:r w:rsidR="00893F3F" w:rsidRPr="00621595">
              <w:rPr>
                <w:rFonts w:ascii="Times New Roman" w:hAnsi="Times New Roman"/>
                <w:bCs/>
                <w:sz w:val="28"/>
                <w:szCs w:val="28"/>
              </w:rPr>
              <w:t>u</w:t>
            </w:r>
            <w:r w:rsidR="00DA32A6" w:rsidRPr="00621595">
              <w:rPr>
                <w:rFonts w:ascii="Times New Roman" w:hAnsi="Times New Roman"/>
                <w:bCs/>
                <w:sz w:val="28"/>
                <w:szCs w:val="28"/>
              </w:rPr>
              <w:t xml:space="preserve"> 2.4.punkts).</w:t>
            </w:r>
          </w:p>
          <w:p w:rsidR="003A6FF0" w:rsidRPr="00621595" w:rsidRDefault="00DA32A6" w:rsidP="003A6FF0">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w:t>
            </w:r>
            <w:r w:rsidR="003A6FF0" w:rsidRPr="00621595">
              <w:rPr>
                <w:rFonts w:ascii="Times New Roman" w:hAnsi="Times New Roman"/>
                <w:bCs/>
                <w:sz w:val="28"/>
                <w:szCs w:val="28"/>
              </w:rPr>
              <w:t xml:space="preserve">Ņemot vērā minēto, projekts ir izstrādāts, lai nodrošinātu centra darbības atbilstību Standartu prasībām, kā rezultātā </w:t>
            </w:r>
            <w:r w:rsidR="007F4D4F" w:rsidRPr="00621595">
              <w:rPr>
                <w:rFonts w:ascii="Times New Roman" w:hAnsi="Times New Roman"/>
                <w:bCs/>
                <w:sz w:val="28"/>
                <w:szCs w:val="28"/>
              </w:rPr>
              <w:t xml:space="preserve">centrs </w:t>
            </w:r>
            <w:r w:rsidR="003A6FF0" w:rsidRPr="00621595">
              <w:rPr>
                <w:rFonts w:ascii="Times New Roman" w:hAnsi="Times New Roman"/>
                <w:bCs/>
                <w:sz w:val="28"/>
                <w:szCs w:val="28"/>
              </w:rPr>
              <w:t xml:space="preserve">iekļūtu EQAR un vienlaikus kļūtu par ENQA pilntiesīgu biedru. </w:t>
            </w:r>
          </w:p>
          <w:p w:rsidR="00A40CE2" w:rsidRPr="00621595" w:rsidRDefault="003A6FF0" w:rsidP="00A40CE2">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Standarti </w:t>
            </w:r>
            <w:r w:rsidR="003066F4" w:rsidRPr="00621595">
              <w:rPr>
                <w:rFonts w:ascii="Times New Roman" w:hAnsi="Times New Roman"/>
                <w:bCs/>
                <w:sz w:val="28"/>
                <w:szCs w:val="28"/>
              </w:rPr>
              <w:t>noteic</w:t>
            </w:r>
            <w:r w:rsidRPr="00621595">
              <w:rPr>
                <w:rFonts w:ascii="Times New Roman" w:hAnsi="Times New Roman"/>
                <w:bCs/>
                <w:sz w:val="28"/>
                <w:szCs w:val="28"/>
              </w:rPr>
              <w:t>, ka</w:t>
            </w:r>
            <w:r w:rsidR="0008504B" w:rsidRPr="00621595">
              <w:rPr>
                <w:rFonts w:ascii="Times New Roman" w:hAnsi="Times New Roman"/>
                <w:bCs/>
                <w:sz w:val="28"/>
                <w:szCs w:val="28"/>
              </w:rPr>
              <w:t xml:space="preserve"> </w:t>
            </w:r>
            <w:r w:rsidR="003066F4" w:rsidRPr="00621595">
              <w:rPr>
                <w:rFonts w:ascii="Times New Roman" w:hAnsi="Times New Roman"/>
                <w:bCs/>
                <w:sz w:val="28"/>
                <w:szCs w:val="28"/>
              </w:rPr>
              <w:t xml:space="preserve">centram </w:t>
            </w:r>
            <w:r w:rsidR="0008504B" w:rsidRPr="00621595">
              <w:rPr>
                <w:rFonts w:ascii="Times New Roman" w:hAnsi="Times New Roman"/>
                <w:bCs/>
                <w:sz w:val="28"/>
                <w:szCs w:val="28"/>
              </w:rPr>
              <w:t xml:space="preserve">ir jābūt </w:t>
            </w:r>
            <w:r w:rsidR="003066F4" w:rsidRPr="00621595">
              <w:rPr>
                <w:rFonts w:ascii="Times New Roman" w:hAnsi="Times New Roman"/>
                <w:bCs/>
                <w:sz w:val="28"/>
                <w:szCs w:val="28"/>
              </w:rPr>
              <w:t xml:space="preserve">neatkarīgam </w:t>
            </w:r>
            <w:r w:rsidR="0008504B" w:rsidRPr="00621595">
              <w:rPr>
                <w:rFonts w:ascii="Times New Roman" w:hAnsi="Times New Roman"/>
                <w:bCs/>
                <w:sz w:val="28"/>
                <w:szCs w:val="28"/>
              </w:rPr>
              <w:t xml:space="preserve">un jāstrādā autonomi, kā arī </w:t>
            </w:r>
            <w:r w:rsidR="003066F4" w:rsidRPr="00621595">
              <w:rPr>
                <w:rFonts w:ascii="Times New Roman" w:hAnsi="Times New Roman"/>
                <w:bCs/>
                <w:sz w:val="28"/>
                <w:szCs w:val="28"/>
              </w:rPr>
              <w:t xml:space="preserve">tam </w:t>
            </w:r>
            <w:r w:rsidR="0008504B" w:rsidRPr="00621595">
              <w:rPr>
                <w:rFonts w:ascii="Times New Roman" w:hAnsi="Times New Roman"/>
                <w:bCs/>
                <w:sz w:val="28"/>
                <w:szCs w:val="28"/>
              </w:rPr>
              <w:t xml:space="preserve">ir jābūt pilnībā (bez trešo personu ietekmes) </w:t>
            </w:r>
            <w:r w:rsidR="003066F4" w:rsidRPr="00621595">
              <w:rPr>
                <w:rFonts w:ascii="Times New Roman" w:hAnsi="Times New Roman"/>
                <w:bCs/>
                <w:sz w:val="28"/>
                <w:szCs w:val="28"/>
              </w:rPr>
              <w:t xml:space="preserve">atbildīgam </w:t>
            </w:r>
            <w:r w:rsidR="0008504B" w:rsidRPr="00621595">
              <w:rPr>
                <w:rFonts w:ascii="Times New Roman" w:hAnsi="Times New Roman"/>
                <w:bCs/>
                <w:sz w:val="28"/>
                <w:szCs w:val="28"/>
              </w:rPr>
              <w:t xml:space="preserve">par savām darbībām un šo darbību rezultātiem, </w:t>
            </w:r>
            <w:r w:rsidR="00BC5F85" w:rsidRPr="00621595">
              <w:rPr>
                <w:rFonts w:ascii="Times New Roman" w:hAnsi="Times New Roman"/>
                <w:bCs/>
                <w:sz w:val="28"/>
                <w:szCs w:val="28"/>
              </w:rPr>
              <w:t>tostarp arī</w:t>
            </w:r>
            <w:r w:rsidR="00BC5F85" w:rsidRPr="00621595">
              <w:rPr>
                <w:rFonts w:eastAsia="Times New Roman"/>
                <w:sz w:val="28"/>
                <w:szCs w:val="28"/>
              </w:rPr>
              <w:t xml:space="preserve"> </w:t>
            </w:r>
            <w:r w:rsidR="003066F4" w:rsidRPr="00621595">
              <w:rPr>
                <w:rFonts w:ascii="Times New Roman" w:hAnsi="Times New Roman"/>
                <w:bCs/>
                <w:sz w:val="28"/>
                <w:szCs w:val="28"/>
              </w:rPr>
              <w:t xml:space="preserve">tam </w:t>
            </w:r>
            <w:r w:rsidR="00BC5F85" w:rsidRPr="00621595">
              <w:rPr>
                <w:rFonts w:ascii="Times New Roman" w:hAnsi="Times New Roman"/>
                <w:bCs/>
                <w:sz w:val="28"/>
                <w:szCs w:val="28"/>
              </w:rPr>
              <w:t xml:space="preserve">ir jānodrošina iespēja patstāvīgi izvēlēties ārējos </w:t>
            </w:r>
            <w:r w:rsidR="00D84AEE" w:rsidRPr="00621595">
              <w:rPr>
                <w:rFonts w:ascii="Times New Roman" w:hAnsi="Times New Roman"/>
                <w:bCs/>
                <w:sz w:val="28"/>
                <w:szCs w:val="28"/>
              </w:rPr>
              <w:t xml:space="preserve">ekspertus </w:t>
            </w:r>
            <w:r w:rsidR="00BC5F85" w:rsidRPr="00621595">
              <w:rPr>
                <w:rFonts w:ascii="Times New Roman" w:hAnsi="Times New Roman"/>
                <w:bCs/>
                <w:sz w:val="28"/>
                <w:szCs w:val="28"/>
              </w:rPr>
              <w:t>un apstiprināt tos neatkarīgi no trešajām personām</w:t>
            </w:r>
            <w:r w:rsidR="006F5C39" w:rsidRPr="00621595">
              <w:rPr>
                <w:rFonts w:ascii="Times New Roman" w:hAnsi="Times New Roman"/>
                <w:bCs/>
                <w:sz w:val="28"/>
                <w:szCs w:val="28"/>
              </w:rPr>
              <w:t xml:space="preserve"> (operacionālā neatkarība)</w:t>
            </w:r>
            <w:r w:rsidR="00BC5F85" w:rsidRPr="00621595">
              <w:rPr>
                <w:rFonts w:ascii="Times New Roman" w:hAnsi="Times New Roman"/>
                <w:bCs/>
                <w:sz w:val="28"/>
                <w:szCs w:val="28"/>
              </w:rPr>
              <w:t>,</w:t>
            </w:r>
            <w:r w:rsidR="003066F4" w:rsidRPr="00621595">
              <w:rPr>
                <w:rFonts w:ascii="Times New Roman" w:hAnsi="Times New Roman"/>
                <w:bCs/>
                <w:sz w:val="28"/>
                <w:szCs w:val="28"/>
              </w:rPr>
              <w:t xml:space="preserve"> tādēļ</w:t>
            </w:r>
            <w:r w:rsidR="00BC5F85" w:rsidRPr="00621595">
              <w:rPr>
                <w:rFonts w:ascii="Times New Roman" w:hAnsi="Times New Roman"/>
                <w:bCs/>
                <w:sz w:val="28"/>
                <w:szCs w:val="28"/>
              </w:rPr>
              <w:t xml:space="preserve"> </w:t>
            </w:r>
            <w:r w:rsidRPr="00621595">
              <w:rPr>
                <w:rFonts w:ascii="Times New Roman" w:hAnsi="Times New Roman"/>
                <w:bCs/>
                <w:sz w:val="28"/>
                <w:szCs w:val="28"/>
              </w:rPr>
              <w:t>centram</w:t>
            </w:r>
            <w:r w:rsidR="0008504B" w:rsidRPr="00621595">
              <w:rPr>
                <w:rFonts w:ascii="Times New Roman" w:hAnsi="Times New Roman"/>
                <w:bCs/>
                <w:sz w:val="28"/>
                <w:szCs w:val="28"/>
              </w:rPr>
              <w:t xml:space="preserve"> papildus tiek noteikti</w:t>
            </w:r>
            <w:r w:rsidR="00A40CE2" w:rsidRPr="00621595">
              <w:rPr>
                <w:rFonts w:ascii="Times New Roman" w:hAnsi="Times New Roman"/>
                <w:bCs/>
                <w:sz w:val="28"/>
                <w:szCs w:val="28"/>
              </w:rPr>
              <w:t xml:space="preserve"> </w:t>
            </w:r>
            <w:r w:rsidR="0008504B" w:rsidRPr="00621595">
              <w:rPr>
                <w:rFonts w:ascii="Times New Roman" w:hAnsi="Times New Roman"/>
                <w:bCs/>
                <w:sz w:val="28"/>
                <w:szCs w:val="28"/>
              </w:rPr>
              <w:t>šādi</w:t>
            </w:r>
            <w:r w:rsidR="00A40CE2" w:rsidRPr="00621595">
              <w:rPr>
                <w:rFonts w:ascii="Times New Roman" w:hAnsi="Times New Roman"/>
                <w:bCs/>
                <w:sz w:val="28"/>
                <w:szCs w:val="28"/>
              </w:rPr>
              <w:t xml:space="preserve"> uzdevum</w:t>
            </w:r>
            <w:r w:rsidR="0008504B" w:rsidRPr="00621595">
              <w:rPr>
                <w:rFonts w:ascii="Times New Roman" w:hAnsi="Times New Roman"/>
                <w:bCs/>
                <w:sz w:val="28"/>
                <w:szCs w:val="28"/>
              </w:rPr>
              <w:t>i</w:t>
            </w:r>
            <w:r w:rsidR="00A40CE2" w:rsidRPr="00621595">
              <w:rPr>
                <w:rFonts w:ascii="Times New Roman" w:hAnsi="Times New Roman"/>
                <w:bCs/>
                <w:sz w:val="28"/>
                <w:szCs w:val="28"/>
              </w:rPr>
              <w:t>:</w:t>
            </w:r>
          </w:p>
          <w:p w:rsidR="00A40CE2" w:rsidRPr="00621595" w:rsidRDefault="00A40CE2" w:rsidP="00DA32A6">
            <w:pPr>
              <w:numPr>
                <w:ilvl w:val="0"/>
                <w:numId w:val="3"/>
              </w:numPr>
              <w:spacing w:after="0" w:line="240" w:lineRule="auto"/>
              <w:ind w:left="0" w:firstLine="360"/>
              <w:jc w:val="both"/>
              <w:rPr>
                <w:rFonts w:ascii="Times New Roman" w:hAnsi="Times New Roman"/>
                <w:bCs/>
                <w:sz w:val="28"/>
                <w:szCs w:val="28"/>
              </w:rPr>
            </w:pPr>
            <w:r w:rsidRPr="00621595">
              <w:rPr>
                <w:rFonts w:ascii="Times New Roman" w:hAnsi="Times New Roman"/>
                <w:bCs/>
                <w:sz w:val="28"/>
                <w:szCs w:val="28"/>
              </w:rPr>
              <w:t>izstrādāt studiju programmas novērtējamos aspektus, saskaņā ar kuriem vērtē studiju programmas studiju programmu licencēšanas procesā, ievērojot studiju programmas vērtēšanas kritērijus;</w:t>
            </w:r>
          </w:p>
          <w:p w:rsidR="00A40CE2" w:rsidRPr="00621595" w:rsidRDefault="00A40CE2" w:rsidP="00DA32A6">
            <w:pPr>
              <w:numPr>
                <w:ilvl w:val="0"/>
                <w:numId w:val="3"/>
              </w:numPr>
              <w:spacing w:after="0" w:line="240" w:lineRule="auto"/>
              <w:ind w:left="0" w:firstLine="360"/>
              <w:jc w:val="both"/>
              <w:rPr>
                <w:rFonts w:ascii="Times New Roman" w:hAnsi="Times New Roman"/>
                <w:bCs/>
                <w:sz w:val="28"/>
                <w:szCs w:val="28"/>
              </w:rPr>
            </w:pPr>
            <w:r w:rsidRPr="00621595">
              <w:rPr>
                <w:rFonts w:ascii="Times New Roman" w:hAnsi="Times New Roman"/>
                <w:bCs/>
                <w:sz w:val="28"/>
                <w:szCs w:val="28"/>
              </w:rPr>
              <w:t>noteikt ekspertu kopīgā atzinuma struktūru un tajā iekļaujamo informāciju</w:t>
            </w:r>
            <w:r w:rsidR="00214DE6" w:rsidRPr="00621595">
              <w:rPr>
                <w:rFonts w:ascii="Times New Roman" w:hAnsi="Times New Roman"/>
                <w:bCs/>
                <w:sz w:val="28"/>
                <w:szCs w:val="28"/>
              </w:rPr>
              <w:t>;</w:t>
            </w:r>
          </w:p>
          <w:p w:rsidR="00214DE6" w:rsidRPr="00621595" w:rsidRDefault="00214DE6" w:rsidP="00DA32A6">
            <w:pPr>
              <w:numPr>
                <w:ilvl w:val="0"/>
                <w:numId w:val="3"/>
              </w:numPr>
              <w:spacing w:after="0" w:line="240" w:lineRule="auto"/>
              <w:ind w:left="0" w:firstLine="360"/>
              <w:jc w:val="both"/>
              <w:rPr>
                <w:rFonts w:ascii="Times New Roman" w:hAnsi="Times New Roman"/>
                <w:bCs/>
                <w:sz w:val="28"/>
                <w:szCs w:val="28"/>
              </w:rPr>
            </w:pPr>
            <w:r w:rsidRPr="00621595">
              <w:rPr>
                <w:rFonts w:ascii="Times New Roman" w:hAnsi="Times New Roman"/>
                <w:bCs/>
                <w:sz w:val="28"/>
                <w:szCs w:val="28"/>
              </w:rPr>
              <w:t>studiju programmas novērtēšanai atlasīt un apstiprināt trīs ekspertus.</w:t>
            </w:r>
          </w:p>
          <w:p w:rsidR="00514354" w:rsidRPr="00621595" w:rsidRDefault="00DA32A6" w:rsidP="00514354">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w:t>
            </w:r>
            <w:r w:rsidR="00893F3F" w:rsidRPr="00621595">
              <w:rPr>
                <w:rFonts w:ascii="Times New Roman" w:hAnsi="Times New Roman"/>
                <w:bCs/>
                <w:sz w:val="28"/>
                <w:szCs w:val="28"/>
              </w:rPr>
              <w:t>Standartu</w:t>
            </w:r>
            <w:r w:rsidR="00514354" w:rsidRPr="00621595">
              <w:rPr>
                <w:rFonts w:ascii="Times New Roman" w:hAnsi="Times New Roman"/>
                <w:bCs/>
                <w:sz w:val="28"/>
                <w:szCs w:val="28"/>
              </w:rPr>
              <w:t xml:space="preserve"> 2.4.apakšpunkts noteic, ka kvalitātes nodrošināšanas pamatā ir vispusīgs ekspertu izvērtējums. Ekspertu ieguldījums </w:t>
            </w:r>
            <w:r w:rsidR="003066F4" w:rsidRPr="00621595">
              <w:rPr>
                <w:rFonts w:ascii="Times New Roman" w:hAnsi="Times New Roman"/>
                <w:bCs/>
                <w:sz w:val="28"/>
                <w:szCs w:val="28"/>
              </w:rPr>
              <w:t xml:space="preserve">centra </w:t>
            </w:r>
            <w:r w:rsidR="00514354" w:rsidRPr="00621595">
              <w:rPr>
                <w:rFonts w:ascii="Times New Roman" w:hAnsi="Times New Roman"/>
                <w:bCs/>
                <w:sz w:val="28"/>
                <w:szCs w:val="28"/>
              </w:rPr>
              <w:t>darbā ir izvērtējums no dažādiem skatupunktiem, tostarp no augstskolas, mācībspēku, studentu un darba devēju/nozares profesionāļu puses. MK noteikumu 6.2.apakšpunkts noteic, ka stud</w:t>
            </w:r>
            <w:r w:rsidR="003A6FF0" w:rsidRPr="00621595">
              <w:rPr>
                <w:rFonts w:ascii="Times New Roman" w:hAnsi="Times New Roman"/>
                <w:bCs/>
                <w:sz w:val="28"/>
                <w:szCs w:val="28"/>
              </w:rPr>
              <w:t xml:space="preserve">iju programmu izvērtēšanu veic </w:t>
            </w:r>
            <w:r w:rsidR="00514354" w:rsidRPr="00621595">
              <w:rPr>
                <w:rFonts w:ascii="Times New Roman" w:hAnsi="Times New Roman"/>
                <w:bCs/>
                <w:sz w:val="28"/>
                <w:szCs w:val="28"/>
              </w:rPr>
              <w:t>divi studiju programmai atbilstošās nozares eksperti. MK noteikumi nenosaka studentu ti</w:t>
            </w:r>
            <w:r w:rsidR="003A6FF0" w:rsidRPr="00621595">
              <w:rPr>
                <w:rFonts w:ascii="Times New Roman" w:hAnsi="Times New Roman"/>
                <w:bCs/>
                <w:sz w:val="28"/>
                <w:szCs w:val="28"/>
              </w:rPr>
              <w:t xml:space="preserve">esības pilnvērtīgi piedalīties </w:t>
            </w:r>
            <w:r w:rsidR="00514354" w:rsidRPr="00621595">
              <w:rPr>
                <w:rFonts w:ascii="Times New Roman" w:hAnsi="Times New Roman"/>
                <w:bCs/>
                <w:sz w:val="28"/>
                <w:szCs w:val="28"/>
              </w:rPr>
              <w:t>studiju programmas izvērt</w:t>
            </w:r>
            <w:r w:rsidR="00893F3F" w:rsidRPr="00621595">
              <w:rPr>
                <w:rFonts w:ascii="Times New Roman" w:hAnsi="Times New Roman"/>
                <w:bCs/>
                <w:sz w:val="28"/>
                <w:szCs w:val="28"/>
              </w:rPr>
              <w:t>ēšanā. Lai nodrošinātu S</w:t>
            </w:r>
            <w:r w:rsidR="00514354" w:rsidRPr="00621595">
              <w:rPr>
                <w:rFonts w:ascii="Times New Roman" w:hAnsi="Times New Roman"/>
                <w:bCs/>
                <w:sz w:val="28"/>
                <w:szCs w:val="28"/>
              </w:rPr>
              <w:t>tandart</w:t>
            </w:r>
            <w:r w:rsidR="00893F3F" w:rsidRPr="00621595">
              <w:rPr>
                <w:rFonts w:ascii="Times New Roman" w:hAnsi="Times New Roman"/>
                <w:bCs/>
                <w:sz w:val="28"/>
                <w:szCs w:val="28"/>
              </w:rPr>
              <w:t>u</w:t>
            </w:r>
            <w:r w:rsidR="00514354" w:rsidRPr="00621595">
              <w:rPr>
                <w:rFonts w:ascii="Times New Roman" w:hAnsi="Times New Roman"/>
                <w:bCs/>
                <w:sz w:val="28"/>
                <w:szCs w:val="28"/>
              </w:rPr>
              <w:t xml:space="preserve"> 2.4. apakšpunkta izpildi, projekts paredz ekspertu grupā, kura izvērtē studiju programmu, iesaistīt arī Latvijas Studentu apvienības deleģētu pārstāvi. Vienlaikus tiek saglabātas Latvijas Studentu apvienības tiesības </w:t>
            </w:r>
            <w:r w:rsidR="00514354" w:rsidRPr="00621595">
              <w:rPr>
                <w:rFonts w:ascii="Times New Roman" w:hAnsi="Times New Roman"/>
                <w:bCs/>
                <w:sz w:val="28"/>
                <w:szCs w:val="28"/>
              </w:rPr>
              <w:lastRenderedPageBreak/>
              <w:t xml:space="preserve">deleģēt tās pārstāvi novērotāja statusā, kuram ir tiesības </w:t>
            </w:r>
            <w:r w:rsidR="00D84AEE" w:rsidRPr="00621595">
              <w:rPr>
                <w:rFonts w:ascii="Times New Roman" w:hAnsi="Times New Roman"/>
                <w:bCs/>
                <w:sz w:val="28"/>
                <w:szCs w:val="28"/>
              </w:rPr>
              <w:t xml:space="preserve">piedalīties </w:t>
            </w:r>
            <w:r w:rsidR="00D84AEE" w:rsidRPr="00621595">
              <w:rPr>
                <w:sz w:val="28"/>
                <w:szCs w:val="28"/>
              </w:rPr>
              <w:t xml:space="preserve"> </w:t>
            </w:r>
            <w:r w:rsidR="00D84AEE" w:rsidRPr="00621595">
              <w:rPr>
                <w:rFonts w:ascii="Times New Roman" w:hAnsi="Times New Roman"/>
                <w:bCs/>
                <w:sz w:val="28"/>
                <w:szCs w:val="28"/>
              </w:rPr>
              <w:t>ekspertu vizītēs augstskolās, koledžās, to filiālēs, lai novērotu vizītes norisi</w:t>
            </w:r>
            <w:r w:rsidR="00047DE0" w:rsidRPr="00621595">
              <w:rPr>
                <w:rFonts w:ascii="Times New Roman" w:hAnsi="Times New Roman"/>
                <w:bCs/>
                <w:sz w:val="28"/>
                <w:szCs w:val="28"/>
              </w:rPr>
              <w:t>, līdz ar to studenti gūst pieredzi un turpmāk var piedalīties studiju programmas izvērtēšanā ekspertu statusā.</w:t>
            </w:r>
            <w:r w:rsidR="00D84AEE" w:rsidRPr="00621595">
              <w:rPr>
                <w:rFonts w:ascii="Times New Roman" w:hAnsi="Times New Roman"/>
                <w:bCs/>
                <w:sz w:val="28"/>
                <w:szCs w:val="28"/>
              </w:rPr>
              <w:t xml:space="preserve"> </w:t>
            </w:r>
            <w:r w:rsidR="00514354" w:rsidRPr="00621595">
              <w:rPr>
                <w:rFonts w:ascii="Times New Roman" w:hAnsi="Times New Roman"/>
                <w:bCs/>
                <w:sz w:val="28"/>
                <w:szCs w:val="28"/>
              </w:rPr>
              <w:t xml:space="preserve"> </w:t>
            </w:r>
          </w:p>
          <w:p w:rsidR="00514354" w:rsidRPr="00621595" w:rsidRDefault="00DA32A6" w:rsidP="00514354">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w:t>
            </w:r>
            <w:r w:rsidR="00514354" w:rsidRPr="00621595">
              <w:rPr>
                <w:rFonts w:ascii="Times New Roman" w:hAnsi="Times New Roman"/>
                <w:bCs/>
                <w:sz w:val="28"/>
                <w:szCs w:val="28"/>
              </w:rPr>
              <w:t>MK noteikumu 4.punkts noteic studiju programmu licencēšanas komisijas sastāvu. Identiskas prasības studiju akreditācijas komisijas sastāvam ir noteiktas Ministru kabineta 2015. gada 14. jūlija noteikumu Nr.407 „Augstskolu, koledžu un studiju virzienu akreditācijas noteikumi” 6.punktā. Piemērojot MK noteikumus, faktiski studiju programmu licencēšanas komisijas un studiju akreditācijas komisijas pienākumus veic viena institūcija,</w:t>
            </w:r>
            <w:r w:rsidR="000529FD" w:rsidRPr="00621595">
              <w:rPr>
                <w:rFonts w:ascii="Times New Roman" w:hAnsi="Times New Roman"/>
                <w:bCs/>
                <w:sz w:val="28"/>
                <w:szCs w:val="28"/>
              </w:rPr>
              <w:t xml:space="preserve"> jo licencēšanas ir sākotnējais kvalitātes novērtēšanas posms, pēc kura seko akreditācija,</w:t>
            </w:r>
            <w:r w:rsidR="00514354" w:rsidRPr="00621595">
              <w:rPr>
                <w:rFonts w:ascii="Times New Roman" w:hAnsi="Times New Roman"/>
                <w:bCs/>
                <w:sz w:val="28"/>
                <w:szCs w:val="28"/>
              </w:rPr>
              <w:t xml:space="preserve"> tādēļ projekts paredz noteikt, ka MK noteikumos minētos studiju programmu licencēšanas komisijas pienākumus veic studiju akreditācijas komisija</w:t>
            </w:r>
            <w:r w:rsidR="00DC0567" w:rsidRPr="00621595">
              <w:rPr>
                <w:rFonts w:ascii="Times New Roman" w:hAnsi="Times New Roman"/>
                <w:bCs/>
                <w:sz w:val="28"/>
                <w:szCs w:val="28"/>
              </w:rPr>
              <w:t>,</w:t>
            </w:r>
            <w:r w:rsidR="00514354" w:rsidRPr="00621595">
              <w:rPr>
                <w:rFonts w:ascii="Times New Roman" w:hAnsi="Times New Roman"/>
                <w:bCs/>
                <w:sz w:val="28"/>
                <w:szCs w:val="28"/>
              </w:rPr>
              <w:t>, kas pildīs cita starpā arī studiju programmu licencēšanas pienākumus.</w:t>
            </w:r>
          </w:p>
          <w:p w:rsidR="00514354" w:rsidRPr="00621595" w:rsidRDefault="00DA32A6" w:rsidP="00514354">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w:t>
            </w:r>
            <w:r w:rsidR="00514354" w:rsidRPr="00621595">
              <w:rPr>
                <w:rFonts w:ascii="Times New Roman" w:hAnsi="Times New Roman"/>
                <w:bCs/>
                <w:sz w:val="28"/>
                <w:szCs w:val="28"/>
              </w:rPr>
              <w:t xml:space="preserve">MK noteikumu 6.3.apakšpunkts noteic komisijas tiesības apstiprināt Latvijas Studentu apvienības, Latvijas Izglītības un zinātnes darbinieku arodbiedrības pārstāvjus un vienu komisijas izvirzītu pārstāvi darbam novērotāja statusā. Saskaņā ar </w:t>
            </w:r>
            <w:r w:rsidR="00893F3F" w:rsidRPr="00621595">
              <w:rPr>
                <w:rFonts w:ascii="Times New Roman" w:hAnsi="Times New Roman"/>
                <w:bCs/>
                <w:sz w:val="28"/>
                <w:szCs w:val="28"/>
              </w:rPr>
              <w:t>S</w:t>
            </w:r>
            <w:r w:rsidR="00514354" w:rsidRPr="00621595">
              <w:rPr>
                <w:rFonts w:ascii="Times New Roman" w:hAnsi="Times New Roman"/>
                <w:bCs/>
                <w:sz w:val="28"/>
                <w:szCs w:val="28"/>
              </w:rPr>
              <w:t>tandart</w:t>
            </w:r>
            <w:r w:rsidR="00893F3F" w:rsidRPr="00621595">
              <w:rPr>
                <w:rFonts w:ascii="Times New Roman" w:hAnsi="Times New Roman"/>
                <w:bCs/>
                <w:sz w:val="28"/>
                <w:szCs w:val="28"/>
              </w:rPr>
              <w:t>u</w:t>
            </w:r>
            <w:r w:rsidR="00514354" w:rsidRPr="00621595">
              <w:rPr>
                <w:rFonts w:ascii="Times New Roman" w:hAnsi="Times New Roman"/>
                <w:bCs/>
                <w:sz w:val="28"/>
                <w:szCs w:val="28"/>
              </w:rPr>
              <w:t xml:space="preserve"> 3.3.punktu, aģentūra </w:t>
            </w:r>
            <w:r w:rsidR="003066F4" w:rsidRPr="00621595">
              <w:rPr>
                <w:rFonts w:ascii="Times New Roman" w:hAnsi="Times New Roman"/>
                <w:bCs/>
                <w:sz w:val="28"/>
                <w:szCs w:val="28"/>
              </w:rPr>
              <w:t xml:space="preserve">(centrs) </w:t>
            </w:r>
            <w:r w:rsidR="00514354" w:rsidRPr="00621595">
              <w:rPr>
                <w:rFonts w:ascii="Times New Roman" w:hAnsi="Times New Roman"/>
                <w:bCs/>
                <w:sz w:val="28"/>
                <w:szCs w:val="28"/>
              </w:rPr>
              <w:t xml:space="preserve">ir atbildīga par galīgajiem kvalitātes nodrošināšanas procedūru rezultātiem. Lai nodrošinātu </w:t>
            </w:r>
            <w:r w:rsidR="003066F4" w:rsidRPr="00621595">
              <w:rPr>
                <w:rFonts w:ascii="Times New Roman" w:hAnsi="Times New Roman"/>
                <w:bCs/>
                <w:sz w:val="28"/>
                <w:szCs w:val="28"/>
              </w:rPr>
              <w:t xml:space="preserve">centra </w:t>
            </w:r>
            <w:r w:rsidR="00514354" w:rsidRPr="00621595">
              <w:rPr>
                <w:rFonts w:ascii="Times New Roman" w:hAnsi="Times New Roman"/>
                <w:bCs/>
                <w:sz w:val="28"/>
                <w:szCs w:val="28"/>
              </w:rPr>
              <w:t>neatkarību, ta</w:t>
            </w:r>
            <w:r w:rsidR="003066F4" w:rsidRPr="00621595">
              <w:rPr>
                <w:rFonts w:ascii="Times New Roman" w:hAnsi="Times New Roman"/>
                <w:bCs/>
                <w:sz w:val="28"/>
                <w:szCs w:val="28"/>
              </w:rPr>
              <w:t>m</w:t>
            </w:r>
            <w:r w:rsidR="00514354" w:rsidRPr="00621595">
              <w:rPr>
                <w:rFonts w:ascii="Times New Roman" w:hAnsi="Times New Roman"/>
                <w:bCs/>
                <w:sz w:val="28"/>
                <w:szCs w:val="28"/>
              </w:rPr>
              <w:t xml:space="preserve"> ir jāparedz tiesības noteikt studiju programmas vērtēšanas procesā iesaistītās personas, tostarp arī novērotājus. Ņemot vērā minēto, projekts paredz nodot </w:t>
            </w:r>
            <w:r w:rsidR="003A6FF0" w:rsidRPr="00621595">
              <w:rPr>
                <w:rFonts w:ascii="Times New Roman" w:hAnsi="Times New Roman"/>
                <w:bCs/>
                <w:sz w:val="28"/>
                <w:szCs w:val="28"/>
              </w:rPr>
              <w:t>centram</w:t>
            </w:r>
            <w:r w:rsidR="00514354" w:rsidRPr="00621595">
              <w:rPr>
                <w:rFonts w:ascii="Times New Roman" w:hAnsi="Times New Roman"/>
                <w:bCs/>
                <w:sz w:val="28"/>
                <w:szCs w:val="28"/>
              </w:rPr>
              <w:t xml:space="preserve"> komisijas tiesības apstiprināt Latvijas Studentu apvienības un Latvijas Izglītības un zinātnes darbinieku arodbiedrības pārstāvjus darbam novērotāja statusā.</w:t>
            </w:r>
          </w:p>
          <w:p w:rsidR="000529FD" w:rsidRPr="00621595" w:rsidRDefault="00DA32A6" w:rsidP="00B501DC">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w:t>
            </w:r>
            <w:r w:rsidR="003A6FF0" w:rsidRPr="00621595">
              <w:rPr>
                <w:rFonts w:ascii="Times New Roman" w:hAnsi="Times New Roman"/>
                <w:bCs/>
                <w:sz w:val="28"/>
                <w:szCs w:val="28"/>
              </w:rPr>
              <w:t xml:space="preserve">MK </w:t>
            </w:r>
            <w:r w:rsidR="00214DE6" w:rsidRPr="00621595">
              <w:rPr>
                <w:rFonts w:ascii="Times New Roman" w:hAnsi="Times New Roman"/>
                <w:bCs/>
                <w:sz w:val="28"/>
                <w:szCs w:val="28"/>
              </w:rPr>
              <w:t xml:space="preserve">noteikumu 22.punkts paredz augstskolas vai koledžas tiesības noraidīt studiju programmas izvērtēšanai apstiprinātos ekspertus. Minēto noraidījumu izvērtē studiju programmu licencēšanas komisija, jo MK noteikumu 6.2.punkts noteic tās pienākumu studiju programmas izvērtēšanai apstiprināt divus studiju programmai atbilstošās nozares ekspertus. Ņemot vērā, ka projekts paredz </w:t>
            </w:r>
            <w:r w:rsidR="003A6FF0" w:rsidRPr="00621595">
              <w:rPr>
                <w:rFonts w:ascii="Times New Roman" w:hAnsi="Times New Roman"/>
                <w:bCs/>
                <w:sz w:val="28"/>
                <w:szCs w:val="28"/>
              </w:rPr>
              <w:lastRenderedPageBreak/>
              <w:t>centra</w:t>
            </w:r>
            <w:r w:rsidR="00214DE6" w:rsidRPr="00621595">
              <w:rPr>
                <w:rFonts w:ascii="Times New Roman" w:hAnsi="Times New Roman"/>
                <w:bCs/>
                <w:sz w:val="28"/>
                <w:szCs w:val="28"/>
              </w:rPr>
              <w:t xml:space="preserve"> pienākumu apstiprināt studiju programmas novērtēšanas ekspertus, </w:t>
            </w:r>
            <w:r w:rsidR="00A347E5" w:rsidRPr="00621595">
              <w:rPr>
                <w:rFonts w:ascii="Times New Roman" w:hAnsi="Times New Roman"/>
                <w:bCs/>
                <w:sz w:val="28"/>
                <w:szCs w:val="28"/>
              </w:rPr>
              <w:t xml:space="preserve">projekts </w:t>
            </w:r>
            <w:r w:rsidR="00214DE6" w:rsidRPr="00621595">
              <w:rPr>
                <w:rFonts w:ascii="Times New Roman" w:hAnsi="Times New Roman"/>
                <w:bCs/>
                <w:sz w:val="28"/>
                <w:szCs w:val="28"/>
              </w:rPr>
              <w:t xml:space="preserve">nosaka </w:t>
            </w:r>
            <w:r w:rsidR="00514354" w:rsidRPr="00621595">
              <w:rPr>
                <w:rFonts w:ascii="Times New Roman" w:hAnsi="Times New Roman"/>
                <w:bCs/>
                <w:sz w:val="28"/>
                <w:szCs w:val="28"/>
              </w:rPr>
              <w:t xml:space="preserve">arī </w:t>
            </w:r>
            <w:r w:rsidR="003A6FF0" w:rsidRPr="00621595">
              <w:rPr>
                <w:rFonts w:ascii="Times New Roman" w:hAnsi="Times New Roman"/>
                <w:bCs/>
                <w:sz w:val="28"/>
                <w:szCs w:val="28"/>
              </w:rPr>
              <w:t>centra</w:t>
            </w:r>
            <w:r w:rsidR="00214DE6" w:rsidRPr="00621595">
              <w:rPr>
                <w:rFonts w:ascii="Times New Roman" w:hAnsi="Times New Roman"/>
                <w:bCs/>
                <w:sz w:val="28"/>
                <w:szCs w:val="28"/>
              </w:rPr>
              <w:t xml:space="preserve"> tiesības cita starpā arī izvērtēt </w:t>
            </w:r>
            <w:r w:rsidR="00A347E5" w:rsidRPr="00621595">
              <w:rPr>
                <w:rFonts w:ascii="Times New Roman" w:hAnsi="Times New Roman"/>
                <w:bCs/>
                <w:sz w:val="28"/>
                <w:szCs w:val="28"/>
              </w:rPr>
              <w:t xml:space="preserve">augstskolas vai koledžas iesniegto noraidījumu </w:t>
            </w:r>
            <w:r w:rsidR="003A6FF0" w:rsidRPr="00621595">
              <w:rPr>
                <w:rFonts w:ascii="Times New Roman" w:hAnsi="Times New Roman"/>
                <w:bCs/>
                <w:sz w:val="28"/>
                <w:szCs w:val="28"/>
              </w:rPr>
              <w:t>centra</w:t>
            </w:r>
            <w:r w:rsidR="00A347E5" w:rsidRPr="00621595">
              <w:rPr>
                <w:rFonts w:ascii="Times New Roman" w:hAnsi="Times New Roman"/>
                <w:bCs/>
                <w:sz w:val="28"/>
                <w:szCs w:val="28"/>
              </w:rPr>
              <w:t xml:space="preserve"> apstiprinātajiem ekspertiem.</w:t>
            </w:r>
          </w:p>
          <w:p w:rsidR="000529FD" w:rsidRPr="00621595" w:rsidRDefault="00DA32A6" w:rsidP="00B501DC">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w:t>
            </w:r>
            <w:r w:rsidR="000529FD" w:rsidRPr="00621595">
              <w:rPr>
                <w:rFonts w:ascii="Times New Roman" w:hAnsi="Times New Roman"/>
                <w:bCs/>
                <w:sz w:val="28"/>
                <w:szCs w:val="28"/>
              </w:rPr>
              <w:t xml:space="preserve">Ņemot vērā, ka </w:t>
            </w:r>
            <w:r w:rsidR="003A6FF0" w:rsidRPr="00621595">
              <w:rPr>
                <w:rFonts w:ascii="Times New Roman" w:hAnsi="Times New Roman"/>
                <w:bCs/>
                <w:sz w:val="28"/>
                <w:szCs w:val="28"/>
              </w:rPr>
              <w:t>centram</w:t>
            </w:r>
            <w:r w:rsidR="000529FD" w:rsidRPr="00621595">
              <w:rPr>
                <w:rFonts w:ascii="Times New Roman" w:hAnsi="Times New Roman"/>
                <w:bCs/>
                <w:sz w:val="28"/>
                <w:szCs w:val="28"/>
              </w:rPr>
              <w:t xml:space="preserve"> ir nodoti pienākumi apstiprināt ekspertus un novērotājus, tiek svītrots</w:t>
            </w:r>
            <w:r w:rsidR="00DC0567" w:rsidRPr="00621595">
              <w:rPr>
                <w:rFonts w:ascii="Times New Roman" w:hAnsi="Times New Roman"/>
                <w:bCs/>
                <w:sz w:val="28"/>
                <w:szCs w:val="28"/>
              </w:rPr>
              <w:t xml:space="preserve"> MK noteikumu</w:t>
            </w:r>
            <w:r w:rsidR="000529FD" w:rsidRPr="00621595">
              <w:rPr>
                <w:rFonts w:ascii="Times New Roman" w:hAnsi="Times New Roman"/>
                <w:bCs/>
                <w:sz w:val="28"/>
                <w:szCs w:val="28"/>
              </w:rPr>
              <w:t xml:space="preserve"> 6.2. un 6.3. apakšpunkts.</w:t>
            </w:r>
          </w:p>
          <w:p w:rsidR="00514354" w:rsidRPr="00621595" w:rsidRDefault="00DA32A6" w:rsidP="00CA7EF4">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w:t>
            </w:r>
            <w:r w:rsidR="00CA21EC" w:rsidRPr="00621595">
              <w:rPr>
                <w:rFonts w:ascii="Times New Roman" w:hAnsi="Times New Roman"/>
                <w:bCs/>
                <w:sz w:val="28"/>
                <w:szCs w:val="28"/>
              </w:rPr>
              <w:t>MK noteikumu 9., 10. un 13.punktā tiek lietots vārdu salikums „studiju virzienu ieviešana”, savukārt Augstskolu likuma 55.</w:t>
            </w:r>
            <w:r w:rsidR="00CA21EC" w:rsidRPr="00621595">
              <w:rPr>
                <w:rFonts w:ascii="Times New Roman" w:hAnsi="Times New Roman"/>
                <w:bCs/>
                <w:sz w:val="28"/>
                <w:szCs w:val="28"/>
                <w:vertAlign w:val="superscript"/>
              </w:rPr>
              <w:t>2</w:t>
            </w:r>
            <w:r w:rsidR="00CA21EC" w:rsidRPr="00621595">
              <w:rPr>
                <w:rFonts w:ascii="Times New Roman" w:hAnsi="Times New Roman"/>
                <w:bCs/>
                <w:sz w:val="28"/>
                <w:szCs w:val="28"/>
              </w:rPr>
              <w:t> panta trešajā daļā ar identisku nozīmi tiek lietots termins „studiju virzienu atvēršana”</w:t>
            </w:r>
            <w:r w:rsidR="00DC0567" w:rsidRPr="00621595">
              <w:rPr>
                <w:rFonts w:ascii="Times New Roman" w:hAnsi="Times New Roman"/>
                <w:bCs/>
                <w:sz w:val="28"/>
                <w:szCs w:val="28"/>
              </w:rPr>
              <w:t>,</w:t>
            </w:r>
            <w:r w:rsidR="00CA21EC" w:rsidRPr="00621595">
              <w:rPr>
                <w:rFonts w:ascii="Times New Roman" w:hAnsi="Times New Roman"/>
                <w:bCs/>
                <w:sz w:val="28"/>
                <w:szCs w:val="28"/>
              </w:rPr>
              <w:t xml:space="preserve"> </w:t>
            </w:r>
            <w:r w:rsidR="003A6FF0" w:rsidRPr="00621595">
              <w:rPr>
                <w:rFonts w:ascii="Times New Roman" w:hAnsi="Times New Roman"/>
                <w:bCs/>
                <w:sz w:val="28"/>
                <w:szCs w:val="28"/>
              </w:rPr>
              <w:t>Ievērojot minē</w:t>
            </w:r>
            <w:r w:rsidR="00DC0567" w:rsidRPr="00621595">
              <w:rPr>
                <w:rFonts w:ascii="Times New Roman" w:hAnsi="Times New Roman"/>
                <w:bCs/>
                <w:sz w:val="28"/>
                <w:szCs w:val="28"/>
              </w:rPr>
              <w:t>to</w:t>
            </w:r>
            <w:r w:rsidR="003A6FF0" w:rsidRPr="00621595">
              <w:rPr>
                <w:rFonts w:ascii="Times New Roman" w:hAnsi="Times New Roman"/>
                <w:bCs/>
                <w:sz w:val="28"/>
                <w:szCs w:val="28"/>
              </w:rPr>
              <w:t>,</w:t>
            </w:r>
            <w:r w:rsidR="00DC0567" w:rsidRPr="00621595">
              <w:rPr>
                <w:rFonts w:ascii="Times New Roman" w:hAnsi="Times New Roman"/>
                <w:bCs/>
                <w:sz w:val="28"/>
                <w:szCs w:val="28"/>
              </w:rPr>
              <w:t xml:space="preserve"> p</w:t>
            </w:r>
            <w:r w:rsidR="00CA21EC" w:rsidRPr="00621595">
              <w:rPr>
                <w:rFonts w:ascii="Times New Roman" w:hAnsi="Times New Roman"/>
                <w:bCs/>
                <w:sz w:val="28"/>
                <w:szCs w:val="28"/>
              </w:rPr>
              <w:t>rojekts paredz veikt redakcionālus precizējumus, saskaņojot MK noteikumos liet</w:t>
            </w:r>
            <w:r w:rsidR="003A6FF0" w:rsidRPr="00621595">
              <w:rPr>
                <w:rFonts w:ascii="Times New Roman" w:hAnsi="Times New Roman"/>
                <w:bCs/>
                <w:sz w:val="28"/>
                <w:szCs w:val="28"/>
              </w:rPr>
              <w:t xml:space="preserve">oto terminoloģiju ar Augstskolu </w:t>
            </w:r>
            <w:r w:rsidR="00CA21EC" w:rsidRPr="00621595">
              <w:rPr>
                <w:rFonts w:ascii="Times New Roman" w:hAnsi="Times New Roman"/>
                <w:bCs/>
                <w:sz w:val="28"/>
                <w:szCs w:val="28"/>
              </w:rPr>
              <w:t xml:space="preserve">likuma </w:t>
            </w:r>
            <w:r w:rsidR="00CA21EC" w:rsidRPr="00621595">
              <w:rPr>
                <w:rFonts w:ascii="Times New Roman" w:hAnsi="Times New Roman"/>
                <w:b/>
                <w:bCs/>
                <w:sz w:val="28"/>
                <w:szCs w:val="28"/>
              </w:rPr>
              <w:t xml:space="preserve"> </w:t>
            </w:r>
            <w:r w:rsidR="00CA21EC" w:rsidRPr="00621595">
              <w:rPr>
                <w:rFonts w:ascii="Times New Roman" w:hAnsi="Times New Roman"/>
                <w:bCs/>
                <w:sz w:val="28"/>
                <w:szCs w:val="28"/>
              </w:rPr>
              <w:t>55.</w:t>
            </w:r>
            <w:r w:rsidR="00CA21EC" w:rsidRPr="00621595">
              <w:rPr>
                <w:rFonts w:ascii="Times New Roman" w:hAnsi="Times New Roman"/>
                <w:bCs/>
                <w:sz w:val="28"/>
                <w:szCs w:val="28"/>
                <w:vertAlign w:val="superscript"/>
              </w:rPr>
              <w:t>2</w:t>
            </w:r>
            <w:r w:rsidR="00CA21EC" w:rsidRPr="00621595">
              <w:rPr>
                <w:rFonts w:ascii="Times New Roman" w:hAnsi="Times New Roman"/>
                <w:bCs/>
                <w:sz w:val="28"/>
                <w:szCs w:val="28"/>
              </w:rPr>
              <w:t> panta trešajā daļu.</w:t>
            </w:r>
          </w:p>
          <w:p w:rsidR="007B351D" w:rsidRPr="00621595" w:rsidRDefault="00DA32A6" w:rsidP="00CA7EF4">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w:t>
            </w:r>
            <w:r w:rsidR="00DF1772" w:rsidRPr="00621595">
              <w:rPr>
                <w:rFonts w:ascii="Times New Roman" w:hAnsi="Times New Roman"/>
                <w:bCs/>
                <w:sz w:val="28"/>
                <w:szCs w:val="28"/>
              </w:rPr>
              <w:t>MK n</w:t>
            </w:r>
            <w:r w:rsidR="00584FB1" w:rsidRPr="00621595">
              <w:rPr>
                <w:rFonts w:ascii="Times New Roman" w:hAnsi="Times New Roman"/>
                <w:bCs/>
                <w:sz w:val="28"/>
                <w:szCs w:val="28"/>
              </w:rPr>
              <w:t xml:space="preserve">oteikumu 24.punkts noteic studiju programmu novērtējamos kritērijus. </w:t>
            </w:r>
            <w:r w:rsidR="00560212" w:rsidRPr="00621595">
              <w:rPr>
                <w:rFonts w:ascii="Times New Roman" w:hAnsi="Times New Roman"/>
                <w:bCs/>
                <w:sz w:val="28"/>
                <w:szCs w:val="28"/>
              </w:rPr>
              <w:t>Ā</w:t>
            </w:r>
            <w:r w:rsidR="00163C48" w:rsidRPr="00621595">
              <w:rPr>
                <w:rFonts w:ascii="Times New Roman" w:hAnsi="Times New Roman"/>
                <w:bCs/>
                <w:sz w:val="28"/>
                <w:szCs w:val="28"/>
              </w:rPr>
              <w:t xml:space="preserve">rējā kvalitātes nodrošināšana un īpaši tās rezultāti būtiski ietekmē </w:t>
            </w:r>
            <w:r w:rsidR="00C36939" w:rsidRPr="00621595">
              <w:rPr>
                <w:rFonts w:ascii="Times New Roman" w:hAnsi="Times New Roman"/>
                <w:bCs/>
                <w:sz w:val="28"/>
                <w:szCs w:val="28"/>
              </w:rPr>
              <w:t xml:space="preserve">vērtējamo augstskolu un koledžu izsniegto diplomu atzīšanu un absolventu nodarbinātības iespējas. </w:t>
            </w:r>
            <w:r w:rsidR="00560212" w:rsidRPr="00621595">
              <w:rPr>
                <w:rFonts w:ascii="Times New Roman" w:hAnsi="Times New Roman"/>
                <w:bCs/>
                <w:sz w:val="28"/>
                <w:szCs w:val="28"/>
              </w:rPr>
              <w:t>Standart</w:t>
            </w:r>
            <w:r w:rsidR="00DF1772" w:rsidRPr="00621595">
              <w:rPr>
                <w:rFonts w:ascii="Times New Roman" w:hAnsi="Times New Roman"/>
                <w:bCs/>
                <w:sz w:val="28"/>
                <w:szCs w:val="28"/>
              </w:rPr>
              <w:t>u</w:t>
            </w:r>
            <w:r w:rsidR="00560212" w:rsidRPr="00621595">
              <w:rPr>
                <w:rFonts w:ascii="Times New Roman" w:hAnsi="Times New Roman"/>
                <w:bCs/>
                <w:sz w:val="28"/>
                <w:szCs w:val="28"/>
              </w:rPr>
              <w:t xml:space="preserve"> </w:t>
            </w:r>
            <w:r w:rsidR="00893F3F" w:rsidRPr="00621595">
              <w:rPr>
                <w:rFonts w:ascii="Times New Roman" w:hAnsi="Times New Roman"/>
                <w:bCs/>
                <w:sz w:val="28"/>
                <w:szCs w:val="28"/>
              </w:rPr>
              <w:t>2.5.pu</w:t>
            </w:r>
            <w:r w:rsidR="00560212" w:rsidRPr="00621595">
              <w:rPr>
                <w:rFonts w:ascii="Times New Roman" w:hAnsi="Times New Roman"/>
                <w:bCs/>
                <w:sz w:val="28"/>
                <w:szCs w:val="28"/>
              </w:rPr>
              <w:t>nkts noteic, ka t</w:t>
            </w:r>
            <w:r w:rsidR="00163C48" w:rsidRPr="00621595">
              <w:rPr>
                <w:rFonts w:ascii="Times New Roman" w:hAnsi="Times New Roman"/>
                <w:bCs/>
                <w:sz w:val="28"/>
                <w:szCs w:val="28"/>
              </w:rPr>
              <w:t xml:space="preserve">aisnīguma un uzticamības nolūkā lēmumi jābalsta uz iepriekš noteiktiem un publicētiem kritērijiem, kuri tiek konsekventi interpretēti un tam jābalstās uz faktiem. </w:t>
            </w:r>
            <w:r w:rsidR="00560212" w:rsidRPr="00621595">
              <w:rPr>
                <w:rFonts w:ascii="Times New Roman" w:hAnsi="Times New Roman"/>
                <w:bCs/>
                <w:sz w:val="28"/>
                <w:szCs w:val="28"/>
              </w:rPr>
              <w:t xml:space="preserve">Saskaņā ar </w:t>
            </w:r>
            <w:r w:rsidR="00DF1772" w:rsidRPr="00621595">
              <w:rPr>
                <w:rFonts w:ascii="Times New Roman" w:hAnsi="Times New Roman"/>
                <w:bCs/>
                <w:sz w:val="28"/>
                <w:szCs w:val="28"/>
              </w:rPr>
              <w:t>MK n</w:t>
            </w:r>
            <w:r w:rsidR="00560212" w:rsidRPr="00621595">
              <w:rPr>
                <w:rFonts w:ascii="Times New Roman" w:hAnsi="Times New Roman"/>
                <w:bCs/>
                <w:sz w:val="28"/>
                <w:szCs w:val="28"/>
              </w:rPr>
              <w:t>oteikumu 28.punktu lēmumu par studiju programmas licencēšanu, atteikumu licencēt studiju pr</w:t>
            </w:r>
            <w:r w:rsidR="00514354" w:rsidRPr="00621595">
              <w:rPr>
                <w:rFonts w:ascii="Times New Roman" w:hAnsi="Times New Roman"/>
                <w:bCs/>
                <w:sz w:val="28"/>
                <w:szCs w:val="28"/>
              </w:rPr>
              <w:t xml:space="preserve">ogrammu vai licences anulēšanu </w:t>
            </w:r>
            <w:r w:rsidR="00560212" w:rsidRPr="00621595">
              <w:rPr>
                <w:rFonts w:ascii="Times New Roman" w:hAnsi="Times New Roman"/>
                <w:bCs/>
                <w:sz w:val="28"/>
                <w:szCs w:val="28"/>
              </w:rPr>
              <w:t>programmu licencēšanas komisija noformē administratīva akta veidā, un to paraksta komisijas locekļi, kuri piedalījās balsošanā. Atbilstoši Administratīvā procesa likuma 67.panta trešajai un ceturtajai daļai, administratīvajā aktā</w:t>
            </w:r>
            <w:r w:rsidR="00560212" w:rsidRPr="00621595">
              <w:rPr>
                <w:rFonts w:ascii="Arial" w:hAnsi="Arial" w:cs="Arial"/>
                <w:color w:val="414142"/>
                <w:sz w:val="28"/>
                <w:szCs w:val="28"/>
                <w:shd w:val="clear" w:color="auto" w:fill="F1F1F1"/>
              </w:rPr>
              <w:t xml:space="preserve"> </w:t>
            </w:r>
            <w:r w:rsidR="00560212" w:rsidRPr="00621595">
              <w:rPr>
                <w:rFonts w:ascii="Times New Roman" w:hAnsi="Times New Roman"/>
                <w:bCs/>
                <w:sz w:val="28"/>
                <w:szCs w:val="28"/>
              </w:rPr>
              <w:t>norāda pierādījumus, uz kuriem pamatoti secinājumi, un argumentus, uz kuru pamata pierādījumi noraidīti, un to pamato</w:t>
            </w:r>
            <w:r w:rsidR="00C36939" w:rsidRPr="00621595">
              <w:rPr>
                <w:rFonts w:ascii="Times New Roman" w:hAnsi="Times New Roman"/>
                <w:bCs/>
                <w:sz w:val="28"/>
                <w:szCs w:val="28"/>
              </w:rPr>
              <w:t xml:space="preserve"> </w:t>
            </w:r>
            <w:r w:rsidR="00560212" w:rsidRPr="00621595">
              <w:rPr>
                <w:rFonts w:ascii="Times New Roman" w:hAnsi="Times New Roman"/>
                <w:bCs/>
                <w:sz w:val="28"/>
                <w:szCs w:val="28"/>
              </w:rPr>
              <w:t>ar Satversmi, likumiem, Ministru kabineta noteikumiem vai pašvaldību saistošajiem noteikumiem, starptautisko tiesību vai Eiropas Savienības normām, kā arī vispārējiem tiesību principiem. Lai pilnveidotu novērtēšanas kvalitāti,</w:t>
            </w:r>
            <w:r w:rsidR="00584FB1" w:rsidRPr="00621595">
              <w:rPr>
                <w:rFonts w:ascii="Times New Roman" w:hAnsi="Times New Roman"/>
                <w:bCs/>
                <w:sz w:val="28"/>
                <w:szCs w:val="28"/>
              </w:rPr>
              <w:t xml:space="preserve"> projektā tiek paredzēti vispārēji studiju programmu novērtējam</w:t>
            </w:r>
            <w:r w:rsidR="00873DA8" w:rsidRPr="00621595">
              <w:rPr>
                <w:rFonts w:ascii="Times New Roman" w:hAnsi="Times New Roman"/>
                <w:bCs/>
                <w:sz w:val="28"/>
                <w:szCs w:val="28"/>
              </w:rPr>
              <w:t>ie kritēriji, kurus papildina centra</w:t>
            </w:r>
            <w:r w:rsidR="00584FB1" w:rsidRPr="00621595">
              <w:rPr>
                <w:rFonts w:ascii="Times New Roman" w:hAnsi="Times New Roman"/>
                <w:bCs/>
                <w:sz w:val="28"/>
                <w:szCs w:val="28"/>
              </w:rPr>
              <w:t xml:space="preserve"> i</w:t>
            </w:r>
            <w:r w:rsidR="00514354" w:rsidRPr="00621595">
              <w:rPr>
                <w:rFonts w:ascii="Times New Roman" w:hAnsi="Times New Roman"/>
                <w:bCs/>
                <w:sz w:val="28"/>
                <w:szCs w:val="28"/>
              </w:rPr>
              <w:t>zstrādātie novērtēj</w:t>
            </w:r>
            <w:r w:rsidR="00C36939" w:rsidRPr="00621595">
              <w:rPr>
                <w:rFonts w:ascii="Times New Roman" w:hAnsi="Times New Roman"/>
                <w:bCs/>
                <w:sz w:val="28"/>
                <w:szCs w:val="28"/>
              </w:rPr>
              <w:t xml:space="preserve">amie aspekti, kurus saskaņā ar </w:t>
            </w:r>
            <w:r w:rsidR="00C36939" w:rsidRPr="00621595">
              <w:rPr>
                <w:rFonts w:ascii="Times New Roman" w:hAnsi="Times New Roman"/>
                <w:bCs/>
                <w:sz w:val="28"/>
                <w:szCs w:val="28"/>
              </w:rPr>
              <w:lastRenderedPageBreak/>
              <w:t xml:space="preserve">Standartu 2.2. un 2.5. ir jāizstrādā </w:t>
            </w:r>
            <w:r w:rsidR="003066F4" w:rsidRPr="00621595">
              <w:rPr>
                <w:rFonts w:ascii="Times New Roman" w:hAnsi="Times New Roman"/>
                <w:bCs/>
                <w:sz w:val="28"/>
                <w:szCs w:val="28"/>
              </w:rPr>
              <w:t xml:space="preserve">centram </w:t>
            </w:r>
            <w:r w:rsidR="00C36939" w:rsidRPr="00621595">
              <w:rPr>
                <w:rFonts w:ascii="Times New Roman" w:hAnsi="Times New Roman"/>
                <w:bCs/>
                <w:sz w:val="28"/>
                <w:szCs w:val="28"/>
              </w:rPr>
              <w:t>patstāvīgi un neatkarīgi.</w:t>
            </w:r>
          </w:p>
          <w:p w:rsidR="00DE76F3" w:rsidRPr="00621595" w:rsidRDefault="00DA32A6" w:rsidP="004B11A4">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w:t>
            </w:r>
            <w:r w:rsidR="00DF1772" w:rsidRPr="00621595">
              <w:rPr>
                <w:rFonts w:ascii="Times New Roman" w:hAnsi="Times New Roman"/>
                <w:bCs/>
                <w:sz w:val="28"/>
                <w:szCs w:val="28"/>
              </w:rPr>
              <w:t>MK n</w:t>
            </w:r>
            <w:r w:rsidR="00DE76F3" w:rsidRPr="00621595">
              <w:rPr>
                <w:rFonts w:ascii="Times New Roman" w:hAnsi="Times New Roman"/>
                <w:bCs/>
                <w:sz w:val="28"/>
                <w:szCs w:val="28"/>
              </w:rPr>
              <w:t xml:space="preserve">oteikumu 28.punkts noteic, ka lēmumu </w:t>
            </w:r>
            <w:r w:rsidR="00DE76F3" w:rsidRPr="00621595">
              <w:rPr>
                <w:rFonts w:ascii="Arial" w:hAnsi="Arial" w:cs="Arial"/>
                <w:color w:val="414142"/>
                <w:sz w:val="28"/>
                <w:szCs w:val="28"/>
                <w:shd w:val="clear" w:color="auto" w:fill="FFFFFF"/>
              </w:rPr>
              <w:t xml:space="preserve"> </w:t>
            </w:r>
            <w:r w:rsidR="00DE76F3" w:rsidRPr="00621595">
              <w:rPr>
                <w:rFonts w:ascii="Times New Roman" w:hAnsi="Times New Roman"/>
                <w:bCs/>
                <w:sz w:val="28"/>
                <w:szCs w:val="28"/>
              </w:rPr>
              <w:t xml:space="preserve">par studiju programmas licencēšanu, atteikumu licencēt studiju programmu vai licences anulēšanu paraksta komisijas locekļi, kuri piedalījās balsošanā. Savukārt </w:t>
            </w:r>
            <w:r w:rsidR="00DF1772" w:rsidRPr="00621595">
              <w:rPr>
                <w:rFonts w:ascii="Times New Roman" w:hAnsi="Times New Roman"/>
                <w:bCs/>
                <w:sz w:val="28"/>
                <w:szCs w:val="28"/>
              </w:rPr>
              <w:t>MK n</w:t>
            </w:r>
            <w:r w:rsidR="00DE76F3" w:rsidRPr="00621595">
              <w:rPr>
                <w:rFonts w:ascii="Times New Roman" w:hAnsi="Times New Roman"/>
                <w:bCs/>
                <w:sz w:val="28"/>
                <w:szCs w:val="28"/>
              </w:rPr>
              <w:t xml:space="preserve">oteikumu 25.punkts noteic </w:t>
            </w:r>
            <w:r w:rsidR="00DC0567" w:rsidRPr="00621595">
              <w:rPr>
                <w:rFonts w:ascii="Times New Roman" w:hAnsi="Times New Roman"/>
                <w:bCs/>
                <w:sz w:val="28"/>
                <w:szCs w:val="28"/>
              </w:rPr>
              <w:t>c</w:t>
            </w:r>
            <w:r w:rsidR="00DE76F3" w:rsidRPr="00621595">
              <w:rPr>
                <w:rFonts w:ascii="Times New Roman" w:hAnsi="Times New Roman"/>
                <w:bCs/>
                <w:sz w:val="28"/>
                <w:szCs w:val="28"/>
              </w:rPr>
              <w:t>entra pienākumu nosūtīt minēto lēmumu augstskolai vai koledžai 10 darbdienu laikā. Studiju programmu licencēšanas komisijas sastāvā ir septiņi locekļi un prasība visiem komisijas locekļiem parakstīt lēmumu praksē rada risku neievērot lēmuma nosūtīšanai noteikto termiņu. Tādēļ projektā tiek noteikts, ka lēmumu par studiju programmas licencēšanu, atteikumu licencēt studiju programmu vai licences anulēšanu paraksta komisijas priekšsēdētājs.</w:t>
            </w:r>
          </w:p>
          <w:p w:rsidR="00137432" w:rsidRPr="00621595" w:rsidRDefault="00DA32A6" w:rsidP="00A30E5A">
            <w:pPr>
              <w:spacing w:after="0" w:line="240" w:lineRule="auto"/>
              <w:jc w:val="both"/>
              <w:rPr>
                <w:rFonts w:eastAsia="Times New Roman"/>
                <w:sz w:val="28"/>
                <w:szCs w:val="28"/>
              </w:rPr>
            </w:pPr>
            <w:r w:rsidRPr="00621595">
              <w:rPr>
                <w:rFonts w:ascii="Times New Roman" w:hAnsi="Times New Roman"/>
                <w:bCs/>
                <w:sz w:val="28"/>
                <w:szCs w:val="28"/>
              </w:rPr>
              <w:t xml:space="preserve">     </w:t>
            </w:r>
            <w:r w:rsidR="00137432" w:rsidRPr="00621595">
              <w:rPr>
                <w:rFonts w:ascii="Times New Roman" w:hAnsi="Times New Roman"/>
                <w:bCs/>
                <w:sz w:val="28"/>
                <w:szCs w:val="28"/>
              </w:rPr>
              <w:t>Standart</w:t>
            </w:r>
            <w:r w:rsidR="00893F3F" w:rsidRPr="00621595">
              <w:rPr>
                <w:rFonts w:ascii="Times New Roman" w:hAnsi="Times New Roman"/>
                <w:bCs/>
                <w:sz w:val="28"/>
                <w:szCs w:val="28"/>
              </w:rPr>
              <w:t xml:space="preserve">u </w:t>
            </w:r>
            <w:r w:rsidR="00137432" w:rsidRPr="00621595">
              <w:rPr>
                <w:rFonts w:ascii="Times New Roman" w:hAnsi="Times New Roman"/>
                <w:bCs/>
                <w:sz w:val="28"/>
                <w:szCs w:val="28"/>
              </w:rPr>
              <w:t>2.</w:t>
            </w:r>
            <w:r w:rsidR="00C36939" w:rsidRPr="00621595">
              <w:rPr>
                <w:rFonts w:ascii="Times New Roman" w:hAnsi="Times New Roman"/>
                <w:bCs/>
                <w:sz w:val="28"/>
                <w:szCs w:val="28"/>
              </w:rPr>
              <w:t>7</w:t>
            </w:r>
            <w:r w:rsidR="00137432" w:rsidRPr="00621595">
              <w:rPr>
                <w:rFonts w:ascii="Times New Roman" w:hAnsi="Times New Roman"/>
                <w:bCs/>
                <w:sz w:val="28"/>
                <w:szCs w:val="28"/>
              </w:rPr>
              <w:t xml:space="preserve">.punkts noteic </w:t>
            </w:r>
            <w:r w:rsidR="00C36939" w:rsidRPr="00621595">
              <w:rPr>
                <w:rFonts w:ascii="Times New Roman" w:hAnsi="Times New Roman"/>
                <w:bCs/>
                <w:sz w:val="28"/>
                <w:szCs w:val="28"/>
              </w:rPr>
              <w:t xml:space="preserve">izveidot apelācijas un apstrīdēšanas iespējas, kas dod augstskolām un </w:t>
            </w:r>
            <w:r w:rsidR="00137432" w:rsidRPr="00621595">
              <w:rPr>
                <w:rFonts w:ascii="Times New Roman" w:hAnsi="Times New Roman"/>
                <w:bCs/>
                <w:sz w:val="28"/>
                <w:szCs w:val="28"/>
              </w:rPr>
              <w:t>koledž</w:t>
            </w:r>
            <w:r w:rsidR="00C36939" w:rsidRPr="00621595">
              <w:rPr>
                <w:rFonts w:ascii="Times New Roman" w:hAnsi="Times New Roman"/>
                <w:bCs/>
                <w:sz w:val="28"/>
                <w:szCs w:val="28"/>
              </w:rPr>
              <w:t>ām</w:t>
            </w:r>
            <w:r w:rsidR="00137432" w:rsidRPr="00621595">
              <w:rPr>
                <w:rFonts w:ascii="Times New Roman" w:hAnsi="Times New Roman"/>
                <w:bCs/>
                <w:sz w:val="28"/>
                <w:szCs w:val="28"/>
              </w:rPr>
              <w:t xml:space="preserve"> tiesības izmantot procedūras, kas ļauj tām apšaubīt un apspriest procedūras formālos rezultātus, parādot, ka rezultāts nav balstīts uz pamatotiem pierādījumiem, vai kritēriji nav pareizi pielietoti vai arī, ka procedūras nav īstenotas konsekventi</w:t>
            </w:r>
            <w:r w:rsidR="00893F3F" w:rsidRPr="00621595">
              <w:rPr>
                <w:rFonts w:ascii="Times New Roman" w:hAnsi="Times New Roman"/>
                <w:bCs/>
                <w:sz w:val="28"/>
                <w:szCs w:val="28"/>
              </w:rPr>
              <w:t>. Tādēļ S</w:t>
            </w:r>
            <w:r w:rsidR="00137432" w:rsidRPr="00621595">
              <w:rPr>
                <w:rFonts w:ascii="Times New Roman" w:hAnsi="Times New Roman"/>
                <w:bCs/>
                <w:sz w:val="28"/>
                <w:szCs w:val="28"/>
              </w:rPr>
              <w:t>tandart</w:t>
            </w:r>
            <w:r w:rsidR="00893F3F" w:rsidRPr="00621595">
              <w:rPr>
                <w:rFonts w:ascii="Times New Roman" w:hAnsi="Times New Roman"/>
                <w:bCs/>
                <w:sz w:val="28"/>
                <w:szCs w:val="28"/>
              </w:rPr>
              <w:t>u</w:t>
            </w:r>
            <w:r w:rsidR="00137432" w:rsidRPr="00621595">
              <w:rPr>
                <w:rFonts w:ascii="Times New Roman" w:hAnsi="Times New Roman"/>
                <w:bCs/>
                <w:sz w:val="28"/>
                <w:szCs w:val="28"/>
              </w:rPr>
              <w:t xml:space="preserve"> 2.</w:t>
            </w:r>
            <w:r w:rsidR="00C36939" w:rsidRPr="00621595">
              <w:rPr>
                <w:rFonts w:ascii="Times New Roman" w:hAnsi="Times New Roman"/>
                <w:bCs/>
                <w:sz w:val="28"/>
                <w:szCs w:val="28"/>
              </w:rPr>
              <w:t>7</w:t>
            </w:r>
            <w:r w:rsidR="00137432" w:rsidRPr="00621595">
              <w:rPr>
                <w:rFonts w:ascii="Times New Roman" w:hAnsi="Times New Roman"/>
                <w:bCs/>
                <w:sz w:val="28"/>
                <w:szCs w:val="28"/>
              </w:rPr>
              <w:t xml:space="preserve">.punkts paredz apelācijas instances izveidi </w:t>
            </w:r>
            <w:r w:rsidR="00873DA8" w:rsidRPr="00621595">
              <w:rPr>
                <w:rFonts w:ascii="Times New Roman" w:hAnsi="Times New Roman"/>
                <w:bCs/>
                <w:sz w:val="28"/>
                <w:szCs w:val="28"/>
              </w:rPr>
              <w:t>centrā</w:t>
            </w:r>
            <w:r w:rsidR="00137432" w:rsidRPr="00621595">
              <w:rPr>
                <w:rFonts w:ascii="Times New Roman" w:hAnsi="Times New Roman"/>
                <w:bCs/>
                <w:sz w:val="28"/>
                <w:szCs w:val="28"/>
              </w:rPr>
              <w:t xml:space="preserve">. Vienlaikus </w:t>
            </w:r>
            <w:r w:rsidR="00873DA8" w:rsidRPr="00621595">
              <w:rPr>
                <w:rFonts w:ascii="Times New Roman" w:hAnsi="Times New Roman"/>
                <w:bCs/>
                <w:sz w:val="28"/>
                <w:szCs w:val="28"/>
              </w:rPr>
              <w:t>Standartos ir noteikts, ka šādas sūdzības ir</w:t>
            </w:r>
            <w:r w:rsidR="00137432" w:rsidRPr="00621595">
              <w:rPr>
                <w:rFonts w:ascii="Times New Roman" w:hAnsi="Times New Roman"/>
                <w:bCs/>
                <w:sz w:val="28"/>
                <w:szCs w:val="28"/>
              </w:rPr>
              <w:t xml:space="preserve"> jāizskata profesionāli, izmantojot skaidri noteiktu procedūru, kura tiek pielietota konsekventi. </w:t>
            </w:r>
            <w:r w:rsidR="00DF1772" w:rsidRPr="00621595">
              <w:rPr>
                <w:rFonts w:ascii="Times New Roman" w:hAnsi="Times New Roman"/>
                <w:bCs/>
                <w:sz w:val="28"/>
                <w:szCs w:val="28"/>
              </w:rPr>
              <w:t>MK n</w:t>
            </w:r>
            <w:r w:rsidR="00DE76F3" w:rsidRPr="00621595">
              <w:rPr>
                <w:rFonts w:ascii="Times New Roman" w:hAnsi="Times New Roman"/>
                <w:bCs/>
                <w:sz w:val="28"/>
                <w:szCs w:val="28"/>
              </w:rPr>
              <w:t>oteikumu 29.punkts noteic, ka l</w:t>
            </w:r>
            <w:r w:rsidR="000E4017" w:rsidRPr="00621595">
              <w:rPr>
                <w:rFonts w:ascii="Times New Roman" w:hAnsi="Times New Roman"/>
                <w:bCs/>
                <w:sz w:val="28"/>
                <w:szCs w:val="28"/>
              </w:rPr>
              <w:t>ēmumu par studiju programmas licencēšanu, par atteikumu licencēt studiju programmu vai par li</w:t>
            </w:r>
            <w:r w:rsidR="00A975C7" w:rsidRPr="00621595">
              <w:rPr>
                <w:rFonts w:ascii="Times New Roman" w:hAnsi="Times New Roman"/>
                <w:bCs/>
                <w:sz w:val="28"/>
                <w:szCs w:val="28"/>
              </w:rPr>
              <w:t>cences anulēšanu var apstrīdēt C</w:t>
            </w:r>
            <w:r w:rsidR="000E4017" w:rsidRPr="00621595">
              <w:rPr>
                <w:rFonts w:ascii="Times New Roman" w:hAnsi="Times New Roman"/>
                <w:bCs/>
                <w:sz w:val="28"/>
                <w:szCs w:val="28"/>
              </w:rPr>
              <w:t>entrā.</w:t>
            </w:r>
            <w:r w:rsidR="00137432" w:rsidRPr="00621595">
              <w:rPr>
                <w:rFonts w:ascii="Times New Roman" w:hAnsi="Times New Roman"/>
                <w:bCs/>
                <w:sz w:val="28"/>
                <w:szCs w:val="28"/>
              </w:rPr>
              <w:t xml:space="preserve"> </w:t>
            </w:r>
            <w:r w:rsidR="00DE76F3" w:rsidRPr="00621595">
              <w:rPr>
                <w:rFonts w:ascii="Times New Roman" w:hAnsi="Times New Roman"/>
                <w:bCs/>
                <w:sz w:val="28"/>
                <w:szCs w:val="28"/>
              </w:rPr>
              <w:t xml:space="preserve">Lai nodrošinātu objektīvu </w:t>
            </w:r>
            <w:r w:rsidR="00C36939" w:rsidRPr="00621595">
              <w:rPr>
                <w:rFonts w:ascii="Times New Roman" w:hAnsi="Times New Roman"/>
                <w:bCs/>
                <w:sz w:val="28"/>
                <w:szCs w:val="28"/>
              </w:rPr>
              <w:t>sūdzības</w:t>
            </w:r>
            <w:r w:rsidR="00DF1772" w:rsidRPr="00621595">
              <w:rPr>
                <w:rFonts w:ascii="Times New Roman" w:hAnsi="Times New Roman"/>
                <w:bCs/>
                <w:sz w:val="28"/>
                <w:szCs w:val="28"/>
              </w:rPr>
              <w:t xml:space="preserve"> </w:t>
            </w:r>
            <w:r w:rsidR="00DE76F3" w:rsidRPr="00621595">
              <w:rPr>
                <w:rFonts w:ascii="Times New Roman" w:hAnsi="Times New Roman"/>
                <w:bCs/>
                <w:sz w:val="28"/>
                <w:szCs w:val="28"/>
              </w:rPr>
              <w:t>izskatīšanas procesu,</w:t>
            </w:r>
            <w:r w:rsidR="007162FE" w:rsidRPr="00621595">
              <w:rPr>
                <w:rFonts w:ascii="Times New Roman" w:hAnsi="Times New Roman"/>
                <w:bCs/>
                <w:sz w:val="28"/>
                <w:szCs w:val="28"/>
              </w:rPr>
              <w:t xml:space="preserve"> projekts paredz </w:t>
            </w:r>
            <w:r w:rsidR="00830CB6" w:rsidRPr="00621595">
              <w:rPr>
                <w:rFonts w:ascii="Times New Roman" w:hAnsi="Times New Roman"/>
                <w:bCs/>
                <w:sz w:val="28"/>
                <w:szCs w:val="28"/>
              </w:rPr>
              <w:t>C</w:t>
            </w:r>
            <w:r w:rsidR="00FC3A40" w:rsidRPr="00621595">
              <w:rPr>
                <w:rFonts w:ascii="Times New Roman" w:hAnsi="Times New Roman"/>
                <w:bCs/>
                <w:sz w:val="28"/>
                <w:szCs w:val="28"/>
              </w:rPr>
              <w:t>entr</w:t>
            </w:r>
            <w:r w:rsidR="007162FE" w:rsidRPr="00621595">
              <w:rPr>
                <w:rFonts w:ascii="Times New Roman" w:hAnsi="Times New Roman"/>
                <w:bCs/>
                <w:sz w:val="28"/>
                <w:szCs w:val="28"/>
              </w:rPr>
              <w:t>a</w:t>
            </w:r>
            <w:r w:rsidR="00FC3A40" w:rsidRPr="00621595">
              <w:rPr>
                <w:rFonts w:ascii="Times New Roman" w:hAnsi="Times New Roman"/>
                <w:bCs/>
                <w:sz w:val="28"/>
                <w:szCs w:val="28"/>
              </w:rPr>
              <w:t xml:space="preserve"> </w:t>
            </w:r>
            <w:r w:rsidR="007162FE" w:rsidRPr="00621595">
              <w:rPr>
                <w:rFonts w:ascii="Times New Roman" w:hAnsi="Times New Roman"/>
                <w:bCs/>
                <w:sz w:val="28"/>
                <w:szCs w:val="28"/>
              </w:rPr>
              <w:t>pienākumu</w:t>
            </w:r>
            <w:r w:rsidR="00DE76F3" w:rsidRPr="00621595">
              <w:rPr>
                <w:rFonts w:ascii="Times New Roman" w:hAnsi="Times New Roman"/>
                <w:bCs/>
                <w:sz w:val="28"/>
                <w:szCs w:val="28"/>
              </w:rPr>
              <w:t xml:space="preserve"> izveidot apelācijas komisiju, </w:t>
            </w:r>
            <w:r w:rsidR="00FC3A40" w:rsidRPr="00621595">
              <w:rPr>
                <w:rFonts w:ascii="Times New Roman" w:hAnsi="Times New Roman"/>
                <w:bCs/>
                <w:sz w:val="28"/>
                <w:szCs w:val="28"/>
              </w:rPr>
              <w:t xml:space="preserve">nosakot tās darbības mērķi, uzdevumus, kompetenci, atbildību, struktūru un darba organizāciju, </w:t>
            </w:r>
            <w:r w:rsidR="00DE76F3" w:rsidRPr="00621595">
              <w:rPr>
                <w:rFonts w:ascii="Times New Roman" w:hAnsi="Times New Roman"/>
                <w:bCs/>
                <w:sz w:val="28"/>
                <w:szCs w:val="28"/>
              </w:rPr>
              <w:t xml:space="preserve">kura </w:t>
            </w:r>
            <w:r w:rsidR="004F3907" w:rsidRPr="00621595">
              <w:rPr>
                <w:rFonts w:ascii="Times New Roman" w:hAnsi="Times New Roman"/>
                <w:bCs/>
                <w:sz w:val="28"/>
                <w:szCs w:val="28"/>
              </w:rPr>
              <w:t xml:space="preserve">izskatīs saņemtās sūdzības par studiju programmu licencēšanas komisijas pieņemtajiem lēmumiem un sniegs </w:t>
            </w:r>
            <w:r w:rsidR="00A975C7" w:rsidRPr="00621595">
              <w:rPr>
                <w:rFonts w:ascii="Times New Roman" w:hAnsi="Times New Roman"/>
                <w:bCs/>
                <w:sz w:val="28"/>
                <w:szCs w:val="28"/>
              </w:rPr>
              <w:t>C</w:t>
            </w:r>
            <w:r w:rsidR="00DF1772" w:rsidRPr="00621595">
              <w:rPr>
                <w:rFonts w:ascii="Times New Roman" w:hAnsi="Times New Roman"/>
                <w:bCs/>
                <w:sz w:val="28"/>
                <w:szCs w:val="28"/>
              </w:rPr>
              <w:t xml:space="preserve">entra </w:t>
            </w:r>
            <w:r w:rsidR="007F0E70" w:rsidRPr="00621595">
              <w:rPr>
                <w:rFonts w:ascii="Times New Roman" w:hAnsi="Times New Roman"/>
                <w:bCs/>
                <w:sz w:val="28"/>
                <w:szCs w:val="28"/>
              </w:rPr>
              <w:t xml:space="preserve">direktoram </w:t>
            </w:r>
            <w:r w:rsidR="004F3907" w:rsidRPr="00621595">
              <w:rPr>
                <w:rFonts w:ascii="Times New Roman" w:hAnsi="Times New Roman"/>
                <w:bCs/>
                <w:sz w:val="28"/>
                <w:szCs w:val="28"/>
              </w:rPr>
              <w:t>savu atzinumu par sūdzības (apelācijas) pamatotību.</w:t>
            </w:r>
          </w:p>
          <w:p w:rsidR="007162FE" w:rsidRPr="00621595" w:rsidRDefault="00DA32A6" w:rsidP="007162FE">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w:t>
            </w:r>
            <w:r w:rsidR="007162FE" w:rsidRPr="00621595">
              <w:rPr>
                <w:rFonts w:ascii="Times New Roman" w:hAnsi="Times New Roman"/>
                <w:bCs/>
                <w:sz w:val="28"/>
                <w:szCs w:val="28"/>
              </w:rPr>
              <w:t>MK no</w:t>
            </w:r>
            <w:r w:rsidR="00873DA8" w:rsidRPr="00621595">
              <w:rPr>
                <w:rFonts w:ascii="Times New Roman" w:hAnsi="Times New Roman"/>
                <w:bCs/>
                <w:sz w:val="28"/>
                <w:szCs w:val="28"/>
              </w:rPr>
              <w:t>teikumu 1.pielikumā ir noteikts</w:t>
            </w:r>
            <w:r w:rsidR="007162FE" w:rsidRPr="00621595">
              <w:rPr>
                <w:rFonts w:ascii="Times New Roman" w:hAnsi="Times New Roman"/>
                <w:b/>
                <w:bCs/>
                <w:sz w:val="28"/>
                <w:szCs w:val="28"/>
              </w:rPr>
              <w:t xml:space="preserve"> </w:t>
            </w:r>
            <w:r w:rsidR="007162FE" w:rsidRPr="00621595">
              <w:rPr>
                <w:rFonts w:ascii="Times New Roman" w:hAnsi="Times New Roman"/>
                <w:bCs/>
                <w:sz w:val="28"/>
                <w:szCs w:val="28"/>
              </w:rPr>
              <w:t xml:space="preserve">kopīgā ekspertu atzinuma studiju programmas licences saņemšanai studiju virziena ietvaros saturs (paraugs). </w:t>
            </w:r>
            <w:r w:rsidR="00C36939" w:rsidRPr="00621595">
              <w:rPr>
                <w:rFonts w:ascii="Times New Roman" w:hAnsi="Times New Roman"/>
                <w:bCs/>
                <w:sz w:val="28"/>
                <w:szCs w:val="28"/>
              </w:rPr>
              <w:t>Lai nodrošinātu Standart</w:t>
            </w:r>
            <w:r w:rsidR="00893F3F" w:rsidRPr="00621595">
              <w:rPr>
                <w:rFonts w:ascii="Times New Roman" w:hAnsi="Times New Roman"/>
                <w:bCs/>
                <w:sz w:val="28"/>
                <w:szCs w:val="28"/>
              </w:rPr>
              <w:t>u</w:t>
            </w:r>
            <w:r w:rsidR="00C36939" w:rsidRPr="00621595">
              <w:rPr>
                <w:rFonts w:ascii="Times New Roman" w:hAnsi="Times New Roman"/>
                <w:bCs/>
                <w:sz w:val="28"/>
                <w:szCs w:val="28"/>
              </w:rPr>
              <w:t xml:space="preserve"> 22., 2.3. un 3.3. prasību </w:t>
            </w:r>
            <w:r w:rsidR="00C36939" w:rsidRPr="00621595">
              <w:rPr>
                <w:rFonts w:ascii="Times New Roman" w:hAnsi="Times New Roman"/>
                <w:bCs/>
                <w:sz w:val="28"/>
                <w:szCs w:val="28"/>
              </w:rPr>
              <w:lastRenderedPageBreak/>
              <w:t>izpildi, p</w:t>
            </w:r>
            <w:r w:rsidR="007162FE" w:rsidRPr="00621595">
              <w:rPr>
                <w:rFonts w:ascii="Times New Roman" w:hAnsi="Times New Roman"/>
                <w:bCs/>
                <w:sz w:val="28"/>
                <w:szCs w:val="28"/>
              </w:rPr>
              <w:t xml:space="preserve">rojekts paredz </w:t>
            </w:r>
            <w:r w:rsidR="00873DA8" w:rsidRPr="00621595">
              <w:rPr>
                <w:rFonts w:ascii="Times New Roman" w:hAnsi="Times New Roman"/>
                <w:bCs/>
                <w:sz w:val="28"/>
                <w:szCs w:val="28"/>
              </w:rPr>
              <w:t>centra</w:t>
            </w:r>
            <w:r w:rsidR="007162FE" w:rsidRPr="00621595">
              <w:rPr>
                <w:rFonts w:ascii="Times New Roman" w:hAnsi="Times New Roman"/>
                <w:bCs/>
                <w:sz w:val="28"/>
                <w:szCs w:val="28"/>
              </w:rPr>
              <w:t xml:space="preserve"> uzdevumu - noteikt ekspertu kopīgā atzinuma struktūru un tajā iekļaujamo informāciju. Tādēļ MK noteikumu 1.pielikums ir svītrojams.</w:t>
            </w:r>
          </w:p>
          <w:p w:rsidR="000E4017" w:rsidRPr="00621595" w:rsidRDefault="00DA32A6" w:rsidP="00514354">
            <w:pPr>
              <w:spacing w:after="0" w:line="240" w:lineRule="auto"/>
              <w:jc w:val="both"/>
              <w:rPr>
                <w:rFonts w:ascii="Times New Roman" w:hAnsi="Times New Roman"/>
                <w:bCs/>
                <w:sz w:val="28"/>
                <w:szCs w:val="28"/>
              </w:rPr>
            </w:pPr>
            <w:r w:rsidRPr="00621595">
              <w:rPr>
                <w:rFonts w:ascii="Times New Roman" w:hAnsi="Times New Roman"/>
                <w:bCs/>
                <w:sz w:val="28"/>
                <w:szCs w:val="28"/>
              </w:rPr>
              <w:t xml:space="preserve">     </w:t>
            </w:r>
            <w:r w:rsidR="00935861" w:rsidRPr="00621595">
              <w:rPr>
                <w:rFonts w:ascii="Times New Roman" w:hAnsi="Times New Roman"/>
                <w:bCs/>
                <w:sz w:val="28"/>
                <w:szCs w:val="28"/>
              </w:rPr>
              <w:t>Papildu minētajam ir veikti redakcionāli</w:t>
            </w:r>
            <w:r w:rsidR="007F0E70" w:rsidRPr="00621595">
              <w:rPr>
                <w:rFonts w:ascii="Times New Roman" w:hAnsi="Times New Roman"/>
                <w:bCs/>
                <w:sz w:val="28"/>
                <w:szCs w:val="28"/>
              </w:rPr>
              <w:t xml:space="preserve"> </w:t>
            </w:r>
            <w:r w:rsidR="00935861" w:rsidRPr="00621595">
              <w:rPr>
                <w:rFonts w:ascii="Times New Roman" w:hAnsi="Times New Roman"/>
                <w:bCs/>
                <w:sz w:val="28"/>
                <w:szCs w:val="28"/>
              </w:rPr>
              <w:t>precizējumi, novēršot MK noteikumu piemērošanas laikā konstatētās nepilnības</w:t>
            </w:r>
            <w:r w:rsidR="00C054D6" w:rsidRPr="00621595">
              <w:rPr>
                <w:rFonts w:ascii="Times New Roman" w:hAnsi="Times New Roman"/>
                <w:bCs/>
                <w:sz w:val="28"/>
                <w:szCs w:val="28"/>
              </w:rPr>
              <w:t xml:space="preserve"> un panākot to atbilstību Augstskolu likumam.</w:t>
            </w:r>
            <w:r w:rsidR="00935861" w:rsidRPr="00621595">
              <w:rPr>
                <w:rFonts w:ascii="Times New Roman" w:hAnsi="Times New Roman"/>
                <w:bCs/>
                <w:sz w:val="28"/>
                <w:szCs w:val="28"/>
              </w:rPr>
              <w:t xml:space="preserve"> </w:t>
            </w:r>
            <w:r w:rsidR="00514354" w:rsidRPr="00621595">
              <w:rPr>
                <w:rFonts w:ascii="Times New Roman" w:hAnsi="Times New Roman"/>
                <w:bCs/>
                <w:sz w:val="28"/>
                <w:szCs w:val="28"/>
              </w:rPr>
              <w:t>Minētie precizējumi</w:t>
            </w:r>
            <w:r w:rsidR="00935861" w:rsidRPr="00621595">
              <w:rPr>
                <w:rFonts w:ascii="Times New Roman" w:hAnsi="Times New Roman"/>
                <w:bCs/>
                <w:sz w:val="28"/>
                <w:szCs w:val="28"/>
              </w:rPr>
              <w:t xml:space="preserve"> neietekmē MK noteikumu būtību.</w:t>
            </w:r>
            <w:r w:rsidR="00514354" w:rsidRPr="00621595">
              <w:rPr>
                <w:rFonts w:ascii="Times New Roman" w:hAnsi="Times New Roman"/>
                <w:bCs/>
                <w:sz w:val="28"/>
                <w:szCs w:val="28"/>
              </w:rPr>
              <w:t xml:space="preserve"> </w:t>
            </w:r>
          </w:p>
        </w:tc>
      </w:tr>
      <w:tr w:rsidR="00812271" w:rsidRPr="00621595" w:rsidTr="00857EF2">
        <w:tc>
          <w:tcPr>
            <w:tcW w:w="153" w:type="pct"/>
            <w:tcBorders>
              <w:bottom w:val="single" w:sz="4" w:space="0" w:color="auto"/>
            </w:tcBorders>
          </w:tcPr>
          <w:p w:rsidR="00392D00" w:rsidRPr="00621595" w:rsidRDefault="00812271" w:rsidP="00AF6AED">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lastRenderedPageBreak/>
              <w:t>3.</w:t>
            </w:r>
          </w:p>
        </w:tc>
        <w:tc>
          <w:tcPr>
            <w:tcW w:w="1480" w:type="pct"/>
            <w:tcBorders>
              <w:bottom w:val="single" w:sz="4" w:space="0" w:color="auto"/>
            </w:tcBorders>
          </w:tcPr>
          <w:p w:rsidR="00392D00" w:rsidRPr="00621595" w:rsidRDefault="00812271" w:rsidP="00AF6AED">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Projekta izstrādē iesaistītās institūcijas</w:t>
            </w:r>
          </w:p>
        </w:tc>
        <w:tc>
          <w:tcPr>
            <w:tcW w:w="3304" w:type="pct"/>
            <w:tcBorders>
              <w:bottom w:val="single" w:sz="4" w:space="0" w:color="auto"/>
            </w:tcBorders>
          </w:tcPr>
          <w:p w:rsidR="00392D00" w:rsidRPr="00621595" w:rsidRDefault="00C36939" w:rsidP="00830CB6">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bCs/>
                <w:sz w:val="28"/>
                <w:szCs w:val="28"/>
                <w:lang w:eastAsia="lv-LV"/>
              </w:rPr>
              <w:t>Izglītības un zinātnes m</w:t>
            </w:r>
            <w:r w:rsidR="00812271" w:rsidRPr="00621595">
              <w:rPr>
                <w:rFonts w:ascii="Times New Roman" w:eastAsia="Times New Roman" w:hAnsi="Times New Roman"/>
                <w:bCs/>
                <w:sz w:val="28"/>
                <w:szCs w:val="28"/>
                <w:lang w:eastAsia="lv-LV"/>
              </w:rPr>
              <w:t>inistrija</w:t>
            </w:r>
            <w:r w:rsidR="006E17F5" w:rsidRPr="00621595">
              <w:rPr>
                <w:rFonts w:ascii="Times New Roman" w:eastAsia="Times New Roman" w:hAnsi="Times New Roman"/>
                <w:bCs/>
                <w:sz w:val="28"/>
                <w:szCs w:val="28"/>
                <w:lang w:eastAsia="lv-LV"/>
              </w:rPr>
              <w:t xml:space="preserve"> un </w:t>
            </w:r>
            <w:r w:rsidR="00C77494" w:rsidRPr="00621595">
              <w:rPr>
                <w:rFonts w:ascii="Times New Roman" w:eastAsia="Times New Roman" w:hAnsi="Times New Roman"/>
                <w:bCs/>
                <w:sz w:val="28"/>
                <w:szCs w:val="28"/>
                <w:lang w:eastAsia="lv-LV"/>
              </w:rPr>
              <w:t>c</w:t>
            </w:r>
            <w:r w:rsidR="006E17F5" w:rsidRPr="00621595">
              <w:rPr>
                <w:rFonts w:ascii="Times New Roman" w:eastAsia="Times New Roman" w:hAnsi="Times New Roman"/>
                <w:bCs/>
                <w:sz w:val="28"/>
                <w:szCs w:val="28"/>
                <w:lang w:eastAsia="lv-LV"/>
              </w:rPr>
              <w:t>entrs.</w:t>
            </w:r>
          </w:p>
        </w:tc>
      </w:tr>
      <w:tr w:rsidR="00812271" w:rsidRPr="00621595" w:rsidTr="00AF6AED">
        <w:tc>
          <w:tcPr>
            <w:tcW w:w="153" w:type="pct"/>
          </w:tcPr>
          <w:p w:rsidR="00392D00" w:rsidRPr="00621595" w:rsidRDefault="00812271" w:rsidP="00AF6AED">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4.</w:t>
            </w:r>
          </w:p>
        </w:tc>
        <w:tc>
          <w:tcPr>
            <w:tcW w:w="1480" w:type="pct"/>
          </w:tcPr>
          <w:p w:rsidR="00392D00" w:rsidRPr="00621595" w:rsidRDefault="00812271" w:rsidP="00AF6AED">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Cita informācija</w:t>
            </w:r>
          </w:p>
        </w:tc>
        <w:tc>
          <w:tcPr>
            <w:tcW w:w="3304" w:type="pct"/>
          </w:tcPr>
          <w:p w:rsidR="00577216" w:rsidRPr="00621595" w:rsidRDefault="00DD4CEC" w:rsidP="00D86BD9">
            <w:pPr>
              <w:spacing w:after="0" w:line="240" w:lineRule="auto"/>
              <w:jc w:val="both"/>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Projekta saturu ir ietekmējusi laika posmā kopš 2015.</w:t>
            </w:r>
            <w:r w:rsidR="00B501DC" w:rsidRPr="00621595">
              <w:rPr>
                <w:rFonts w:ascii="Times New Roman" w:eastAsia="Times New Roman" w:hAnsi="Times New Roman"/>
                <w:sz w:val="28"/>
                <w:szCs w:val="28"/>
                <w:lang w:eastAsia="lv-LV"/>
              </w:rPr>
              <w:t> </w:t>
            </w:r>
            <w:r w:rsidRPr="00621595">
              <w:rPr>
                <w:rFonts w:ascii="Times New Roman" w:eastAsia="Times New Roman" w:hAnsi="Times New Roman"/>
                <w:sz w:val="28"/>
                <w:szCs w:val="28"/>
                <w:lang w:eastAsia="lv-LV"/>
              </w:rPr>
              <w:t>gada 14.</w:t>
            </w:r>
            <w:r w:rsidR="00B501DC" w:rsidRPr="00621595">
              <w:rPr>
                <w:rFonts w:ascii="Times New Roman" w:eastAsia="Times New Roman" w:hAnsi="Times New Roman"/>
                <w:sz w:val="28"/>
                <w:szCs w:val="28"/>
                <w:lang w:eastAsia="lv-LV"/>
              </w:rPr>
              <w:t> </w:t>
            </w:r>
            <w:r w:rsidRPr="00621595">
              <w:rPr>
                <w:rFonts w:ascii="Times New Roman" w:eastAsia="Times New Roman" w:hAnsi="Times New Roman"/>
                <w:sz w:val="28"/>
                <w:szCs w:val="28"/>
                <w:lang w:eastAsia="lv-LV"/>
              </w:rPr>
              <w:t xml:space="preserve">jūlija </w:t>
            </w:r>
            <w:r w:rsidR="00C77494" w:rsidRPr="00621595">
              <w:rPr>
                <w:rFonts w:ascii="Times New Roman" w:eastAsia="Times New Roman" w:hAnsi="Times New Roman"/>
                <w:sz w:val="28"/>
                <w:szCs w:val="28"/>
                <w:lang w:eastAsia="lv-LV"/>
              </w:rPr>
              <w:t>c</w:t>
            </w:r>
            <w:r w:rsidRPr="00621595">
              <w:rPr>
                <w:rFonts w:ascii="Times New Roman" w:eastAsia="Times New Roman" w:hAnsi="Times New Roman"/>
                <w:sz w:val="28"/>
                <w:szCs w:val="28"/>
                <w:lang w:eastAsia="lv-LV"/>
              </w:rPr>
              <w:t>entr</w:t>
            </w:r>
            <w:r w:rsidR="00F57C07" w:rsidRPr="00621595">
              <w:rPr>
                <w:rFonts w:ascii="Times New Roman" w:eastAsia="Times New Roman" w:hAnsi="Times New Roman"/>
                <w:sz w:val="28"/>
                <w:szCs w:val="28"/>
                <w:lang w:eastAsia="lv-LV"/>
              </w:rPr>
              <w:t>a</w:t>
            </w:r>
            <w:r w:rsidRPr="00621595">
              <w:rPr>
                <w:rFonts w:ascii="Times New Roman" w:eastAsia="Times New Roman" w:hAnsi="Times New Roman"/>
                <w:sz w:val="28"/>
                <w:szCs w:val="28"/>
                <w:lang w:eastAsia="lv-LV"/>
              </w:rPr>
              <w:t xml:space="preserve"> uzkrātā pieredze, praksē īstenojot augstskolu, koledžu un studiju virzienu akreditācijas un studiju programmu licencēšanas organizēšanu, kuras laikā ir izkristalizējušies vairāki priekšlikumi līdzšinējās kārtības pilnveidei</w:t>
            </w:r>
            <w:r w:rsidR="00D86BD9" w:rsidRPr="00621595">
              <w:rPr>
                <w:rFonts w:ascii="Times New Roman" w:eastAsia="Times New Roman" w:hAnsi="Times New Roman"/>
                <w:sz w:val="28"/>
                <w:szCs w:val="28"/>
                <w:lang w:eastAsia="lv-LV"/>
              </w:rPr>
              <w:t>. Šajā laika posmā ir pieņemti jauni Standarti, kas ir saistoši arī Latvijai kā vienai no Boloņas procesa dalībvalstīm. Līdz ar to ir būtiski nodrošināt Latvijas normatīvā regulējuma saskaņošanu ar Standartiem, kas ir priekšnoteikums Centra iekļaušanai EQAR.</w:t>
            </w:r>
            <w:r w:rsidRPr="00621595">
              <w:rPr>
                <w:rFonts w:ascii="Times New Roman" w:eastAsia="Times New Roman" w:hAnsi="Times New Roman"/>
                <w:sz w:val="28"/>
                <w:szCs w:val="28"/>
                <w:lang w:eastAsia="lv-LV"/>
              </w:rPr>
              <w:t xml:space="preserve"> </w:t>
            </w:r>
          </w:p>
        </w:tc>
      </w:tr>
    </w:tbl>
    <w:p w:rsidR="00857EF2" w:rsidRPr="00621595" w:rsidRDefault="00857EF2" w:rsidP="004A505F">
      <w:pPr>
        <w:spacing w:after="0" w:line="360" w:lineRule="auto"/>
        <w:rPr>
          <w:rFonts w:ascii="Times New Roman" w:hAnsi="Times New Roman"/>
          <w:i/>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6"/>
        <w:gridCol w:w="2895"/>
        <w:gridCol w:w="5979"/>
      </w:tblGrid>
      <w:tr w:rsidR="001B53A6" w:rsidRPr="00621595" w:rsidTr="00584FB1">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B53A6" w:rsidRPr="00621595" w:rsidRDefault="001B53A6" w:rsidP="00584FB1">
            <w:pPr>
              <w:spacing w:before="100" w:beforeAutospacing="1" w:after="100" w:afterAutospacing="1" w:line="293" w:lineRule="atLeast"/>
              <w:jc w:val="center"/>
              <w:rPr>
                <w:rFonts w:ascii="Times New Roman" w:hAnsi="Times New Roman"/>
                <w:b/>
                <w:bCs/>
                <w:sz w:val="28"/>
                <w:szCs w:val="28"/>
              </w:rPr>
            </w:pPr>
            <w:r w:rsidRPr="00621595">
              <w:rPr>
                <w:rFonts w:ascii="Times New Roman" w:hAnsi="Times New Roman"/>
                <w:sz w:val="28"/>
                <w:szCs w:val="28"/>
              </w:rPr>
              <w:t> </w:t>
            </w:r>
            <w:r w:rsidRPr="00621595">
              <w:rPr>
                <w:rFonts w:ascii="Times New Roman" w:hAnsi="Times New Roman"/>
                <w:b/>
                <w:bCs/>
                <w:sz w:val="28"/>
                <w:szCs w:val="28"/>
              </w:rPr>
              <w:t>II. Tiesību akta projekta ietekme uz sabiedrību, tautsaimniecības attīstību un administratīvo slogu</w:t>
            </w:r>
          </w:p>
        </w:tc>
      </w:tr>
      <w:tr w:rsidR="001B53A6" w:rsidRPr="00621595" w:rsidTr="00584FB1">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1B53A6" w:rsidRPr="00621595" w:rsidRDefault="001B53A6" w:rsidP="00584FB1">
            <w:pPr>
              <w:spacing w:after="0" w:line="240" w:lineRule="auto"/>
              <w:rPr>
                <w:rFonts w:ascii="Times New Roman" w:hAnsi="Times New Roman"/>
                <w:sz w:val="28"/>
                <w:szCs w:val="28"/>
              </w:rPr>
            </w:pPr>
            <w:r w:rsidRPr="00621595">
              <w:rPr>
                <w:rFonts w:ascii="Times New Roman" w:hAnsi="Times New Roman"/>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1B53A6" w:rsidRPr="00621595" w:rsidRDefault="001B53A6" w:rsidP="00584FB1">
            <w:pPr>
              <w:spacing w:after="0" w:line="240" w:lineRule="auto"/>
              <w:rPr>
                <w:rFonts w:ascii="Times New Roman" w:hAnsi="Times New Roman"/>
                <w:sz w:val="28"/>
                <w:szCs w:val="28"/>
              </w:rPr>
            </w:pPr>
            <w:r w:rsidRPr="00621595">
              <w:rPr>
                <w:rFonts w:ascii="Times New Roman" w:hAnsi="Times New Roman"/>
                <w:sz w:val="28"/>
                <w:szCs w:val="28"/>
              </w:rPr>
              <w:t>Sabiedrības mērķgrupas,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1B53A6" w:rsidRPr="00621595" w:rsidRDefault="000238EF" w:rsidP="000C3B1A">
            <w:pPr>
              <w:spacing w:after="0" w:line="240" w:lineRule="auto"/>
              <w:jc w:val="both"/>
              <w:rPr>
                <w:rFonts w:ascii="Times New Roman" w:hAnsi="Times New Roman"/>
                <w:sz w:val="28"/>
                <w:szCs w:val="28"/>
              </w:rPr>
            </w:pPr>
            <w:r w:rsidRPr="00621595">
              <w:rPr>
                <w:rFonts w:ascii="Times New Roman" w:hAnsi="Times New Roman"/>
                <w:sz w:val="28"/>
                <w:szCs w:val="28"/>
              </w:rPr>
              <w:t xml:space="preserve">Projekts attiecas uz </w:t>
            </w:r>
            <w:r w:rsidR="00C27B87" w:rsidRPr="00621595">
              <w:rPr>
                <w:rFonts w:ascii="Times New Roman" w:hAnsi="Times New Roman"/>
                <w:sz w:val="28"/>
                <w:szCs w:val="28"/>
              </w:rPr>
              <w:t>c</w:t>
            </w:r>
            <w:r w:rsidR="008D676F" w:rsidRPr="00621595">
              <w:rPr>
                <w:rFonts w:ascii="Times New Roman" w:hAnsi="Times New Roman"/>
                <w:sz w:val="28"/>
                <w:szCs w:val="28"/>
              </w:rPr>
              <w:t>entr</w:t>
            </w:r>
            <w:r w:rsidRPr="00621595">
              <w:rPr>
                <w:rFonts w:ascii="Times New Roman" w:hAnsi="Times New Roman"/>
                <w:sz w:val="28"/>
                <w:szCs w:val="28"/>
              </w:rPr>
              <w:t>u</w:t>
            </w:r>
            <w:r w:rsidR="006E17F5" w:rsidRPr="00621595">
              <w:rPr>
                <w:rFonts w:ascii="Times New Roman" w:hAnsi="Times New Roman"/>
                <w:sz w:val="28"/>
                <w:szCs w:val="28"/>
              </w:rPr>
              <w:t>,</w:t>
            </w:r>
            <w:r w:rsidRPr="00621595">
              <w:rPr>
                <w:rFonts w:ascii="Times New Roman" w:hAnsi="Times New Roman"/>
                <w:sz w:val="28"/>
                <w:szCs w:val="28"/>
              </w:rPr>
              <w:t xml:space="preserve"> augstskolām un koledžām,</w:t>
            </w:r>
            <w:r w:rsidR="00C32B4B" w:rsidRPr="00621595">
              <w:rPr>
                <w:rFonts w:ascii="Times New Roman" w:hAnsi="Times New Roman"/>
                <w:sz w:val="28"/>
                <w:szCs w:val="28"/>
              </w:rPr>
              <w:t xml:space="preserve"> </w:t>
            </w:r>
            <w:r w:rsidR="00492AC9" w:rsidRPr="00621595">
              <w:rPr>
                <w:rFonts w:ascii="Times New Roman" w:hAnsi="Times New Roman"/>
                <w:sz w:val="28"/>
                <w:szCs w:val="28"/>
              </w:rPr>
              <w:t>s</w:t>
            </w:r>
            <w:r w:rsidR="00C32B4B" w:rsidRPr="00621595">
              <w:rPr>
                <w:rFonts w:ascii="Times New Roman" w:hAnsi="Times New Roman"/>
                <w:sz w:val="28"/>
                <w:szCs w:val="28"/>
              </w:rPr>
              <w:t xml:space="preserve">tudiju </w:t>
            </w:r>
            <w:r w:rsidRPr="00621595">
              <w:rPr>
                <w:rFonts w:ascii="Times New Roman" w:hAnsi="Times New Roman"/>
                <w:sz w:val="28"/>
                <w:szCs w:val="28"/>
              </w:rPr>
              <w:t>programmu licencēšanas komisiju</w:t>
            </w:r>
            <w:r w:rsidR="000C3B1A" w:rsidRPr="00621595">
              <w:rPr>
                <w:rFonts w:ascii="Times New Roman" w:hAnsi="Times New Roman"/>
                <w:sz w:val="28"/>
                <w:szCs w:val="28"/>
              </w:rPr>
              <w:t xml:space="preserve">, Latvijas Studentu apvienību un </w:t>
            </w:r>
            <w:r w:rsidR="007774B3" w:rsidRPr="00621595">
              <w:rPr>
                <w:rFonts w:ascii="Times New Roman" w:hAnsi="Times New Roman"/>
                <w:sz w:val="28"/>
                <w:szCs w:val="28"/>
              </w:rPr>
              <w:t>Latvijas Izglītības un zinātnes darbinieku arodbiedrīb</w:t>
            </w:r>
            <w:r w:rsidR="000C3B1A" w:rsidRPr="00621595">
              <w:rPr>
                <w:rFonts w:ascii="Times New Roman" w:hAnsi="Times New Roman"/>
                <w:sz w:val="28"/>
                <w:szCs w:val="28"/>
              </w:rPr>
              <w:t xml:space="preserve">u. </w:t>
            </w:r>
          </w:p>
        </w:tc>
      </w:tr>
      <w:tr w:rsidR="001B53A6" w:rsidRPr="00621595" w:rsidTr="00584FB1">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1B53A6" w:rsidRPr="00621595" w:rsidRDefault="001B53A6" w:rsidP="00584FB1">
            <w:pPr>
              <w:spacing w:after="0" w:line="240" w:lineRule="auto"/>
              <w:rPr>
                <w:rFonts w:ascii="Times New Roman" w:hAnsi="Times New Roman"/>
                <w:sz w:val="28"/>
                <w:szCs w:val="28"/>
              </w:rPr>
            </w:pPr>
            <w:r w:rsidRPr="00621595">
              <w:rPr>
                <w:rFonts w:ascii="Times New Roman" w:hAnsi="Times New Roman"/>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1B53A6" w:rsidRPr="00621595" w:rsidRDefault="001B53A6" w:rsidP="00584FB1">
            <w:pPr>
              <w:spacing w:after="0" w:line="240" w:lineRule="auto"/>
              <w:rPr>
                <w:rFonts w:ascii="Times New Roman" w:hAnsi="Times New Roman"/>
                <w:sz w:val="28"/>
                <w:szCs w:val="28"/>
              </w:rPr>
            </w:pPr>
            <w:r w:rsidRPr="00621595">
              <w:rPr>
                <w:rFonts w:ascii="Times New Roman" w:hAnsi="Times New Roman"/>
                <w:sz w:val="28"/>
                <w:szCs w:val="28"/>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DC4C66" w:rsidRPr="00621595" w:rsidRDefault="00DC4C66" w:rsidP="00584FB1">
            <w:pPr>
              <w:spacing w:after="0" w:line="240" w:lineRule="auto"/>
              <w:jc w:val="both"/>
              <w:rPr>
                <w:rFonts w:ascii="Times New Roman" w:hAnsi="Times New Roman"/>
                <w:sz w:val="28"/>
                <w:szCs w:val="28"/>
              </w:rPr>
            </w:pPr>
            <w:r w:rsidRPr="00621595">
              <w:rPr>
                <w:rFonts w:ascii="Times New Roman" w:hAnsi="Times New Roman"/>
                <w:sz w:val="28"/>
                <w:szCs w:val="28"/>
              </w:rPr>
              <w:t xml:space="preserve">Projekta tiesiskais regulējums maina tiesības un pienākumus, kā arī veicamās darbības </w:t>
            </w:r>
            <w:r w:rsidR="00C27B87" w:rsidRPr="00621595">
              <w:rPr>
                <w:rFonts w:ascii="Times New Roman" w:hAnsi="Times New Roman"/>
                <w:sz w:val="28"/>
                <w:szCs w:val="28"/>
              </w:rPr>
              <w:t>c</w:t>
            </w:r>
            <w:r w:rsidR="00B501DC" w:rsidRPr="00621595">
              <w:rPr>
                <w:rFonts w:ascii="Times New Roman" w:hAnsi="Times New Roman"/>
                <w:sz w:val="28"/>
                <w:szCs w:val="28"/>
              </w:rPr>
              <w:t xml:space="preserve">entram </w:t>
            </w:r>
            <w:r w:rsidRPr="00621595">
              <w:rPr>
                <w:rFonts w:ascii="Times New Roman" w:hAnsi="Times New Roman"/>
                <w:sz w:val="28"/>
                <w:szCs w:val="28"/>
              </w:rPr>
              <w:t>un studiju programmu licencēšanas komisijai.</w:t>
            </w:r>
          </w:p>
          <w:p w:rsidR="003D53C0" w:rsidRPr="00621595" w:rsidRDefault="00DC4C66" w:rsidP="00584FB1">
            <w:pPr>
              <w:spacing w:after="0" w:line="240" w:lineRule="auto"/>
              <w:jc w:val="both"/>
              <w:rPr>
                <w:rFonts w:ascii="Times New Roman" w:hAnsi="Times New Roman"/>
                <w:sz w:val="28"/>
                <w:szCs w:val="28"/>
              </w:rPr>
            </w:pPr>
            <w:r w:rsidRPr="00621595">
              <w:rPr>
                <w:rFonts w:ascii="Times New Roman" w:hAnsi="Times New Roman"/>
                <w:sz w:val="28"/>
                <w:szCs w:val="28"/>
              </w:rPr>
              <w:t>Centram (</w:t>
            </w:r>
            <w:r w:rsidR="00B501DC" w:rsidRPr="00621595">
              <w:rPr>
                <w:rFonts w:ascii="Times New Roman" w:hAnsi="Times New Roman"/>
                <w:sz w:val="28"/>
                <w:szCs w:val="28"/>
              </w:rPr>
              <w:t>aģentūrai</w:t>
            </w:r>
            <w:r w:rsidRPr="00621595">
              <w:rPr>
                <w:rFonts w:ascii="Times New Roman" w:hAnsi="Times New Roman"/>
                <w:sz w:val="28"/>
                <w:szCs w:val="28"/>
              </w:rPr>
              <w:t>)</w:t>
            </w:r>
            <w:r w:rsidR="00B501DC" w:rsidRPr="00621595">
              <w:rPr>
                <w:rFonts w:ascii="Times New Roman" w:hAnsi="Times New Roman"/>
                <w:sz w:val="28"/>
                <w:szCs w:val="28"/>
              </w:rPr>
              <w:t xml:space="preserve"> a</w:t>
            </w:r>
            <w:r w:rsidR="007A2871" w:rsidRPr="00621595">
              <w:rPr>
                <w:rFonts w:ascii="Times New Roman" w:hAnsi="Times New Roman"/>
                <w:sz w:val="28"/>
                <w:szCs w:val="28"/>
              </w:rPr>
              <w:t>dministratīvais slogs</w:t>
            </w:r>
            <w:r w:rsidR="00F30633" w:rsidRPr="00621595">
              <w:rPr>
                <w:rFonts w:ascii="Times New Roman" w:hAnsi="Times New Roman"/>
                <w:sz w:val="28"/>
                <w:szCs w:val="28"/>
              </w:rPr>
              <w:t xml:space="preserve"> </w:t>
            </w:r>
            <w:r w:rsidR="003D53C0" w:rsidRPr="00621595">
              <w:rPr>
                <w:rFonts w:ascii="Times New Roman" w:hAnsi="Times New Roman"/>
                <w:sz w:val="28"/>
                <w:szCs w:val="28"/>
              </w:rPr>
              <w:t>kopumā paliks nemain</w:t>
            </w:r>
            <w:r w:rsidR="006D2B67" w:rsidRPr="00621595">
              <w:rPr>
                <w:rFonts w:ascii="Times New Roman" w:hAnsi="Times New Roman"/>
                <w:sz w:val="28"/>
                <w:szCs w:val="28"/>
              </w:rPr>
              <w:t>īgs:</w:t>
            </w:r>
          </w:p>
          <w:p w:rsidR="00D96428" w:rsidRPr="00621595" w:rsidRDefault="007A2871" w:rsidP="00621595">
            <w:pPr>
              <w:pStyle w:val="ListParagraph"/>
              <w:numPr>
                <w:ilvl w:val="0"/>
                <w:numId w:val="6"/>
              </w:numPr>
              <w:spacing w:after="0" w:line="240" w:lineRule="auto"/>
              <w:jc w:val="both"/>
              <w:rPr>
                <w:rFonts w:ascii="Times New Roman" w:hAnsi="Times New Roman"/>
                <w:sz w:val="28"/>
                <w:szCs w:val="28"/>
              </w:rPr>
            </w:pPr>
            <w:r w:rsidRPr="00621595">
              <w:rPr>
                <w:rFonts w:ascii="Times New Roman" w:hAnsi="Times New Roman"/>
                <w:sz w:val="28"/>
                <w:szCs w:val="28"/>
              </w:rPr>
              <w:t xml:space="preserve">tiks paredzēts, ka </w:t>
            </w:r>
            <w:r w:rsidR="0084172F" w:rsidRPr="00621595">
              <w:rPr>
                <w:rFonts w:ascii="Times New Roman" w:hAnsi="Times New Roman"/>
                <w:sz w:val="28"/>
                <w:szCs w:val="28"/>
              </w:rPr>
              <w:t>licences parakstīs studiju programmu licencēšanas komisijas priekšsēdētājs, tādēļ nebūs nepieciešams sagatavotās licences nosūtīt Izglītības un zinātnes ministrijai, tādējādi samazin</w:t>
            </w:r>
            <w:r w:rsidR="003D53C0" w:rsidRPr="00621595">
              <w:rPr>
                <w:rFonts w:ascii="Times New Roman" w:hAnsi="Times New Roman"/>
                <w:sz w:val="28"/>
                <w:szCs w:val="28"/>
              </w:rPr>
              <w:t xml:space="preserve">ot licences sagatavošanas laiku. </w:t>
            </w:r>
            <w:r w:rsidR="00C27B87" w:rsidRPr="00621595">
              <w:rPr>
                <w:rFonts w:ascii="Times New Roman" w:hAnsi="Times New Roman"/>
                <w:sz w:val="28"/>
                <w:szCs w:val="28"/>
              </w:rPr>
              <w:t xml:space="preserve">Centrs </w:t>
            </w:r>
            <w:r w:rsidR="00873DA8" w:rsidRPr="00621595">
              <w:rPr>
                <w:rFonts w:ascii="Times New Roman" w:hAnsi="Times New Roman"/>
                <w:sz w:val="28"/>
                <w:szCs w:val="28"/>
              </w:rPr>
              <w:t>pats</w:t>
            </w:r>
            <w:r w:rsidR="003D53C0" w:rsidRPr="00621595">
              <w:rPr>
                <w:rFonts w:ascii="Times New Roman" w:hAnsi="Times New Roman"/>
                <w:sz w:val="28"/>
                <w:szCs w:val="28"/>
              </w:rPr>
              <w:t xml:space="preserve"> apstiprinās atlasītos ekspertus, tādējādi samazināsies ekspertu </w:t>
            </w:r>
            <w:r w:rsidR="003D53C0" w:rsidRPr="00621595">
              <w:rPr>
                <w:rFonts w:ascii="Times New Roman" w:hAnsi="Times New Roman"/>
                <w:sz w:val="28"/>
                <w:szCs w:val="28"/>
              </w:rPr>
              <w:lastRenderedPageBreak/>
              <w:t xml:space="preserve">apstiprināšanas </w:t>
            </w:r>
            <w:r w:rsidR="006D2B67" w:rsidRPr="00621595">
              <w:rPr>
                <w:rFonts w:ascii="Times New Roman" w:hAnsi="Times New Roman"/>
                <w:sz w:val="28"/>
                <w:szCs w:val="28"/>
              </w:rPr>
              <w:t xml:space="preserve">un studiju programmas izvērtēšanas </w:t>
            </w:r>
            <w:r w:rsidR="003D53C0" w:rsidRPr="00621595">
              <w:rPr>
                <w:rFonts w:ascii="Times New Roman" w:hAnsi="Times New Roman"/>
                <w:sz w:val="28"/>
                <w:szCs w:val="28"/>
              </w:rPr>
              <w:t>laiks</w:t>
            </w:r>
            <w:r w:rsidR="00ED4B11" w:rsidRPr="00621595">
              <w:rPr>
                <w:rFonts w:ascii="Times New Roman" w:hAnsi="Times New Roman"/>
                <w:sz w:val="28"/>
                <w:szCs w:val="28"/>
              </w:rPr>
              <w:t>;</w:t>
            </w:r>
          </w:p>
          <w:p w:rsidR="003D53C0" w:rsidRPr="00621595" w:rsidRDefault="00C27B87" w:rsidP="00D96428">
            <w:pPr>
              <w:pStyle w:val="ListParagraph"/>
              <w:numPr>
                <w:ilvl w:val="0"/>
                <w:numId w:val="6"/>
              </w:numPr>
              <w:spacing w:after="0" w:line="240" w:lineRule="auto"/>
              <w:jc w:val="both"/>
              <w:rPr>
                <w:rFonts w:ascii="Times New Roman" w:hAnsi="Times New Roman"/>
                <w:sz w:val="28"/>
                <w:szCs w:val="28"/>
              </w:rPr>
            </w:pPr>
            <w:r w:rsidRPr="00621595">
              <w:rPr>
                <w:rFonts w:ascii="Times New Roman" w:hAnsi="Times New Roman"/>
                <w:sz w:val="28"/>
                <w:szCs w:val="28"/>
              </w:rPr>
              <w:t xml:space="preserve">centrs esošo cilvēkresursu un finanšu resursu ietvaros </w:t>
            </w:r>
            <w:r w:rsidR="003D53C0" w:rsidRPr="00621595">
              <w:rPr>
                <w:rFonts w:ascii="Times New Roman" w:hAnsi="Times New Roman"/>
                <w:sz w:val="28"/>
                <w:szCs w:val="28"/>
              </w:rPr>
              <w:t>izstrādā</w:t>
            </w:r>
            <w:r w:rsidR="00ED4B11" w:rsidRPr="00621595">
              <w:rPr>
                <w:rFonts w:ascii="Times New Roman" w:hAnsi="Times New Roman"/>
                <w:sz w:val="28"/>
                <w:szCs w:val="28"/>
              </w:rPr>
              <w:t>s</w:t>
            </w:r>
            <w:r w:rsidR="003D53C0" w:rsidRPr="00621595">
              <w:rPr>
                <w:rFonts w:ascii="Times New Roman" w:hAnsi="Times New Roman"/>
                <w:sz w:val="28"/>
                <w:szCs w:val="28"/>
              </w:rPr>
              <w:t xml:space="preserve"> ekspertu kopīgā atzinumu formu un tajā iekļaujamo informāciju</w:t>
            </w:r>
            <w:r w:rsidR="006D2B67" w:rsidRPr="00621595">
              <w:rPr>
                <w:rFonts w:ascii="Times New Roman" w:hAnsi="Times New Roman"/>
                <w:sz w:val="28"/>
                <w:szCs w:val="28"/>
              </w:rPr>
              <w:t xml:space="preserve"> un</w:t>
            </w:r>
            <w:r w:rsidR="003D53C0" w:rsidRPr="00621595">
              <w:rPr>
                <w:rFonts w:ascii="Times New Roman" w:hAnsi="Times New Roman"/>
                <w:sz w:val="28"/>
                <w:szCs w:val="28"/>
              </w:rPr>
              <w:t xml:space="preserve"> studiju programmas novērtējamos aspektus</w:t>
            </w:r>
            <w:r w:rsidR="006D2B67" w:rsidRPr="00621595">
              <w:rPr>
                <w:rFonts w:ascii="Times New Roman" w:hAnsi="Times New Roman"/>
                <w:sz w:val="28"/>
                <w:szCs w:val="28"/>
              </w:rPr>
              <w:t>.</w:t>
            </w:r>
          </w:p>
          <w:p w:rsidR="00B501DC" w:rsidRPr="00621595" w:rsidRDefault="00B501DC" w:rsidP="00584FB1">
            <w:pPr>
              <w:spacing w:after="0" w:line="240" w:lineRule="auto"/>
              <w:jc w:val="both"/>
              <w:rPr>
                <w:rFonts w:ascii="Times New Roman" w:hAnsi="Times New Roman"/>
                <w:sz w:val="28"/>
                <w:szCs w:val="28"/>
              </w:rPr>
            </w:pPr>
            <w:r w:rsidRPr="00621595">
              <w:rPr>
                <w:rFonts w:ascii="Times New Roman" w:hAnsi="Times New Roman"/>
                <w:sz w:val="28"/>
                <w:szCs w:val="28"/>
              </w:rPr>
              <w:t>S</w:t>
            </w:r>
            <w:r w:rsidR="00F30633" w:rsidRPr="00621595">
              <w:rPr>
                <w:rFonts w:ascii="Times New Roman" w:hAnsi="Times New Roman"/>
                <w:sz w:val="28"/>
                <w:szCs w:val="28"/>
              </w:rPr>
              <w:t>tudiju programmu licencēšanas komisija</w:t>
            </w:r>
            <w:r w:rsidRPr="00621595">
              <w:rPr>
                <w:rFonts w:ascii="Times New Roman" w:hAnsi="Times New Roman"/>
                <w:sz w:val="28"/>
                <w:szCs w:val="28"/>
              </w:rPr>
              <w:t>s</w:t>
            </w:r>
            <w:r w:rsidR="00F30633" w:rsidRPr="00621595">
              <w:rPr>
                <w:rFonts w:ascii="Times New Roman" w:hAnsi="Times New Roman"/>
                <w:sz w:val="28"/>
                <w:szCs w:val="28"/>
              </w:rPr>
              <w:t xml:space="preserve"> </w:t>
            </w:r>
            <w:r w:rsidRPr="00621595">
              <w:rPr>
                <w:rFonts w:ascii="Times New Roman" w:hAnsi="Times New Roman"/>
                <w:sz w:val="28"/>
                <w:szCs w:val="28"/>
              </w:rPr>
              <w:t>administratīvais slogs kopumā paliks nemainīgs, jo:</w:t>
            </w:r>
          </w:p>
          <w:p w:rsidR="00B501DC" w:rsidRPr="00621595" w:rsidRDefault="00F30633" w:rsidP="006E17F5">
            <w:pPr>
              <w:pStyle w:val="ListParagraph"/>
              <w:numPr>
                <w:ilvl w:val="0"/>
                <w:numId w:val="5"/>
              </w:numPr>
              <w:spacing w:after="0" w:line="240" w:lineRule="auto"/>
              <w:jc w:val="both"/>
              <w:rPr>
                <w:rFonts w:ascii="Times New Roman" w:hAnsi="Times New Roman"/>
                <w:sz w:val="28"/>
                <w:szCs w:val="28"/>
              </w:rPr>
            </w:pPr>
            <w:r w:rsidRPr="00621595">
              <w:rPr>
                <w:rFonts w:ascii="Times New Roman" w:hAnsi="Times New Roman"/>
                <w:sz w:val="28"/>
                <w:szCs w:val="28"/>
              </w:rPr>
              <w:t>turpmāk tās priekšsēdētājs parakstīs</w:t>
            </w:r>
            <w:r w:rsidR="00B501DC" w:rsidRPr="00621595">
              <w:rPr>
                <w:rFonts w:ascii="Times New Roman" w:hAnsi="Times New Roman"/>
                <w:sz w:val="28"/>
                <w:szCs w:val="28"/>
              </w:rPr>
              <w:t xml:space="preserve"> </w:t>
            </w:r>
            <w:r w:rsidR="00ED4B11" w:rsidRPr="00621595">
              <w:rPr>
                <w:rFonts w:ascii="Times New Roman" w:hAnsi="Times New Roman"/>
                <w:sz w:val="28"/>
                <w:szCs w:val="28"/>
              </w:rPr>
              <w:t xml:space="preserve">centra </w:t>
            </w:r>
            <w:r w:rsidR="00B501DC" w:rsidRPr="00621595">
              <w:rPr>
                <w:rFonts w:ascii="Times New Roman" w:hAnsi="Times New Roman"/>
                <w:sz w:val="28"/>
                <w:szCs w:val="28"/>
              </w:rPr>
              <w:t>sagatavotās licences;</w:t>
            </w:r>
          </w:p>
          <w:p w:rsidR="00B07928" w:rsidRPr="00621595" w:rsidRDefault="00B501DC" w:rsidP="006E17F5">
            <w:pPr>
              <w:pStyle w:val="ListParagraph"/>
              <w:numPr>
                <w:ilvl w:val="0"/>
                <w:numId w:val="5"/>
              </w:numPr>
              <w:spacing w:after="0" w:line="240" w:lineRule="auto"/>
              <w:jc w:val="both"/>
              <w:rPr>
                <w:rFonts w:ascii="Times New Roman" w:hAnsi="Times New Roman"/>
                <w:sz w:val="28"/>
                <w:szCs w:val="28"/>
              </w:rPr>
            </w:pPr>
            <w:r w:rsidRPr="00621595">
              <w:rPr>
                <w:rFonts w:ascii="Times New Roman" w:hAnsi="Times New Roman"/>
                <w:sz w:val="28"/>
                <w:szCs w:val="28"/>
              </w:rPr>
              <w:t xml:space="preserve">turpmāk tās </w:t>
            </w:r>
            <w:r w:rsidR="0084172F" w:rsidRPr="00621595">
              <w:rPr>
                <w:rFonts w:ascii="Times New Roman" w:hAnsi="Times New Roman"/>
                <w:sz w:val="28"/>
                <w:szCs w:val="28"/>
              </w:rPr>
              <w:t>priekšsēdētāj</w:t>
            </w:r>
            <w:r w:rsidRPr="00621595">
              <w:rPr>
                <w:rFonts w:ascii="Times New Roman" w:hAnsi="Times New Roman"/>
                <w:sz w:val="28"/>
                <w:szCs w:val="28"/>
              </w:rPr>
              <w:t>s</w:t>
            </w:r>
            <w:r w:rsidR="0084172F" w:rsidRPr="00621595">
              <w:rPr>
                <w:rFonts w:ascii="Times New Roman" w:hAnsi="Times New Roman"/>
                <w:sz w:val="28"/>
                <w:szCs w:val="28"/>
              </w:rPr>
              <w:t xml:space="preserve"> vienpersoniski parakstī</w:t>
            </w:r>
            <w:r w:rsidRPr="00621595">
              <w:rPr>
                <w:rFonts w:ascii="Times New Roman" w:hAnsi="Times New Roman"/>
                <w:sz w:val="28"/>
                <w:szCs w:val="28"/>
              </w:rPr>
              <w:t>s</w:t>
            </w:r>
            <w:r w:rsidR="0084172F" w:rsidRPr="00621595">
              <w:rPr>
                <w:rFonts w:ascii="Times New Roman" w:hAnsi="Times New Roman"/>
                <w:sz w:val="28"/>
                <w:szCs w:val="28"/>
              </w:rPr>
              <w:t xml:space="preserve"> studiju programmu licencēšanas komisijas lēmumus</w:t>
            </w:r>
            <w:r w:rsidR="00F30633" w:rsidRPr="00621595">
              <w:rPr>
                <w:rFonts w:ascii="Times New Roman" w:hAnsi="Times New Roman"/>
                <w:sz w:val="28"/>
                <w:szCs w:val="28"/>
              </w:rPr>
              <w:t>, tādējādi saīsinot lēmuma sagatavošanas termiņu</w:t>
            </w:r>
            <w:r w:rsidR="0084172F" w:rsidRPr="00621595">
              <w:rPr>
                <w:rFonts w:ascii="Times New Roman" w:hAnsi="Times New Roman"/>
                <w:sz w:val="28"/>
                <w:szCs w:val="28"/>
              </w:rPr>
              <w:t>.</w:t>
            </w:r>
          </w:p>
          <w:p w:rsidR="00492AC9" w:rsidRPr="00621595" w:rsidRDefault="00DC4C66" w:rsidP="006E17F5">
            <w:pPr>
              <w:spacing w:after="0" w:line="240" w:lineRule="auto"/>
              <w:jc w:val="both"/>
              <w:rPr>
                <w:rFonts w:ascii="Times New Roman" w:hAnsi="Times New Roman"/>
                <w:sz w:val="28"/>
                <w:szCs w:val="28"/>
              </w:rPr>
            </w:pPr>
            <w:r w:rsidRPr="00621595">
              <w:rPr>
                <w:rFonts w:ascii="Times New Roman" w:hAnsi="Times New Roman"/>
                <w:sz w:val="28"/>
                <w:szCs w:val="28"/>
              </w:rPr>
              <w:t>Administratīvais slogs augstskolām un koledžām nemainīsies.</w:t>
            </w:r>
          </w:p>
        </w:tc>
      </w:tr>
      <w:tr w:rsidR="001B53A6" w:rsidRPr="00621595" w:rsidTr="00F30633">
        <w:trPr>
          <w:trHeight w:val="510"/>
        </w:trPr>
        <w:tc>
          <w:tcPr>
            <w:tcW w:w="249" w:type="pct"/>
            <w:tcBorders>
              <w:top w:val="outset" w:sz="6" w:space="0" w:color="414142"/>
              <w:left w:val="outset" w:sz="6" w:space="0" w:color="414142"/>
              <w:bottom w:val="outset" w:sz="6" w:space="0" w:color="414142"/>
              <w:right w:val="outset" w:sz="6" w:space="0" w:color="414142"/>
            </w:tcBorders>
            <w:shd w:val="clear" w:color="auto" w:fill="auto"/>
            <w:hideMark/>
          </w:tcPr>
          <w:p w:rsidR="001B53A6" w:rsidRPr="00621595" w:rsidRDefault="001B53A6" w:rsidP="00584FB1">
            <w:pPr>
              <w:spacing w:after="0" w:line="240" w:lineRule="auto"/>
              <w:rPr>
                <w:rFonts w:ascii="Times New Roman" w:hAnsi="Times New Roman"/>
                <w:sz w:val="28"/>
                <w:szCs w:val="28"/>
              </w:rPr>
            </w:pPr>
            <w:r w:rsidRPr="00621595">
              <w:rPr>
                <w:rFonts w:ascii="Times New Roman" w:hAnsi="Times New Roman"/>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auto"/>
            <w:hideMark/>
          </w:tcPr>
          <w:p w:rsidR="001B53A6" w:rsidRPr="00621595" w:rsidRDefault="001B53A6" w:rsidP="00584FB1">
            <w:pPr>
              <w:spacing w:after="0" w:line="240" w:lineRule="auto"/>
              <w:rPr>
                <w:rFonts w:ascii="Times New Roman" w:hAnsi="Times New Roman"/>
                <w:sz w:val="28"/>
                <w:szCs w:val="28"/>
              </w:rPr>
            </w:pPr>
            <w:r w:rsidRPr="00621595">
              <w:rPr>
                <w:rFonts w:ascii="Times New Roman" w:hAnsi="Times New Roman"/>
                <w:sz w:val="28"/>
                <w:szCs w:val="28"/>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shd w:val="clear" w:color="auto" w:fill="auto"/>
            <w:hideMark/>
          </w:tcPr>
          <w:p w:rsidR="001B53A6" w:rsidRPr="00621595" w:rsidRDefault="00DC4C66" w:rsidP="00584FB1">
            <w:pPr>
              <w:spacing w:after="0" w:line="240" w:lineRule="auto"/>
              <w:jc w:val="both"/>
              <w:rPr>
                <w:rFonts w:ascii="Times New Roman" w:hAnsi="Times New Roman"/>
                <w:sz w:val="28"/>
                <w:szCs w:val="28"/>
              </w:rPr>
            </w:pPr>
            <w:r w:rsidRPr="00621595">
              <w:rPr>
                <w:rFonts w:ascii="Times New Roman" w:hAnsi="Times New Roman"/>
                <w:sz w:val="28"/>
                <w:szCs w:val="28"/>
              </w:rPr>
              <w:t>Projekts tiks īstenots esošā budžeta ietvaros.</w:t>
            </w:r>
          </w:p>
          <w:p w:rsidR="00DC4C66" w:rsidRPr="00621595" w:rsidRDefault="00DC4C66" w:rsidP="00584FB1">
            <w:pPr>
              <w:spacing w:after="0" w:line="240" w:lineRule="auto"/>
              <w:jc w:val="both"/>
              <w:rPr>
                <w:rFonts w:ascii="Times New Roman" w:hAnsi="Times New Roman"/>
                <w:sz w:val="28"/>
                <w:szCs w:val="28"/>
              </w:rPr>
            </w:pPr>
          </w:p>
        </w:tc>
      </w:tr>
      <w:tr w:rsidR="001B53A6" w:rsidRPr="00621595" w:rsidTr="00584FB1">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1B53A6" w:rsidRPr="00621595" w:rsidRDefault="001B53A6" w:rsidP="00584FB1">
            <w:pPr>
              <w:spacing w:after="0" w:line="240" w:lineRule="auto"/>
              <w:rPr>
                <w:rFonts w:ascii="Times New Roman" w:hAnsi="Times New Roman"/>
                <w:sz w:val="28"/>
                <w:szCs w:val="28"/>
              </w:rPr>
            </w:pPr>
            <w:r w:rsidRPr="00621595">
              <w:rPr>
                <w:rFonts w:ascii="Times New Roman" w:hAnsi="Times New Roman"/>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rsidR="001B53A6" w:rsidRPr="00621595" w:rsidRDefault="001B53A6" w:rsidP="00584FB1">
            <w:pPr>
              <w:spacing w:after="0" w:line="240" w:lineRule="auto"/>
              <w:rPr>
                <w:rFonts w:ascii="Times New Roman" w:hAnsi="Times New Roman"/>
                <w:sz w:val="28"/>
                <w:szCs w:val="28"/>
              </w:rPr>
            </w:pPr>
            <w:r w:rsidRPr="00621595">
              <w:rPr>
                <w:rFonts w:ascii="Times New Roman" w:hAnsi="Times New Roman"/>
                <w:sz w:val="28"/>
                <w:szCs w:val="28"/>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1B53A6" w:rsidRPr="00621595" w:rsidRDefault="001B53A6" w:rsidP="00584FB1">
            <w:pPr>
              <w:spacing w:before="100" w:beforeAutospacing="1" w:after="100" w:afterAutospacing="1" w:line="293" w:lineRule="atLeast"/>
              <w:rPr>
                <w:rFonts w:ascii="Times New Roman" w:hAnsi="Times New Roman"/>
                <w:sz w:val="28"/>
                <w:szCs w:val="28"/>
              </w:rPr>
            </w:pPr>
            <w:r w:rsidRPr="00621595">
              <w:rPr>
                <w:rFonts w:ascii="Times New Roman" w:hAnsi="Times New Roman"/>
                <w:sz w:val="28"/>
                <w:szCs w:val="28"/>
              </w:rPr>
              <w:t>Nav</w:t>
            </w:r>
            <w:r w:rsidR="00F30633" w:rsidRPr="00621595">
              <w:rPr>
                <w:rFonts w:ascii="Times New Roman" w:hAnsi="Times New Roman"/>
                <w:sz w:val="28"/>
                <w:szCs w:val="28"/>
              </w:rPr>
              <w:t>.</w:t>
            </w:r>
          </w:p>
        </w:tc>
      </w:tr>
    </w:tbl>
    <w:p w:rsidR="008C60BC" w:rsidRPr="00621595" w:rsidRDefault="008C60BC" w:rsidP="004A505F">
      <w:pPr>
        <w:spacing w:after="0" w:line="360" w:lineRule="auto"/>
        <w:rPr>
          <w:rFonts w:ascii="Times New Roman" w:hAnsi="Times New Roman"/>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2443"/>
        <w:gridCol w:w="1467"/>
        <w:gridCol w:w="1609"/>
        <w:gridCol w:w="1265"/>
        <w:gridCol w:w="1179"/>
        <w:gridCol w:w="1332"/>
      </w:tblGrid>
      <w:tr w:rsidR="008C60BC" w:rsidRPr="00621595" w:rsidTr="008C60BC">
        <w:trPr>
          <w:trHeight w:val="450"/>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8C60BC" w:rsidRPr="00621595" w:rsidRDefault="008C60BC" w:rsidP="008C60BC">
            <w:pPr>
              <w:spacing w:after="0" w:line="240" w:lineRule="auto"/>
              <w:rPr>
                <w:rFonts w:ascii="Times New Roman" w:hAnsi="Times New Roman"/>
                <w:b/>
                <w:bCs/>
                <w:color w:val="000000" w:themeColor="text1"/>
                <w:sz w:val="28"/>
                <w:szCs w:val="28"/>
              </w:rPr>
            </w:pPr>
            <w:r w:rsidRPr="00621595">
              <w:rPr>
                <w:rFonts w:ascii="Times New Roman" w:hAnsi="Times New Roman"/>
                <w:b/>
                <w:bCs/>
                <w:color w:val="000000" w:themeColor="text1"/>
                <w:sz w:val="28"/>
                <w:szCs w:val="28"/>
              </w:rPr>
              <w:t>III. Tiesību akta projekta ietekme uz valsts budžetu un pašvaldību budžetiem</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sidRPr="00621595">
              <w:rPr>
                <w:rFonts w:ascii="Times New Roman" w:eastAsia="Times New Roman" w:hAnsi="Times New Roman"/>
                <w:b/>
                <w:bCs/>
                <w:color w:val="000000" w:themeColor="text1"/>
                <w:sz w:val="28"/>
                <w:szCs w:val="28"/>
                <w:lang w:eastAsia="lv-LV"/>
              </w:rPr>
              <w:t>Rādītāji</w:t>
            </w:r>
          </w:p>
        </w:tc>
        <w:tc>
          <w:tcPr>
            <w:tcW w:w="0" w:type="auto"/>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C17199"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sidRPr="00621595">
              <w:rPr>
                <w:rFonts w:ascii="Times New Roman" w:eastAsia="Times New Roman" w:hAnsi="Times New Roman"/>
                <w:b/>
                <w:bCs/>
                <w:color w:val="000000" w:themeColor="text1"/>
                <w:sz w:val="28"/>
                <w:szCs w:val="28"/>
                <w:lang w:eastAsia="lv-LV"/>
              </w:rPr>
              <w:t>2017.</w:t>
            </w:r>
            <w:r w:rsidR="008C60BC" w:rsidRPr="00621595">
              <w:rPr>
                <w:rFonts w:ascii="Times New Roman" w:eastAsia="Times New Roman" w:hAnsi="Times New Roman"/>
                <w:b/>
                <w:bCs/>
                <w:color w:val="000000" w:themeColor="text1"/>
                <w:sz w:val="28"/>
                <w:szCs w:val="28"/>
                <w:lang w:eastAsia="lv-LV"/>
              </w:rPr>
              <w:t xml:space="preserve"> gads</w:t>
            </w:r>
          </w:p>
        </w:tc>
        <w:tc>
          <w:tcPr>
            <w:tcW w:w="191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Turpmākie trīs gadi (tūkst. latu)</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b/>
                <w:bCs/>
                <w:color w:val="000000" w:themeColor="text1"/>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b/>
                <w:bCs/>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621595"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Pr>
                <w:rFonts w:ascii="Times New Roman" w:eastAsia="Times New Roman" w:hAnsi="Times New Roman"/>
                <w:b/>
                <w:bCs/>
                <w:color w:val="000000" w:themeColor="text1"/>
                <w:sz w:val="28"/>
                <w:szCs w:val="28"/>
                <w:lang w:eastAsia="lv-LV"/>
              </w:rPr>
              <w:t>2018</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621595"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Pr>
                <w:rFonts w:ascii="Times New Roman" w:eastAsia="Times New Roman" w:hAnsi="Times New Roman"/>
                <w:b/>
                <w:bCs/>
                <w:color w:val="000000" w:themeColor="text1"/>
                <w:sz w:val="28"/>
                <w:szCs w:val="28"/>
                <w:lang w:eastAsia="lv-LV"/>
              </w:rPr>
              <w:t>2019</w:t>
            </w:r>
          </w:p>
        </w:tc>
        <w:tc>
          <w:tcPr>
            <w:tcW w:w="8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621595" w:rsidP="008C60BC">
            <w:pPr>
              <w:spacing w:before="100" w:beforeAutospacing="1" w:after="100" w:afterAutospacing="1" w:line="293" w:lineRule="atLeast"/>
              <w:jc w:val="center"/>
              <w:rPr>
                <w:rFonts w:ascii="Times New Roman" w:eastAsia="Times New Roman" w:hAnsi="Times New Roman"/>
                <w:b/>
                <w:bCs/>
                <w:color w:val="000000" w:themeColor="text1"/>
                <w:sz w:val="28"/>
                <w:szCs w:val="28"/>
                <w:lang w:eastAsia="lv-LV"/>
              </w:rPr>
            </w:pPr>
            <w:r>
              <w:rPr>
                <w:rFonts w:ascii="Times New Roman" w:eastAsia="Times New Roman" w:hAnsi="Times New Roman"/>
                <w:b/>
                <w:bCs/>
                <w:color w:val="000000" w:themeColor="text1"/>
                <w:sz w:val="28"/>
                <w:szCs w:val="28"/>
                <w:lang w:eastAsia="lv-LV"/>
              </w:rPr>
              <w:t>2020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b/>
                <w:bCs/>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C27B87">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 xml:space="preserve">Saskaņā ar valsts budžetu </w:t>
            </w:r>
            <w:r w:rsidR="00C27B87" w:rsidRPr="00621595">
              <w:rPr>
                <w:rFonts w:ascii="Times New Roman" w:eastAsia="Times New Roman" w:hAnsi="Times New Roman"/>
                <w:color w:val="000000" w:themeColor="text1"/>
                <w:sz w:val="28"/>
                <w:szCs w:val="28"/>
                <w:lang w:eastAsia="lv-LV"/>
              </w:rPr>
              <w:t>2017.</w:t>
            </w:r>
            <w:r w:rsidRPr="00621595">
              <w:rPr>
                <w:rFonts w:ascii="Times New Roman" w:eastAsia="Times New Roman" w:hAnsi="Times New Roman"/>
                <w:color w:val="000000" w:themeColor="text1"/>
                <w:sz w:val="28"/>
                <w:szCs w:val="28"/>
                <w:lang w:eastAsia="lv-LV"/>
              </w:rPr>
              <w:t>gadam</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C27B87">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 xml:space="preserve">Izmaiņas kārtējā gadā, salīdzinot ar budžetu </w:t>
            </w:r>
            <w:r w:rsidR="00C27B87" w:rsidRPr="00621595">
              <w:rPr>
                <w:rFonts w:ascii="Times New Roman" w:eastAsia="Times New Roman" w:hAnsi="Times New Roman"/>
                <w:color w:val="000000" w:themeColor="text1"/>
                <w:sz w:val="28"/>
                <w:szCs w:val="28"/>
                <w:lang w:eastAsia="lv-LV"/>
              </w:rPr>
              <w:t>2017.</w:t>
            </w:r>
            <w:r w:rsidRPr="00621595">
              <w:rPr>
                <w:rFonts w:ascii="Times New Roman" w:eastAsia="Times New Roman" w:hAnsi="Times New Roman"/>
                <w:color w:val="000000" w:themeColor="text1"/>
                <w:sz w:val="28"/>
                <w:szCs w:val="28"/>
                <w:lang w:eastAsia="lv-LV"/>
              </w:rPr>
              <w:t>gadam</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C27B87">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 xml:space="preserve">Izmaiņas, salīdzinot ar </w:t>
            </w:r>
            <w:r w:rsidR="00C27B87" w:rsidRPr="00621595">
              <w:rPr>
                <w:rFonts w:ascii="Times New Roman" w:eastAsia="Times New Roman" w:hAnsi="Times New Roman"/>
                <w:color w:val="000000" w:themeColor="text1"/>
                <w:sz w:val="28"/>
                <w:szCs w:val="28"/>
                <w:lang w:eastAsia="lv-LV"/>
              </w:rPr>
              <w:t>2017.</w:t>
            </w:r>
            <w:r w:rsidRPr="00621595">
              <w:rPr>
                <w:rFonts w:ascii="Times New Roman" w:eastAsia="Times New Roman" w:hAnsi="Times New Roman"/>
                <w:color w:val="000000" w:themeColor="text1"/>
                <w:sz w:val="28"/>
                <w:szCs w:val="28"/>
                <w:lang w:eastAsia="lv-LV"/>
              </w:rPr>
              <w:t>gadu</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C27B87">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 xml:space="preserve">Izmaiņas, salīdzinot ar </w:t>
            </w:r>
            <w:r w:rsidR="00C27B87" w:rsidRPr="00621595">
              <w:rPr>
                <w:rFonts w:ascii="Times New Roman" w:eastAsia="Times New Roman" w:hAnsi="Times New Roman"/>
                <w:color w:val="000000" w:themeColor="text1"/>
                <w:sz w:val="28"/>
                <w:szCs w:val="28"/>
                <w:lang w:eastAsia="lv-LV"/>
              </w:rPr>
              <w:t>2017.</w:t>
            </w:r>
            <w:r w:rsidRPr="00621595">
              <w:rPr>
                <w:rFonts w:ascii="Times New Roman" w:eastAsia="Times New Roman" w:hAnsi="Times New Roman"/>
                <w:color w:val="000000" w:themeColor="text1"/>
                <w:sz w:val="28"/>
                <w:szCs w:val="28"/>
                <w:lang w:eastAsia="lv-LV"/>
              </w:rPr>
              <w:t xml:space="preserve"> gadu</w:t>
            </w:r>
          </w:p>
        </w:tc>
        <w:tc>
          <w:tcPr>
            <w:tcW w:w="8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C27B87">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 xml:space="preserve">Izmaiņas, salīdzinot </w:t>
            </w:r>
            <w:r w:rsidR="00C27B87" w:rsidRPr="00621595">
              <w:rPr>
                <w:rFonts w:ascii="Times New Roman" w:eastAsia="Times New Roman" w:hAnsi="Times New Roman"/>
                <w:color w:val="000000" w:themeColor="text1"/>
                <w:sz w:val="28"/>
                <w:szCs w:val="28"/>
                <w:lang w:eastAsia="lv-LV"/>
              </w:rPr>
              <w:t>2017.</w:t>
            </w:r>
            <w:r w:rsidRPr="00621595">
              <w:rPr>
                <w:rFonts w:ascii="Times New Roman" w:eastAsia="Times New Roman" w:hAnsi="Times New Roman"/>
                <w:color w:val="000000" w:themeColor="text1"/>
                <w:sz w:val="28"/>
                <w:szCs w:val="28"/>
                <w:lang w:eastAsia="lv-LV"/>
              </w:rPr>
              <w:t>gadu</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1</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2</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3</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4</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5</w:t>
            </w:r>
          </w:p>
        </w:tc>
        <w:tc>
          <w:tcPr>
            <w:tcW w:w="8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6</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1. Budžeta ieņēmumi: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C17199"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281 774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1.1. valsts pamatbudžets, tai skaitā ieņēmumi no maksas pakalpojumiem un citi pašu ieņēmumi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C17199"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281 774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1.2. valsts speciālais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lastRenderedPageBreak/>
              <w:t>1.3. pašvaldību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2. Budžeta izdevumi:</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C17199"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281 774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2.1. valsts pamatbudžets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C17199"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281 774</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2.2. valsts speciālais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2.3. pašvaldību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3. Finansiālā ietekme:</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3.1. valsts pamatbudžets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3.2. speciālais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3.3. pašvaldību budžets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4. Finanšu līdzekļi papildu izde</w:t>
            </w:r>
            <w:r w:rsidRPr="00621595">
              <w:rPr>
                <w:rFonts w:ascii="Times New Roman" w:eastAsia="Times New Roman" w:hAnsi="Times New Roman"/>
                <w:color w:val="000000" w:themeColor="text1"/>
                <w:sz w:val="28"/>
                <w:szCs w:val="28"/>
                <w:lang w:eastAsia="lv-LV"/>
              </w:rPr>
              <w:softHyphen/>
              <w:t>vumu finansēšanai (kompensējošu izdevumu samazinājumu norāda ar "+" zīmi)</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X</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30CB6" w:rsidRPr="00621595" w:rsidRDefault="00830CB6" w:rsidP="008C60BC">
            <w:pPr>
              <w:spacing w:after="0" w:line="240" w:lineRule="auto"/>
              <w:rPr>
                <w:rFonts w:ascii="Times New Roman" w:eastAsia="Times New Roman" w:hAnsi="Times New Roman"/>
                <w:color w:val="000000" w:themeColor="text1"/>
                <w:sz w:val="28"/>
                <w:szCs w:val="28"/>
                <w:lang w:eastAsia="lv-LV"/>
              </w:rPr>
            </w:pPr>
          </w:p>
          <w:p w:rsidR="00830CB6" w:rsidRPr="00621595" w:rsidRDefault="00830CB6" w:rsidP="008C60BC">
            <w:pPr>
              <w:spacing w:after="0" w:line="240" w:lineRule="auto"/>
              <w:rPr>
                <w:rFonts w:ascii="Times New Roman" w:eastAsia="Times New Roman" w:hAnsi="Times New Roman"/>
                <w:color w:val="000000" w:themeColor="text1"/>
                <w:sz w:val="28"/>
                <w:szCs w:val="28"/>
                <w:lang w:eastAsia="lv-LV"/>
              </w:rPr>
            </w:pPr>
          </w:p>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30CB6" w:rsidRPr="00621595" w:rsidRDefault="00830CB6" w:rsidP="008C60BC">
            <w:pPr>
              <w:spacing w:after="0" w:line="240" w:lineRule="auto"/>
              <w:rPr>
                <w:rFonts w:ascii="Times New Roman" w:eastAsia="Times New Roman" w:hAnsi="Times New Roman"/>
                <w:color w:val="000000" w:themeColor="text1"/>
                <w:sz w:val="28"/>
                <w:szCs w:val="28"/>
                <w:lang w:eastAsia="lv-LV"/>
              </w:rPr>
            </w:pPr>
          </w:p>
          <w:p w:rsidR="00830CB6" w:rsidRPr="00621595" w:rsidRDefault="00830CB6" w:rsidP="008C60BC">
            <w:pPr>
              <w:spacing w:after="0" w:line="240" w:lineRule="auto"/>
              <w:rPr>
                <w:rFonts w:ascii="Times New Roman" w:eastAsia="Times New Roman" w:hAnsi="Times New Roman"/>
                <w:color w:val="000000" w:themeColor="text1"/>
                <w:sz w:val="28"/>
                <w:szCs w:val="28"/>
                <w:lang w:eastAsia="lv-LV"/>
              </w:rPr>
            </w:pPr>
          </w:p>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30CB6" w:rsidRPr="00621595" w:rsidRDefault="00830CB6" w:rsidP="008C60BC">
            <w:pPr>
              <w:spacing w:after="0" w:line="240" w:lineRule="auto"/>
              <w:rPr>
                <w:rFonts w:ascii="Times New Roman" w:eastAsia="Times New Roman" w:hAnsi="Times New Roman"/>
                <w:color w:val="000000" w:themeColor="text1"/>
                <w:sz w:val="28"/>
                <w:szCs w:val="28"/>
                <w:lang w:eastAsia="lv-LV"/>
              </w:rPr>
            </w:pPr>
          </w:p>
          <w:p w:rsidR="00830CB6" w:rsidRPr="00621595" w:rsidRDefault="00830CB6" w:rsidP="008C60BC">
            <w:pPr>
              <w:spacing w:after="0" w:line="240" w:lineRule="auto"/>
              <w:rPr>
                <w:rFonts w:ascii="Times New Roman" w:eastAsia="Times New Roman" w:hAnsi="Times New Roman"/>
                <w:color w:val="000000" w:themeColor="text1"/>
                <w:sz w:val="28"/>
                <w:szCs w:val="28"/>
                <w:lang w:eastAsia="lv-LV"/>
              </w:rPr>
            </w:pPr>
          </w:p>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30CB6" w:rsidRPr="00621595" w:rsidRDefault="00830CB6" w:rsidP="008C60BC">
            <w:pPr>
              <w:spacing w:after="0" w:line="240" w:lineRule="auto"/>
              <w:rPr>
                <w:rFonts w:ascii="Times New Roman" w:eastAsia="Times New Roman" w:hAnsi="Times New Roman"/>
                <w:color w:val="000000" w:themeColor="text1"/>
                <w:sz w:val="28"/>
                <w:szCs w:val="28"/>
                <w:lang w:eastAsia="lv-LV"/>
              </w:rPr>
            </w:pPr>
          </w:p>
          <w:p w:rsidR="00830CB6" w:rsidRPr="00621595" w:rsidRDefault="00830CB6" w:rsidP="008C60BC">
            <w:pPr>
              <w:spacing w:after="0" w:line="240" w:lineRule="auto"/>
              <w:rPr>
                <w:rFonts w:ascii="Times New Roman" w:eastAsia="Times New Roman" w:hAnsi="Times New Roman"/>
                <w:color w:val="000000" w:themeColor="text1"/>
                <w:sz w:val="28"/>
                <w:szCs w:val="28"/>
                <w:lang w:eastAsia="lv-LV"/>
              </w:rPr>
            </w:pPr>
          </w:p>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5. Precizēta finansiālā ietekme:</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jc w:val="center"/>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X</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c>
          <w:tcPr>
            <w:tcW w:w="804" w:type="pct"/>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30CB6" w:rsidP="008C60BC">
            <w:pPr>
              <w:spacing w:after="0" w:line="240" w:lineRule="auto"/>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0</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6. Detalizēts ieņēmumu un izdevu</w:t>
            </w:r>
            <w:r w:rsidRPr="00621595">
              <w:rPr>
                <w:rFonts w:ascii="Times New Roman" w:eastAsia="Times New Roman" w:hAnsi="Times New Roman"/>
                <w:color w:val="000000" w:themeColor="text1"/>
                <w:sz w:val="28"/>
                <w:szCs w:val="28"/>
                <w:lang w:eastAsia="lv-LV"/>
              </w:rPr>
              <w:softHyphen/>
              <w:t xml:space="preserve">mu aprēķins (ja nepieciešams, detalizētu ieņēmumu un izdevumu aprēķinu var </w:t>
            </w:r>
            <w:r w:rsidRPr="00621595">
              <w:rPr>
                <w:rFonts w:ascii="Times New Roman" w:eastAsia="Times New Roman" w:hAnsi="Times New Roman"/>
                <w:color w:val="000000" w:themeColor="text1"/>
                <w:sz w:val="28"/>
                <w:szCs w:val="28"/>
                <w:lang w:eastAsia="lv-LV"/>
              </w:rPr>
              <w:lastRenderedPageBreak/>
              <w:t>pievienot anotācijas pielikumā):</w:t>
            </w:r>
          </w:p>
        </w:tc>
        <w:tc>
          <w:tcPr>
            <w:tcW w:w="3529"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17199" w:rsidRPr="00621595" w:rsidRDefault="00C17199" w:rsidP="00C17199">
            <w:pPr>
              <w:spacing w:after="0" w:line="240" w:lineRule="auto"/>
              <w:jc w:val="both"/>
              <w:rPr>
                <w:rFonts w:ascii="Times New Roman" w:hAnsi="Times New Roman"/>
                <w:sz w:val="28"/>
                <w:szCs w:val="28"/>
              </w:rPr>
            </w:pPr>
            <w:r w:rsidRPr="00621595">
              <w:rPr>
                <w:rFonts w:ascii="Times New Roman" w:hAnsi="Times New Roman"/>
                <w:sz w:val="28"/>
                <w:szCs w:val="28"/>
              </w:rPr>
              <w:lastRenderedPageBreak/>
              <w:t>1. Plānotais finansējums valsts budžeta 03.00.00 programmā “Augstākā izglītība” apakšprogrammā 03.13.00 “Studiju virzienu akreditācija”:</w:t>
            </w:r>
          </w:p>
          <w:p w:rsidR="00C17199" w:rsidRPr="00621595" w:rsidRDefault="00C17199" w:rsidP="00C17199">
            <w:pPr>
              <w:pStyle w:val="ListParagraph"/>
              <w:numPr>
                <w:ilvl w:val="0"/>
                <w:numId w:val="7"/>
              </w:numPr>
              <w:spacing w:after="0" w:line="240" w:lineRule="auto"/>
              <w:jc w:val="both"/>
              <w:rPr>
                <w:rFonts w:ascii="Times New Roman" w:hAnsi="Times New Roman"/>
                <w:sz w:val="28"/>
                <w:szCs w:val="28"/>
              </w:rPr>
            </w:pPr>
            <w:r w:rsidRPr="00621595">
              <w:rPr>
                <w:rFonts w:ascii="Times New Roman" w:hAnsi="Times New Roman"/>
                <w:sz w:val="28"/>
                <w:szCs w:val="28"/>
              </w:rPr>
              <w:t>2017.g. – 281</w:t>
            </w:r>
            <w:r w:rsidR="00C27B87" w:rsidRPr="00621595">
              <w:rPr>
                <w:rFonts w:ascii="Times New Roman" w:hAnsi="Times New Roman"/>
                <w:sz w:val="28"/>
                <w:szCs w:val="28"/>
              </w:rPr>
              <w:t> </w:t>
            </w:r>
            <w:r w:rsidRPr="00621595">
              <w:rPr>
                <w:rFonts w:ascii="Times New Roman" w:hAnsi="Times New Roman"/>
                <w:sz w:val="28"/>
                <w:szCs w:val="28"/>
              </w:rPr>
              <w:t>774</w:t>
            </w:r>
            <w:r w:rsidR="00C27B87" w:rsidRPr="00621595">
              <w:rPr>
                <w:rFonts w:ascii="Times New Roman" w:hAnsi="Times New Roman"/>
                <w:i/>
                <w:sz w:val="28"/>
                <w:szCs w:val="28"/>
              </w:rPr>
              <w:t xml:space="preserve"> euro</w:t>
            </w:r>
          </w:p>
          <w:p w:rsidR="00C17199" w:rsidRPr="00621595" w:rsidRDefault="00C17199" w:rsidP="00C17199">
            <w:pPr>
              <w:pStyle w:val="ListParagraph"/>
              <w:numPr>
                <w:ilvl w:val="0"/>
                <w:numId w:val="7"/>
              </w:numPr>
              <w:spacing w:after="0" w:line="240" w:lineRule="auto"/>
              <w:jc w:val="both"/>
              <w:rPr>
                <w:rFonts w:ascii="Times New Roman" w:hAnsi="Times New Roman"/>
                <w:sz w:val="28"/>
                <w:szCs w:val="28"/>
              </w:rPr>
            </w:pPr>
            <w:r w:rsidRPr="00621595">
              <w:rPr>
                <w:rFonts w:ascii="Times New Roman" w:hAnsi="Times New Roman"/>
                <w:sz w:val="28"/>
                <w:szCs w:val="28"/>
              </w:rPr>
              <w:t>2018.g. – 281</w:t>
            </w:r>
            <w:r w:rsidR="00C27B87" w:rsidRPr="00621595">
              <w:rPr>
                <w:rFonts w:ascii="Times New Roman" w:hAnsi="Times New Roman"/>
                <w:sz w:val="28"/>
                <w:szCs w:val="28"/>
              </w:rPr>
              <w:t> </w:t>
            </w:r>
            <w:r w:rsidRPr="00621595">
              <w:rPr>
                <w:rFonts w:ascii="Times New Roman" w:hAnsi="Times New Roman"/>
                <w:sz w:val="28"/>
                <w:szCs w:val="28"/>
              </w:rPr>
              <w:t>774</w:t>
            </w:r>
            <w:r w:rsidR="00C27B87" w:rsidRPr="00621595">
              <w:rPr>
                <w:rFonts w:ascii="Times New Roman" w:hAnsi="Times New Roman"/>
                <w:sz w:val="28"/>
                <w:szCs w:val="28"/>
              </w:rPr>
              <w:t xml:space="preserve"> </w:t>
            </w:r>
            <w:r w:rsidR="00C27B87" w:rsidRPr="00621595">
              <w:rPr>
                <w:rFonts w:ascii="Times New Roman" w:hAnsi="Times New Roman"/>
                <w:i/>
                <w:sz w:val="28"/>
                <w:szCs w:val="28"/>
              </w:rPr>
              <w:t>euro.</w:t>
            </w:r>
          </w:p>
          <w:p w:rsidR="00C17199" w:rsidRPr="00621595" w:rsidRDefault="00C17199" w:rsidP="00C17199">
            <w:pPr>
              <w:spacing w:after="0" w:line="240" w:lineRule="auto"/>
              <w:jc w:val="both"/>
              <w:rPr>
                <w:rFonts w:ascii="Times New Roman" w:hAnsi="Times New Roman"/>
                <w:bCs/>
                <w:sz w:val="28"/>
                <w:szCs w:val="28"/>
              </w:rPr>
            </w:pPr>
            <w:r w:rsidRPr="00621595">
              <w:rPr>
                <w:rFonts w:ascii="Times New Roman" w:hAnsi="Times New Roman"/>
                <w:sz w:val="28"/>
                <w:szCs w:val="28"/>
              </w:rPr>
              <w:lastRenderedPageBreak/>
              <w:t xml:space="preserve">2. Anotācijas sadaļā </w:t>
            </w:r>
            <w:r w:rsidR="00621595">
              <w:rPr>
                <w:rFonts w:ascii="Times New Roman" w:hAnsi="Times New Roman"/>
                <w:bCs/>
                <w:sz w:val="28"/>
                <w:szCs w:val="28"/>
              </w:rPr>
              <w:t>III</w:t>
            </w:r>
            <w:r w:rsidRPr="00621595">
              <w:rPr>
                <w:rFonts w:ascii="Times New Roman" w:hAnsi="Times New Roman"/>
                <w:bCs/>
                <w:sz w:val="28"/>
                <w:szCs w:val="28"/>
              </w:rPr>
              <w:t xml:space="preserve"> Tiesību akta projekta ietekme uz valsts budžetu un pašvaldību budžetiem minētais finansējums attiecas gan uz licencēšanas, gan akreditācijas procesa nodrošināšanu, tādēļ ir skatāms kontekstā ar Ministru kabineta noteikumu projektu </w:t>
            </w:r>
            <w:r w:rsidR="00621595">
              <w:rPr>
                <w:rFonts w:ascii="Times New Roman" w:hAnsi="Times New Roman"/>
                <w:bCs/>
                <w:sz w:val="28"/>
                <w:szCs w:val="28"/>
              </w:rPr>
              <w:t xml:space="preserve">“Grozījumi Ministru kabineta 2015.gada 14.jūlija noteikumos Nr.407 </w:t>
            </w:r>
            <w:r w:rsidRPr="00621595">
              <w:rPr>
                <w:rFonts w:ascii="Times New Roman" w:hAnsi="Times New Roman"/>
                <w:bCs/>
                <w:sz w:val="28"/>
                <w:szCs w:val="28"/>
              </w:rPr>
              <w:t>“Augstskolu, koledžu un studiju virzienu akreditācijas noteikumiem”. Piešķirtais finansējums akreditācijas un licencēšanas mērķim indikatīvi tiks sadalīts šādās proporcijās – 70% akreditācijas nodrošināšanai, bet 30% li</w:t>
            </w:r>
            <w:r w:rsidR="00AD15DD">
              <w:rPr>
                <w:rFonts w:ascii="Times New Roman" w:hAnsi="Times New Roman"/>
                <w:bCs/>
                <w:sz w:val="28"/>
                <w:szCs w:val="28"/>
              </w:rPr>
              <w:t xml:space="preserve">cencēšanas nodrošināšanai, bet </w:t>
            </w:r>
            <w:r w:rsidRPr="00621595">
              <w:rPr>
                <w:rFonts w:ascii="Times New Roman" w:hAnsi="Times New Roman"/>
                <w:bCs/>
                <w:sz w:val="28"/>
                <w:szCs w:val="28"/>
              </w:rPr>
              <w:t xml:space="preserve"> precīzākas proporcijas noteikt nav iespējams, jo akreditācijas un licen</w:t>
            </w:r>
            <w:r w:rsidR="000174CC" w:rsidRPr="00621595">
              <w:rPr>
                <w:rFonts w:ascii="Times New Roman" w:hAnsi="Times New Roman"/>
                <w:bCs/>
                <w:sz w:val="28"/>
                <w:szCs w:val="28"/>
              </w:rPr>
              <w:t>cēšanas funkcijas komisijai un C</w:t>
            </w:r>
            <w:r w:rsidRPr="00621595">
              <w:rPr>
                <w:rFonts w:ascii="Times New Roman" w:hAnsi="Times New Roman"/>
                <w:bCs/>
                <w:sz w:val="28"/>
                <w:szCs w:val="28"/>
              </w:rPr>
              <w:t xml:space="preserve">entram savstarpēji pārklāsies, kā arī akreditācijas un licencēšanas gadījumu proporcijas ir mainīgs faktors, kas atkarīgs no augstākās izglītības iestāžu iesniegtajiem pieteikumiem. </w:t>
            </w:r>
          </w:p>
          <w:p w:rsidR="008C60BC" w:rsidRPr="00621595" w:rsidRDefault="00C17199" w:rsidP="00C17199">
            <w:pPr>
              <w:spacing w:after="0" w:line="240" w:lineRule="auto"/>
              <w:jc w:val="both"/>
              <w:rPr>
                <w:rFonts w:ascii="Times New Roman" w:eastAsia="Times New Roman" w:hAnsi="Times New Roman"/>
                <w:i/>
                <w:color w:val="000000" w:themeColor="text1"/>
                <w:sz w:val="28"/>
                <w:szCs w:val="28"/>
                <w:lang w:eastAsia="lv-LV"/>
              </w:rPr>
            </w:pPr>
            <w:r w:rsidRPr="00621595">
              <w:rPr>
                <w:rFonts w:ascii="Times New Roman" w:hAnsi="Times New Roman"/>
                <w:bCs/>
                <w:sz w:val="28"/>
                <w:szCs w:val="28"/>
              </w:rPr>
              <w:t>3. Projekts tiks īstenots esošā budžeta ietvaros.</w:t>
            </w: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lastRenderedPageBreak/>
              <w:t>6.1. detalizēts ieņēmumu aprēķins</w:t>
            </w:r>
          </w:p>
        </w:tc>
        <w:tc>
          <w:tcPr>
            <w:tcW w:w="3529"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6.2. detalizēts izdevumu aprēķins</w:t>
            </w:r>
          </w:p>
        </w:tc>
        <w:tc>
          <w:tcPr>
            <w:tcW w:w="3529"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C60BC" w:rsidRPr="00621595" w:rsidRDefault="008C60BC" w:rsidP="008C60BC">
            <w:pPr>
              <w:spacing w:after="0" w:line="240" w:lineRule="auto"/>
              <w:rPr>
                <w:rFonts w:ascii="Times New Roman" w:eastAsia="Times New Roman" w:hAnsi="Times New Roman"/>
                <w:color w:val="000000" w:themeColor="text1"/>
                <w:sz w:val="28"/>
                <w:szCs w:val="28"/>
                <w:lang w:eastAsia="lv-LV"/>
              </w:rPr>
            </w:pPr>
          </w:p>
        </w:tc>
      </w:tr>
      <w:tr w:rsidR="008C60BC" w:rsidRPr="00621595" w:rsidTr="00C17199">
        <w:tblPrEx>
          <w:jc w:val="left"/>
          <w:tblCellSpacing w:w="0" w:type="nil"/>
          <w:tblBorders>
            <w:top w:val="outset" w:sz="6" w:space="0" w:color="414142"/>
            <w:left w:val="outset" w:sz="6" w:space="0" w:color="414142"/>
            <w:bottom w:val="outset" w:sz="6" w:space="0" w:color="414142"/>
            <w:right w:val="outset" w:sz="6" w:space="0" w:color="414142"/>
          </w:tblBorders>
          <w:shd w:val="clear" w:color="auto" w:fill="FFFFFF"/>
        </w:tblPrEx>
        <w:trPr>
          <w:gridBefore w:val="1"/>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8C60B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eastAsia="Times New Roman" w:hAnsi="Times New Roman"/>
                <w:color w:val="000000" w:themeColor="text1"/>
                <w:sz w:val="28"/>
                <w:szCs w:val="28"/>
                <w:lang w:eastAsia="lv-LV"/>
              </w:rPr>
              <w:t>7. Cita informācija</w:t>
            </w:r>
          </w:p>
        </w:tc>
        <w:tc>
          <w:tcPr>
            <w:tcW w:w="352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8C60BC" w:rsidRPr="00621595" w:rsidRDefault="00377D6C" w:rsidP="008C60BC">
            <w:pPr>
              <w:spacing w:before="100" w:beforeAutospacing="1" w:after="100" w:afterAutospacing="1" w:line="293" w:lineRule="atLeast"/>
              <w:rPr>
                <w:rFonts w:ascii="Times New Roman" w:eastAsia="Times New Roman" w:hAnsi="Times New Roman"/>
                <w:color w:val="000000" w:themeColor="text1"/>
                <w:sz w:val="28"/>
                <w:szCs w:val="28"/>
                <w:lang w:eastAsia="lv-LV"/>
              </w:rPr>
            </w:pPr>
            <w:r w:rsidRPr="00621595">
              <w:rPr>
                <w:rFonts w:ascii="Times New Roman" w:hAnsi="Times New Roman"/>
                <w:bCs/>
                <w:sz w:val="28"/>
                <w:szCs w:val="28"/>
              </w:rPr>
              <w:t>Nav</w:t>
            </w:r>
            <w:r w:rsidR="008C60BC" w:rsidRPr="00621595">
              <w:rPr>
                <w:rFonts w:ascii="Times New Roman" w:eastAsia="Times New Roman" w:hAnsi="Times New Roman"/>
                <w:color w:val="000000" w:themeColor="text1"/>
                <w:sz w:val="28"/>
                <w:szCs w:val="28"/>
                <w:lang w:eastAsia="lv-LV"/>
              </w:rPr>
              <w:t xml:space="preserve"> </w:t>
            </w:r>
            <w:r w:rsidR="00ED4B11" w:rsidRPr="00621595">
              <w:rPr>
                <w:rFonts w:ascii="Times New Roman" w:eastAsia="Times New Roman" w:hAnsi="Times New Roman"/>
                <w:color w:val="000000" w:themeColor="text1"/>
                <w:sz w:val="28"/>
                <w:szCs w:val="28"/>
                <w:lang w:eastAsia="lv-LV"/>
              </w:rPr>
              <w:t>.</w:t>
            </w:r>
          </w:p>
        </w:tc>
      </w:tr>
    </w:tbl>
    <w:p w:rsidR="0069081F" w:rsidRPr="00621595" w:rsidRDefault="0069081F" w:rsidP="004A505F">
      <w:pPr>
        <w:spacing w:after="0" w:line="360" w:lineRule="auto"/>
        <w:rPr>
          <w:rFonts w:ascii="Times New Roman" w:hAnsi="Times New Roman"/>
          <w:sz w:val="28"/>
          <w:szCs w:val="28"/>
        </w:rPr>
      </w:pPr>
    </w:p>
    <w:tbl>
      <w:tblPr>
        <w:tblStyle w:val="TableGrid"/>
        <w:tblW w:w="5000" w:type="pct"/>
        <w:tblLook w:val="04A0" w:firstRow="1" w:lastRow="0" w:firstColumn="1" w:lastColumn="0" w:noHBand="0" w:noVBand="1"/>
      </w:tblPr>
      <w:tblGrid>
        <w:gridCol w:w="467"/>
        <w:gridCol w:w="2804"/>
        <w:gridCol w:w="6075"/>
      </w:tblGrid>
      <w:tr w:rsidR="00331314" w:rsidRPr="00621595" w:rsidTr="001164DE">
        <w:trPr>
          <w:trHeight w:val="420"/>
        </w:trPr>
        <w:tc>
          <w:tcPr>
            <w:tcW w:w="0" w:type="auto"/>
            <w:gridSpan w:val="3"/>
            <w:hideMark/>
          </w:tcPr>
          <w:p w:rsidR="00331314" w:rsidRPr="00621595" w:rsidRDefault="00331314" w:rsidP="00331314">
            <w:pPr>
              <w:spacing w:before="100" w:beforeAutospacing="1" w:after="100" w:afterAutospacing="1" w:line="360" w:lineRule="auto"/>
              <w:ind w:firstLine="300"/>
              <w:jc w:val="center"/>
              <w:rPr>
                <w:rFonts w:ascii="Times New Roman" w:eastAsia="Times New Roman" w:hAnsi="Times New Roman"/>
                <w:b/>
                <w:bCs/>
                <w:sz w:val="28"/>
                <w:szCs w:val="28"/>
                <w:lang w:eastAsia="lv-LV"/>
              </w:rPr>
            </w:pPr>
            <w:r w:rsidRPr="00621595">
              <w:rPr>
                <w:rFonts w:ascii="Times New Roman" w:hAnsi="Times New Roman"/>
                <w:b/>
                <w:bCs/>
                <w:color w:val="000000" w:themeColor="text1"/>
                <w:sz w:val="28"/>
                <w:szCs w:val="28"/>
              </w:rPr>
              <w:t>IV. Tiesību akta projekta ietekme uz spēkā esošo tiesību normu sistēmu</w:t>
            </w:r>
          </w:p>
        </w:tc>
      </w:tr>
      <w:tr w:rsidR="00331314" w:rsidRPr="00621595" w:rsidTr="00331314">
        <w:trPr>
          <w:trHeight w:val="540"/>
        </w:trPr>
        <w:tc>
          <w:tcPr>
            <w:tcW w:w="250" w:type="pct"/>
            <w:hideMark/>
          </w:tcPr>
          <w:p w:rsidR="00331314" w:rsidRPr="00621595" w:rsidRDefault="00331314" w:rsidP="001164DE">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1.</w:t>
            </w:r>
          </w:p>
        </w:tc>
        <w:tc>
          <w:tcPr>
            <w:tcW w:w="1500" w:type="pct"/>
            <w:hideMark/>
          </w:tcPr>
          <w:p w:rsidR="00331314" w:rsidRPr="00621595" w:rsidRDefault="00331314" w:rsidP="001164DE">
            <w:pPr>
              <w:spacing w:after="0" w:line="240" w:lineRule="auto"/>
              <w:rPr>
                <w:rFonts w:ascii="Times New Roman" w:eastAsia="Times New Roman" w:hAnsi="Times New Roman"/>
                <w:sz w:val="28"/>
                <w:szCs w:val="28"/>
                <w:lang w:eastAsia="lv-LV"/>
              </w:rPr>
            </w:pPr>
            <w:r w:rsidRPr="00621595">
              <w:rPr>
                <w:rFonts w:ascii="Times New Roman" w:hAnsi="Times New Roman"/>
                <w:color w:val="000000" w:themeColor="text1"/>
                <w:sz w:val="28"/>
                <w:szCs w:val="28"/>
              </w:rPr>
              <w:t>Nepieciešamie saistītie tiesību aktu projekti</w:t>
            </w:r>
          </w:p>
        </w:tc>
        <w:tc>
          <w:tcPr>
            <w:tcW w:w="3250" w:type="pct"/>
            <w:hideMark/>
          </w:tcPr>
          <w:p w:rsidR="00331314" w:rsidRPr="00621595" w:rsidRDefault="00331314" w:rsidP="00830CB6">
            <w:pPr>
              <w:spacing w:after="0" w:line="240" w:lineRule="auto"/>
              <w:jc w:val="both"/>
              <w:rPr>
                <w:rFonts w:ascii="Times New Roman" w:eastAsia="Times New Roman" w:hAnsi="Times New Roman"/>
                <w:sz w:val="28"/>
                <w:szCs w:val="28"/>
                <w:lang w:eastAsia="lv-LV"/>
              </w:rPr>
            </w:pPr>
            <w:r w:rsidRPr="00621595">
              <w:rPr>
                <w:rFonts w:ascii="Times New Roman" w:hAnsi="Times New Roman"/>
                <w:color w:val="000000" w:themeColor="text1"/>
                <w:sz w:val="28"/>
                <w:szCs w:val="28"/>
              </w:rPr>
              <w:t xml:space="preserve"> </w:t>
            </w:r>
            <w:r w:rsidR="00830CB6" w:rsidRPr="00621595">
              <w:rPr>
                <w:rFonts w:ascii="Times New Roman" w:eastAsia="Times New Roman" w:hAnsi="Times New Roman"/>
                <w:sz w:val="28"/>
                <w:szCs w:val="28"/>
                <w:lang w:eastAsia="lv-LV"/>
              </w:rPr>
              <w:t>Nav.</w:t>
            </w:r>
          </w:p>
        </w:tc>
      </w:tr>
      <w:tr w:rsidR="00331314" w:rsidRPr="00621595" w:rsidTr="00331314">
        <w:trPr>
          <w:trHeight w:val="330"/>
        </w:trPr>
        <w:tc>
          <w:tcPr>
            <w:tcW w:w="250" w:type="pct"/>
            <w:hideMark/>
          </w:tcPr>
          <w:p w:rsidR="00331314" w:rsidRPr="00621595" w:rsidRDefault="00331314" w:rsidP="001164DE">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2.</w:t>
            </w:r>
          </w:p>
        </w:tc>
        <w:tc>
          <w:tcPr>
            <w:tcW w:w="1500" w:type="pct"/>
            <w:hideMark/>
          </w:tcPr>
          <w:p w:rsidR="00331314" w:rsidRPr="00621595" w:rsidRDefault="00331314" w:rsidP="001164DE">
            <w:pPr>
              <w:spacing w:after="0" w:line="240" w:lineRule="auto"/>
              <w:rPr>
                <w:rFonts w:ascii="Times New Roman" w:eastAsia="Times New Roman" w:hAnsi="Times New Roman"/>
                <w:sz w:val="28"/>
                <w:szCs w:val="28"/>
                <w:lang w:eastAsia="lv-LV"/>
              </w:rPr>
            </w:pPr>
            <w:r w:rsidRPr="00621595">
              <w:rPr>
                <w:rFonts w:ascii="Times New Roman" w:hAnsi="Times New Roman"/>
                <w:color w:val="000000" w:themeColor="text1"/>
                <w:sz w:val="28"/>
                <w:szCs w:val="28"/>
              </w:rPr>
              <w:t>Atbildīgā institūcija</w:t>
            </w:r>
          </w:p>
        </w:tc>
        <w:tc>
          <w:tcPr>
            <w:tcW w:w="3250" w:type="pct"/>
            <w:hideMark/>
          </w:tcPr>
          <w:p w:rsidR="00331314" w:rsidRPr="00621595" w:rsidRDefault="00331314" w:rsidP="001164DE">
            <w:pPr>
              <w:spacing w:after="0" w:line="240" w:lineRule="auto"/>
              <w:rPr>
                <w:rFonts w:ascii="Times New Roman" w:eastAsia="Times New Roman" w:hAnsi="Times New Roman"/>
                <w:sz w:val="28"/>
                <w:szCs w:val="28"/>
                <w:lang w:eastAsia="lv-LV"/>
              </w:rPr>
            </w:pPr>
            <w:r w:rsidRPr="00621595">
              <w:rPr>
                <w:rFonts w:ascii="Times New Roman" w:hAnsi="Times New Roman"/>
                <w:color w:val="000000" w:themeColor="text1"/>
                <w:sz w:val="28"/>
                <w:szCs w:val="28"/>
              </w:rPr>
              <w:t>Izglītības un zinātnes ministrija</w:t>
            </w:r>
          </w:p>
        </w:tc>
      </w:tr>
      <w:tr w:rsidR="00331314" w:rsidRPr="00621595" w:rsidTr="00331314">
        <w:trPr>
          <w:trHeight w:val="465"/>
        </w:trPr>
        <w:tc>
          <w:tcPr>
            <w:tcW w:w="250" w:type="pct"/>
            <w:hideMark/>
          </w:tcPr>
          <w:p w:rsidR="00331314" w:rsidRPr="00621595" w:rsidRDefault="00331314" w:rsidP="001164DE">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3.</w:t>
            </w:r>
          </w:p>
        </w:tc>
        <w:tc>
          <w:tcPr>
            <w:tcW w:w="1500" w:type="pct"/>
            <w:hideMark/>
          </w:tcPr>
          <w:p w:rsidR="00331314" w:rsidRPr="00621595" w:rsidRDefault="00331314" w:rsidP="001164DE">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Cita informācija</w:t>
            </w:r>
          </w:p>
        </w:tc>
        <w:tc>
          <w:tcPr>
            <w:tcW w:w="3250" w:type="pct"/>
            <w:hideMark/>
          </w:tcPr>
          <w:p w:rsidR="00331314" w:rsidRPr="00621595" w:rsidRDefault="00331314" w:rsidP="001164DE">
            <w:pPr>
              <w:spacing w:before="100" w:beforeAutospacing="1" w:after="100" w:afterAutospacing="1" w:line="36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Nav.</w:t>
            </w:r>
          </w:p>
        </w:tc>
      </w:tr>
    </w:tbl>
    <w:p w:rsidR="00C17199" w:rsidRPr="00621595" w:rsidRDefault="00C17199" w:rsidP="004A505F">
      <w:pPr>
        <w:spacing w:after="0" w:line="360" w:lineRule="auto"/>
        <w:rPr>
          <w:rFonts w:ascii="Times New Roman" w:hAnsi="Times New Roman"/>
          <w:sz w:val="28"/>
          <w:szCs w:val="28"/>
        </w:rPr>
      </w:pPr>
    </w:p>
    <w:tbl>
      <w:tblPr>
        <w:tblStyle w:val="TableGrid"/>
        <w:tblW w:w="5000" w:type="pct"/>
        <w:tblLook w:val="04A0" w:firstRow="1" w:lastRow="0" w:firstColumn="1" w:lastColumn="0" w:noHBand="0" w:noVBand="1"/>
      </w:tblPr>
      <w:tblGrid>
        <w:gridCol w:w="467"/>
        <w:gridCol w:w="2804"/>
        <w:gridCol w:w="6075"/>
      </w:tblGrid>
      <w:tr w:rsidR="00812271" w:rsidRPr="00621595" w:rsidTr="007A2871">
        <w:trPr>
          <w:trHeight w:val="420"/>
        </w:trPr>
        <w:tc>
          <w:tcPr>
            <w:tcW w:w="0" w:type="auto"/>
            <w:gridSpan w:val="3"/>
            <w:hideMark/>
          </w:tcPr>
          <w:p w:rsidR="00812271" w:rsidRPr="00621595" w:rsidRDefault="00812271" w:rsidP="00584FB1">
            <w:pPr>
              <w:spacing w:before="100" w:beforeAutospacing="1" w:after="100" w:afterAutospacing="1" w:line="360" w:lineRule="auto"/>
              <w:ind w:firstLine="300"/>
              <w:jc w:val="center"/>
              <w:rPr>
                <w:rFonts w:ascii="Times New Roman" w:eastAsia="Times New Roman" w:hAnsi="Times New Roman"/>
                <w:b/>
                <w:bCs/>
                <w:sz w:val="28"/>
                <w:szCs w:val="28"/>
                <w:lang w:eastAsia="lv-LV"/>
              </w:rPr>
            </w:pPr>
            <w:r w:rsidRPr="00621595">
              <w:rPr>
                <w:rFonts w:ascii="Times New Roman" w:eastAsia="Times New Roman" w:hAnsi="Times New Roman"/>
                <w:b/>
                <w:bCs/>
                <w:sz w:val="28"/>
                <w:szCs w:val="28"/>
                <w:lang w:eastAsia="lv-LV"/>
              </w:rPr>
              <w:t>VI. Sabiedrības līdzdalība un komunikācijas aktivitātes</w:t>
            </w:r>
          </w:p>
        </w:tc>
      </w:tr>
      <w:tr w:rsidR="00812271" w:rsidRPr="00621595" w:rsidTr="007A2871">
        <w:trPr>
          <w:trHeight w:val="540"/>
        </w:trPr>
        <w:tc>
          <w:tcPr>
            <w:tcW w:w="247" w:type="pct"/>
            <w:hideMark/>
          </w:tcPr>
          <w:p w:rsidR="00812271" w:rsidRPr="00621595" w:rsidRDefault="00812271" w:rsidP="00584FB1">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1.</w:t>
            </w:r>
          </w:p>
        </w:tc>
        <w:tc>
          <w:tcPr>
            <w:tcW w:w="1481" w:type="pct"/>
            <w:hideMark/>
          </w:tcPr>
          <w:p w:rsidR="00812271" w:rsidRPr="00621595" w:rsidRDefault="00812271" w:rsidP="00584FB1">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Plānotās sabiedrības līdzdalības un komunikācijas aktivitātes saistībā ar projektu</w:t>
            </w:r>
          </w:p>
        </w:tc>
        <w:tc>
          <w:tcPr>
            <w:tcW w:w="3208" w:type="pct"/>
            <w:hideMark/>
          </w:tcPr>
          <w:p w:rsidR="00331314" w:rsidRPr="00621595" w:rsidRDefault="00331314" w:rsidP="00C32B4B">
            <w:pPr>
              <w:spacing w:after="0" w:line="240" w:lineRule="auto"/>
              <w:jc w:val="both"/>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 xml:space="preserve">Projekts tika apspriests ar </w:t>
            </w:r>
            <w:r w:rsidR="00ED4B11" w:rsidRPr="00621595">
              <w:rPr>
                <w:rFonts w:ascii="Times New Roman" w:eastAsia="Times New Roman" w:hAnsi="Times New Roman"/>
                <w:sz w:val="28"/>
                <w:szCs w:val="28"/>
                <w:lang w:eastAsia="lv-LV"/>
              </w:rPr>
              <w:t xml:space="preserve">centru, </w:t>
            </w:r>
            <w:r w:rsidR="007F0E70" w:rsidRPr="00621595">
              <w:rPr>
                <w:rFonts w:ascii="Times New Roman" w:eastAsia="Times New Roman" w:hAnsi="Times New Roman"/>
                <w:sz w:val="28"/>
                <w:szCs w:val="28"/>
                <w:lang w:eastAsia="lv-LV"/>
              </w:rPr>
              <w:t>Latvijas Studentu apvienīb</w:t>
            </w:r>
            <w:r w:rsidR="00B501DC" w:rsidRPr="00621595">
              <w:rPr>
                <w:rFonts w:ascii="Times New Roman" w:eastAsia="Times New Roman" w:hAnsi="Times New Roman"/>
                <w:sz w:val="28"/>
                <w:szCs w:val="28"/>
                <w:lang w:eastAsia="lv-LV"/>
              </w:rPr>
              <w:t>a</w:t>
            </w:r>
            <w:r w:rsidRPr="00621595">
              <w:rPr>
                <w:rFonts w:ascii="Times New Roman" w:eastAsia="Times New Roman" w:hAnsi="Times New Roman"/>
                <w:sz w:val="28"/>
                <w:szCs w:val="28"/>
                <w:lang w:eastAsia="lv-LV"/>
              </w:rPr>
              <w:t xml:space="preserve">s pārstāvjiem un </w:t>
            </w:r>
            <w:r w:rsidR="00B501DC" w:rsidRPr="00621595">
              <w:rPr>
                <w:rFonts w:ascii="Times New Roman" w:eastAsia="Times New Roman" w:hAnsi="Times New Roman"/>
                <w:sz w:val="28"/>
                <w:szCs w:val="28"/>
                <w:lang w:eastAsia="lv-LV"/>
              </w:rPr>
              <w:t xml:space="preserve">Augstākās izglītības </w:t>
            </w:r>
            <w:r w:rsidRPr="00621595">
              <w:rPr>
                <w:rFonts w:ascii="Times New Roman" w:eastAsia="Times New Roman" w:hAnsi="Times New Roman"/>
                <w:sz w:val="28"/>
                <w:szCs w:val="28"/>
                <w:lang w:eastAsia="lv-LV"/>
              </w:rPr>
              <w:t>kvalitātes nodrošināšanas padomi</w:t>
            </w:r>
            <w:r w:rsidR="00B501DC" w:rsidRPr="00621595">
              <w:rPr>
                <w:rFonts w:ascii="Times New Roman" w:eastAsia="Times New Roman" w:hAnsi="Times New Roman"/>
                <w:sz w:val="28"/>
                <w:szCs w:val="28"/>
                <w:lang w:eastAsia="lv-LV"/>
              </w:rPr>
              <w:t xml:space="preserve">. </w:t>
            </w:r>
            <w:r w:rsidR="00377D6C" w:rsidRPr="00621595">
              <w:rPr>
                <w:rFonts w:ascii="Times New Roman" w:eastAsia="Times New Roman" w:hAnsi="Times New Roman"/>
                <w:sz w:val="28"/>
                <w:szCs w:val="28"/>
                <w:lang w:eastAsia="lv-LV"/>
              </w:rPr>
              <w:t xml:space="preserve">Konceptuāli ir </w:t>
            </w:r>
            <w:r w:rsidR="000F0505" w:rsidRPr="00621595">
              <w:rPr>
                <w:rFonts w:ascii="Times New Roman" w:eastAsia="Times New Roman" w:hAnsi="Times New Roman"/>
                <w:sz w:val="28"/>
                <w:szCs w:val="28"/>
                <w:lang w:eastAsia="lv-LV"/>
              </w:rPr>
              <w:t>atbalstīta</w:t>
            </w:r>
            <w:r w:rsidR="00377D6C" w:rsidRPr="00621595">
              <w:rPr>
                <w:rFonts w:ascii="Times New Roman" w:eastAsia="Times New Roman" w:hAnsi="Times New Roman"/>
                <w:sz w:val="28"/>
                <w:szCs w:val="28"/>
                <w:lang w:eastAsia="lv-LV"/>
              </w:rPr>
              <w:t xml:space="preserve"> projekta virzība.</w:t>
            </w:r>
          </w:p>
          <w:p w:rsidR="00F56A35" w:rsidRPr="00621595" w:rsidRDefault="00526E29" w:rsidP="00377D6C">
            <w:pPr>
              <w:spacing w:after="0" w:line="240" w:lineRule="auto"/>
              <w:jc w:val="both"/>
              <w:rPr>
                <w:rFonts w:ascii="Times New Roman" w:eastAsia="Times New Roman" w:hAnsi="Times New Roman"/>
                <w:sz w:val="28"/>
                <w:szCs w:val="28"/>
                <w:lang w:eastAsia="lv-LV"/>
              </w:rPr>
            </w:pPr>
            <w:r w:rsidRPr="00621595">
              <w:rPr>
                <w:rFonts w:ascii="Times New Roman" w:hAnsi="Times New Roman"/>
                <w:sz w:val="28"/>
                <w:szCs w:val="28"/>
              </w:rPr>
              <w:t xml:space="preserve">Par </w:t>
            </w:r>
            <w:r w:rsidR="00377D6C" w:rsidRPr="00621595">
              <w:rPr>
                <w:rFonts w:ascii="Times New Roman" w:hAnsi="Times New Roman"/>
                <w:sz w:val="28"/>
                <w:szCs w:val="28"/>
              </w:rPr>
              <w:t xml:space="preserve">projektu </w:t>
            </w:r>
            <w:r w:rsidRPr="00621595">
              <w:rPr>
                <w:rFonts w:ascii="Times New Roman" w:hAnsi="Times New Roman"/>
                <w:sz w:val="28"/>
                <w:szCs w:val="28"/>
              </w:rPr>
              <w:t xml:space="preserve">tiks informēta </w:t>
            </w:r>
            <w:r w:rsidR="00873DA8" w:rsidRPr="00621595">
              <w:rPr>
                <w:rFonts w:ascii="Times New Roman" w:hAnsi="Times New Roman"/>
                <w:sz w:val="28"/>
                <w:szCs w:val="28"/>
              </w:rPr>
              <w:t xml:space="preserve">un sniegs atzinumu </w:t>
            </w:r>
            <w:r w:rsidRPr="00621595">
              <w:rPr>
                <w:rFonts w:ascii="Times New Roman" w:hAnsi="Times New Roman"/>
                <w:sz w:val="28"/>
                <w:szCs w:val="28"/>
              </w:rPr>
              <w:t xml:space="preserve">Rektoru padome, </w:t>
            </w:r>
            <w:r w:rsidR="001441A7" w:rsidRPr="00621595">
              <w:rPr>
                <w:rFonts w:ascii="Times New Roman" w:hAnsi="Times New Roman"/>
                <w:sz w:val="28"/>
                <w:szCs w:val="28"/>
              </w:rPr>
              <w:t>Augstākās izglītības padome,</w:t>
            </w:r>
            <w:r w:rsidR="00AD15DD">
              <w:rPr>
                <w:rFonts w:ascii="Times New Roman" w:hAnsi="Times New Roman"/>
                <w:sz w:val="28"/>
                <w:szCs w:val="28"/>
              </w:rPr>
              <w:t xml:space="preserve"> Latvijas Studentu apvienība,</w:t>
            </w:r>
            <w:r w:rsidR="001441A7" w:rsidRPr="00621595">
              <w:rPr>
                <w:rFonts w:ascii="Times New Roman" w:hAnsi="Times New Roman"/>
                <w:sz w:val="28"/>
                <w:szCs w:val="28"/>
              </w:rPr>
              <w:t xml:space="preserve"> </w:t>
            </w:r>
            <w:r w:rsidRPr="00621595">
              <w:rPr>
                <w:rFonts w:ascii="Times New Roman" w:hAnsi="Times New Roman"/>
                <w:sz w:val="28"/>
                <w:szCs w:val="28"/>
              </w:rPr>
              <w:t>Latvijas Darba devēju konfederācija</w:t>
            </w:r>
            <w:r w:rsidR="001441A7" w:rsidRPr="00621595">
              <w:rPr>
                <w:rFonts w:ascii="Times New Roman" w:hAnsi="Times New Roman"/>
                <w:sz w:val="28"/>
                <w:szCs w:val="28"/>
              </w:rPr>
              <w:t xml:space="preserve"> un Latvijas Izglītības un zinātnes darbinieku arodbiedrība</w:t>
            </w:r>
            <w:r w:rsidR="00103260" w:rsidRPr="00621595">
              <w:rPr>
                <w:rFonts w:ascii="Times New Roman" w:hAnsi="Times New Roman"/>
                <w:sz w:val="28"/>
                <w:szCs w:val="28"/>
              </w:rPr>
              <w:t>.</w:t>
            </w:r>
            <w:r w:rsidRPr="00621595">
              <w:rPr>
                <w:sz w:val="28"/>
                <w:szCs w:val="28"/>
              </w:rPr>
              <w:t xml:space="preserve">  </w:t>
            </w:r>
          </w:p>
        </w:tc>
      </w:tr>
      <w:tr w:rsidR="00812271" w:rsidRPr="00621595" w:rsidTr="007A2871">
        <w:trPr>
          <w:trHeight w:val="330"/>
        </w:trPr>
        <w:tc>
          <w:tcPr>
            <w:tcW w:w="247" w:type="pct"/>
            <w:hideMark/>
          </w:tcPr>
          <w:p w:rsidR="00812271" w:rsidRPr="00621595" w:rsidRDefault="00812271" w:rsidP="00584FB1">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2.</w:t>
            </w:r>
          </w:p>
        </w:tc>
        <w:tc>
          <w:tcPr>
            <w:tcW w:w="1481" w:type="pct"/>
            <w:hideMark/>
          </w:tcPr>
          <w:p w:rsidR="00812271" w:rsidRPr="00621595" w:rsidRDefault="00812271" w:rsidP="00584FB1">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Sabiedrības līdzdalība projekta izstrādē</w:t>
            </w:r>
          </w:p>
        </w:tc>
        <w:tc>
          <w:tcPr>
            <w:tcW w:w="3208" w:type="pct"/>
            <w:hideMark/>
          </w:tcPr>
          <w:p w:rsidR="00812271" w:rsidRPr="00621595" w:rsidRDefault="006E17F5" w:rsidP="00A36555">
            <w:pPr>
              <w:spacing w:after="0" w:line="240" w:lineRule="auto"/>
              <w:rPr>
                <w:rFonts w:ascii="Times New Roman" w:eastAsia="Times New Roman" w:hAnsi="Times New Roman"/>
                <w:sz w:val="28"/>
                <w:szCs w:val="28"/>
                <w:lang w:eastAsia="lv-LV"/>
              </w:rPr>
            </w:pPr>
            <w:r w:rsidRPr="00621595">
              <w:rPr>
                <w:rFonts w:ascii="Times New Roman" w:hAnsi="Times New Roman"/>
                <w:sz w:val="28"/>
                <w:szCs w:val="28"/>
              </w:rPr>
              <w:t>C</w:t>
            </w:r>
            <w:r w:rsidR="00A36555" w:rsidRPr="00621595">
              <w:rPr>
                <w:rFonts w:ascii="Times New Roman" w:hAnsi="Times New Roman"/>
                <w:sz w:val="28"/>
                <w:szCs w:val="28"/>
              </w:rPr>
              <w:t xml:space="preserve">entrs </w:t>
            </w:r>
            <w:r w:rsidR="00B07928" w:rsidRPr="00621595">
              <w:rPr>
                <w:rFonts w:ascii="Times New Roman" w:hAnsi="Times New Roman"/>
                <w:sz w:val="28"/>
                <w:szCs w:val="28"/>
              </w:rPr>
              <w:t>sni</w:t>
            </w:r>
            <w:r w:rsidR="00C32B4B" w:rsidRPr="00621595">
              <w:rPr>
                <w:rFonts w:ascii="Times New Roman" w:hAnsi="Times New Roman"/>
                <w:sz w:val="28"/>
                <w:szCs w:val="28"/>
              </w:rPr>
              <w:t>e</w:t>
            </w:r>
            <w:r w:rsidR="00A36555" w:rsidRPr="00621595">
              <w:rPr>
                <w:rFonts w:ascii="Times New Roman" w:hAnsi="Times New Roman"/>
                <w:sz w:val="28"/>
                <w:szCs w:val="28"/>
              </w:rPr>
              <w:t>dzis</w:t>
            </w:r>
            <w:r w:rsidR="00C32B4B" w:rsidRPr="00621595">
              <w:rPr>
                <w:rFonts w:ascii="Times New Roman" w:hAnsi="Times New Roman"/>
                <w:sz w:val="28"/>
                <w:szCs w:val="28"/>
              </w:rPr>
              <w:t xml:space="preserve"> priekšlikumus grozījumiem.</w:t>
            </w:r>
          </w:p>
        </w:tc>
      </w:tr>
      <w:tr w:rsidR="00812271" w:rsidRPr="00621595" w:rsidTr="007A2871">
        <w:trPr>
          <w:trHeight w:val="465"/>
        </w:trPr>
        <w:tc>
          <w:tcPr>
            <w:tcW w:w="247" w:type="pct"/>
            <w:hideMark/>
          </w:tcPr>
          <w:p w:rsidR="00812271" w:rsidRPr="00621595" w:rsidRDefault="00812271" w:rsidP="00584FB1">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3.</w:t>
            </w:r>
          </w:p>
        </w:tc>
        <w:tc>
          <w:tcPr>
            <w:tcW w:w="1481" w:type="pct"/>
            <w:hideMark/>
          </w:tcPr>
          <w:p w:rsidR="00812271" w:rsidRPr="00621595" w:rsidRDefault="00812271" w:rsidP="00584FB1">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Sabiedrības līdzdalības rezultāti</w:t>
            </w:r>
          </w:p>
        </w:tc>
        <w:tc>
          <w:tcPr>
            <w:tcW w:w="3208" w:type="pct"/>
            <w:hideMark/>
          </w:tcPr>
          <w:p w:rsidR="00812271" w:rsidRPr="00621595" w:rsidRDefault="00C32B4B" w:rsidP="006E17F5">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 xml:space="preserve">Projekta izstrādē ņemti vērā </w:t>
            </w:r>
            <w:r w:rsidR="00377D6C" w:rsidRPr="00621595">
              <w:rPr>
                <w:rFonts w:ascii="Times New Roman" w:eastAsia="Times New Roman" w:hAnsi="Times New Roman"/>
                <w:sz w:val="28"/>
                <w:szCs w:val="28"/>
                <w:lang w:eastAsia="lv-LV"/>
              </w:rPr>
              <w:t>c</w:t>
            </w:r>
            <w:r w:rsidR="00A36555" w:rsidRPr="00621595">
              <w:rPr>
                <w:rFonts w:ascii="Times New Roman" w:eastAsia="Times New Roman" w:hAnsi="Times New Roman"/>
                <w:sz w:val="28"/>
                <w:szCs w:val="28"/>
                <w:lang w:eastAsia="lv-LV"/>
              </w:rPr>
              <w:t xml:space="preserve">entra </w:t>
            </w:r>
            <w:r w:rsidRPr="00621595">
              <w:rPr>
                <w:rFonts w:ascii="Times New Roman" w:eastAsia="Times New Roman" w:hAnsi="Times New Roman"/>
                <w:sz w:val="28"/>
                <w:szCs w:val="28"/>
                <w:lang w:eastAsia="lv-LV"/>
              </w:rPr>
              <w:t>priekšlikumi.</w:t>
            </w:r>
          </w:p>
        </w:tc>
      </w:tr>
      <w:tr w:rsidR="00812271" w:rsidRPr="00621595" w:rsidTr="007A2871">
        <w:trPr>
          <w:trHeight w:val="465"/>
        </w:trPr>
        <w:tc>
          <w:tcPr>
            <w:tcW w:w="247" w:type="pct"/>
            <w:hideMark/>
          </w:tcPr>
          <w:p w:rsidR="00812271" w:rsidRPr="00621595" w:rsidRDefault="00812271" w:rsidP="00584FB1">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4.</w:t>
            </w:r>
          </w:p>
        </w:tc>
        <w:tc>
          <w:tcPr>
            <w:tcW w:w="1481" w:type="pct"/>
            <w:hideMark/>
          </w:tcPr>
          <w:p w:rsidR="00812271" w:rsidRPr="00621595" w:rsidRDefault="00812271" w:rsidP="00584FB1">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Cita informācija</w:t>
            </w:r>
          </w:p>
        </w:tc>
        <w:tc>
          <w:tcPr>
            <w:tcW w:w="3208" w:type="pct"/>
            <w:hideMark/>
          </w:tcPr>
          <w:p w:rsidR="00812271" w:rsidRPr="00621595" w:rsidRDefault="00812271" w:rsidP="00584FB1">
            <w:pPr>
              <w:spacing w:before="100" w:beforeAutospacing="1" w:after="100" w:afterAutospacing="1" w:line="36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Nav.</w:t>
            </w:r>
          </w:p>
        </w:tc>
      </w:tr>
    </w:tbl>
    <w:p w:rsidR="00857EF2" w:rsidRPr="00621595" w:rsidRDefault="00857EF2" w:rsidP="004A505F">
      <w:pPr>
        <w:spacing w:after="0" w:line="360" w:lineRule="auto"/>
        <w:jc w:val="both"/>
        <w:rPr>
          <w:rFonts w:ascii="Times New Roman" w:eastAsia="Times New Roman" w:hAnsi="Times New Roman"/>
          <w:sz w:val="28"/>
          <w:szCs w:val="28"/>
          <w:lang w:eastAsia="lv-LV"/>
        </w:rPr>
      </w:pPr>
    </w:p>
    <w:tbl>
      <w:tblPr>
        <w:tblStyle w:val="TableGrid"/>
        <w:tblW w:w="5000" w:type="pct"/>
        <w:tblLook w:val="04A0" w:firstRow="1" w:lastRow="0" w:firstColumn="1" w:lastColumn="0" w:noHBand="0" w:noVBand="1"/>
      </w:tblPr>
      <w:tblGrid>
        <w:gridCol w:w="468"/>
        <w:gridCol w:w="3551"/>
        <w:gridCol w:w="5327"/>
      </w:tblGrid>
      <w:tr w:rsidR="00812271" w:rsidRPr="00621595" w:rsidTr="007A2871">
        <w:trPr>
          <w:trHeight w:val="375"/>
        </w:trPr>
        <w:tc>
          <w:tcPr>
            <w:tcW w:w="0" w:type="auto"/>
            <w:gridSpan w:val="3"/>
            <w:hideMark/>
          </w:tcPr>
          <w:p w:rsidR="00C96AD3" w:rsidRPr="00621595" w:rsidRDefault="00C96AD3" w:rsidP="00C96AD3">
            <w:pPr>
              <w:spacing w:before="100" w:beforeAutospacing="1" w:after="100" w:afterAutospacing="1" w:line="360" w:lineRule="auto"/>
              <w:ind w:firstLine="300"/>
              <w:jc w:val="center"/>
              <w:rPr>
                <w:rFonts w:ascii="Times New Roman" w:eastAsia="Times New Roman" w:hAnsi="Times New Roman"/>
                <w:b/>
                <w:bCs/>
                <w:sz w:val="28"/>
                <w:szCs w:val="28"/>
                <w:lang w:eastAsia="lv-LV"/>
              </w:rPr>
            </w:pPr>
            <w:r w:rsidRPr="00621595">
              <w:rPr>
                <w:rFonts w:ascii="Times New Roman" w:eastAsia="Times New Roman" w:hAnsi="Times New Roman"/>
                <w:b/>
                <w:bCs/>
                <w:sz w:val="28"/>
                <w:szCs w:val="28"/>
                <w:lang w:eastAsia="lv-LV"/>
              </w:rPr>
              <w:t>VII. Tiesību akta projekta izpildes nodrošināšana un tās ietekme uz institūcijām</w:t>
            </w:r>
          </w:p>
        </w:tc>
      </w:tr>
      <w:tr w:rsidR="00812271" w:rsidRPr="00621595" w:rsidTr="007A2871">
        <w:trPr>
          <w:trHeight w:val="420"/>
        </w:trPr>
        <w:tc>
          <w:tcPr>
            <w:tcW w:w="250" w:type="pct"/>
            <w:hideMark/>
          </w:tcPr>
          <w:p w:rsidR="00C96AD3" w:rsidRPr="00621595" w:rsidRDefault="00C96AD3" w:rsidP="00C96AD3">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1.</w:t>
            </w:r>
          </w:p>
        </w:tc>
        <w:tc>
          <w:tcPr>
            <w:tcW w:w="1900" w:type="pct"/>
            <w:hideMark/>
          </w:tcPr>
          <w:p w:rsidR="00C96AD3" w:rsidRPr="00621595" w:rsidRDefault="00C96AD3" w:rsidP="00C96AD3">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Projekta izpildē iesaistītās institūcijas</w:t>
            </w:r>
          </w:p>
        </w:tc>
        <w:tc>
          <w:tcPr>
            <w:tcW w:w="2850" w:type="pct"/>
            <w:hideMark/>
          </w:tcPr>
          <w:p w:rsidR="00C96AD3" w:rsidRPr="00621595" w:rsidRDefault="001441A7" w:rsidP="001441A7">
            <w:pPr>
              <w:spacing w:after="0" w:line="240" w:lineRule="auto"/>
              <w:jc w:val="both"/>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C</w:t>
            </w:r>
            <w:r w:rsidR="006E17F5" w:rsidRPr="00621595">
              <w:rPr>
                <w:rFonts w:ascii="Times New Roman" w:eastAsia="Times New Roman" w:hAnsi="Times New Roman"/>
                <w:sz w:val="28"/>
                <w:szCs w:val="28"/>
                <w:lang w:eastAsia="lv-LV"/>
              </w:rPr>
              <w:t>entrs</w:t>
            </w:r>
            <w:r w:rsidR="008C60BC" w:rsidRPr="00621595">
              <w:rPr>
                <w:rFonts w:ascii="Times New Roman" w:eastAsia="Times New Roman" w:hAnsi="Times New Roman"/>
                <w:sz w:val="28"/>
                <w:szCs w:val="28"/>
                <w:lang w:eastAsia="lv-LV"/>
              </w:rPr>
              <w:t>,</w:t>
            </w:r>
            <w:r w:rsidR="00B07928" w:rsidRPr="00621595">
              <w:rPr>
                <w:rFonts w:ascii="Times New Roman" w:eastAsia="Times New Roman" w:hAnsi="Times New Roman"/>
                <w:sz w:val="28"/>
                <w:szCs w:val="28"/>
                <w:lang w:eastAsia="lv-LV"/>
              </w:rPr>
              <w:t xml:space="preserve"> </w:t>
            </w:r>
            <w:r w:rsidR="00723848" w:rsidRPr="00621595">
              <w:rPr>
                <w:rFonts w:ascii="Times New Roman" w:eastAsia="Times New Roman" w:hAnsi="Times New Roman"/>
                <w:sz w:val="28"/>
                <w:szCs w:val="28"/>
                <w:lang w:eastAsia="lv-LV"/>
              </w:rPr>
              <w:t>studiju programmu licencēšanas komisija</w:t>
            </w:r>
            <w:r w:rsidR="008C60BC" w:rsidRPr="00621595">
              <w:rPr>
                <w:rFonts w:ascii="Times New Roman" w:eastAsia="Times New Roman" w:hAnsi="Times New Roman"/>
                <w:sz w:val="28"/>
                <w:szCs w:val="28"/>
                <w:lang w:eastAsia="lv-LV"/>
              </w:rPr>
              <w:t xml:space="preserve">, Augstākās izglītības </w:t>
            </w:r>
            <w:r w:rsidRPr="00621595">
              <w:rPr>
                <w:rFonts w:ascii="Times New Roman" w:eastAsia="Times New Roman" w:hAnsi="Times New Roman"/>
                <w:sz w:val="28"/>
                <w:szCs w:val="28"/>
                <w:lang w:eastAsia="lv-LV"/>
              </w:rPr>
              <w:t xml:space="preserve">kvalitātes nodrošināšanas </w:t>
            </w:r>
            <w:r w:rsidR="008C60BC" w:rsidRPr="00621595">
              <w:rPr>
                <w:rFonts w:ascii="Times New Roman" w:eastAsia="Times New Roman" w:hAnsi="Times New Roman"/>
                <w:sz w:val="28"/>
                <w:szCs w:val="28"/>
                <w:lang w:eastAsia="lv-LV"/>
              </w:rPr>
              <w:t>padome</w:t>
            </w:r>
            <w:r w:rsidRPr="00621595">
              <w:rPr>
                <w:rFonts w:ascii="Times New Roman" w:eastAsia="Times New Roman" w:hAnsi="Times New Roman"/>
                <w:sz w:val="28"/>
                <w:szCs w:val="28"/>
                <w:lang w:eastAsia="lv-LV"/>
              </w:rPr>
              <w:t xml:space="preserve">, Izglītības un zinātnes ministrija, </w:t>
            </w:r>
            <w:r w:rsidR="008C60BC" w:rsidRPr="00621595">
              <w:rPr>
                <w:rFonts w:ascii="Times New Roman" w:eastAsia="Times New Roman" w:hAnsi="Times New Roman"/>
                <w:sz w:val="28"/>
                <w:szCs w:val="28"/>
                <w:lang w:eastAsia="lv-LV"/>
              </w:rPr>
              <w:t>Izglītības kvalitātes valsts dienests</w:t>
            </w:r>
            <w:r w:rsidRPr="00621595">
              <w:rPr>
                <w:rFonts w:ascii="Times New Roman" w:eastAsia="Times New Roman" w:hAnsi="Times New Roman"/>
                <w:sz w:val="28"/>
                <w:szCs w:val="28"/>
                <w:lang w:eastAsia="lv-LV"/>
              </w:rPr>
              <w:t>, augstskolas un koledžas</w:t>
            </w:r>
            <w:r w:rsidR="008C60BC" w:rsidRPr="00621595">
              <w:rPr>
                <w:rFonts w:ascii="Times New Roman" w:eastAsia="Times New Roman" w:hAnsi="Times New Roman"/>
                <w:sz w:val="28"/>
                <w:szCs w:val="28"/>
                <w:lang w:eastAsia="lv-LV"/>
              </w:rPr>
              <w:t xml:space="preserve">. </w:t>
            </w:r>
          </w:p>
        </w:tc>
      </w:tr>
      <w:tr w:rsidR="00812271" w:rsidRPr="00621595" w:rsidTr="007A2871">
        <w:trPr>
          <w:trHeight w:val="450"/>
        </w:trPr>
        <w:tc>
          <w:tcPr>
            <w:tcW w:w="250" w:type="pct"/>
            <w:hideMark/>
          </w:tcPr>
          <w:p w:rsidR="00C96AD3" w:rsidRPr="00621595" w:rsidRDefault="00C96AD3" w:rsidP="00C96AD3">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2.</w:t>
            </w:r>
          </w:p>
        </w:tc>
        <w:tc>
          <w:tcPr>
            <w:tcW w:w="1900" w:type="pct"/>
            <w:hideMark/>
          </w:tcPr>
          <w:p w:rsidR="00C96AD3" w:rsidRPr="00621595" w:rsidRDefault="00C96AD3" w:rsidP="00C96AD3">
            <w:pPr>
              <w:spacing w:after="0" w:line="240" w:lineRule="auto"/>
              <w:jc w:val="both"/>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Projekta izpildes ietekme uz pārvaldes funkcijām un institucionālo struktūru. Jaunu institūciju izveide, esošu institūciju likvidācija vai reorganizācija, to ietekme uz institūcijas cilvēkresursiem</w:t>
            </w:r>
          </w:p>
        </w:tc>
        <w:tc>
          <w:tcPr>
            <w:tcW w:w="2850" w:type="pct"/>
            <w:hideMark/>
          </w:tcPr>
          <w:p w:rsidR="00C96AD3" w:rsidRPr="00621595" w:rsidRDefault="007D3992" w:rsidP="008C60BC">
            <w:pPr>
              <w:spacing w:after="0" w:line="240" w:lineRule="auto"/>
              <w:jc w:val="both"/>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 xml:space="preserve">Izmaiņas primāri saistītas ar </w:t>
            </w:r>
            <w:r w:rsidR="00ED4B11" w:rsidRPr="00621595">
              <w:rPr>
                <w:rFonts w:ascii="Times New Roman" w:eastAsia="Times New Roman" w:hAnsi="Times New Roman"/>
                <w:sz w:val="28"/>
                <w:szCs w:val="28"/>
                <w:lang w:eastAsia="lv-LV"/>
              </w:rPr>
              <w:t xml:space="preserve">centra </w:t>
            </w:r>
            <w:r w:rsidRPr="00621595">
              <w:rPr>
                <w:rFonts w:ascii="Times New Roman" w:eastAsia="Times New Roman" w:hAnsi="Times New Roman"/>
                <w:sz w:val="28"/>
                <w:szCs w:val="28"/>
                <w:lang w:eastAsia="lv-LV"/>
              </w:rPr>
              <w:t>un studiju programmu licencēšanas komisijas darba organizāciju.</w:t>
            </w:r>
            <w:r w:rsidR="008C60BC" w:rsidRPr="00621595">
              <w:rPr>
                <w:rFonts w:ascii="Times New Roman" w:eastAsia="Times New Roman" w:hAnsi="Times New Roman"/>
                <w:sz w:val="28"/>
                <w:szCs w:val="28"/>
                <w:lang w:eastAsia="lv-LV"/>
              </w:rPr>
              <w:t xml:space="preserve"> Ar projektu tiek paredzēt</w:t>
            </w:r>
            <w:r w:rsidR="006E17F5" w:rsidRPr="00621595">
              <w:rPr>
                <w:rFonts w:ascii="Times New Roman" w:eastAsia="Times New Roman" w:hAnsi="Times New Roman"/>
                <w:sz w:val="28"/>
                <w:szCs w:val="28"/>
                <w:lang w:eastAsia="lv-LV"/>
              </w:rPr>
              <w:t>s</w:t>
            </w:r>
            <w:r w:rsidR="008C60BC" w:rsidRPr="00621595">
              <w:rPr>
                <w:rFonts w:ascii="Times New Roman" w:eastAsia="Times New Roman" w:hAnsi="Times New Roman"/>
                <w:sz w:val="28"/>
                <w:szCs w:val="28"/>
                <w:lang w:eastAsia="lv-LV"/>
              </w:rPr>
              <w:t xml:space="preserve">, ka </w:t>
            </w:r>
            <w:r w:rsidR="00377D6C" w:rsidRPr="00621595">
              <w:rPr>
                <w:rFonts w:ascii="Times New Roman" w:eastAsia="Times New Roman" w:hAnsi="Times New Roman"/>
                <w:sz w:val="28"/>
                <w:szCs w:val="28"/>
                <w:lang w:eastAsia="lv-LV"/>
              </w:rPr>
              <w:t xml:space="preserve">centrs </w:t>
            </w:r>
            <w:r w:rsidR="008C60BC" w:rsidRPr="00621595">
              <w:rPr>
                <w:rFonts w:ascii="Times New Roman" w:eastAsia="Times New Roman" w:hAnsi="Times New Roman"/>
                <w:sz w:val="28"/>
                <w:szCs w:val="28"/>
                <w:lang w:eastAsia="lv-LV"/>
              </w:rPr>
              <w:t>izveido</w:t>
            </w:r>
            <w:r w:rsidR="006E17F5" w:rsidRPr="00621595">
              <w:rPr>
                <w:rFonts w:ascii="Times New Roman" w:eastAsia="Times New Roman" w:hAnsi="Times New Roman"/>
                <w:sz w:val="28"/>
                <w:szCs w:val="28"/>
                <w:lang w:eastAsia="lv-LV"/>
              </w:rPr>
              <w:t xml:space="preserve"> apelācijas komisiju, kas izskatīs iesniegumus, ar ko tiks apstrīdēti lēmumi par studiju programmas licencēšanu, par atteikumu licencēt studiju programmu vai par licences anulēšanu</w:t>
            </w:r>
            <w:r w:rsidR="00261A77" w:rsidRPr="00621595">
              <w:rPr>
                <w:rFonts w:ascii="Times New Roman" w:eastAsia="Times New Roman" w:hAnsi="Times New Roman"/>
                <w:sz w:val="28"/>
                <w:szCs w:val="28"/>
                <w:lang w:eastAsia="lv-LV"/>
              </w:rPr>
              <w:t>.</w:t>
            </w:r>
            <w:r w:rsidR="000E4017" w:rsidRPr="00621595">
              <w:rPr>
                <w:rFonts w:ascii="Times New Roman" w:eastAsia="Times New Roman" w:hAnsi="Times New Roman"/>
                <w:sz w:val="28"/>
                <w:szCs w:val="28"/>
                <w:lang w:eastAsia="lv-LV"/>
              </w:rPr>
              <w:t xml:space="preserve"> Apelācijas komisija</w:t>
            </w:r>
            <w:r w:rsidR="00830CB6" w:rsidRPr="00621595">
              <w:rPr>
                <w:rFonts w:ascii="Times New Roman" w:eastAsia="Times New Roman" w:hAnsi="Times New Roman"/>
                <w:sz w:val="28"/>
                <w:szCs w:val="28"/>
                <w:lang w:eastAsia="lv-LV"/>
              </w:rPr>
              <w:t>s</w:t>
            </w:r>
            <w:r w:rsidR="000E4017" w:rsidRPr="00621595">
              <w:rPr>
                <w:rFonts w:ascii="Times New Roman" w:eastAsia="Times New Roman" w:hAnsi="Times New Roman"/>
                <w:sz w:val="28"/>
                <w:szCs w:val="28"/>
                <w:lang w:eastAsia="lv-LV"/>
              </w:rPr>
              <w:t xml:space="preserve"> locekļi ar </w:t>
            </w:r>
            <w:r w:rsidR="00377D6C" w:rsidRPr="00621595">
              <w:rPr>
                <w:rFonts w:ascii="Times New Roman" w:eastAsia="Times New Roman" w:hAnsi="Times New Roman"/>
                <w:bCs/>
                <w:sz w:val="28"/>
                <w:szCs w:val="28"/>
                <w:lang w:eastAsia="lv-LV"/>
              </w:rPr>
              <w:t>c</w:t>
            </w:r>
            <w:r w:rsidR="000E4017" w:rsidRPr="00621595">
              <w:rPr>
                <w:rFonts w:ascii="Times New Roman" w:eastAsia="Times New Roman" w:hAnsi="Times New Roman"/>
                <w:bCs/>
                <w:sz w:val="28"/>
                <w:szCs w:val="28"/>
                <w:lang w:eastAsia="lv-LV"/>
              </w:rPr>
              <w:t xml:space="preserve">entra valdes priekšsēdētāja vai tā pilnvarotas personas </w:t>
            </w:r>
            <w:r w:rsidR="000E4017" w:rsidRPr="00621595">
              <w:rPr>
                <w:rFonts w:ascii="Times New Roman" w:eastAsia="Times New Roman" w:hAnsi="Times New Roman"/>
                <w:sz w:val="28"/>
                <w:szCs w:val="28"/>
                <w:lang w:eastAsia="lv-LV"/>
              </w:rPr>
              <w:t xml:space="preserve">rīkojumu tiks iecelti no </w:t>
            </w:r>
            <w:r w:rsidR="00377D6C" w:rsidRPr="00621595">
              <w:rPr>
                <w:rFonts w:ascii="Times New Roman" w:eastAsia="Times New Roman" w:hAnsi="Times New Roman"/>
                <w:sz w:val="28"/>
                <w:szCs w:val="28"/>
                <w:lang w:eastAsia="lv-LV"/>
              </w:rPr>
              <w:t>c</w:t>
            </w:r>
            <w:r w:rsidR="000E4017" w:rsidRPr="00621595">
              <w:rPr>
                <w:rFonts w:ascii="Times New Roman" w:eastAsia="Times New Roman" w:hAnsi="Times New Roman"/>
                <w:sz w:val="28"/>
                <w:szCs w:val="28"/>
                <w:lang w:eastAsia="lv-LV"/>
              </w:rPr>
              <w:t xml:space="preserve">entra darbinieku vidus uz noteikta iesnieguma izskatīšanas laiku. Apelācijas komisija ir uzskatāma par </w:t>
            </w:r>
            <w:r w:rsidR="00377D6C" w:rsidRPr="00621595">
              <w:rPr>
                <w:rFonts w:ascii="Times New Roman" w:eastAsia="Times New Roman" w:hAnsi="Times New Roman"/>
                <w:sz w:val="28"/>
                <w:szCs w:val="28"/>
                <w:lang w:eastAsia="lv-LV"/>
              </w:rPr>
              <w:t>c</w:t>
            </w:r>
            <w:r w:rsidR="000E4017" w:rsidRPr="00621595">
              <w:rPr>
                <w:rFonts w:ascii="Times New Roman" w:eastAsia="Times New Roman" w:hAnsi="Times New Roman"/>
                <w:sz w:val="28"/>
                <w:szCs w:val="28"/>
                <w:lang w:eastAsia="lv-LV"/>
              </w:rPr>
              <w:t>entra sastāvdaļu, kas izveidota ar mērķi objektīvi izskatīt saņemtās sūdzības par studiju programmu licencēšanas komisijas pieņemtajiem lēmumiem.</w:t>
            </w:r>
          </w:p>
          <w:p w:rsidR="001441A7" w:rsidRPr="00621595" w:rsidRDefault="001441A7" w:rsidP="008C60BC">
            <w:pPr>
              <w:spacing w:after="0" w:line="240" w:lineRule="auto"/>
              <w:jc w:val="both"/>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Jaunas institūcijas izveide nav paredzēta.</w:t>
            </w:r>
          </w:p>
        </w:tc>
      </w:tr>
      <w:tr w:rsidR="00812271" w:rsidRPr="00621595" w:rsidTr="007A2871">
        <w:trPr>
          <w:trHeight w:val="390"/>
        </w:trPr>
        <w:tc>
          <w:tcPr>
            <w:tcW w:w="250" w:type="pct"/>
            <w:hideMark/>
          </w:tcPr>
          <w:p w:rsidR="00C96AD3" w:rsidRPr="00621595" w:rsidRDefault="00C96AD3" w:rsidP="00C96AD3">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3.</w:t>
            </w:r>
          </w:p>
        </w:tc>
        <w:tc>
          <w:tcPr>
            <w:tcW w:w="1900" w:type="pct"/>
            <w:hideMark/>
          </w:tcPr>
          <w:p w:rsidR="00C96AD3" w:rsidRPr="00621595" w:rsidRDefault="00C96AD3" w:rsidP="00C96AD3">
            <w:pPr>
              <w:spacing w:after="0" w:line="24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Cita informācija</w:t>
            </w:r>
          </w:p>
        </w:tc>
        <w:tc>
          <w:tcPr>
            <w:tcW w:w="2850" w:type="pct"/>
            <w:hideMark/>
          </w:tcPr>
          <w:p w:rsidR="00C96AD3" w:rsidRPr="00621595" w:rsidRDefault="00C96AD3" w:rsidP="00C96AD3">
            <w:pPr>
              <w:spacing w:before="100" w:beforeAutospacing="1" w:after="100" w:afterAutospacing="1" w:line="360" w:lineRule="auto"/>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Nav.</w:t>
            </w:r>
          </w:p>
        </w:tc>
      </w:tr>
    </w:tbl>
    <w:p w:rsidR="004A505F" w:rsidRPr="00621595" w:rsidRDefault="004A505F" w:rsidP="005C42B1">
      <w:pPr>
        <w:spacing w:after="0" w:line="240" w:lineRule="auto"/>
        <w:rPr>
          <w:rFonts w:ascii="Times New Roman" w:eastAsia="Times New Roman" w:hAnsi="Times New Roman"/>
          <w:sz w:val="28"/>
          <w:szCs w:val="28"/>
          <w:lang w:eastAsia="lv-LV"/>
        </w:rPr>
      </w:pPr>
    </w:p>
    <w:p w:rsidR="007C5781" w:rsidRPr="00621595" w:rsidRDefault="007A2871" w:rsidP="005C42B1">
      <w:pPr>
        <w:autoSpaceDE w:val="0"/>
        <w:autoSpaceDN w:val="0"/>
        <w:adjustRightInd w:val="0"/>
        <w:spacing w:after="0" w:line="240" w:lineRule="auto"/>
        <w:rPr>
          <w:rFonts w:ascii="Times New Roman" w:hAnsi="Times New Roman"/>
          <w:sz w:val="28"/>
          <w:szCs w:val="28"/>
        </w:rPr>
      </w:pPr>
      <w:r w:rsidRPr="00621595">
        <w:rPr>
          <w:rFonts w:ascii="Times New Roman" w:hAnsi="Times New Roman"/>
          <w:i/>
          <w:sz w:val="28"/>
          <w:szCs w:val="28"/>
        </w:rPr>
        <w:t xml:space="preserve">Anotācijas </w:t>
      </w:r>
      <w:r w:rsidR="00812271" w:rsidRPr="00621595">
        <w:rPr>
          <w:rFonts w:ascii="Times New Roman" w:hAnsi="Times New Roman"/>
          <w:i/>
          <w:sz w:val="28"/>
          <w:szCs w:val="28"/>
        </w:rPr>
        <w:t xml:space="preserve">V sadaļa - </w:t>
      </w:r>
      <w:r w:rsidR="00812271" w:rsidRPr="00621595">
        <w:rPr>
          <w:rFonts w:ascii="Times New Roman" w:eastAsia="Times New Roman" w:hAnsi="Times New Roman"/>
          <w:i/>
          <w:sz w:val="28"/>
          <w:szCs w:val="28"/>
          <w:lang w:eastAsia="lv-LV"/>
        </w:rPr>
        <w:t>projekts šīs jomas neskar</w:t>
      </w:r>
      <w:r w:rsidR="00812271" w:rsidRPr="00621595">
        <w:rPr>
          <w:rFonts w:ascii="Times New Roman" w:eastAsia="Times New Roman" w:hAnsi="Times New Roman"/>
          <w:sz w:val="28"/>
          <w:szCs w:val="28"/>
          <w:lang w:eastAsia="lv-LV"/>
        </w:rPr>
        <w:t>.</w:t>
      </w:r>
    </w:p>
    <w:p w:rsidR="00CE7745" w:rsidRPr="00621595" w:rsidRDefault="00CE7745" w:rsidP="005C42B1">
      <w:pPr>
        <w:autoSpaceDE w:val="0"/>
        <w:autoSpaceDN w:val="0"/>
        <w:adjustRightInd w:val="0"/>
        <w:spacing w:after="0" w:line="240" w:lineRule="auto"/>
        <w:rPr>
          <w:rFonts w:ascii="Times New Roman" w:hAnsi="Times New Roman"/>
          <w:sz w:val="28"/>
          <w:szCs w:val="28"/>
        </w:rPr>
      </w:pPr>
    </w:p>
    <w:p w:rsidR="00CE7745" w:rsidRPr="00621595" w:rsidRDefault="00CE7745" w:rsidP="005C42B1">
      <w:pPr>
        <w:autoSpaceDE w:val="0"/>
        <w:autoSpaceDN w:val="0"/>
        <w:adjustRightInd w:val="0"/>
        <w:spacing w:after="0" w:line="240" w:lineRule="auto"/>
        <w:rPr>
          <w:rFonts w:ascii="Times New Roman" w:hAnsi="Times New Roman"/>
          <w:sz w:val="28"/>
          <w:szCs w:val="28"/>
        </w:rPr>
      </w:pPr>
    </w:p>
    <w:p w:rsidR="00F31126" w:rsidRPr="00621595" w:rsidRDefault="00A76C0A" w:rsidP="00F31126">
      <w:pPr>
        <w:spacing w:after="0" w:line="240" w:lineRule="auto"/>
        <w:jc w:val="both"/>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I</w:t>
      </w:r>
      <w:r w:rsidR="00F31126" w:rsidRPr="00621595">
        <w:rPr>
          <w:rFonts w:ascii="Times New Roman" w:eastAsia="Times New Roman" w:hAnsi="Times New Roman"/>
          <w:sz w:val="28"/>
          <w:szCs w:val="28"/>
          <w:lang w:eastAsia="lv-LV"/>
        </w:rPr>
        <w:t>zglītības un zinātne</w:t>
      </w:r>
      <w:r w:rsidR="007A2871" w:rsidRPr="00621595">
        <w:rPr>
          <w:rFonts w:ascii="Times New Roman" w:eastAsia="Times New Roman" w:hAnsi="Times New Roman"/>
          <w:sz w:val="28"/>
          <w:szCs w:val="28"/>
          <w:lang w:eastAsia="lv-LV"/>
        </w:rPr>
        <w:t>s ministrs</w:t>
      </w:r>
      <w:r w:rsidRPr="00621595">
        <w:rPr>
          <w:rFonts w:ascii="Times New Roman" w:eastAsia="Times New Roman" w:hAnsi="Times New Roman"/>
          <w:sz w:val="28"/>
          <w:szCs w:val="28"/>
          <w:lang w:eastAsia="lv-LV"/>
        </w:rPr>
        <w:tab/>
      </w:r>
      <w:r w:rsidRPr="00621595">
        <w:rPr>
          <w:rFonts w:ascii="Times New Roman" w:eastAsia="Times New Roman" w:hAnsi="Times New Roman"/>
          <w:sz w:val="28"/>
          <w:szCs w:val="28"/>
          <w:lang w:eastAsia="lv-LV"/>
        </w:rPr>
        <w:tab/>
      </w:r>
      <w:r w:rsidR="00F31126" w:rsidRPr="00621595">
        <w:rPr>
          <w:rFonts w:ascii="Times New Roman" w:eastAsia="Times New Roman" w:hAnsi="Times New Roman"/>
          <w:sz w:val="28"/>
          <w:szCs w:val="28"/>
          <w:lang w:eastAsia="lv-LV"/>
        </w:rPr>
        <w:t xml:space="preserve"> </w:t>
      </w:r>
      <w:r w:rsidR="00F31126" w:rsidRPr="00621595">
        <w:rPr>
          <w:rFonts w:ascii="Times New Roman" w:eastAsia="Times New Roman" w:hAnsi="Times New Roman"/>
          <w:sz w:val="28"/>
          <w:szCs w:val="28"/>
          <w:lang w:eastAsia="lv-LV"/>
        </w:rPr>
        <w:tab/>
      </w:r>
      <w:r w:rsidR="007A2871" w:rsidRPr="00621595">
        <w:rPr>
          <w:rFonts w:ascii="Times New Roman" w:eastAsia="Times New Roman" w:hAnsi="Times New Roman"/>
          <w:sz w:val="28"/>
          <w:szCs w:val="28"/>
          <w:lang w:eastAsia="lv-LV"/>
        </w:rPr>
        <w:tab/>
      </w:r>
      <w:r w:rsidR="00F31126" w:rsidRPr="00621595">
        <w:rPr>
          <w:rFonts w:ascii="Times New Roman" w:eastAsia="Times New Roman" w:hAnsi="Times New Roman"/>
          <w:sz w:val="28"/>
          <w:szCs w:val="28"/>
          <w:lang w:eastAsia="lv-LV"/>
        </w:rPr>
        <w:tab/>
        <w:t xml:space="preserve">    </w:t>
      </w:r>
      <w:r w:rsidR="00F31126" w:rsidRPr="00621595">
        <w:rPr>
          <w:rFonts w:ascii="Times New Roman" w:eastAsia="Times New Roman" w:hAnsi="Times New Roman"/>
          <w:sz w:val="28"/>
          <w:szCs w:val="28"/>
          <w:lang w:eastAsia="lv-LV"/>
        </w:rPr>
        <w:tab/>
      </w:r>
      <w:r w:rsidR="007A2871" w:rsidRPr="00621595">
        <w:rPr>
          <w:rFonts w:ascii="Times New Roman" w:eastAsia="Times New Roman" w:hAnsi="Times New Roman"/>
          <w:sz w:val="28"/>
          <w:szCs w:val="28"/>
          <w:lang w:eastAsia="lv-LV"/>
        </w:rPr>
        <w:t>Kārlis Šadurskis</w:t>
      </w:r>
    </w:p>
    <w:p w:rsidR="004A505F" w:rsidRPr="00621595" w:rsidRDefault="004A505F" w:rsidP="00012B57">
      <w:pPr>
        <w:spacing w:after="0" w:line="240" w:lineRule="auto"/>
        <w:jc w:val="both"/>
        <w:rPr>
          <w:rFonts w:ascii="Times New Roman" w:eastAsia="Times New Roman" w:hAnsi="Times New Roman"/>
          <w:sz w:val="28"/>
          <w:szCs w:val="28"/>
          <w:lang w:eastAsia="lv-LV"/>
        </w:rPr>
      </w:pPr>
    </w:p>
    <w:p w:rsidR="00CE7745" w:rsidRPr="00621595" w:rsidRDefault="00CE7745" w:rsidP="00012B57">
      <w:pPr>
        <w:spacing w:after="0" w:line="240" w:lineRule="auto"/>
        <w:jc w:val="both"/>
        <w:rPr>
          <w:rFonts w:ascii="Times New Roman" w:eastAsia="Times New Roman" w:hAnsi="Times New Roman"/>
          <w:sz w:val="28"/>
          <w:szCs w:val="28"/>
          <w:lang w:eastAsia="lv-LV"/>
        </w:rPr>
      </w:pPr>
    </w:p>
    <w:p w:rsidR="00A76C0A" w:rsidRPr="00621595" w:rsidRDefault="00A76C0A" w:rsidP="00012B57">
      <w:pPr>
        <w:spacing w:after="0" w:line="240" w:lineRule="auto"/>
        <w:jc w:val="both"/>
        <w:rPr>
          <w:rFonts w:ascii="Times New Roman" w:eastAsia="Times New Roman" w:hAnsi="Times New Roman"/>
          <w:sz w:val="28"/>
          <w:szCs w:val="28"/>
          <w:lang w:eastAsia="lv-LV"/>
        </w:rPr>
      </w:pPr>
      <w:r w:rsidRPr="00621595">
        <w:rPr>
          <w:rFonts w:ascii="Times New Roman" w:eastAsia="Times New Roman" w:hAnsi="Times New Roman"/>
          <w:sz w:val="28"/>
          <w:szCs w:val="28"/>
          <w:lang w:eastAsia="lv-LV"/>
        </w:rPr>
        <w:t>Vizē:</w:t>
      </w:r>
      <w:r w:rsidR="00723848" w:rsidRPr="00621595">
        <w:rPr>
          <w:rFonts w:ascii="Times New Roman" w:hAnsi="Times New Roman"/>
          <w:bCs/>
          <w:kern w:val="32"/>
          <w:sz w:val="28"/>
          <w:szCs w:val="28"/>
          <w:lang w:eastAsia="lv-LV"/>
        </w:rPr>
        <w:t xml:space="preserve"> </w:t>
      </w:r>
      <w:r w:rsidR="00723848" w:rsidRPr="00621595">
        <w:rPr>
          <w:rFonts w:ascii="Times New Roman" w:eastAsia="Times New Roman" w:hAnsi="Times New Roman"/>
          <w:bCs/>
          <w:sz w:val="28"/>
          <w:szCs w:val="28"/>
          <w:lang w:eastAsia="lv-LV"/>
        </w:rPr>
        <w:t>Valsts sekretāre</w:t>
      </w:r>
      <w:r w:rsidR="00723848" w:rsidRPr="00621595">
        <w:rPr>
          <w:rFonts w:ascii="Times New Roman" w:eastAsia="Times New Roman" w:hAnsi="Times New Roman"/>
          <w:bCs/>
          <w:sz w:val="28"/>
          <w:szCs w:val="28"/>
          <w:lang w:eastAsia="lv-LV"/>
        </w:rPr>
        <w:tab/>
      </w:r>
      <w:r w:rsidR="00723848" w:rsidRPr="00621595">
        <w:rPr>
          <w:rFonts w:ascii="Times New Roman" w:eastAsia="Times New Roman" w:hAnsi="Times New Roman"/>
          <w:bCs/>
          <w:sz w:val="28"/>
          <w:szCs w:val="28"/>
          <w:lang w:eastAsia="lv-LV"/>
        </w:rPr>
        <w:tab/>
      </w:r>
      <w:r w:rsidR="00723848" w:rsidRPr="00621595">
        <w:rPr>
          <w:rFonts w:ascii="Times New Roman" w:eastAsia="Times New Roman" w:hAnsi="Times New Roman"/>
          <w:bCs/>
          <w:sz w:val="28"/>
          <w:szCs w:val="28"/>
          <w:lang w:eastAsia="lv-LV"/>
        </w:rPr>
        <w:tab/>
      </w:r>
      <w:r w:rsidR="00723848" w:rsidRPr="00621595">
        <w:rPr>
          <w:rFonts w:ascii="Times New Roman" w:eastAsia="Times New Roman" w:hAnsi="Times New Roman"/>
          <w:bCs/>
          <w:sz w:val="28"/>
          <w:szCs w:val="28"/>
          <w:lang w:eastAsia="lv-LV"/>
        </w:rPr>
        <w:tab/>
      </w:r>
      <w:r w:rsidR="00723848" w:rsidRPr="00621595">
        <w:rPr>
          <w:rFonts w:ascii="Times New Roman" w:eastAsia="Times New Roman" w:hAnsi="Times New Roman"/>
          <w:bCs/>
          <w:sz w:val="28"/>
          <w:szCs w:val="28"/>
          <w:lang w:eastAsia="lv-LV"/>
        </w:rPr>
        <w:tab/>
      </w:r>
      <w:r w:rsidR="00723848" w:rsidRPr="00621595">
        <w:rPr>
          <w:rFonts w:ascii="Times New Roman" w:eastAsia="Times New Roman" w:hAnsi="Times New Roman"/>
          <w:bCs/>
          <w:sz w:val="28"/>
          <w:szCs w:val="28"/>
          <w:lang w:eastAsia="lv-LV"/>
        </w:rPr>
        <w:tab/>
      </w:r>
      <w:r w:rsidR="00723848" w:rsidRPr="00621595">
        <w:rPr>
          <w:rFonts w:ascii="Times New Roman" w:eastAsia="Times New Roman" w:hAnsi="Times New Roman"/>
          <w:bCs/>
          <w:sz w:val="28"/>
          <w:szCs w:val="28"/>
          <w:lang w:eastAsia="lv-LV"/>
        </w:rPr>
        <w:tab/>
        <w:t>Līga Lejiņa</w:t>
      </w:r>
    </w:p>
    <w:p w:rsidR="00621595" w:rsidRDefault="00621595" w:rsidP="00CE7745">
      <w:pPr>
        <w:autoSpaceDE w:val="0"/>
        <w:autoSpaceDN w:val="0"/>
        <w:adjustRightInd w:val="0"/>
        <w:spacing w:after="0" w:line="240" w:lineRule="auto"/>
        <w:rPr>
          <w:rFonts w:ascii="Times New Roman" w:hAnsi="Times New Roman"/>
          <w:sz w:val="28"/>
          <w:szCs w:val="28"/>
        </w:rPr>
      </w:pPr>
    </w:p>
    <w:p w:rsidR="00621595" w:rsidRPr="00621595" w:rsidRDefault="00A55998" w:rsidP="00621595">
      <w:pPr>
        <w:spacing w:after="0" w:line="240" w:lineRule="auto"/>
        <w:jc w:val="both"/>
        <w:rPr>
          <w:rFonts w:ascii="Times New Roman" w:hAnsi="Times New Roman"/>
        </w:rPr>
      </w:pPr>
      <w:r>
        <w:rPr>
          <w:rFonts w:ascii="Times New Roman" w:hAnsi="Times New Roman"/>
        </w:rPr>
        <w:t>21</w:t>
      </w:r>
      <w:r w:rsidR="00621595" w:rsidRPr="00621595">
        <w:rPr>
          <w:rFonts w:ascii="Times New Roman" w:hAnsi="Times New Roman"/>
        </w:rPr>
        <w:t>.03.2017</w:t>
      </w:r>
      <w:r w:rsidR="00621595">
        <w:rPr>
          <w:rFonts w:ascii="Times New Roman" w:hAnsi="Times New Roman"/>
        </w:rPr>
        <w:t xml:space="preserve">. </w:t>
      </w:r>
      <w:r w:rsidR="00C70962">
        <w:rPr>
          <w:rFonts w:ascii="Times New Roman" w:hAnsi="Times New Roman"/>
        </w:rPr>
        <w:t>9</w:t>
      </w:r>
      <w:r w:rsidR="00621595">
        <w:rPr>
          <w:rFonts w:ascii="Times New Roman" w:hAnsi="Times New Roman"/>
        </w:rPr>
        <w:t>:</w:t>
      </w:r>
      <w:r w:rsidR="00C70962">
        <w:rPr>
          <w:rFonts w:ascii="Times New Roman" w:hAnsi="Times New Roman"/>
        </w:rPr>
        <w:t>5</w:t>
      </w:r>
      <w:r>
        <w:rPr>
          <w:rFonts w:ascii="Times New Roman" w:hAnsi="Times New Roman"/>
        </w:rPr>
        <w:t>5</w:t>
      </w:r>
    </w:p>
    <w:p w:rsidR="00621595" w:rsidRPr="00621595" w:rsidRDefault="00621595" w:rsidP="00621595">
      <w:pPr>
        <w:spacing w:after="0" w:line="240" w:lineRule="auto"/>
        <w:jc w:val="both"/>
        <w:rPr>
          <w:rFonts w:ascii="Times New Roman" w:hAnsi="Times New Roman"/>
        </w:rPr>
      </w:pPr>
      <w:r w:rsidRPr="00621595">
        <w:rPr>
          <w:rFonts w:ascii="Times New Roman" w:hAnsi="Times New Roman"/>
        </w:rPr>
        <w:t>28</w:t>
      </w:r>
      <w:r w:rsidR="00A55998">
        <w:rPr>
          <w:rFonts w:ascii="Times New Roman" w:hAnsi="Times New Roman"/>
        </w:rPr>
        <w:t>81</w:t>
      </w:r>
    </w:p>
    <w:p w:rsidR="00621595" w:rsidRPr="00621595" w:rsidRDefault="00621595" w:rsidP="00621595">
      <w:pPr>
        <w:spacing w:after="0" w:line="240" w:lineRule="auto"/>
        <w:jc w:val="both"/>
        <w:rPr>
          <w:rFonts w:ascii="Times New Roman" w:hAnsi="Times New Roman"/>
        </w:rPr>
      </w:pPr>
      <w:r w:rsidRPr="00621595">
        <w:rPr>
          <w:rFonts w:ascii="Times New Roman" w:hAnsi="Times New Roman"/>
        </w:rPr>
        <w:t>Depkovska, 67047772</w:t>
      </w:r>
    </w:p>
    <w:p w:rsidR="00621595" w:rsidRPr="00621595" w:rsidRDefault="00DF65B6" w:rsidP="00621595">
      <w:pPr>
        <w:spacing w:after="0" w:line="240" w:lineRule="auto"/>
        <w:jc w:val="both"/>
        <w:rPr>
          <w:rFonts w:ascii="Times New Roman" w:hAnsi="Times New Roman"/>
        </w:rPr>
      </w:pPr>
      <w:hyperlink r:id="rId13" w:history="1">
        <w:r w:rsidR="00621595" w:rsidRPr="00621595">
          <w:rPr>
            <w:rStyle w:val="Hyperlink"/>
            <w:rFonts w:ascii="Times New Roman" w:hAnsi="Times New Roman"/>
          </w:rPr>
          <w:t>anita.depkovska@izm.gov.lv</w:t>
        </w:r>
      </w:hyperlink>
    </w:p>
    <w:p w:rsidR="00621595" w:rsidRPr="00621595" w:rsidRDefault="00621595" w:rsidP="00621595">
      <w:pPr>
        <w:pStyle w:val="BodyTextIndent"/>
        <w:tabs>
          <w:tab w:val="left" w:pos="6237"/>
        </w:tabs>
        <w:spacing w:after="0" w:line="240" w:lineRule="auto"/>
        <w:ind w:left="0"/>
        <w:jc w:val="both"/>
        <w:rPr>
          <w:rFonts w:ascii="Times New Roman" w:hAnsi="Times New Roman"/>
          <w:lang w:val="lv-LV"/>
        </w:rPr>
      </w:pPr>
      <w:r w:rsidRPr="00AD15DD">
        <w:rPr>
          <w:rFonts w:ascii="Times New Roman" w:hAnsi="Times New Roman"/>
          <w:lang w:val="en-GB"/>
        </w:rPr>
        <w:t xml:space="preserve"> </w:t>
      </w:r>
      <w:r w:rsidRPr="00621595">
        <w:rPr>
          <w:rFonts w:ascii="Times New Roman" w:hAnsi="Times New Roman"/>
          <w:lang w:val="lv-LV"/>
        </w:rPr>
        <w:t>Bērziņa, 67225155</w:t>
      </w:r>
    </w:p>
    <w:p w:rsidR="00FC7EFA" w:rsidRPr="00621595" w:rsidRDefault="00DF65B6" w:rsidP="00621595">
      <w:pPr>
        <w:pStyle w:val="BodyTextIndent"/>
        <w:tabs>
          <w:tab w:val="left" w:pos="6237"/>
        </w:tabs>
        <w:spacing w:after="0" w:line="240" w:lineRule="auto"/>
        <w:ind w:left="0"/>
        <w:jc w:val="both"/>
        <w:rPr>
          <w:rFonts w:ascii="Times New Roman" w:eastAsia="Times New Roman" w:hAnsi="Times New Roman"/>
          <w:bCs/>
          <w:kern w:val="32"/>
          <w:sz w:val="28"/>
          <w:szCs w:val="28"/>
          <w:lang w:eastAsia="lv-LV"/>
        </w:rPr>
      </w:pPr>
      <w:hyperlink r:id="rId14" w:history="1">
        <w:r w:rsidR="00621595" w:rsidRPr="00621595">
          <w:rPr>
            <w:rStyle w:val="Hyperlink"/>
            <w:rFonts w:ascii="Times New Roman" w:hAnsi="Times New Roman"/>
          </w:rPr>
          <w:t>aic.santaberzina@gmail.com</w:t>
        </w:r>
      </w:hyperlink>
      <w:r w:rsidR="00621595" w:rsidRPr="00621595">
        <w:rPr>
          <w:rFonts w:ascii="Times New Roman" w:hAnsi="Times New Roman"/>
        </w:rPr>
        <w:t xml:space="preserve"> </w:t>
      </w:r>
    </w:p>
    <w:sectPr w:rsidR="00FC7EFA" w:rsidRPr="00621595" w:rsidSect="007D3992">
      <w:headerReference w:type="default" r:id="rId15"/>
      <w:footerReference w:type="default" r:id="rId16"/>
      <w:footerReference w:type="first" r:id="rId17"/>
      <w:pgSz w:w="11906" w:h="16838"/>
      <w:pgMar w:top="567" w:right="1274" w:bottom="1560" w:left="1276" w:header="510"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5B6" w:rsidRDefault="00DF65B6" w:rsidP="004A53C8">
      <w:pPr>
        <w:spacing w:after="0" w:line="240" w:lineRule="auto"/>
      </w:pPr>
      <w:r>
        <w:separator/>
      </w:r>
    </w:p>
  </w:endnote>
  <w:endnote w:type="continuationSeparator" w:id="0">
    <w:p w:rsidR="00DF65B6" w:rsidRDefault="00DF65B6"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A9" w:rsidRPr="001E1B5B" w:rsidRDefault="00ED48A9" w:rsidP="009B2A08">
    <w:pPr>
      <w:pStyle w:val="Footer"/>
      <w:jc w:val="both"/>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IZManot_1</w:t>
    </w:r>
    <w:r w:rsidR="00621595">
      <w:rPr>
        <w:rFonts w:ascii="Times New Roman" w:eastAsia="Times New Roman" w:hAnsi="Times New Roman"/>
        <w:bCs/>
        <w:sz w:val="20"/>
        <w:szCs w:val="20"/>
        <w:lang w:eastAsia="lv-LV"/>
      </w:rPr>
      <w:t>5</w:t>
    </w:r>
    <w:r>
      <w:rPr>
        <w:rFonts w:ascii="Times New Roman" w:eastAsia="Times New Roman" w:hAnsi="Times New Roman"/>
        <w:bCs/>
        <w:sz w:val="20"/>
        <w:szCs w:val="20"/>
        <w:lang w:eastAsia="lv-LV"/>
      </w:rPr>
      <w:t>0317_groz408</w:t>
    </w:r>
    <w:r w:rsidRPr="001E1B5B">
      <w:rPr>
        <w:rFonts w:ascii="Times New Roman" w:eastAsia="Times New Roman" w:hAnsi="Times New Roman"/>
        <w:bCs/>
        <w:sz w:val="20"/>
        <w:szCs w:val="20"/>
        <w:lang w:eastAsia="lv-LV"/>
      </w:rPr>
      <w:t>; Ministru kabineta noteikumu projekta “Grozījumi Ministru kabineta 2015.</w:t>
    </w:r>
    <w:r>
      <w:rPr>
        <w:rFonts w:ascii="Times New Roman" w:eastAsia="Times New Roman" w:hAnsi="Times New Roman"/>
        <w:bCs/>
        <w:sz w:val="20"/>
        <w:szCs w:val="20"/>
        <w:lang w:eastAsia="lv-LV"/>
      </w:rPr>
      <w:t> </w:t>
    </w:r>
    <w:r w:rsidRPr="001E1B5B">
      <w:rPr>
        <w:rFonts w:ascii="Times New Roman" w:eastAsia="Times New Roman" w:hAnsi="Times New Roman"/>
        <w:bCs/>
        <w:sz w:val="20"/>
        <w:szCs w:val="20"/>
        <w:lang w:eastAsia="lv-LV"/>
      </w:rPr>
      <w:t>gada 14.</w:t>
    </w:r>
    <w:r>
      <w:rPr>
        <w:rFonts w:ascii="Times New Roman" w:eastAsia="Times New Roman" w:hAnsi="Times New Roman"/>
        <w:bCs/>
        <w:sz w:val="20"/>
        <w:szCs w:val="20"/>
        <w:lang w:eastAsia="lv-LV"/>
      </w:rPr>
      <w:t> </w:t>
    </w:r>
    <w:r w:rsidRPr="001E1B5B">
      <w:rPr>
        <w:rFonts w:ascii="Times New Roman" w:eastAsia="Times New Roman" w:hAnsi="Times New Roman"/>
        <w:bCs/>
        <w:sz w:val="20"/>
        <w:szCs w:val="20"/>
        <w:lang w:eastAsia="lv-LV"/>
      </w:rPr>
      <w:t>jūlija noteikumos Nr.40</w:t>
    </w:r>
    <w:r>
      <w:rPr>
        <w:rFonts w:ascii="Times New Roman" w:eastAsia="Times New Roman" w:hAnsi="Times New Roman"/>
        <w:bCs/>
        <w:sz w:val="20"/>
        <w:szCs w:val="20"/>
        <w:lang w:eastAsia="lv-LV"/>
      </w:rPr>
      <w:t>8</w:t>
    </w:r>
    <w:r w:rsidRPr="001E1B5B">
      <w:rPr>
        <w:rFonts w:ascii="Times New Roman" w:eastAsia="Times New Roman" w:hAnsi="Times New Roman"/>
        <w:bCs/>
        <w:sz w:val="20"/>
        <w:szCs w:val="20"/>
        <w:lang w:eastAsia="lv-LV"/>
      </w:rPr>
      <w:t xml:space="preserve"> </w:t>
    </w:r>
    <w:r w:rsidRPr="007D3992">
      <w:rPr>
        <w:rFonts w:ascii="Times New Roman" w:eastAsia="Times New Roman" w:hAnsi="Times New Roman"/>
        <w:bCs/>
        <w:sz w:val="20"/>
        <w:szCs w:val="20"/>
        <w:lang w:eastAsia="lv-LV"/>
      </w:rPr>
      <w:t>“Studiju programmu licencēšanas noteikumi</w:t>
    </w:r>
    <w:r w:rsidRPr="001E1B5B">
      <w:rPr>
        <w:rFonts w:ascii="Times New Roman" w:eastAsia="Times New Roman" w:hAnsi="Times New Roman"/>
        <w:bCs/>
        <w:sz w:val="20"/>
        <w:szCs w:val="20"/>
        <w:lang w:eastAsia="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A9" w:rsidRPr="0056429A" w:rsidRDefault="00ED48A9" w:rsidP="001B53A6">
    <w:pPr>
      <w:spacing w:after="0" w:line="240" w:lineRule="auto"/>
      <w:jc w:val="both"/>
      <w:rPr>
        <w:rFonts w:ascii="Times New Roman" w:eastAsia="Times New Roman" w:hAnsi="Times New Roman"/>
        <w:bCs/>
        <w:sz w:val="20"/>
        <w:szCs w:val="20"/>
        <w:lang w:eastAsia="lv-LV"/>
      </w:rPr>
    </w:pPr>
    <w:r w:rsidRPr="007D3992">
      <w:rPr>
        <w:rFonts w:ascii="Times New Roman" w:eastAsia="Times New Roman" w:hAnsi="Times New Roman"/>
        <w:bCs/>
        <w:sz w:val="20"/>
        <w:szCs w:val="20"/>
        <w:lang w:eastAsia="lv-LV"/>
      </w:rPr>
      <w:t>IZManot</w:t>
    </w:r>
    <w:r>
      <w:rPr>
        <w:rFonts w:ascii="Times New Roman" w:eastAsia="Times New Roman" w:hAnsi="Times New Roman"/>
        <w:bCs/>
        <w:sz w:val="20"/>
        <w:szCs w:val="20"/>
        <w:lang w:eastAsia="lv-LV"/>
      </w:rPr>
      <w:t>_</w:t>
    </w:r>
    <w:r w:rsidR="00621595">
      <w:rPr>
        <w:rFonts w:ascii="Times New Roman" w:eastAsia="Times New Roman" w:hAnsi="Times New Roman"/>
        <w:bCs/>
        <w:sz w:val="20"/>
        <w:szCs w:val="20"/>
        <w:lang w:eastAsia="lv-LV"/>
      </w:rPr>
      <w:t>15</w:t>
    </w:r>
    <w:r>
      <w:rPr>
        <w:rFonts w:ascii="Times New Roman" w:eastAsia="Times New Roman" w:hAnsi="Times New Roman"/>
        <w:bCs/>
        <w:sz w:val="20"/>
        <w:szCs w:val="20"/>
        <w:lang w:eastAsia="lv-LV"/>
      </w:rPr>
      <w:t>0317_groz408</w:t>
    </w:r>
    <w:r w:rsidRPr="007D3992">
      <w:rPr>
        <w:rFonts w:ascii="Times New Roman" w:eastAsia="Times New Roman" w:hAnsi="Times New Roman"/>
        <w:bCs/>
        <w:sz w:val="20"/>
        <w:szCs w:val="20"/>
        <w:lang w:eastAsia="lv-LV"/>
      </w:rPr>
      <w:t>; Ministru kabineta noteikumu projekta “Grozījumi Ministru kabineta 2015. gada 14. jūlija noteikumos Nr.408 “Studiju programmu licencēšanas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5B6" w:rsidRDefault="00DF65B6" w:rsidP="004A53C8">
      <w:pPr>
        <w:spacing w:after="0" w:line="240" w:lineRule="auto"/>
      </w:pPr>
      <w:r>
        <w:separator/>
      </w:r>
    </w:p>
  </w:footnote>
  <w:footnote w:type="continuationSeparator" w:id="0">
    <w:p w:rsidR="00DF65B6" w:rsidRDefault="00DF65B6" w:rsidP="004A53C8">
      <w:pPr>
        <w:spacing w:after="0" w:line="240" w:lineRule="auto"/>
      </w:pPr>
      <w:r>
        <w:continuationSeparator/>
      </w:r>
    </w:p>
  </w:footnote>
  <w:footnote w:id="1">
    <w:p w:rsidR="00ED48A9" w:rsidRPr="000174CC" w:rsidRDefault="00ED48A9" w:rsidP="000174CC">
      <w:pPr>
        <w:pStyle w:val="FootnoteText"/>
        <w:jc w:val="both"/>
        <w:rPr>
          <w:rFonts w:ascii="Times New Roman" w:hAnsi="Times New Roman"/>
        </w:rPr>
      </w:pPr>
      <w:r w:rsidRPr="000174CC">
        <w:rPr>
          <w:rStyle w:val="FootnoteReference"/>
          <w:rFonts w:ascii="Times New Roman" w:hAnsi="Times New Roman"/>
        </w:rPr>
        <w:footnoteRef/>
      </w:r>
      <w:r w:rsidRPr="000174CC">
        <w:rPr>
          <w:rFonts w:ascii="Times New Roman" w:hAnsi="Times New Roman"/>
        </w:rPr>
        <w:t xml:space="preserve"> </w:t>
      </w:r>
      <w:r w:rsidRPr="000174CC">
        <w:rPr>
          <w:rFonts w:ascii="Times New Roman" w:eastAsia="Times New Roman" w:hAnsi="Times New Roman"/>
          <w:bCs/>
          <w:iCs/>
          <w:lang w:eastAsia="lv-LV"/>
        </w:rPr>
        <w:t xml:space="preserve">Eiropas augstākās izglītības kvalitātes nodrošināšanas reģistrs </w:t>
      </w:r>
      <w:r w:rsidRPr="00575722">
        <w:rPr>
          <w:rFonts w:ascii="Times New Roman" w:eastAsia="Times New Roman" w:hAnsi="Times New Roman"/>
          <w:bCs/>
          <w:i/>
          <w:iCs/>
          <w:lang w:eastAsia="lv-LV"/>
        </w:rPr>
        <w:t>(European Quality Assurance Register for Higher Education)</w:t>
      </w:r>
      <w:r>
        <w:rPr>
          <w:rFonts w:ascii="Times New Roman" w:eastAsia="Times New Roman" w:hAnsi="Times New Roman"/>
          <w:bCs/>
          <w:iCs/>
          <w:lang w:eastAsia="lv-LV"/>
        </w:rPr>
        <w:t xml:space="preserve"> izveidots </w:t>
      </w:r>
      <w:r w:rsidRPr="000174CC">
        <w:rPr>
          <w:rFonts w:ascii="Times New Roman" w:eastAsia="Times New Roman" w:hAnsi="Times New Roman"/>
          <w:bCs/>
          <w:iCs/>
          <w:lang w:eastAsia="lv-LV"/>
        </w:rPr>
        <w:t xml:space="preserve">2008.gada martā, kura galvenais uzdevums ir sniegt sabiedrībai skaidru un ticamu informāciju par Eiropas kvalitātes nodrošināšanas aģentūru darbību, tādejādi, veicinot uzticamību Eiropas augstākajai izglītībai. Reģistrs ir publiski pieejams tīmekļa vietnē </w:t>
      </w:r>
      <w:hyperlink r:id="rId1" w:history="1">
        <w:r w:rsidRPr="003A7898">
          <w:rPr>
            <w:rStyle w:val="Hyperlink"/>
            <w:rFonts w:ascii="Times New Roman" w:eastAsia="Times New Roman" w:hAnsi="Times New Roman"/>
            <w:bCs/>
            <w:iCs/>
            <w:lang w:eastAsia="lv-LV"/>
          </w:rPr>
          <w:t>http://www.eqar.eu</w:t>
        </w:r>
      </w:hyperlink>
      <w:r w:rsidRPr="000174CC">
        <w:rPr>
          <w:rFonts w:ascii="Times New Roman" w:eastAsia="Times New Roman" w:hAnsi="Times New Roman"/>
          <w:bCs/>
          <w:iCs/>
          <w:lang w:eastAsia="lv-LV"/>
        </w:rPr>
        <w:t>.</w:t>
      </w:r>
      <w:r>
        <w:rPr>
          <w:rFonts w:ascii="Times New Roman" w:eastAsia="Times New Roman" w:hAnsi="Times New Roman"/>
          <w:bCs/>
          <w:iCs/>
          <w:lang w:eastAsia="lv-LV"/>
        </w:rPr>
        <w:t xml:space="preserve"> Reģistra mērķi ir uzlabot aģentūru sniegto </w:t>
      </w:r>
      <w:r w:rsidRPr="000174CC">
        <w:rPr>
          <w:rFonts w:ascii="Times New Roman" w:eastAsia="Times New Roman" w:hAnsi="Times New Roman"/>
          <w:bCs/>
          <w:iCs/>
          <w:lang w:eastAsia="lv-LV"/>
        </w:rPr>
        <w:t>pakalpojumu kvalitāti</w:t>
      </w:r>
      <w:r>
        <w:rPr>
          <w:rFonts w:ascii="Times New Roman" w:eastAsia="Times New Roman" w:hAnsi="Times New Roman"/>
          <w:bCs/>
          <w:iCs/>
          <w:lang w:eastAsia="lv-LV"/>
        </w:rPr>
        <w:t>, v</w:t>
      </w:r>
      <w:r w:rsidRPr="000174CC">
        <w:rPr>
          <w:rFonts w:ascii="Times New Roman" w:eastAsia="Times New Roman" w:hAnsi="Times New Roman"/>
          <w:bCs/>
          <w:iCs/>
          <w:lang w:eastAsia="lv-LV"/>
        </w:rPr>
        <w:t>eicināt aģentūru sa</w:t>
      </w:r>
      <w:r>
        <w:rPr>
          <w:rFonts w:ascii="Times New Roman" w:eastAsia="Times New Roman" w:hAnsi="Times New Roman"/>
          <w:bCs/>
          <w:iCs/>
          <w:lang w:eastAsia="lv-LV"/>
        </w:rPr>
        <w:t xml:space="preserve">vstarpēju uzticību un paļāvību, </w:t>
      </w:r>
      <w:r w:rsidRPr="000174CC">
        <w:rPr>
          <w:rFonts w:ascii="Times New Roman" w:eastAsia="Times New Roman" w:hAnsi="Times New Roman"/>
          <w:bCs/>
          <w:iCs/>
          <w:lang w:eastAsia="lv-LV"/>
        </w:rPr>
        <w:t xml:space="preserve">nodrošināt iespēju </w:t>
      </w:r>
      <w:r>
        <w:rPr>
          <w:rFonts w:ascii="Times New Roman" w:eastAsia="Times New Roman" w:hAnsi="Times New Roman"/>
          <w:bCs/>
          <w:iCs/>
          <w:lang w:eastAsia="lv-LV"/>
        </w:rPr>
        <w:t>augstskolām</w:t>
      </w:r>
      <w:r w:rsidRPr="000174CC">
        <w:rPr>
          <w:rFonts w:ascii="Times New Roman" w:eastAsia="Times New Roman" w:hAnsi="Times New Roman"/>
          <w:bCs/>
          <w:iCs/>
          <w:lang w:eastAsia="lv-LV"/>
        </w:rPr>
        <w:t xml:space="preserve"> izvēlēties starp dažādām aģentūrām  (ja tas nav pretrunā ar </w:t>
      </w:r>
      <w:r>
        <w:rPr>
          <w:rFonts w:ascii="Times New Roman" w:eastAsia="Times New Roman" w:hAnsi="Times New Roman"/>
          <w:bCs/>
          <w:iCs/>
          <w:lang w:eastAsia="lv-LV"/>
        </w:rPr>
        <w:t>nacionālo normatīvo regulējumu), kā arī palielināt</w:t>
      </w:r>
      <w:r w:rsidRPr="000174CC">
        <w:rPr>
          <w:rFonts w:ascii="Times New Roman" w:eastAsia="Times New Roman" w:hAnsi="Times New Roman"/>
          <w:bCs/>
          <w:iCs/>
          <w:lang w:eastAsia="lv-LV"/>
        </w:rPr>
        <w:t xml:space="preserve"> uztic</w:t>
      </w:r>
      <w:r>
        <w:rPr>
          <w:rFonts w:ascii="Times New Roman" w:eastAsia="Times New Roman" w:hAnsi="Times New Roman"/>
          <w:bCs/>
          <w:iCs/>
          <w:lang w:eastAsia="lv-LV"/>
        </w:rPr>
        <w:t>am</w:t>
      </w:r>
      <w:r w:rsidRPr="000174CC">
        <w:rPr>
          <w:rFonts w:ascii="Times New Roman" w:eastAsia="Times New Roman" w:hAnsi="Times New Roman"/>
          <w:bCs/>
          <w:iCs/>
          <w:lang w:eastAsia="lv-LV"/>
        </w:rPr>
        <w:t xml:space="preserve">ību </w:t>
      </w:r>
      <w:r>
        <w:rPr>
          <w:rFonts w:ascii="Times New Roman" w:eastAsia="Times New Roman" w:hAnsi="Times New Roman"/>
          <w:bCs/>
          <w:iCs/>
          <w:lang w:eastAsia="lv-LV"/>
        </w:rPr>
        <w:t>augstskolu</w:t>
      </w:r>
      <w:r w:rsidRPr="000174CC">
        <w:rPr>
          <w:rFonts w:ascii="Times New Roman" w:eastAsia="Times New Roman" w:hAnsi="Times New Roman"/>
          <w:bCs/>
          <w:iCs/>
          <w:lang w:eastAsia="lv-LV"/>
        </w:rPr>
        <w:t xml:space="preserve"> kvalitātes garantijām, tādējādi, veicinot arī studentu mobilitāti un savstarpējo grādu un kvalifikāciju atzīšanu.</w:t>
      </w:r>
    </w:p>
  </w:footnote>
  <w:footnote w:id="2">
    <w:p w:rsidR="00ED48A9" w:rsidRPr="000174CC" w:rsidRDefault="00ED48A9" w:rsidP="00A24CE8">
      <w:pPr>
        <w:pStyle w:val="FootnoteText"/>
        <w:jc w:val="both"/>
        <w:rPr>
          <w:rFonts w:ascii="Times New Roman" w:hAnsi="Times New Roman"/>
        </w:rPr>
      </w:pPr>
      <w:r w:rsidRPr="000174CC">
        <w:rPr>
          <w:rStyle w:val="FootnoteReference"/>
          <w:rFonts w:ascii="Times New Roman" w:hAnsi="Times New Roman"/>
        </w:rPr>
        <w:footnoteRef/>
      </w:r>
      <w:r w:rsidRPr="000174CC">
        <w:rPr>
          <w:rFonts w:ascii="Times New Roman" w:hAnsi="Times New Roman"/>
        </w:rPr>
        <w:t xml:space="preserve"> </w:t>
      </w:r>
      <w:r w:rsidR="00A24CE8" w:rsidRPr="00A24CE8">
        <w:rPr>
          <w:rFonts w:ascii="Times New Roman" w:hAnsi="Times New Roman"/>
        </w:rPr>
        <w:t>Boloņas process sākās 1999. gada 19. jūnijā, kad 29 Eiropas valstu izglītības ministri</w:t>
      </w:r>
      <w:r w:rsidR="00A24CE8">
        <w:rPr>
          <w:rFonts w:ascii="Times New Roman" w:hAnsi="Times New Roman"/>
        </w:rPr>
        <w:t xml:space="preserve"> (t.sk. Latvija) parakstīja Boloņas deklarāciju. Šobrīd dalībvalstu skaits</w:t>
      </w:r>
      <w:r w:rsidR="00A24CE8" w:rsidRPr="00A24CE8">
        <w:rPr>
          <w:rFonts w:ascii="Times New Roman" w:hAnsi="Times New Roman"/>
        </w:rPr>
        <w:t xml:space="preserve"> sasniedzis 4</w:t>
      </w:r>
      <w:r w:rsidR="00A24CE8">
        <w:rPr>
          <w:rFonts w:ascii="Times New Roman" w:hAnsi="Times New Roman"/>
        </w:rPr>
        <w:t>8</w:t>
      </w:r>
      <w:r w:rsidR="00A24CE8" w:rsidRPr="00A24CE8">
        <w:rPr>
          <w:rFonts w:ascii="Times New Roman" w:hAnsi="Times New Roman"/>
        </w:rPr>
        <w:t>.</w:t>
      </w:r>
      <w:r w:rsidR="00A24CE8">
        <w:rPr>
          <w:rFonts w:ascii="Times New Roman" w:hAnsi="Times New Roman"/>
        </w:rPr>
        <w:t xml:space="preserve"> </w:t>
      </w:r>
      <w:r w:rsidR="00A24CE8" w:rsidRPr="00A24CE8">
        <w:rPr>
          <w:rFonts w:ascii="Times New Roman" w:hAnsi="Times New Roman"/>
        </w:rPr>
        <w:t>Boloņas procesa virsmēŗkis, izveidojot Eiropas augstākās izglītības telpu, nodrošināt augstākās izglītības sistēmu salīdzināmību un saskaņotību, ar nolūku veicināt iedzīvotāju mobilitāti, nodarbināmību un Eiropas augstākās izglītības starptautisko konkurētspēju.</w:t>
      </w:r>
      <w:r w:rsidR="00A24CE8">
        <w:rPr>
          <w:rFonts w:ascii="Times New Roman" w:hAnsi="Times New Roman"/>
        </w:rPr>
        <w:t xml:space="preserve"> </w:t>
      </w:r>
      <w:hyperlink r:id="rId2" w:history="1">
        <w:r w:rsidR="00A24CE8" w:rsidRPr="009714D1">
          <w:rPr>
            <w:rStyle w:val="Hyperlink"/>
            <w:rFonts w:ascii="Times New Roman" w:hAnsi="Times New Roman"/>
          </w:rPr>
          <w:t>http://www.ehea.info/</w:t>
        </w:r>
      </w:hyperlink>
    </w:p>
  </w:footnote>
  <w:footnote w:id="3">
    <w:p w:rsidR="00ED48A9" w:rsidRPr="008016F0" w:rsidRDefault="00ED48A9" w:rsidP="00A24CE8">
      <w:pPr>
        <w:spacing w:after="0" w:line="240" w:lineRule="auto"/>
        <w:jc w:val="both"/>
        <w:rPr>
          <w:rFonts w:ascii="Times New Roman" w:hAnsi="Times New Roman"/>
          <w:sz w:val="20"/>
          <w:szCs w:val="20"/>
        </w:rPr>
      </w:pPr>
      <w:r w:rsidRPr="008016F0">
        <w:rPr>
          <w:rStyle w:val="FootnoteReference"/>
          <w:rFonts w:ascii="Times New Roman" w:hAnsi="Times New Roman"/>
          <w:sz w:val="20"/>
          <w:szCs w:val="20"/>
        </w:rPr>
        <w:footnoteRef/>
      </w:r>
      <w:r w:rsidRPr="008016F0">
        <w:rPr>
          <w:rFonts w:ascii="Times New Roman" w:hAnsi="Times New Roman"/>
          <w:sz w:val="20"/>
          <w:szCs w:val="20"/>
        </w:rPr>
        <w:t xml:space="preserve"> </w:t>
      </w:r>
      <w:r w:rsidRPr="008016F0">
        <w:rPr>
          <w:rFonts w:ascii="Times New Roman" w:eastAsia="Times New Roman" w:hAnsi="Times New Roman"/>
          <w:bCs/>
          <w:iCs/>
          <w:sz w:val="20"/>
          <w:szCs w:val="20"/>
          <w:lang w:eastAsia="lv-LV"/>
        </w:rPr>
        <w:t xml:space="preserve">Standarti un vadlīnijas kvalitātes nodrošināšanai Eiropas augstākās izglītības telpā </w:t>
      </w:r>
      <w:r w:rsidRPr="008016F0">
        <w:rPr>
          <w:rFonts w:ascii="Times New Roman" w:eastAsia="Times New Roman" w:hAnsi="Times New Roman"/>
          <w:bCs/>
          <w:i/>
          <w:iCs/>
          <w:sz w:val="20"/>
          <w:szCs w:val="20"/>
          <w:lang w:eastAsia="lv-LV"/>
        </w:rPr>
        <w:t>(Standards and Guidelines for Quality Assurance in the European Higher Education Area)</w:t>
      </w:r>
      <w:r w:rsidRPr="008016F0">
        <w:rPr>
          <w:rFonts w:ascii="Times New Roman" w:eastAsia="Times New Roman" w:hAnsi="Times New Roman"/>
          <w:bCs/>
          <w:iCs/>
          <w:sz w:val="20"/>
          <w:szCs w:val="20"/>
          <w:lang w:eastAsia="lv-LV"/>
        </w:rPr>
        <w:t xml:space="preserve"> p</w:t>
      </w:r>
      <w:r w:rsidRPr="008016F0">
        <w:rPr>
          <w:rFonts w:ascii="Times New Roman" w:hAnsi="Times New Roman"/>
          <w:sz w:val="20"/>
          <w:szCs w:val="20"/>
        </w:rPr>
        <w:t>ieņemti par augstāko izglītību atbildīgo ministru samītā 2015.gada maijā, Erevānā, Armēnijā, un to izstrādāja darba grupa, kuras sastāvā ir pārstāvji no Eiropas asociācijas kvalitātes nodrošināšanai augstākajā izglītībā, Eiropas Studentu asociācijas, Eiropas Universitāšu asociācijas, Eiropas Augstākās izglītības institūciju asociācijas</w:t>
      </w:r>
      <w:r w:rsidRPr="008016F0">
        <w:rPr>
          <w:rFonts w:ascii="Times New Roman" w:eastAsia="Times New Roman" w:hAnsi="Times New Roman"/>
          <w:bCs/>
          <w:iCs/>
          <w:sz w:val="20"/>
          <w:szCs w:val="20"/>
          <w:lang w:eastAsia="lv-LV"/>
        </w:rPr>
        <w:t>. Standartu un vadlīniju kvalitātes nodrošināšanai Eiropas augstākās izglītības telpā</w:t>
      </w:r>
      <w:r w:rsidRPr="008016F0">
        <w:rPr>
          <w:rFonts w:ascii="Times New Roman" w:hAnsi="Times New Roman"/>
          <w:sz w:val="20"/>
          <w:szCs w:val="20"/>
        </w:rPr>
        <w:t xml:space="preserve"> pilns teksts angļu valodā: </w:t>
      </w:r>
      <w:hyperlink r:id="rId3" w:history="1">
        <w:r w:rsidRPr="008016F0">
          <w:rPr>
            <w:rStyle w:val="Hyperlink"/>
            <w:rFonts w:ascii="Times New Roman" w:hAnsi="Times New Roman"/>
            <w:sz w:val="20"/>
            <w:szCs w:val="20"/>
          </w:rPr>
          <w:t>http://www.enqa.eu/wp-content/uploads/2015/11/ESG_2015.pdf</w:t>
        </w:r>
      </w:hyperlink>
      <w:r w:rsidRPr="008016F0">
        <w:rPr>
          <w:rFonts w:ascii="Times New Roman" w:hAnsi="Times New Roman"/>
          <w:sz w:val="20"/>
          <w:szCs w:val="20"/>
        </w:rPr>
        <w:t xml:space="preserve">  </w:t>
      </w:r>
    </w:p>
  </w:footnote>
  <w:footnote w:id="4">
    <w:p w:rsidR="00ED48A9" w:rsidRPr="008016F0" w:rsidRDefault="00ED48A9" w:rsidP="008016F0">
      <w:pPr>
        <w:pStyle w:val="FootnoteText"/>
        <w:jc w:val="both"/>
        <w:rPr>
          <w:rFonts w:ascii="Times New Roman" w:hAnsi="Times New Roman"/>
        </w:rPr>
      </w:pPr>
      <w:r w:rsidRPr="008016F0">
        <w:rPr>
          <w:rStyle w:val="FootnoteReference"/>
          <w:rFonts w:ascii="Times New Roman" w:hAnsi="Times New Roman"/>
        </w:rPr>
        <w:footnoteRef/>
      </w:r>
      <w:r w:rsidRPr="008016F0">
        <w:rPr>
          <w:rFonts w:ascii="Times New Roman" w:hAnsi="Times New Roman"/>
        </w:rPr>
        <w:t xml:space="preserve"> </w:t>
      </w:r>
      <w:hyperlink r:id="rId4" w:history="1">
        <w:r w:rsidR="00DA32A6" w:rsidRPr="008016F0">
          <w:rPr>
            <w:rStyle w:val="Hyperlink"/>
            <w:rFonts w:ascii="Times New Roman" w:hAnsi="Times New Roman"/>
          </w:rPr>
          <w:t>https://m.likumi.lv/doc.php?id=267069</w:t>
        </w:r>
      </w:hyperlink>
      <w:r w:rsidR="00DA32A6" w:rsidRPr="008016F0">
        <w:rPr>
          <w:rFonts w:ascii="Times New Roman" w:hAnsi="Times New Roman"/>
        </w:rPr>
        <w:t xml:space="preserve"> </w:t>
      </w:r>
    </w:p>
  </w:footnote>
  <w:footnote w:id="5">
    <w:p w:rsidR="00ED48A9" w:rsidRPr="008016F0" w:rsidRDefault="00ED48A9" w:rsidP="008016F0">
      <w:pPr>
        <w:pStyle w:val="CommentText"/>
        <w:jc w:val="both"/>
        <w:rPr>
          <w:rFonts w:ascii="Times New Roman" w:hAnsi="Times New Roman"/>
        </w:rPr>
      </w:pPr>
      <w:r w:rsidRPr="008016F0">
        <w:rPr>
          <w:rStyle w:val="FootnoteReference"/>
          <w:rFonts w:ascii="Times New Roman" w:hAnsi="Times New Roman"/>
        </w:rPr>
        <w:footnoteRef/>
      </w:r>
      <w:r w:rsidRPr="008016F0">
        <w:rPr>
          <w:rFonts w:ascii="Times New Roman" w:hAnsi="Times New Roman"/>
        </w:rPr>
        <w:t xml:space="preserve"> “Globalizācija, ekonomikas integrācija un lielāka mobilitāte augstākās izglītības un profesionālajā jomā palielināja nepieciešamību profesionālās kvalifikācijas atzīšanai ārpus tās valsts robežām, kurā tā iegūta. </w:t>
      </w:r>
      <w:r w:rsidRPr="008016F0">
        <w:rPr>
          <w:rFonts w:ascii="Times New Roman" w:hAnsi="Times New Roman"/>
          <w:u w:val="single"/>
        </w:rPr>
        <w:t>Izglītības attīstības pamatnostādnes 2014.–2020.gadam paredz izveidot starptautiski konkurētspējīgu nacionālo augstākās izglītības kvalitātes nodrošināšanas institūciju un atbalsta pasākumus tās iekļūšanai EQAR kā akreditācijas institūcijai ne vēlāk kā līdz 2018.gadam</w:t>
      </w:r>
      <w:r w:rsidRPr="008016F0">
        <w:rPr>
          <w:rFonts w:ascii="Times New Roman" w:hAnsi="Times New Roman"/>
        </w:rPr>
        <w:t>. Nacionālo aģentūru plānots izveidot 2015.gadā, izveides izmaksas sedzot no valsts budžeta līdzekļiem. EQAR aģentūras izmantošana akreditācijā veicinās augstākās izglītības kvalitātes kultūras</w:t>
      </w:r>
      <w:r w:rsidRPr="008016F0">
        <w:rPr>
          <w:rFonts w:ascii="Times New Roman" w:hAnsi="Times New Roman"/>
          <w:vertAlign w:val="superscript"/>
        </w:rPr>
        <w:t>76</w:t>
      </w:r>
      <w:r w:rsidRPr="008016F0">
        <w:rPr>
          <w:rFonts w:ascii="Times New Roman" w:hAnsi="Times New Roman"/>
        </w:rPr>
        <w:t xml:space="preserve"> attīstību atbilstoši labākajiem standartiem EAIT, vienlaikus palielinās uzticamību Latvijas augstākajai izglītībai un tajā iegūtajiem diplomiem, kā arī palīdzēs veidot kontaktus ar partneriem ārvalstīs, tādejādi sekmējot starptautisko sadarbību.</w:t>
      </w:r>
    </w:p>
    <w:p w:rsidR="00ED48A9" w:rsidRDefault="00ED48A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A9" w:rsidRDefault="00CD6BAA"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ED48A9"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553849">
      <w:rPr>
        <w:rFonts w:ascii="Times New Roman" w:hAnsi="Times New Roman"/>
        <w:noProof/>
        <w:sz w:val="24"/>
        <w:szCs w:val="24"/>
      </w:rPr>
      <w:t>12</w:t>
    </w:r>
    <w:r w:rsidRPr="00F4546D">
      <w:rPr>
        <w:rFonts w:ascii="Times New Roman" w:hAnsi="Times New Roman"/>
        <w:sz w:val="24"/>
        <w:szCs w:val="24"/>
      </w:rPr>
      <w:fldChar w:fldCharType="end"/>
    </w:r>
  </w:p>
  <w:p w:rsidR="00ED48A9" w:rsidRPr="00F4546D" w:rsidRDefault="00ED48A9"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43A"/>
    <w:multiLevelType w:val="hybridMultilevel"/>
    <w:tmpl w:val="A70CF9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47531"/>
    <w:multiLevelType w:val="hybridMultilevel"/>
    <w:tmpl w:val="EB360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F560F8"/>
    <w:multiLevelType w:val="hybridMultilevel"/>
    <w:tmpl w:val="410CB7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C55056"/>
    <w:multiLevelType w:val="hybridMultilevel"/>
    <w:tmpl w:val="A14A03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484B00"/>
    <w:multiLevelType w:val="hybridMultilevel"/>
    <w:tmpl w:val="034259DA"/>
    <w:lvl w:ilvl="0" w:tplc="7FAA3234">
      <w:start w:val="1"/>
      <w:numFmt w:val="decimal"/>
      <w:lvlText w:val="%1)"/>
      <w:lvlJc w:val="left"/>
      <w:pPr>
        <w:ind w:left="360" w:hanging="360"/>
      </w:pPr>
      <w:rPr>
        <w:rFonts w:ascii="Times New Roman" w:eastAsia="Calibri" w:hAnsi="Times New Roman"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B5D00C4"/>
    <w:multiLevelType w:val="hybridMultilevel"/>
    <w:tmpl w:val="BCA809B2"/>
    <w:lvl w:ilvl="0" w:tplc="C284E8B2">
      <w:start w:val="200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574B7"/>
    <w:multiLevelType w:val="hybridMultilevel"/>
    <w:tmpl w:val="C94604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EDC3F9F"/>
    <w:multiLevelType w:val="hybridMultilevel"/>
    <w:tmpl w:val="B8D44F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12B57"/>
    <w:rsid w:val="0001406B"/>
    <w:rsid w:val="000140A6"/>
    <w:rsid w:val="00015322"/>
    <w:rsid w:val="000174CC"/>
    <w:rsid w:val="000238EF"/>
    <w:rsid w:val="000313D2"/>
    <w:rsid w:val="00036FA5"/>
    <w:rsid w:val="00047DE0"/>
    <w:rsid w:val="000503AD"/>
    <w:rsid w:val="000529FD"/>
    <w:rsid w:val="00057E77"/>
    <w:rsid w:val="00064A14"/>
    <w:rsid w:val="0006697F"/>
    <w:rsid w:val="00074A3A"/>
    <w:rsid w:val="0008504B"/>
    <w:rsid w:val="00091337"/>
    <w:rsid w:val="00091E19"/>
    <w:rsid w:val="0009669B"/>
    <w:rsid w:val="000C0894"/>
    <w:rsid w:val="000C0CAE"/>
    <w:rsid w:val="000C3B1A"/>
    <w:rsid w:val="000C5B35"/>
    <w:rsid w:val="000D13F5"/>
    <w:rsid w:val="000D3684"/>
    <w:rsid w:val="000E10BF"/>
    <w:rsid w:val="000E4017"/>
    <w:rsid w:val="000F0505"/>
    <w:rsid w:val="000F2F18"/>
    <w:rsid w:val="000F33F5"/>
    <w:rsid w:val="000F47DB"/>
    <w:rsid w:val="000F597B"/>
    <w:rsid w:val="000F5A14"/>
    <w:rsid w:val="0010262B"/>
    <w:rsid w:val="00103260"/>
    <w:rsid w:val="001164DE"/>
    <w:rsid w:val="00121135"/>
    <w:rsid w:val="00122AA2"/>
    <w:rsid w:val="00130164"/>
    <w:rsid w:val="00134A84"/>
    <w:rsid w:val="00137432"/>
    <w:rsid w:val="00143993"/>
    <w:rsid w:val="001441A7"/>
    <w:rsid w:val="001515ED"/>
    <w:rsid w:val="001555FE"/>
    <w:rsid w:val="00163C48"/>
    <w:rsid w:val="001877D6"/>
    <w:rsid w:val="0019330F"/>
    <w:rsid w:val="00196D09"/>
    <w:rsid w:val="00196F5F"/>
    <w:rsid w:val="001A08CA"/>
    <w:rsid w:val="001B11D8"/>
    <w:rsid w:val="001B2B20"/>
    <w:rsid w:val="001B53A6"/>
    <w:rsid w:val="001D4CA7"/>
    <w:rsid w:val="001D5D6F"/>
    <w:rsid w:val="001E1B5B"/>
    <w:rsid w:val="001F5A13"/>
    <w:rsid w:val="0020065E"/>
    <w:rsid w:val="002006B7"/>
    <w:rsid w:val="00204189"/>
    <w:rsid w:val="00206BC9"/>
    <w:rsid w:val="00214DE6"/>
    <w:rsid w:val="002172EA"/>
    <w:rsid w:val="0022159D"/>
    <w:rsid w:val="00224523"/>
    <w:rsid w:val="00231770"/>
    <w:rsid w:val="00237B91"/>
    <w:rsid w:val="002419DC"/>
    <w:rsid w:val="00250073"/>
    <w:rsid w:val="00255D20"/>
    <w:rsid w:val="00260CAD"/>
    <w:rsid w:val="00261A77"/>
    <w:rsid w:val="00272847"/>
    <w:rsid w:val="00275B3C"/>
    <w:rsid w:val="002865DB"/>
    <w:rsid w:val="002901D5"/>
    <w:rsid w:val="002B02F1"/>
    <w:rsid w:val="002B0432"/>
    <w:rsid w:val="002B1A24"/>
    <w:rsid w:val="002C674B"/>
    <w:rsid w:val="002C7B8E"/>
    <w:rsid w:val="002D0EB1"/>
    <w:rsid w:val="002D4D8A"/>
    <w:rsid w:val="002E0C6C"/>
    <w:rsid w:val="002E1433"/>
    <w:rsid w:val="002E4F4C"/>
    <w:rsid w:val="002F77D0"/>
    <w:rsid w:val="00304E39"/>
    <w:rsid w:val="0030592D"/>
    <w:rsid w:val="003066F4"/>
    <w:rsid w:val="003138F6"/>
    <w:rsid w:val="00313C26"/>
    <w:rsid w:val="00322FF1"/>
    <w:rsid w:val="00324E0F"/>
    <w:rsid w:val="00330358"/>
    <w:rsid w:val="00331314"/>
    <w:rsid w:val="0033149E"/>
    <w:rsid w:val="00354158"/>
    <w:rsid w:val="00357C02"/>
    <w:rsid w:val="00363334"/>
    <w:rsid w:val="0036535E"/>
    <w:rsid w:val="003676D3"/>
    <w:rsid w:val="0037596D"/>
    <w:rsid w:val="00377D6C"/>
    <w:rsid w:val="0038608C"/>
    <w:rsid w:val="00386A63"/>
    <w:rsid w:val="00392D00"/>
    <w:rsid w:val="00394480"/>
    <w:rsid w:val="00396EBE"/>
    <w:rsid w:val="003A6BFF"/>
    <w:rsid w:val="003A6FF0"/>
    <w:rsid w:val="003B0459"/>
    <w:rsid w:val="003B3A84"/>
    <w:rsid w:val="003B65EA"/>
    <w:rsid w:val="003D53C0"/>
    <w:rsid w:val="003D5881"/>
    <w:rsid w:val="003D6A76"/>
    <w:rsid w:val="003E12C5"/>
    <w:rsid w:val="003E49E2"/>
    <w:rsid w:val="003E785F"/>
    <w:rsid w:val="003F3D44"/>
    <w:rsid w:val="00400644"/>
    <w:rsid w:val="0040118F"/>
    <w:rsid w:val="00401BA8"/>
    <w:rsid w:val="00414ACA"/>
    <w:rsid w:val="004270E6"/>
    <w:rsid w:val="00430DB4"/>
    <w:rsid w:val="004328CA"/>
    <w:rsid w:val="004358D3"/>
    <w:rsid w:val="004460C6"/>
    <w:rsid w:val="00454A2A"/>
    <w:rsid w:val="0045553F"/>
    <w:rsid w:val="00470A88"/>
    <w:rsid w:val="00474447"/>
    <w:rsid w:val="00482C68"/>
    <w:rsid w:val="00491982"/>
    <w:rsid w:val="00492AC9"/>
    <w:rsid w:val="004A16FD"/>
    <w:rsid w:val="004A505F"/>
    <w:rsid w:val="004A53C8"/>
    <w:rsid w:val="004A549F"/>
    <w:rsid w:val="004B11A4"/>
    <w:rsid w:val="004C1815"/>
    <w:rsid w:val="004C4E93"/>
    <w:rsid w:val="004D2904"/>
    <w:rsid w:val="004D3CA0"/>
    <w:rsid w:val="004D4927"/>
    <w:rsid w:val="004D6490"/>
    <w:rsid w:val="004E3E53"/>
    <w:rsid w:val="004E520A"/>
    <w:rsid w:val="004F3907"/>
    <w:rsid w:val="00514354"/>
    <w:rsid w:val="00517034"/>
    <w:rsid w:val="0052664B"/>
    <w:rsid w:val="00526E29"/>
    <w:rsid w:val="00530499"/>
    <w:rsid w:val="00531930"/>
    <w:rsid w:val="00545807"/>
    <w:rsid w:val="005500AC"/>
    <w:rsid w:val="00551B92"/>
    <w:rsid w:val="00553849"/>
    <w:rsid w:val="00560212"/>
    <w:rsid w:val="00561B38"/>
    <w:rsid w:val="00561F6C"/>
    <w:rsid w:val="0056429A"/>
    <w:rsid w:val="00570408"/>
    <w:rsid w:val="00574635"/>
    <w:rsid w:val="005749B4"/>
    <w:rsid w:val="00575722"/>
    <w:rsid w:val="00577216"/>
    <w:rsid w:val="00583A5D"/>
    <w:rsid w:val="00584FB1"/>
    <w:rsid w:val="005866B5"/>
    <w:rsid w:val="005925F2"/>
    <w:rsid w:val="00593BF9"/>
    <w:rsid w:val="005B42B6"/>
    <w:rsid w:val="005C3F18"/>
    <w:rsid w:val="005C42B1"/>
    <w:rsid w:val="005C7649"/>
    <w:rsid w:val="005D4875"/>
    <w:rsid w:val="005D56D4"/>
    <w:rsid w:val="005D734C"/>
    <w:rsid w:val="005E51CF"/>
    <w:rsid w:val="005F4683"/>
    <w:rsid w:val="005F4842"/>
    <w:rsid w:val="005F5ADA"/>
    <w:rsid w:val="005F7EC6"/>
    <w:rsid w:val="0060162E"/>
    <w:rsid w:val="00604D0B"/>
    <w:rsid w:val="00613DAC"/>
    <w:rsid w:val="00621595"/>
    <w:rsid w:val="00627A99"/>
    <w:rsid w:val="00631529"/>
    <w:rsid w:val="00634BA3"/>
    <w:rsid w:val="0064042F"/>
    <w:rsid w:val="006464A8"/>
    <w:rsid w:val="006464EB"/>
    <w:rsid w:val="00647270"/>
    <w:rsid w:val="0065161F"/>
    <w:rsid w:val="00651756"/>
    <w:rsid w:val="00664145"/>
    <w:rsid w:val="0067155B"/>
    <w:rsid w:val="006814A2"/>
    <w:rsid w:val="006825C0"/>
    <w:rsid w:val="006827A8"/>
    <w:rsid w:val="0069081F"/>
    <w:rsid w:val="0069445E"/>
    <w:rsid w:val="00694633"/>
    <w:rsid w:val="00697A6D"/>
    <w:rsid w:val="006A33BF"/>
    <w:rsid w:val="006A3B0A"/>
    <w:rsid w:val="006C2A3C"/>
    <w:rsid w:val="006C41A8"/>
    <w:rsid w:val="006C5F23"/>
    <w:rsid w:val="006D2B67"/>
    <w:rsid w:val="006E054E"/>
    <w:rsid w:val="006E0FC5"/>
    <w:rsid w:val="006E17F5"/>
    <w:rsid w:val="006E304C"/>
    <w:rsid w:val="006E6D49"/>
    <w:rsid w:val="006F0067"/>
    <w:rsid w:val="006F11ED"/>
    <w:rsid w:val="006F3CAE"/>
    <w:rsid w:val="006F5C39"/>
    <w:rsid w:val="00702234"/>
    <w:rsid w:val="007058CE"/>
    <w:rsid w:val="00707B66"/>
    <w:rsid w:val="0071082B"/>
    <w:rsid w:val="0071103F"/>
    <w:rsid w:val="007147BE"/>
    <w:rsid w:val="007162FE"/>
    <w:rsid w:val="0072092B"/>
    <w:rsid w:val="00723848"/>
    <w:rsid w:val="00723980"/>
    <w:rsid w:val="007248FB"/>
    <w:rsid w:val="00733C8C"/>
    <w:rsid w:val="0074653E"/>
    <w:rsid w:val="00763606"/>
    <w:rsid w:val="00767FD6"/>
    <w:rsid w:val="00771AE0"/>
    <w:rsid w:val="00773158"/>
    <w:rsid w:val="00773C6A"/>
    <w:rsid w:val="007774B3"/>
    <w:rsid w:val="00784229"/>
    <w:rsid w:val="00787327"/>
    <w:rsid w:val="00787C61"/>
    <w:rsid w:val="007973E0"/>
    <w:rsid w:val="007A0535"/>
    <w:rsid w:val="007A2871"/>
    <w:rsid w:val="007A5D0E"/>
    <w:rsid w:val="007B07F6"/>
    <w:rsid w:val="007B351D"/>
    <w:rsid w:val="007C37A3"/>
    <w:rsid w:val="007C4012"/>
    <w:rsid w:val="007C47AB"/>
    <w:rsid w:val="007C5781"/>
    <w:rsid w:val="007D3992"/>
    <w:rsid w:val="007E5DBD"/>
    <w:rsid w:val="007E7C9E"/>
    <w:rsid w:val="007F0E70"/>
    <w:rsid w:val="007F2B8D"/>
    <w:rsid w:val="007F4A34"/>
    <w:rsid w:val="007F4D4F"/>
    <w:rsid w:val="007F662D"/>
    <w:rsid w:val="00800369"/>
    <w:rsid w:val="008016F0"/>
    <w:rsid w:val="00810A06"/>
    <w:rsid w:val="00812271"/>
    <w:rsid w:val="00816BD1"/>
    <w:rsid w:val="0082002F"/>
    <w:rsid w:val="00830CB6"/>
    <w:rsid w:val="00833E9A"/>
    <w:rsid w:val="00835064"/>
    <w:rsid w:val="00840CFA"/>
    <w:rsid w:val="0084172F"/>
    <w:rsid w:val="00854F3B"/>
    <w:rsid w:val="00857EF2"/>
    <w:rsid w:val="00857EFA"/>
    <w:rsid w:val="00863303"/>
    <w:rsid w:val="00863C9D"/>
    <w:rsid w:val="00873DA8"/>
    <w:rsid w:val="0087656E"/>
    <w:rsid w:val="008907EB"/>
    <w:rsid w:val="0089225C"/>
    <w:rsid w:val="00893F3F"/>
    <w:rsid w:val="00895EF4"/>
    <w:rsid w:val="008A045C"/>
    <w:rsid w:val="008B4FFB"/>
    <w:rsid w:val="008B68AD"/>
    <w:rsid w:val="008C0B91"/>
    <w:rsid w:val="008C2F6A"/>
    <w:rsid w:val="008C60BC"/>
    <w:rsid w:val="008D37A4"/>
    <w:rsid w:val="008D3E73"/>
    <w:rsid w:val="008D676F"/>
    <w:rsid w:val="008F783E"/>
    <w:rsid w:val="00905D40"/>
    <w:rsid w:val="009101D5"/>
    <w:rsid w:val="00930A74"/>
    <w:rsid w:val="0093566F"/>
    <w:rsid w:val="00935861"/>
    <w:rsid w:val="00944E05"/>
    <w:rsid w:val="00944F1A"/>
    <w:rsid w:val="0094577B"/>
    <w:rsid w:val="00946764"/>
    <w:rsid w:val="00947815"/>
    <w:rsid w:val="00951E78"/>
    <w:rsid w:val="009625C1"/>
    <w:rsid w:val="009636D0"/>
    <w:rsid w:val="009675F2"/>
    <w:rsid w:val="00970000"/>
    <w:rsid w:val="009705CA"/>
    <w:rsid w:val="00971FE2"/>
    <w:rsid w:val="00973AB7"/>
    <w:rsid w:val="0098126F"/>
    <w:rsid w:val="00985459"/>
    <w:rsid w:val="00994C8B"/>
    <w:rsid w:val="009A1198"/>
    <w:rsid w:val="009A1E24"/>
    <w:rsid w:val="009B0744"/>
    <w:rsid w:val="009B2A08"/>
    <w:rsid w:val="009B3D7E"/>
    <w:rsid w:val="009E0243"/>
    <w:rsid w:val="009E3113"/>
    <w:rsid w:val="009E4133"/>
    <w:rsid w:val="009F6089"/>
    <w:rsid w:val="00A13AAD"/>
    <w:rsid w:val="00A24CE8"/>
    <w:rsid w:val="00A26DC3"/>
    <w:rsid w:val="00A272D5"/>
    <w:rsid w:val="00A30E5A"/>
    <w:rsid w:val="00A325FA"/>
    <w:rsid w:val="00A347E5"/>
    <w:rsid w:val="00A36555"/>
    <w:rsid w:val="00A40CE2"/>
    <w:rsid w:val="00A415D2"/>
    <w:rsid w:val="00A4504C"/>
    <w:rsid w:val="00A527DF"/>
    <w:rsid w:val="00A54BE6"/>
    <w:rsid w:val="00A55998"/>
    <w:rsid w:val="00A62082"/>
    <w:rsid w:val="00A6532E"/>
    <w:rsid w:val="00A65786"/>
    <w:rsid w:val="00A704E5"/>
    <w:rsid w:val="00A76C0A"/>
    <w:rsid w:val="00A82FE6"/>
    <w:rsid w:val="00A87395"/>
    <w:rsid w:val="00A917AF"/>
    <w:rsid w:val="00A94898"/>
    <w:rsid w:val="00A975C7"/>
    <w:rsid w:val="00A97773"/>
    <w:rsid w:val="00AA3E1C"/>
    <w:rsid w:val="00AA4BE4"/>
    <w:rsid w:val="00AC20F9"/>
    <w:rsid w:val="00AC2235"/>
    <w:rsid w:val="00AC5970"/>
    <w:rsid w:val="00AC62B2"/>
    <w:rsid w:val="00AD15DD"/>
    <w:rsid w:val="00AD22EE"/>
    <w:rsid w:val="00AD32A3"/>
    <w:rsid w:val="00AD6930"/>
    <w:rsid w:val="00AF6AED"/>
    <w:rsid w:val="00AF7504"/>
    <w:rsid w:val="00B01379"/>
    <w:rsid w:val="00B061C9"/>
    <w:rsid w:val="00B07928"/>
    <w:rsid w:val="00B10218"/>
    <w:rsid w:val="00B14636"/>
    <w:rsid w:val="00B21F14"/>
    <w:rsid w:val="00B232E9"/>
    <w:rsid w:val="00B243BF"/>
    <w:rsid w:val="00B2641B"/>
    <w:rsid w:val="00B31D70"/>
    <w:rsid w:val="00B4613D"/>
    <w:rsid w:val="00B47243"/>
    <w:rsid w:val="00B501DC"/>
    <w:rsid w:val="00B52298"/>
    <w:rsid w:val="00B54E5E"/>
    <w:rsid w:val="00B61941"/>
    <w:rsid w:val="00B65C59"/>
    <w:rsid w:val="00B72734"/>
    <w:rsid w:val="00B73480"/>
    <w:rsid w:val="00B87AAF"/>
    <w:rsid w:val="00B91E30"/>
    <w:rsid w:val="00B93008"/>
    <w:rsid w:val="00BB10ED"/>
    <w:rsid w:val="00BB24B4"/>
    <w:rsid w:val="00BC5F85"/>
    <w:rsid w:val="00BD1C23"/>
    <w:rsid w:val="00BE4BFC"/>
    <w:rsid w:val="00BE7038"/>
    <w:rsid w:val="00C0178C"/>
    <w:rsid w:val="00C02C2B"/>
    <w:rsid w:val="00C05444"/>
    <w:rsid w:val="00C054D6"/>
    <w:rsid w:val="00C1270E"/>
    <w:rsid w:val="00C17199"/>
    <w:rsid w:val="00C21978"/>
    <w:rsid w:val="00C27B87"/>
    <w:rsid w:val="00C32B4B"/>
    <w:rsid w:val="00C3373E"/>
    <w:rsid w:val="00C36939"/>
    <w:rsid w:val="00C37291"/>
    <w:rsid w:val="00C40CBD"/>
    <w:rsid w:val="00C41CAB"/>
    <w:rsid w:val="00C51360"/>
    <w:rsid w:val="00C64748"/>
    <w:rsid w:val="00C70962"/>
    <w:rsid w:val="00C76A5D"/>
    <w:rsid w:val="00C77494"/>
    <w:rsid w:val="00C77A99"/>
    <w:rsid w:val="00C95874"/>
    <w:rsid w:val="00C9613F"/>
    <w:rsid w:val="00C96AD3"/>
    <w:rsid w:val="00CA0E56"/>
    <w:rsid w:val="00CA21EC"/>
    <w:rsid w:val="00CA7EF4"/>
    <w:rsid w:val="00CB018F"/>
    <w:rsid w:val="00CB1A1E"/>
    <w:rsid w:val="00CB1D17"/>
    <w:rsid w:val="00CC44D3"/>
    <w:rsid w:val="00CC45B9"/>
    <w:rsid w:val="00CD6BAA"/>
    <w:rsid w:val="00CE0B2A"/>
    <w:rsid w:val="00CE50EB"/>
    <w:rsid w:val="00CE7745"/>
    <w:rsid w:val="00CF0766"/>
    <w:rsid w:val="00CF1208"/>
    <w:rsid w:val="00D052D6"/>
    <w:rsid w:val="00D169F6"/>
    <w:rsid w:val="00D20A6E"/>
    <w:rsid w:val="00D23B0E"/>
    <w:rsid w:val="00D24C48"/>
    <w:rsid w:val="00D32E3B"/>
    <w:rsid w:val="00D52C05"/>
    <w:rsid w:val="00D5375B"/>
    <w:rsid w:val="00D7234C"/>
    <w:rsid w:val="00D80D82"/>
    <w:rsid w:val="00D84AEE"/>
    <w:rsid w:val="00D86BD9"/>
    <w:rsid w:val="00D86E70"/>
    <w:rsid w:val="00D8781A"/>
    <w:rsid w:val="00D947A5"/>
    <w:rsid w:val="00D95F93"/>
    <w:rsid w:val="00D96428"/>
    <w:rsid w:val="00D96AA6"/>
    <w:rsid w:val="00DA32A6"/>
    <w:rsid w:val="00DA4DF2"/>
    <w:rsid w:val="00DB30BA"/>
    <w:rsid w:val="00DB3160"/>
    <w:rsid w:val="00DB3DA6"/>
    <w:rsid w:val="00DB475F"/>
    <w:rsid w:val="00DB5F3F"/>
    <w:rsid w:val="00DC0567"/>
    <w:rsid w:val="00DC4C66"/>
    <w:rsid w:val="00DC5540"/>
    <w:rsid w:val="00DC6380"/>
    <w:rsid w:val="00DC6BAF"/>
    <w:rsid w:val="00DD0475"/>
    <w:rsid w:val="00DD2A70"/>
    <w:rsid w:val="00DD4CEC"/>
    <w:rsid w:val="00DD5CD0"/>
    <w:rsid w:val="00DD60F6"/>
    <w:rsid w:val="00DE76F3"/>
    <w:rsid w:val="00DF12C5"/>
    <w:rsid w:val="00DF1772"/>
    <w:rsid w:val="00DF2CE1"/>
    <w:rsid w:val="00DF53C3"/>
    <w:rsid w:val="00DF65B6"/>
    <w:rsid w:val="00E01393"/>
    <w:rsid w:val="00E05857"/>
    <w:rsid w:val="00E15621"/>
    <w:rsid w:val="00E16634"/>
    <w:rsid w:val="00E223F6"/>
    <w:rsid w:val="00E22B04"/>
    <w:rsid w:val="00E24812"/>
    <w:rsid w:val="00E24AE4"/>
    <w:rsid w:val="00E2793C"/>
    <w:rsid w:val="00E30404"/>
    <w:rsid w:val="00E32858"/>
    <w:rsid w:val="00E44DD5"/>
    <w:rsid w:val="00E45234"/>
    <w:rsid w:val="00E521AB"/>
    <w:rsid w:val="00E532BD"/>
    <w:rsid w:val="00E53819"/>
    <w:rsid w:val="00E55E96"/>
    <w:rsid w:val="00E623D6"/>
    <w:rsid w:val="00E652EA"/>
    <w:rsid w:val="00E67DE9"/>
    <w:rsid w:val="00E762E9"/>
    <w:rsid w:val="00E8589E"/>
    <w:rsid w:val="00E90688"/>
    <w:rsid w:val="00E96848"/>
    <w:rsid w:val="00EA2144"/>
    <w:rsid w:val="00EA6CD0"/>
    <w:rsid w:val="00EB38B0"/>
    <w:rsid w:val="00EB4EB5"/>
    <w:rsid w:val="00EB77D5"/>
    <w:rsid w:val="00EC08CE"/>
    <w:rsid w:val="00EC1F0E"/>
    <w:rsid w:val="00EC2AEA"/>
    <w:rsid w:val="00EC418C"/>
    <w:rsid w:val="00EC7817"/>
    <w:rsid w:val="00ED48A9"/>
    <w:rsid w:val="00ED4B11"/>
    <w:rsid w:val="00ED5BA4"/>
    <w:rsid w:val="00EF16F5"/>
    <w:rsid w:val="00EF2122"/>
    <w:rsid w:val="00EF2A6D"/>
    <w:rsid w:val="00EF5512"/>
    <w:rsid w:val="00EF6B62"/>
    <w:rsid w:val="00EF7181"/>
    <w:rsid w:val="00F11E34"/>
    <w:rsid w:val="00F132EA"/>
    <w:rsid w:val="00F17C81"/>
    <w:rsid w:val="00F259FB"/>
    <w:rsid w:val="00F2661C"/>
    <w:rsid w:val="00F27C77"/>
    <w:rsid w:val="00F30633"/>
    <w:rsid w:val="00F31126"/>
    <w:rsid w:val="00F4186E"/>
    <w:rsid w:val="00F44C04"/>
    <w:rsid w:val="00F4546D"/>
    <w:rsid w:val="00F476E5"/>
    <w:rsid w:val="00F520F0"/>
    <w:rsid w:val="00F56A35"/>
    <w:rsid w:val="00F57C07"/>
    <w:rsid w:val="00F6260D"/>
    <w:rsid w:val="00F65ED7"/>
    <w:rsid w:val="00F7119F"/>
    <w:rsid w:val="00F7235A"/>
    <w:rsid w:val="00F80B8F"/>
    <w:rsid w:val="00F834B3"/>
    <w:rsid w:val="00F92AF7"/>
    <w:rsid w:val="00F93702"/>
    <w:rsid w:val="00F9465B"/>
    <w:rsid w:val="00FB2A0A"/>
    <w:rsid w:val="00FB3B9D"/>
    <w:rsid w:val="00FC0BD9"/>
    <w:rsid w:val="00FC3A40"/>
    <w:rsid w:val="00FC4FD8"/>
    <w:rsid w:val="00FC68B2"/>
    <w:rsid w:val="00FC7557"/>
    <w:rsid w:val="00FC7EFA"/>
    <w:rsid w:val="00FD66E3"/>
    <w:rsid w:val="00FE08D2"/>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9841B-B38D-4348-9192-965CE8D4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3">
    <w:name w:val="heading 3"/>
    <w:basedOn w:val="Normal"/>
    <w:next w:val="Normal"/>
    <w:link w:val="Heading3Char"/>
    <w:uiPriority w:val="9"/>
    <w:semiHidden/>
    <w:unhideWhenUsed/>
    <w:qFormat/>
    <w:rsid w:val="00C017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 w:type="paragraph" w:styleId="Revision">
    <w:name w:val="Revision"/>
    <w:hidden/>
    <w:uiPriority w:val="99"/>
    <w:semiHidden/>
    <w:rsid w:val="00FC3A40"/>
    <w:rPr>
      <w:sz w:val="22"/>
      <w:szCs w:val="22"/>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unhideWhenUsed/>
    <w:rsid w:val="006E054E"/>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6E054E"/>
    <w:rPr>
      <w:lang w:val="lv-LV"/>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link w:val="CharCharCharChar"/>
    <w:uiPriority w:val="99"/>
    <w:unhideWhenUsed/>
    <w:rsid w:val="006E054E"/>
    <w:rPr>
      <w:vertAlign w:val="superscript"/>
    </w:rPr>
  </w:style>
  <w:style w:type="paragraph" w:styleId="HTMLAddress">
    <w:name w:val="HTML Address"/>
    <w:basedOn w:val="Normal"/>
    <w:link w:val="HTMLAddressChar"/>
    <w:semiHidden/>
    <w:rsid w:val="00036FA5"/>
    <w:pPr>
      <w:spacing w:after="0" w:line="240" w:lineRule="auto"/>
    </w:pPr>
    <w:rPr>
      <w:rFonts w:ascii="Times New Roman" w:eastAsia="Times New Roman" w:hAnsi="Times New Roman"/>
      <w:i/>
      <w:iCs/>
      <w:sz w:val="24"/>
      <w:szCs w:val="24"/>
      <w:lang w:val="en-GB"/>
    </w:rPr>
  </w:style>
  <w:style w:type="character" w:customStyle="1" w:styleId="HTMLAddressChar">
    <w:name w:val="HTML Address Char"/>
    <w:basedOn w:val="DefaultParagraphFont"/>
    <w:link w:val="HTMLAddress"/>
    <w:semiHidden/>
    <w:rsid w:val="00036FA5"/>
    <w:rPr>
      <w:rFonts w:ascii="Times New Roman" w:eastAsia="Times New Roman" w:hAnsi="Times New Roman"/>
      <w:i/>
      <w:iCs/>
      <w:sz w:val="24"/>
      <w:szCs w:val="24"/>
      <w:lang w:val="en-GB"/>
    </w:rPr>
  </w:style>
  <w:style w:type="paragraph" w:customStyle="1" w:styleId="tv2132">
    <w:name w:val="tv2132"/>
    <w:basedOn w:val="Normal"/>
    <w:rsid w:val="00E96848"/>
    <w:pPr>
      <w:spacing w:after="0" w:line="360" w:lineRule="auto"/>
      <w:ind w:firstLine="300"/>
    </w:pPr>
    <w:rPr>
      <w:rFonts w:ascii="Times New Roman" w:eastAsia="Times New Roman" w:hAnsi="Times New Roman"/>
      <w:color w:val="414142"/>
      <w:sz w:val="20"/>
      <w:szCs w:val="20"/>
      <w:lang w:eastAsia="lv-LV"/>
    </w:rPr>
  </w:style>
  <w:style w:type="character" w:customStyle="1" w:styleId="Heading3Char">
    <w:name w:val="Heading 3 Char"/>
    <w:basedOn w:val="DefaultParagraphFont"/>
    <w:link w:val="Heading3"/>
    <w:uiPriority w:val="9"/>
    <w:semiHidden/>
    <w:rsid w:val="00C0178C"/>
    <w:rPr>
      <w:rFonts w:asciiTheme="majorHAnsi" w:eastAsiaTheme="majorEastAsia" w:hAnsiTheme="majorHAnsi" w:cstheme="majorBidi"/>
      <w:b/>
      <w:bCs/>
      <w:color w:val="4F81BD" w:themeColor="accent1"/>
      <w:sz w:val="22"/>
      <w:szCs w:val="22"/>
      <w:lang w:val="lv-LV"/>
    </w:rPr>
  </w:style>
  <w:style w:type="paragraph" w:customStyle="1" w:styleId="tvhtml">
    <w:name w:val="tv_html"/>
    <w:basedOn w:val="Normal"/>
    <w:rsid w:val="008C60B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CharChar">
    <w:name w:val="Char Char Char Char"/>
    <w:aliases w:val="Char2"/>
    <w:basedOn w:val="Normal"/>
    <w:next w:val="Normal"/>
    <w:link w:val="FootnoteReference"/>
    <w:uiPriority w:val="99"/>
    <w:rsid w:val="00EF2122"/>
    <w:pPr>
      <w:spacing w:after="160" w:line="240" w:lineRule="exact"/>
      <w:jc w:val="both"/>
      <w:textAlignment w:val="baseline"/>
    </w:pPr>
    <w:rPr>
      <w:sz w:val="20"/>
      <w:szCs w:val="20"/>
      <w:vertAlign w:val="superscript"/>
      <w:lang w:val="en-US"/>
    </w:rPr>
  </w:style>
  <w:style w:type="paragraph" w:styleId="BodyTextIndent">
    <w:name w:val="Body Text Indent"/>
    <w:basedOn w:val="Normal"/>
    <w:link w:val="BodyTextIndentChar"/>
    <w:uiPriority w:val="99"/>
    <w:unhideWhenUsed/>
    <w:rsid w:val="00621595"/>
    <w:pPr>
      <w:spacing w:after="120"/>
      <w:ind w:left="283"/>
    </w:pPr>
    <w:rPr>
      <w:lang w:val="ru-RU"/>
    </w:rPr>
  </w:style>
  <w:style w:type="character" w:customStyle="1" w:styleId="BodyTextIndentChar">
    <w:name w:val="Body Text Indent Char"/>
    <w:basedOn w:val="DefaultParagraphFont"/>
    <w:link w:val="BodyTextIndent"/>
    <w:uiPriority w:val="99"/>
    <w:rsid w:val="00621595"/>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983">
      <w:bodyDiv w:val="1"/>
      <w:marLeft w:val="0"/>
      <w:marRight w:val="0"/>
      <w:marTop w:val="0"/>
      <w:marBottom w:val="0"/>
      <w:divBdr>
        <w:top w:val="none" w:sz="0" w:space="0" w:color="auto"/>
        <w:left w:val="none" w:sz="0" w:space="0" w:color="auto"/>
        <w:bottom w:val="none" w:sz="0" w:space="0" w:color="auto"/>
        <w:right w:val="none" w:sz="0" w:space="0" w:color="auto"/>
      </w:divBdr>
    </w:div>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14019">
      <w:bodyDiv w:val="1"/>
      <w:marLeft w:val="0"/>
      <w:marRight w:val="0"/>
      <w:marTop w:val="0"/>
      <w:marBottom w:val="0"/>
      <w:divBdr>
        <w:top w:val="none" w:sz="0" w:space="0" w:color="auto"/>
        <w:left w:val="none" w:sz="0" w:space="0" w:color="auto"/>
        <w:bottom w:val="none" w:sz="0" w:space="0" w:color="auto"/>
        <w:right w:val="none" w:sz="0" w:space="0" w:color="auto"/>
      </w:divBdr>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270551195">
      <w:bodyDiv w:val="1"/>
      <w:marLeft w:val="0"/>
      <w:marRight w:val="0"/>
      <w:marTop w:val="0"/>
      <w:marBottom w:val="0"/>
      <w:divBdr>
        <w:top w:val="none" w:sz="0" w:space="0" w:color="auto"/>
        <w:left w:val="none" w:sz="0" w:space="0" w:color="auto"/>
        <w:bottom w:val="none" w:sz="0" w:space="0" w:color="auto"/>
        <w:right w:val="none" w:sz="0" w:space="0" w:color="auto"/>
      </w:divBdr>
    </w:div>
    <w:div w:id="286014765">
      <w:bodyDiv w:val="1"/>
      <w:marLeft w:val="0"/>
      <w:marRight w:val="0"/>
      <w:marTop w:val="0"/>
      <w:marBottom w:val="0"/>
      <w:divBdr>
        <w:top w:val="none" w:sz="0" w:space="0" w:color="auto"/>
        <w:left w:val="none" w:sz="0" w:space="0" w:color="auto"/>
        <w:bottom w:val="none" w:sz="0" w:space="0" w:color="auto"/>
        <w:right w:val="none" w:sz="0" w:space="0" w:color="auto"/>
      </w:divBdr>
      <w:divsChild>
        <w:div w:id="1627152861">
          <w:marLeft w:val="0"/>
          <w:marRight w:val="0"/>
          <w:marTop w:val="0"/>
          <w:marBottom w:val="0"/>
          <w:divBdr>
            <w:top w:val="none" w:sz="0" w:space="0" w:color="auto"/>
            <w:left w:val="none" w:sz="0" w:space="0" w:color="auto"/>
            <w:bottom w:val="none" w:sz="0" w:space="0" w:color="auto"/>
            <w:right w:val="none" w:sz="0" w:space="0" w:color="auto"/>
          </w:divBdr>
          <w:divsChild>
            <w:div w:id="4401864">
              <w:marLeft w:val="0"/>
              <w:marRight w:val="0"/>
              <w:marTop w:val="0"/>
              <w:marBottom w:val="0"/>
              <w:divBdr>
                <w:top w:val="none" w:sz="0" w:space="0" w:color="auto"/>
                <w:left w:val="none" w:sz="0" w:space="0" w:color="auto"/>
                <w:bottom w:val="none" w:sz="0" w:space="0" w:color="auto"/>
                <w:right w:val="none" w:sz="0" w:space="0" w:color="auto"/>
              </w:divBdr>
              <w:divsChild>
                <w:div w:id="259140848">
                  <w:marLeft w:val="0"/>
                  <w:marRight w:val="0"/>
                  <w:marTop w:val="0"/>
                  <w:marBottom w:val="0"/>
                  <w:divBdr>
                    <w:top w:val="none" w:sz="0" w:space="0" w:color="auto"/>
                    <w:left w:val="none" w:sz="0" w:space="0" w:color="auto"/>
                    <w:bottom w:val="none" w:sz="0" w:space="0" w:color="auto"/>
                    <w:right w:val="none" w:sz="0" w:space="0" w:color="auto"/>
                  </w:divBdr>
                  <w:divsChild>
                    <w:div w:id="20714254">
                      <w:marLeft w:val="0"/>
                      <w:marRight w:val="0"/>
                      <w:marTop w:val="0"/>
                      <w:marBottom w:val="0"/>
                      <w:divBdr>
                        <w:top w:val="none" w:sz="0" w:space="0" w:color="auto"/>
                        <w:left w:val="none" w:sz="0" w:space="0" w:color="auto"/>
                        <w:bottom w:val="none" w:sz="0" w:space="0" w:color="auto"/>
                        <w:right w:val="none" w:sz="0" w:space="0" w:color="auto"/>
                      </w:divBdr>
                      <w:divsChild>
                        <w:div w:id="1104885021">
                          <w:marLeft w:val="0"/>
                          <w:marRight w:val="0"/>
                          <w:marTop w:val="0"/>
                          <w:marBottom w:val="0"/>
                          <w:divBdr>
                            <w:top w:val="none" w:sz="0" w:space="0" w:color="auto"/>
                            <w:left w:val="none" w:sz="0" w:space="0" w:color="auto"/>
                            <w:bottom w:val="none" w:sz="0" w:space="0" w:color="auto"/>
                            <w:right w:val="none" w:sz="0" w:space="0" w:color="auto"/>
                          </w:divBdr>
                          <w:divsChild>
                            <w:div w:id="14668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295707">
      <w:bodyDiv w:val="1"/>
      <w:marLeft w:val="0"/>
      <w:marRight w:val="0"/>
      <w:marTop w:val="0"/>
      <w:marBottom w:val="0"/>
      <w:divBdr>
        <w:top w:val="none" w:sz="0" w:space="0" w:color="auto"/>
        <w:left w:val="none" w:sz="0" w:space="0" w:color="auto"/>
        <w:bottom w:val="none" w:sz="0" w:space="0" w:color="auto"/>
        <w:right w:val="none" w:sz="0" w:space="0" w:color="auto"/>
      </w:divBdr>
    </w:div>
    <w:div w:id="592204708">
      <w:bodyDiv w:val="1"/>
      <w:marLeft w:val="0"/>
      <w:marRight w:val="0"/>
      <w:marTop w:val="0"/>
      <w:marBottom w:val="0"/>
      <w:divBdr>
        <w:top w:val="none" w:sz="0" w:space="0" w:color="auto"/>
        <w:left w:val="none" w:sz="0" w:space="0" w:color="auto"/>
        <w:bottom w:val="none" w:sz="0" w:space="0" w:color="auto"/>
        <w:right w:val="none" w:sz="0" w:space="0" w:color="auto"/>
      </w:divBdr>
      <w:divsChild>
        <w:div w:id="672606712">
          <w:marLeft w:val="0"/>
          <w:marRight w:val="0"/>
          <w:marTop w:val="0"/>
          <w:marBottom w:val="0"/>
          <w:divBdr>
            <w:top w:val="none" w:sz="0" w:space="0" w:color="auto"/>
            <w:left w:val="none" w:sz="0" w:space="0" w:color="auto"/>
            <w:bottom w:val="none" w:sz="0" w:space="0" w:color="auto"/>
            <w:right w:val="none" w:sz="0" w:space="0" w:color="auto"/>
          </w:divBdr>
          <w:divsChild>
            <w:div w:id="556625815">
              <w:marLeft w:val="0"/>
              <w:marRight w:val="0"/>
              <w:marTop w:val="0"/>
              <w:marBottom w:val="0"/>
              <w:divBdr>
                <w:top w:val="none" w:sz="0" w:space="0" w:color="auto"/>
                <w:left w:val="none" w:sz="0" w:space="0" w:color="auto"/>
                <w:bottom w:val="none" w:sz="0" w:space="0" w:color="auto"/>
                <w:right w:val="none" w:sz="0" w:space="0" w:color="auto"/>
              </w:divBdr>
              <w:divsChild>
                <w:div w:id="788741555">
                  <w:marLeft w:val="0"/>
                  <w:marRight w:val="0"/>
                  <w:marTop w:val="0"/>
                  <w:marBottom w:val="0"/>
                  <w:divBdr>
                    <w:top w:val="none" w:sz="0" w:space="0" w:color="auto"/>
                    <w:left w:val="none" w:sz="0" w:space="0" w:color="auto"/>
                    <w:bottom w:val="none" w:sz="0" w:space="0" w:color="auto"/>
                    <w:right w:val="none" w:sz="0" w:space="0" w:color="auto"/>
                  </w:divBdr>
                  <w:divsChild>
                    <w:div w:id="1290086491">
                      <w:marLeft w:val="0"/>
                      <w:marRight w:val="0"/>
                      <w:marTop w:val="0"/>
                      <w:marBottom w:val="0"/>
                      <w:divBdr>
                        <w:top w:val="none" w:sz="0" w:space="0" w:color="auto"/>
                        <w:left w:val="none" w:sz="0" w:space="0" w:color="auto"/>
                        <w:bottom w:val="none" w:sz="0" w:space="0" w:color="auto"/>
                        <w:right w:val="none" w:sz="0" w:space="0" w:color="auto"/>
                      </w:divBdr>
                      <w:divsChild>
                        <w:div w:id="1168980967">
                          <w:marLeft w:val="0"/>
                          <w:marRight w:val="0"/>
                          <w:marTop w:val="0"/>
                          <w:marBottom w:val="0"/>
                          <w:divBdr>
                            <w:top w:val="none" w:sz="0" w:space="0" w:color="auto"/>
                            <w:left w:val="none" w:sz="0" w:space="0" w:color="auto"/>
                            <w:bottom w:val="none" w:sz="0" w:space="0" w:color="auto"/>
                            <w:right w:val="none" w:sz="0" w:space="0" w:color="auto"/>
                          </w:divBdr>
                          <w:divsChild>
                            <w:div w:id="110828067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81370">
      <w:bodyDiv w:val="1"/>
      <w:marLeft w:val="0"/>
      <w:marRight w:val="0"/>
      <w:marTop w:val="0"/>
      <w:marBottom w:val="0"/>
      <w:divBdr>
        <w:top w:val="none" w:sz="0" w:space="0" w:color="auto"/>
        <w:left w:val="none" w:sz="0" w:space="0" w:color="auto"/>
        <w:bottom w:val="none" w:sz="0" w:space="0" w:color="auto"/>
        <w:right w:val="none" w:sz="0" w:space="0" w:color="auto"/>
      </w:divBdr>
      <w:divsChild>
        <w:div w:id="744299793">
          <w:marLeft w:val="0"/>
          <w:marRight w:val="0"/>
          <w:marTop w:val="480"/>
          <w:marBottom w:val="240"/>
          <w:divBdr>
            <w:top w:val="none" w:sz="0" w:space="0" w:color="auto"/>
            <w:left w:val="none" w:sz="0" w:space="0" w:color="auto"/>
            <w:bottom w:val="none" w:sz="0" w:space="0" w:color="auto"/>
            <w:right w:val="none" w:sz="0" w:space="0" w:color="auto"/>
          </w:divBdr>
        </w:div>
        <w:div w:id="848448558">
          <w:marLeft w:val="0"/>
          <w:marRight w:val="0"/>
          <w:marTop w:val="0"/>
          <w:marBottom w:val="567"/>
          <w:divBdr>
            <w:top w:val="none" w:sz="0" w:space="0" w:color="auto"/>
            <w:left w:val="none" w:sz="0" w:space="0" w:color="auto"/>
            <w:bottom w:val="none" w:sz="0" w:space="0" w:color="auto"/>
            <w:right w:val="none" w:sz="0" w:space="0" w:color="auto"/>
          </w:divBdr>
        </w:div>
        <w:div w:id="820930942">
          <w:marLeft w:val="0"/>
          <w:marRight w:val="0"/>
          <w:marTop w:val="0"/>
          <w:marBottom w:val="567"/>
          <w:divBdr>
            <w:top w:val="none" w:sz="0" w:space="0" w:color="auto"/>
            <w:left w:val="none" w:sz="0" w:space="0" w:color="auto"/>
            <w:bottom w:val="none" w:sz="0" w:space="0" w:color="auto"/>
            <w:right w:val="none" w:sz="0" w:space="0" w:color="auto"/>
          </w:divBdr>
        </w:div>
      </w:divsChild>
    </w:div>
    <w:div w:id="857739140">
      <w:bodyDiv w:val="1"/>
      <w:marLeft w:val="0"/>
      <w:marRight w:val="0"/>
      <w:marTop w:val="0"/>
      <w:marBottom w:val="0"/>
      <w:divBdr>
        <w:top w:val="none" w:sz="0" w:space="0" w:color="auto"/>
        <w:left w:val="none" w:sz="0" w:space="0" w:color="auto"/>
        <w:bottom w:val="none" w:sz="0" w:space="0" w:color="auto"/>
        <w:right w:val="none" w:sz="0" w:space="0" w:color="auto"/>
      </w:divBdr>
      <w:divsChild>
        <w:div w:id="409623119">
          <w:marLeft w:val="0"/>
          <w:marRight w:val="0"/>
          <w:marTop w:val="0"/>
          <w:marBottom w:val="0"/>
          <w:divBdr>
            <w:top w:val="none" w:sz="0" w:space="0" w:color="auto"/>
            <w:left w:val="none" w:sz="0" w:space="0" w:color="auto"/>
            <w:bottom w:val="none" w:sz="0" w:space="0" w:color="auto"/>
            <w:right w:val="none" w:sz="0" w:space="0" w:color="auto"/>
          </w:divBdr>
          <w:divsChild>
            <w:div w:id="198594509">
              <w:marLeft w:val="0"/>
              <w:marRight w:val="0"/>
              <w:marTop w:val="0"/>
              <w:marBottom w:val="0"/>
              <w:divBdr>
                <w:top w:val="none" w:sz="0" w:space="0" w:color="auto"/>
                <w:left w:val="none" w:sz="0" w:space="0" w:color="auto"/>
                <w:bottom w:val="none" w:sz="0" w:space="0" w:color="auto"/>
                <w:right w:val="none" w:sz="0" w:space="0" w:color="auto"/>
              </w:divBdr>
              <w:divsChild>
                <w:div w:id="935284805">
                  <w:marLeft w:val="0"/>
                  <w:marRight w:val="0"/>
                  <w:marTop w:val="0"/>
                  <w:marBottom w:val="0"/>
                  <w:divBdr>
                    <w:top w:val="none" w:sz="0" w:space="0" w:color="auto"/>
                    <w:left w:val="none" w:sz="0" w:space="0" w:color="auto"/>
                    <w:bottom w:val="none" w:sz="0" w:space="0" w:color="auto"/>
                    <w:right w:val="none" w:sz="0" w:space="0" w:color="auto"/>
                  </w:divBdr>
                  <w:divsChild>
                    <w:div w:id="781068295">
                      <w:marLeft w:val="0"/>
                      <w:marRight w:val="0"/>
                      <w:marTop w:val="0"/>
                      <w:marBottom w:val="0"/>
                      <w:divBdr>
                        <w:top w:val="none" w:sz="0" w:space="0" w:color="auto"/>
                        <w:left w:val="none" w:sz="0" w:space="0" w:color="auto"/>
                        <w:bottom w:val="none" w:sz="0" w:space="0" w:color="auto"/>
                        <w:right w:val="none" w:sz="0" w:space="0" w:color="auto"/>
                      </w:divBdr>
                      <w:divsChild>
                        <w:div w:id="1038698141">
                          <w:marLeft w:val="0"/>
                          <w:marRight w:val="0"/>
                          <w:marTop w:val="0"/>
                          <w:marBottom w:val="0"/>
                          <w:divBdr>
                            <w:top w:val="none" w:sz="0" w:space="0" w:color="auto"/>
                            <w:left w:val="none" w:sz="0" w:space="0" w:color="auto"/>
                            <w:bottom w:val="none" w:sz="0" w:space="0" w:color="auto"/>
                            <w:right w:val="none" w:sz="0" w:space="0" w:color="auto"/>
                          </w:divBdr>
                          <w:divsChild>
                            <w:div w:id="129363851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618322">
      <w:bodyDiv w:val="1"/>
      <w:marLeft w:val="0"/>
      <w:marRight w:val="0"/>
      <w:marTop w:val="0"/>
      <w:marBottom w:val="0"/>
      <w:divBdr>
        <w:top w:val="none" w:sz="0" w:space="0" w:color="auto"/>
        <w:left w:val="none" w:sz="0" w:space="0" w:color="auto"/>
        <w:bottom w:val="none" w:sz="0" w:space="0" w:color="auto"/>
        <w:right w:val="none" w:sz="0" w:space="0" w:color="auto"/>
      </w:divBdr>
    </w:div>
    <w:div w:id="1048994887">
      <w:bodyDiv w:val="1"/>
      <w:marLeft w:val="0"/>
      <w:marRight w:val="0"/>
      <w:marTop w:val="0"/>
      <w:marBottom w:val="0"/>
      <w:divBdr>
        <w:top w:val="none" w:sz="0" w:space="0" w:color="auto"/>
        <w:left w:val="none" w:sz="0" w:space="0" w:color="auto"/>
        <w:bottom w:val="none" w:sz="0" w:space="0" w:color="auto"/>
        <w:right w:val="none" w:sz="0" w:space="0" w:color="auto"/>
      </w:divBdr>
    </w:div>
    <w:div w:id="1138500055">
      <w:bodyDiv w:val="1"/>
      <w:marLeft w:val="0"/>
      <w:marRight w:val="0"/>
      <w:marTop w:val="0"/>
      <w:marBottom w:val="0"/>
      <w:divBdr>
        <w:top w:val="none" w:sz="0" w:space="0" w:color="auto"/>
        <w:left w:val="none" w:sz="0" w:space="0" w:color="auto"/>
        <w:bottom w:val="none" w:sz="0" w:space="0" w:color="auto"/>
        <w:right w:val="none" w:sz="0" w:space="0" w:color="auto"/>
      </w:divBdr>
    </w:div>
    <w:div w:id="1168860323">
      <w:bodyDiv w:val="1"/>
      <w:marLeft w:val="0"/>
      <w:marRight w:val="0"/>
      <w:marTop w:val="0"/>
      <w:marBottom w:val="0"/>
      <w:divBdr>
        <w:top w:val="none" w:sz="0" w:space="0" w:color="auto"/>
        <w:left w:val="none" w:sz="0" w:space="0" w:color="auto"/>
        <w:bottom w:val="none" w:sz="0" w:space="0" w:color="auto"/>
        <w:right w:val="none" w:sz="0" w:space="0" w:color="auto"/>
      </w:divBdr>
    </w:div>
    <w:div w:id="1396931459">
      <w:bodyDiv w:val="1"/>
      <w:marLeft w:val="0"/>
      <w:marRight w:val="0"/>
      <w:marTop w:val="0"/>
      <w:marBottom w:val="0"/>
      <w:divBdr>
        <w:top w:val="none" w:sz="0" w:space="0" w:color="auto"/>
        <w:left w:val="none" w:sz="0" w:space="0" w:color="auto"/>
        <w:bottom w:val="none" w:sz="0" w:space="0" w:color="auto"/>
        <w:right w:val="none" w:sz="0" w:space="0" w:color="auto"/>
      </w:divBdr>
    </w:div>
    <w:div w:id="1438256386">
      <w:bodyDiv w:val="1"/>
      <w:marLeft w:val="0"/>
      <w:marRight w:val="0"/>
      <w:marTop w:val="0"/>
      <w:marBottom w:val="0"/>
      <w:divBdr>
        <w:top w:val="none" w:sz="0" w:space="0" w:color="auto"/>
        <w:left w:val="none" w:sz="0" w:space="0" w:color="auto"/>
        <w:bottom w:val="none" w:sz="0" w:space="0" w:color="auto"/>
        <w:right w:val="none" w:sz="0" w:space="0" w:color="auto"/>
      </w:divBdr>
    </w:div>
    <w:div w:id="1493330426">
      <w:bodyDiv w:val="1"/>
      <w:marLeft w:val="0"/>
      <w:marRight w:val="0"/>
      <w:marTop w:val="0"/>
      <w:marBottom w:val="0"/>
      <w:divBdr>
        <w:top w:val="none" w:sz="0" w:space="0" w:color="auto"/>
        <w:left w:val="none" w:sz="0" w:space="0" w:color="auto"/>
        <w:bottom w:val="none" w:sz="0" w:space="0" w:color="auto"/>
        <w:right w:val="none" w:sz="0" w:space="0" w:color="auto"/>
      </w:divBdr>
    </w:div>
    <w:div w:id="1547567864">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075">
      <w:bodyDiv w:val="1"/>
      <w:marLeft w:val="0"/>
      <w:marRight w:val="0"/>
      <w:marTop w:val="0"/>
      <w:marBottom w:val="0"/>
      <w:divBdr>
        <w:top w:val="none" w:sz="0" w:space="0" w:color="auto"/>
        <w:left w:val="none" w:sz="0" w:space="0" w:color="auto"/>
        <w:bottom w:val="none" w:sz="0" w:space="0" w:color="auto"/>
        <w:right w:val="none" w:sz="0" w:space="0" w:color="auto"/>
      </w:divBdr>
    </w:div>
    <w:div w:id="1700354567">
      <w:bodyDiv w:val="1"/>
      <w:marLeft w:val="0"/>
      <w:marRight w:val="0"/>
      <w:marTop w:val="0"/>
      <w:marBottom w:val="0"/>
      <w:divBdr>
        <w:top w:val="none" w:sz="0" w:space="0" w:color="auto"/>
        <w:left w:val="none" w:sz="0" w:space="0" w:color="auto"/>
        <w:bottom w:val="none" w:sz="0" w:space="0" w:color="auto"/>
        <w:right w:val="none" w:sz="0" w:space="0" w:color="auto"/>
      </w:divBdr>
    </w:div>
    <w:div w:id="1780878706">
      <w:bodyDiv w:val="1"/>
      <w:marLeft w:val="0"/>
      <w:marRight w:val="0"/>
      <w:marTop w:val="0"/>
      <w:marBottom w:val="0"/>
      <w:divBdr>
        <w:top w:val="none" w:sz="0" w:space="0" w:color="auto"/>
        <w:left w:val="none" w:sz="0" w:space="0" w:color="auto"/>
        <w:bottom w:val="none" w:sz="0" w:space="0" w:color="auto"/>
        <w:right w:val="none" w:sz="0" w:space="0" w:color="auto"/>
      </w:divBdr>
    </w:div>
    <w:div w:id="1840388331">
      <w:bodyDiv w:val="1"/>
      <w:marLeft w:val="0"/>
      <w:marRight w:val="0"/>
      <w:marTop w:val="0"/>
      <w:marBottom w:val="0"/>
      <w:divBdr>
        <w:top w:val="none" w:sz="0" w:space="0" w:color="auto"/>
        <w:left w:val="none" w:sz="0" w:space="0" w:color="auto"/>
        <w:bottom w:val="none" w:sz="0" w:space="0" w:color="auto"/>
        <w:right w:val="none" w:sz="0" w:space="0" w:color="auto"/>
      </w:divBdr>
      <w:divsChild>
        <w:div w:id="1416633465">
          <w:marLeft w:val="0"/>
          <w:marRight w:val="0"/>
          <w:marTop w:val="0"/>
          <w:marBottom w:val="0"/>
          <w:divBdr>
            <w:top w:val="none" w:sz="0" w:space="0" w:color="auto"/>
            <w:left w:val="none" w:sz="0" w:space="0" w:color="auto"/>
            <w:bottom w:val="none" w:sz="0" w:space="0" w:color="auto"/>
            <w:right w:val="none" w:sz="0" w:space="0" w:color="auto"/>
          </w:divBdr>
          <w:divsChild>
            <w:div w:id="1537504123">
              <w:marLeft w:val="0"/>
              <w:marRight w:val="0"/>
              <w:marTop w:val="0"/>
              <w:marBottom w:val="0"/>
              <w:divBdr>
                <w:top w:val="none" w:sz="0" w:space="0" w:color="auto"/>
                <w:left w:val="none" w:sz="0" w:space="0" w:color="auto"/>
                <w:bottom w:val="none" w:sz="0" w:space="0" w:color="auto"/>
                <w:right w:val="none" w:sz="0" w:space="0" w:color="auto"/>
              </w:divBdr>
              <w:divsChild>
                <w:div w:id="1202287239">
                  <w:marLeft w:val="0"/>
                  <w:marRight w:val="0"/>
                  <w:marTop w:val="0"/>
                  <w:marBottom w:val="0"/>
                  <w:divBdr>
                    <w:top w:val="none" w:sz="0" w:space="0" w:color="auto"/>
                    <w:left w:val="none" w:sz="0" w:space="0" w:color="auto"/>
                    <w:bottom w:val="none" w:sz="0" w:space="0" w:color="auto"/>
                    <w:right w:val="none" w:sz="0" w:space="0" w:color="auto"/>
                  </w:divBdr>
                  <w:divsChild>
                    <w:div w:id="2041082129">
                      <w:marLeft w:val="0"/>
                      <w:marRight w:val="0"/>
                      <w:marTop w:val="0"/>
                      <w:marBottom w:val="0"/>
                      <w:divBdr>
                        <w:top w:val="none" w:sz="0" w:space="0" w:color="auto"/>
                        <w:left w:val="none" w:sz="0" w:space="0" w:color="auto"/>
                        <w:bottom w:val="none" w:sz="0" w:space="0" w:color="auto"/>
                        <w:right w:val="none" w:sz="0" w:space="0" w:color="auto"/>
                      </w:divBdr>
                      <w:divsChild>
                        <w:div w:id="231938060">
                          <w:marLeft w:val="0"/>
                          <w:marRight w:val="0"/>
                          <w:marTop w:val="0"/>
                          <w:marBottom w:val="0"/>
                          <w:divBdr>
                            <w:top w:val="none" w:sz="0" w:space="0" w:color="auto"/>
                            <w:left w:val="none" w:sz="0" w:space="0" w:color="auto"/>
                            <w:bottom w:val="none" w:sz="0" w:space="0" w:color="auto"/>
                            <w:right w:val="none" w:sz="0" w:space="0" w:color="auto"/>
                          </w:divBdr>
                          <w:divsChild>
                            <w:div w:id="6289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727467">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 w:id="2072733857">
      <w:bodyDiv w:val="1"/>
      <w:marLeft w:val="0"/>
      <w:marRight w:val="0"/>
      <w:marTop w:val="0"/>
      <w:marBottom w:val="0"/>
      <w:divBdr>
        <w:top w:val="none" w:sz="0" w:space="0" w:color="auto"/>
        <w:left w:val="none" w:sz="0" w:space="0" w:color="auto"/>
        <w:bottom w:val="none" w:sz="0" w:space="0" w:color="auto"/>
        <w:right w:val="none" w:sz="0" w:space="0" w:color="auto"/>
      </w:divBdr>
      <w:divsChild>
        <w:div w:id="2140604293">
          <w:marLeft w:val="0"/>
          <w:marRight w:val="0"/>
          <w:marTop w:val="0"/>
          <w:marBottom w:val="0"/>
          <w:divBdr>
            <w:top w:val="none" w:sz="0" w:space="0" w:color="auto"/>
            <w:left w:val="none" w:sz="0" w:space="0" w:color="auto"/>
            <w:bottom w:val="none" w:sz="0" w:space="0" w:color="auto"/>
            <w:right w:val="none" w:sz="0" w:space="0" w:color="auto"/>
          </w:divBdr>
          <w:divsChild>
            <w:div w:id="323436458">
              <w:marLeft w:val="0"/>
              <w:marRight w:val="0"/>
              <w:marTop w:val="0"/>
              <w:marBottom w:val="0"/>
              <w:divBdr>
                <w:top w:val="none" w:sz="0" w:space="0" w:color="auto"/>
                <w:left w:val="none" w:sz="0" w:space="0" w:color="auto"/>
                <w:bottom w:val="none" w:sz="0" w:space="0" w:color="auto"/>
                <w:right w:val="none" w:sz="0" w:space="0" w:color="auto"/>
              </w:divBdr>
              <w:divsChild>
                <w:div w:id="1500466569">
                  <w:marLeft w:val="0"/>
                  <w:marRight w:val="0"/>
                  <w:marTop w:val="0"/>
                  <w:marBottom w:val="0"/>
                  <w:divBdr>
                    <w:top w:val="none" w:sz="0" w:space="0" w:color="auto"/>
                    <w:left w:val="none" w:sz="0" w:space="0" w:color="auto"/>
                    <w:bottom w:val="none" w:sz="0" w:space="0" w:color="auto"/>
                    <w:right w:val="none" w:sz="0" w:space="0" w:color="auto"/>
                  </w:divBdr>
                  <w:divsChild>
                    <w:div w:id="345375843">
                      <w:marLeft w:val="0"/>
                      <w:marRight w:val="0"/>
                      <w:marTop w:val="0"/>
                      <w:marBottom w:val="0"/>
                      <w:divBdr>
                        <w:top w:val="none" w:sz="0" w:space="0" w:color="auto"/>
                        <w:left w:val="none" w:sz="0" w:space="0" w:color="auto"/>
                        <w:bottom w:val="none" w:sz="0" w:space="0" w:color="auto"/>
                        <w:right w:val="none" w:sz="0" w:space="0" w:color="auto"/>
                      </w:divBdr>
                      <w:divsChild>
                        <w:div w:id="546111530">
                          <w:marLeft w:val="0"/>
                          <w:marRight w:val="0"/>
                          <w:marTop w:val="0"/>
                          <w:marBottom w:val="0"/>
                          <w:divBdr>
                            <w:top w:val="none" w:sz="0" w:space="0" w:color="auto"/>
                            <w:left w:val="none" w:sz="0" w:space="0" w:color="auto"/>
                            <w:bottom w:val="none" w:sz="0" w:space="0" w:color="auto"/>
                            <w:right w:val="none" w:sz="0" w:space="0" w:color="auto"/>
                          </w:divBdr>
                          <w:divsChild>
                            <w:div w:id="1075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37967-augstskolu-likums" TargetMode="External"/><Relationship Id="rId13" Type="http://schemas.openxmlformats.org/officeDocument/2006/relationships/hyperlink" Target="mailto:anita.depkovska@iz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likumi.lv/ta/id/50759-izglitibas-liku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ta/id/50759-izglitiba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likumi.lv/ta/id/37967-augstskolu-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likumi.lv/ta/id/37967-augstskolu-likums" TargetMode="External"/><Relationship Id="rId14" Type="http://schemas.openxmlformats.org/officeDocument/2006/relationships/hyperlink" Target="mailto:aic.santaberzina@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nqa.eu/wp-content/uploads/2015/11/ESG_2015.pdf" TargetMode="External"/><Relationship Id="rId2" Type="http://schemas.openxmlformats.org/officeDocument/2006/relationships/hyperlink" Target="http://www.ehea.info/" TargetMode="External"/><Relationship Id="rId1" Type="http://schemas.openxmlformats.org/officeDocument/2006/relationships/hyperlink" Target="http://www.eqar.eu" TargetMode="External"/><Relationship Id="rId4" Type="http://schemas.openxmlformats.org/officeDocument/2006/relationships/hyperlink" Target="https://m.likumi.lv/doc.php?id=267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BEFFE-7A6E-4016-A262-11344E97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13763</Words>
  <Characters>7845</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21565</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Anita Depkovska</cp:lastModifiedBy>
  <cp:revision>2</cp:revision>
  <cp:lastPrinted>2017-03-10T07:13:00Z</cp:lastPrinted>
  <dcterms:created xsi:type="dcterms:W3CDTF">2017-03-21T09:29:00Z</dcterms:created>
  <dcterms:modified xsi:type="dcterms:W3CDTF">2017-03-21T09:29:00Z</dcterms:modified>
</cp:coreProperties>
</file>