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37" w:rsidRPr="003B668C" w:rsidRDefault="00054137" w:rsidP="00054137">
      <w:pPr>
        <w:jc w:val="center"/>
        <w:rPr>
          <w:rFonts w:ascii="Times New Roman" w:hAnsi="Times New Roman" w:cs="Times New Roman"/>
          <w:b/>
          <w:bCs/>
          <w:sz w:val="28"/>
          <w:szCs w:val="28"/>
        </w:rPr>
      </w:pPr>
      <w:bookmarkStart w:id="0" w:name="_GoBack"/>
      <w:bookmarkEnd w:id="0"/>
      <w:r w:rsidRPr="003B668C">
        <w:rPr>
          <w:rFonts w:ascii="Times New Roman" w:hAnsi="Times New Roman" w:cs="Times New Roman"/>
          <w:b/>
          <w:bCs/>
          <w:sz w:val="28"/>
          <w:szCs w:val="28"/>
        </w:rPr>
        <w:t>Ministru kabineta rīkojuma projekta “</w:t>
      </w:r>
      <w:r w:rsidR="00E13077" w:rsidRPr="003B668C">
        <w:rPr>
          <w:rFonts w:ascii="Times New Roman" w:hAnsi="Times New Roman" w:cs="Times New Roman"/>
          <w:b/>
          <w:bCs/>
          <w:sz w:val="28"/>
          <w:szCs w:val="28"/>
        </w:rPr>
        <w:t>Grozījumi</w:t>
      </w:r>
      <w:r w:rsidRPr="003B668C">
        <w:rPr>
          <w:rFonts w:ascii="Times New Roman" w:hAnsi="Times New Roman" w:cs="Times New Roman"/>
          <w:b/>
          <w:bCs/>
          <w:sz w:val="28"/>
          <w:szCs w:val="28"/>
        </w:rPr>
        <w:t xml:space="preserve"> Ministru kabineta 2016.gada 6.aprīļa rīkojumā Nr.248 “Par Valsts policijas attīstības koncepciju”” sākotnējās ietekmes novērtējuma </w:t>
      </w:r>
      <w:smartTag w:uri="schemas-tilde-lv/tildestengine" w:element="veidnes">
        <w:smartTagPr>
          <w:attr w:name="id" w:val="-1"/>
          <w:attr w:name="baseform" w:val="ziņojums"/>
          <w:attr w:name="text" w:val="ziņojums"/>
        </w:smartTagPr>
        <w:r w:rsidRPr="003B668C">
          <w:rPr>
            <w:rFonts w:ascii="Times New Roman" w:hAnsi="Times New Roman" w:cs="Times New Roman"/>
            <w:b/>
            <w:bCs/>
            <w:sz w:val="28"/>
            <w:szCs w:val="28"/>
          </w:rPr>
          <w:t>ziņojums</w:t>
        </w:r>
      </w:smartTag>
      <w:r w:rsidRPr="003B668C">
        <w:rPr>
          <w:rFonts w:ascii="Times New Roman" w:hAnsi="Times New Roman" w:cs="Times New Roman"/>
          <w:b/>
          <w:bCs/>
          <w:sz w:val="28"/>
          <w:szCs w:val="28"/>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2868"/>
        <w:gridCol w:w="5910"/>
      </w:tblGrid>
      <w:tr w:rsidR="00054137" w:rsidRPr="003B668C" w:rsidTr="009B157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54137" w:rsidRPr="003B668C" w:rsidRDefault="00054137" w:rsidP="009B1576">
            <w:pPr>
              <w:spacing w:after="0"/>
              <w:ind w:firstLine="300"/>
              <w:jc w:val="center"/>
              <w:rPr>
                <w:rFonts w:ascii="Times New Roman" w:eastAsia="Times New Roman" w:hAnsi="Times New Roman" w:cs="Times New Roman"/>
                <w:b/>
                <w:bCs/>
                <w:sz w:val="28"/>
                <w:szCs w:val="28"/>
                <w:lang w:eastAsia="lv-LV"/>
              </w:rPr>
            </w:pPr>
            <w:r w:rsidRPr="003B668C">
              <w:rPr>
                <w:rFonts w:ascii="Times New Roman" w:eastAsia="Times New Roman" w:hAnsi="Times New Roman" w:cs="Times New Roman"/>
                <w:b/>
                <w:bCs/>
                <w:sz w:val="28"/>
                <w:szCs w:val="28"/>
                <w:lang w:eastAsia="lv-LV"/>
              </w:rPr>
              <w:t>I. Tiesību akta projekta izstrādes nepieciešamība</w:t>
            </w:r>
          </w:p>
        </w:tc>
      </w:tr>
      <w:tr w:rsidR="00054137" w:rsidRPr="003B668C" w:rsidTr="009B1576">
        <w:trPr>
          <w:trHeight w:val="286"/>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pStyle w:val="Virsraksts3"/>
              <w:jc w:val="both"/>
              <w:rPr>
                <w:rFonts w:eastAsiaTheme="minorHAnsi"/>
                <w:sz w:val="28"/>
                <w:szCs w:val="28"/>
                <w:lang w:eastAsia="en-US"/>
              </w:rPr>
            </w:pPr>
            <w:r w:rsidRPr="003B668C">
              <w:rPr>
                <w:rFonts w:eastAsiaTheme="minorHAnsi"/>
                <w:b w:val="0"/>
                <w:bCs w:val="0"/>
                <w:sz w:val="28"/>
                <w:szCs w:val="28"/>
                <w:lang w:eastAsia="en-US"/>
              </w:rPr>
              <w:t>Pamatojums</w:t>
            </w:r>
          </w:p>
        </w:tc>
        <w:tc>
          <w:tcPr>
            <w:tcW w:w="3160" w:type="pct"/>
            <w:tcBorders>
              <w:top w:val="outset" w:sz="6" w:space="0" w:color="auto"/>
              <w:left w:val="outset" w:sz="6" w:space="0" w:color="auto"/>
              <w:bottom w:val="outset" w:sz="6" w:space="0" w:color="auto"/>
              <w:right w:val="outset" w:sz="6" w:space="0" w:color="auto"/>
            </w:tcBorders>
            <w:hideMark/>
          </w:tcPr>
          <w:p w:rsidR="00054137" w:rsidRPr="003B668C" w:rsidRDefault="0013780F" w:rsidP="00FD63FE">
            <w:pPr>
              <w:pStyle w:val="Virsraksts3"/>
              <w:spacing w:before="0" w:beforeAutospacing="0" w:after="0" w:afterAutospacing="0"/>
              <w:jc w:val="both"/>
              <w:rPr>
                <w:rFonts w:eastAsiaTheme="minorHAnsi"/>
                <w:b w:val="0"/>
                <w:bCs w:val="0"/>
                <w:sz w:val="28"/>
                <w:szCs w:val="28"/>
                <w:lang w:eastAsia="en-US"/>
              </w:rPr>
            </w:pPr>
            <w:r w:rsidRPr="003B668C">
              <w:rPr>
                <w:rFonts w:eastAsiaTheme="minorHAnsi"/>
                <w:b w:val="0"/>
                <w:bCs w:val="0"/>
                <w:sz w:val="28"/>
                <w:szCs w:val="28"/>
                <w:lang w:eastAsia="en-US"/>
              </w:rPr>
              <w:t>Iekšlietu ministrijas iniciatīva.</w:t>
            </w:r>
          </w:p>
        </w:tc>
      </w:tr>
      <w:tr w:rsidR="00054137" w:rsidRPr="003B668C" w:rsidTr="009B157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60" w:type="pct"/>
            <w:tcBorders>
              <w:top w:val="outset" w:sz="6" w:space="0" w:color="auto"/>
              <w:left w:val="outset" w:sz="6" w:space="0" w:color="auto"/>
              <w:bottom w:val="outset" w:sz="6" w:space="0" w:color="auto"/>
              <w:right w:val="outset" w:sz="6" w:space="0" w:color="auto"/>
            </w:tcBorders>
            <w:hideMark/>
          </w:tcPr>
          <w:p w:rsidR="00054137" w:rsidRPr="003B668C" w:rsidRDefault="00054137" w:rsidP="00F114B7">
            <w:pPr>
              <w:spacing w:after="0"/>
              <w:jc w:val="both"/>
              <w:rPr>
                <w:rFonts w:ascii="Times New Roman" w:hAnsi="Times New Roman" w:cs="Times New Roman"/>
                <w:bCs/>
                <w:sz w:val="28"/>
                <w:szCs w:val="28"/>
              </w:rPr>
            </w:pPr>
            <w:r w:rsidRPr="003B668C">
              <w:rPr>
                <w:rFonts w:ascii="Times New Roman" w:hAnsi="Times New Roman" w:cs="Times New Roman"/>
                <w:bCs/>
                <w:sz w:val="28"/>
                <w:szCs w:val="28"/>
              </w:rPr>
              <w:t xml:space="preserve">Ministru kabineta 2016.gada 6.aprīļa rīkojuma Nr.248 “Par Valsts policijas </w:t>
            </w:r>
            <w:r w:rsidR="00E13077" w:rsidRPr="003B668C">
              <w:rPr>
                <w:rFonts w:ascii="Times New Roman" w:hAnsi="Times New Roman" w:cs="Times New Roman"/>
                <w:bCs/>
                <w:sz w:val="28"/>
                <w:szCs w:val="28"/>
              </w:rPr>
              <w:t xml:space="preserve">attīstības koncepciju” </w:t>
            </w:r>
            <w:r w:rsidR="00FB00E5" w:rsidRPr="003B668C">
              <w:rPr>
                <w:rFonts w:ascii="Times New Roman" w:hAnsi="Times New Roman" w:cs="Times New Roman"/>
                <w:bCs/>
                <w:sz w:val="28"/>
                <w:szCs w:val="28"/>
              </w:rPr>
              <w:t xml:space="preserve"> (turpmāk – Rīkojums) </w:t>
            </w:r>
            <w:r w:rsidR="00E13077" w:rsidRPr="003B668C">
              <w:rPr>
                <w:rFonts w:ascii="Times New Roman" w:hAnsi="Times New Roman" w:cs="Times New Roman"/>
                <w:bCs/>
                <w:sz w:val="28"/>
                <w:szCs w:val="28"/>
              </w:rPr>
              <w:t xml:space="preserve">3.punktā noteikts uzdevums </w:t>
            </w:r>
            <w:r w:rsidRPr="003B668C">
              <w:rPr>
                <w:rFonts w:ascii="Times New Roman" w:hAnsi="Times New Roman" w:cs="Times New Roman"/>
                <w:bCs/>
                <w:sz w:val="28"/>
                <w:szCs w:val="28"/>
              </w:rPr>
              <w:t>Iekšlietu ministrijai sadarbībā ar Tieslietu ministriju, Ģenerālprokuratūru un citām tiesību aizsardzības iestādēm līdz 2016. gada 30. jūnijam sagatavot un noteiktā kārtībā iesniegt izskatīšanai Ministru kabinetā likumprojektu "Grozījumi Kriminālprocesa likumā", paredzot kriminālprocesa izmeklēšanas vienkāršošanu, noziedzīga nodarījuma smagumam samērīgu izmeklēšanu, kā arī kriminālprocesa apturēšanas un izbeigšanas nosacījumu pārskatīšanu.</w:t>
            </w:r>
          </w:p>
          <w:p w:rsidR="00054137" w:rsidRPr="003B668C" w:rsidRDefault="00054137" w:rsidP="00F114B7">
            <w:pPr>
              <w:spacing w:after="0"/>
              <w:jc w:val="both"/>
              <w:rPr>
                <w:rFonts w:ascii="Times New Roman" w:hAnsi="Times New Roman" w:cs="Times New Roman"/>
                <w:bCs/>
                <w:sz w:val="28"/>
                <w:szCs w:val="28"/>
              </w:rPr>
            </w:pPr>
            <w:r w:rsidRPr="003B668C">
              <w:rPr>
                <w:rFonts w:ascii="Times New Roman" w:hAnsi="Times New Roman" w:cs="Times New Roman"/>
                <w:bCs/>
                <w:sz w:val="28"/>
                <w:szCs w:val="28"/>
              </w:rPr>
              <w:t xml:space="preserve">Valsts policija sadarbībā ar Tieslietu ministriju, Iekšlietu ministriju un Ģenerālprokuratūru Eiropas Komisijas pamatprogrammas „Drošības un brīvības garantēšana” īpašās programmas „Noziedzības profilakse un apkarošana” projektā “Mazāk smagu noziegumu izmeklēšanas vienkāršošana ar mērķi sabalansēt nozieguma sabiedrisko bīstamību, radīto kaitējumu un izmeklēšanā izlietotos resursus” (turpmāk – izmeklēšanas vienkāršošanas projekts) apzināja Igaunijas, Lietuvas, Vācijas, Somijas, Zviedrijas, Rumānijas, Nīderlandes un Čehijas normatīvo regulējumu un praksi attiecībā uz vienkāršotajiem kriminālprocesu veidiem, noziedzīga nodarījuma smagumam samērīgu izmeklēšanu, kriminālprocesu apturēšanu u.c. kriminālprocesuālajiem jautājumiem. </w:t>
            </w:r>
          </w:p>
          <w:p w:rsidR="00054137" w:rsidRPr="003B668C" w:rsidRDefault="00054137" w:rsidP="00F114B7">
            <w:pPr>
              <w:spacing w:after="0"/>
              <w:jc w:val="both"/>
              <w:rPr>
                <w:rFonts w:ascii="Times New Roman" w:hAnsi="Times New Roman" w:cs="Times New Roman"/>
                <w:bCs/>
                <w:sz w:val="28"/>
                <w:szCs w:val="28"/>
              </w:rPr>
            </w:pPr>
            <w:r w:rsidRPr="003B668C">
              <w:rPr>
                <w:rFonts w:ascii="Times New Roman" w:hAnsi="Times New Roman" w:cs="Times New Roman"/>
                <w:bCs/>
                <w:sz w:val="28"/>
                <w:szCs w:val="28"/>
              </w:rPr>
              <w:t xml:space="preserve">Izmeklēšanas vienkāršošanas projektā gūtā pieredze liecina, ka Latvijā, ņemot vērā Kriminālprocesa likuma (turpmāk – KPL) nosacījumus, izmeklēšanas iestādei ir nepieciešams noformēt visvairāk procesuālo dokumentu – dažādi procesuāli lēmumi, protokoli, kā arī kriminālprocesa reģistrs. Tāpat KPL nosacījumi neļauj pietiekoši efektīvi īstenot izmeklēšanu attālināti un izmeklēšanas darbību fiksēšanā </w:t>
            </w:r>
            <w:r w:rsidRPr="003B668C">
              <w:rPr>
                <w:rFonts w:ascii="Times New Roman" w:hAnsi="Times New Roman" w:cs="Times New Roman"/>
                <w:bCs/>
                <w:sz w:val="28"/>
                <w:szCs w:val="28"/>
              </w:rPr>
              <w:lastRenderedPageBreak/>
              <w:t xml:space="preserve">izmantot tikai tehniskos līdzekļus, kā arī atsevišķos gadījumos uzliek pienākumu dublēt izmeklēšanas darbības. Tā rezultātā izmeklēšanas formālo prasību nodrošināšanai izlietotais izmeklēšanas iestāžu resurss bieži vien ir nesamērīgs ar noziedzīga nodarījuma rezultātā nodarīto kaitējumu. </w:t>
            </w:r>
          </w:p>
          <w:p w:rsidR="00054137" w:rsidRPr="003B668C" w:rsidRDefault="00054137" w:rsidP="00F114B7">
            <w:pPr>
              <w:spacing w:after="0"/>
              <w:jc w:val="both"/>
              <w:rPr>
                <w:rFonts w:ascii="Times New Roman" w:hAnsi="Times New Roman" w:cs="Times New Roman"/>
                <w:bCs/>
                <w:sz w:val="28"/>
                <w:szCs w:val="28"/>
              </w:rPr>
            </w:pPr>
            <w:r w:rsidRPr="003B668C">
              <w:rPr>
                <w:rFonts w:ascii="Times New Roman" w:hAnsi="Times New Roman" w:cs="Times New Roman"/>
                <w:bCs/>
                <w:sz w:val="28"/>
                <w:szCs w:val="28"/>
              </w:rPr>
              <w:t xml:space="preserve">Izmeklēšanas vienkāršošanas projektā tika sagatavoti priekšlikumi izmaiņām Kriminālprocesa likumā, kas 2016.gadā tika izskatīti Tieslietu ministrijas pastāvīgajā Kriminālprocesa likuma darba grupā. </w:t>
            </w:r>
          </w:p>
          <w:p w:rsidR="00054137" w:rsidRPr="003B668C" w:rsidRDefault="00054137" w:rsidP="00F114B7">
            <w:pPr>
              <w:spacing w:after="0"/>
              <w:jc w:val="both"/>
              <w:rPr>
                <w:rFonts w:ascii="Times New Roman" w:hAnsi="Times New Roman" w:cs="Times New Roman"/>
                <w:bCs/>
                <w:sz w:val="28"/>
                <w:szCs w:val="28"/>
              </w:rPr>
            </w:pPr>
            <w:r w:rsidRPr="003B668C">
              <w:rPr>
                <w:rFonts w:ascii="Times New Roman" w:hAnsi="Times New Roman" w:cs="Times New Roman"/>
                <w:bCs/>
                <w:sz w:val="28"/>
                <w:szCs w:val="28"/>
              </w:rPr>
              <w:t>Likumprojekts “Grozījumi Kriminālprocesa likumā” 2016.gada 3.novembrī izsludināts Valsts sekretāru sanāksmē (VSS-1054).</w:t>
            </w:r>
          </w:p>
          <w:p w:rsidR="00054137" w:rsidRPr="003B668C" w:rsidRDefault="00054137" w:rsidP="00F114B7">
            <w:pPr>
              <w:spacing w:after="0"/>
              <w:jc w:val="both"/>
              <w:rPr>
                <w:rFonts w:ascii="Times New Roman" w:hAnsi="Times New Roman" w:cs="Times New Roman"/>
                <w:bCs/>
                <w:sz w:val="28"/>
                <w:szCs w:val="28"/>
              </w:rPr>
            </w:pPr>
            <w:r w:rsidRPr="003B668C">
              <w:rPr>
                <w:rFonts w:ascii="Times New Roman" w:hAnsi="Times New Roman" w:cs="Times New Roman"/>
                <w:bCs/>
                <w:sz w:val="28"/>
                <w:szCs w:val="28"/>
              </w:rPr>
              <w:t>Likumprojekta mērķis ir nodrošināt atteikšanos no formālām, dublējošām procesuālajām darbībām, dokumentiem, radīt priekšnosacījumus efektīvākai izmeklēšanas darbību fiksēšanai, ātrākai, vienkāršotai kriminālprocesa virzībai uz prokuratūru un tiesu, kā arī vienkāršot kriminālprocesu lietvedības apturēšanu, atjaunošanu un izbeigšanu noilguma gadījumā.</w:t>
            </w:r>
          </w:p>
          <w:p w:rsidR="00853FB4" w:rsidRPr="003B668C" w:rsidRDefault="00EE3956" w:rsidP="00F114B7">
            <w:pPr>
              <w:spacing w:after="0"/>
              <w:jc w:val="both"/>
              <w:rPr>
                <w:rFonts w:ascii="Times New Roman" w:hAnsi="Times New Roman" w:cs="Times New Roman"/>
                <w:bCs/>
                <w:sz w:val="28"/>
                <w:szCs w:val="28"/>
              </w:rPr>
            </w:pPr>
            <w:r w:rsidRPr="003B668C">
              <w:rPr>
                <w:rFonts w:ascii="Times New Roman" w:hAnsi="Times New Roman" w:cs="Times New Roman"/>
                <w:bCs/>
                <w:sz w:val="28"/>
                <w:szCs w:val="28"/>
              </w:rPr>
              <w:t>Ņemot vērā, ka nepieciešams panākt konceptuālu vienošanos ar Ģenerālprokurat</w:t>
            </w:r>
            <w:r w:rsidR="00853FB4" w:rsidRPr="003B668C">
              <w:rPr>
                <w:rFonts w:ascii="Times New Roman" w:hAnsi="Times New Roman" w:cs="Times New Roman"/>
                <w:bCs/>
                <w:sz w:val="28"/>
                <w:szCs w:val="28"/>
              </w:rPr>
              <w:t>ūru</w:t>
            </w:r>
            <w:r w:rsidR="00043635" w:rsidRPr="003B668C">
              <w:rPr>
                <w:rFonts w:ascii="Times New Roman" w:hAnsi="Times New Roman" w:cs="Times New Roman"/>
                <w:bCs/>
                <w:sz w:val="28"/>
                <w:szCs w:val="28"/>
              </w:rPr>
              <w:t>,</w:t>
            </w:r>
            <w:r w:rsidR="00853FB4" w:rsidRPr="003B668C">
              <w:rPr>
                <w:rFonts w:ascii="Times New Roman" w:hAnsi="Times New Roman" w:cs="Times New Roman"/>
                <w:bCs/>
                <w:sz w:val="28"/>
                <w:szCs w:val="28"/>
              </w:rPr>
              <w:t xml:space="preserve"> </w:t>
            </w:r>
            <w:r w:rsidR="00E13077" w:rsidRPr="003B668C">
              <w:rPr>
                <w:rFonts w:ascii="Times New Roman" w:hAnsi="Times New Roman" w:cs="Times New Roman"/>
                <w:bCs/>
                <w:sz w:val="28"/>
                <w:szCs w:val="28"/>
              </w:rPr>
              <w:t xml:space="preserve">sagatavotajā rīkojuma projektā paredzēts </w:t>
            </w:r>
            <w:r w:rsidR="00853FB4" w:rsidRPr="003B668C">
              <w:rPr>
                <w:rFonts w:ascii="Times New Roman" w:hAnsi="Times New Roman" w:cs="Times New Roman"/>
                <w:bCs/>
                <w:sz w:val="28"/>
                <w:szCs w:val="28"/>
              </w:rPr>
              <w:t>Ministru kabineta 2016.gada 6.aprīļa rīkojuma Nr.248 “Par Valsts policijas attīstības koncepciju” 3.punkt</w:t>
            </w:r>
            <w:r w:rsidR="00043635" w:rsidRPr="003B668C">
              <w:rPr>
                <w:rFonts w:ascii="Times New Roman" w:hAnsi="Times New Roman" w:cs="Times New Roman"/>
                <w:bCs/>
                <w:sz w:val="28"/>
                <w:szCs w:val="28"/>
              </w:rPr>
              <w:t>ā dotā uzdevuma izpildi pagarināt līdz 2017.gada 30.maijam</w:t>
            </w:r>
            <w:r w:rsidR="00853FB4" w:rsidRPr="003B668C">
              <w:rPr>
                <w:rFonts w:ascii="Times New Roman" w:hAnsi="Times New Roman" w:cs="Times New Roman"/>
                <w:bCs/>
                <w:sz w:val="28"/>
                <w:szCs w:val="28"/>
              </w:rPr>
              <w:t>.</w:t>
            </w:r>
          </w:p>
          <w:p w:rsidR="00E13077" w:rsidRPr="003B668C" w:rsidRDefault="00E13077" w:rsidP="00F114B7">
            <w:pPr>
              <w:spacing w:after="0"/>
              <w:jc w:val="both"/>
              <w:rPr>
                <w:rFonts w:ascii="Times New Roman" w:hAnsi="Times New Roman" w:cs="Times New Roman"/>
                <w:bCs/>
                <w:sz w:val="28"/>
                <w:szCs w:val="28"/>
              </w:rPr>
            </w:pPr>
          </w:p>
          <w:p w:rsidR="00F114B7" w:rsidRPr="003B668C" w:rsidRDefault="00F114B7" w:rsidP="00F114B7">
            <w:pPr>
              <w:spacing w:after="0"/>
              <w:ind w:firstLine="709"/>
              <w:jc w:val="both"/>
              <w:rPr>
                <w:rFonts w:ascii="Times New Roman" w:hAnsi="Times New Roman" w:cs="Times New Roman"/>
                <w:sz w:val="28"/>
                <w:szCs w:val="28"/>
                <w:lang w:eastAsia="ar-SA"/>
              </w:rPr>
            </w:pPr>
            <w:r w:rsidRPr="003B668C">
              <w:rPr>
                <w:rFonts w:ascii="Times New Roman" w:hAnsi="Times New Roman" w:cs="Times New Roman"/>
                <w:bCs/>
                <w:sz w:val="28"/>
                <w:szCs w:val="28"/>
              </w:rPr>
              <w:t xml:space="preserve">Rīkojuma 4.punktā noteikts uzdevums Iekšlietu ministrijai </w:t>
            </w:r>
            <w:r w:rsidRPr="003B668C">
              <w:rPr>
                <w:rFonts w:ascii="Times New Roman" w:hAnsi="Times New Roman" w:cs="Times New Roman"/>
                <w:iCs/>
                <w:sz w:val="28"/>
                <w:szCs w:val="28"/>
              </w:rPr>
              <w:t>kopīgi ar Tieslietu ministriju līdz 2017. gada 1. martam izstrādāt nepieciešamos tiesību aktu projektus un pasākumu plānu, lai nodrošinātu</w:t>
            </w:r>
            <w:r w:rsidRPr="003B668C">
              <w:rPr>
                <w:rFonts w:ascii="Times New Roman" w:hAnsi="Times New Roman" w:cs="Times New Roman"/>
                <w:sz w:val="28"/>
                <w:szCs w:val="28"/>
                <w:lang w:eastAsia="ar-SA"/>
              </w:rPr>
              <w:t xml:space="preserve"> </w:t>
            </w:r>
            <w:r w:rsidRPr="003B668C">
              <w:rPr>
                <w:rFonts w:ascii="Times New Roman" w:hAnsi="Times New Roman" w:cs="Times New Roman"/>
                <w:sz w:val="28"/>
                <w:szCs w:val="28"/>
              </w:rPr>
              <w:t xml:space="preserve">apcietināto un notiesāto personu konvojēšanas </w:t>
            </w:r>
            <w:r w:rsidRPr="003B668C">
              <w:rPr>
                <w:rFonts w:ascii="Times New Roman" w:hAnsi="Times New Roman" w:cs="Times New Roman"/>
                <w:bCs/>
                <w:iCs/>
                <w:sz w:val="28"/>
                <w:szCs w:val="28"/>
              </w:rPr>
              <w:t>pienākuma</w:t>
            </w:r>
            <w:r w:rsidRPr="003B668C">
              <w:rPr>
                <w:rFonts w:ascii="Times New Roman" w:hAnsi="Times New Roman" w:cs="Times New Roman"/>
                <w:sz w:val="28"/>
                <w:szCs w:val="28"/>
                <w:lang w:eastAsia="ar-SA"/>
              </w:rPr>
              <w:t xml:space="preserve"> nodošanu Tieslietu ministrijas Ieslodzījuma vietu pārvaldei: </w:t>
            </w:r>
          </w:p>
          <w:p w:rsidR="00F114B7" w:rsidRPr="003B668C" w:rsidRDefault="00F114B7" w:rsidP="00F114B7">
            <w:pPr>
              <w:spacing w:after="0"/>
              <w:ind w:firstLine="709"/>
              <w:jc w:val="both"/>
              <w:rPr>
                <w:rFonts w:ascii="Times New Roman" w:hAnsi="Times New Roman" w:cs="Times New Roman"/>
                <w:sz w:val="28"/>
                <w:szCs w:val="28"/>
                <w:lang w:eastAsia="ar-SA"/>
              </w:rPr>
            </w:pPr>
            <w:r w:rsidRPr="003B668C">
              <w:rPr>
                <w:rFonts w:ascii="Times New Roman" w:hAnsi="Times New Roman" w:cs="Times New Roman"/>
                <w:sz w:val="28"/>
                <w:szCs w:val="28"/>
                <w:lang w:eastAsia="ar-SA"/>
              </w:rPr>
              <w:t>4.1. ar 2019. gada 1. jūliju –</w:t>
            </w:r>
            <w:r w:rsidRPr="003B668C">
              <w:rPr>
                <w:rFonts w:ascii="Times New Roman" w:hAnsi="Times New Roman" w:cs="Times New Roman"/>
                <w:iCs/>
                <w:sz w:val="28"/>
                <w:szCs w:val="28"/>
              </w:rPr>
              <w:t xml:space="preserve"> </w:t>
            </w:r>
            <w:r w:rsidRPr="003B668C">
              <w:rPr>
                <w:rFonts w:ascii="Times New Roman" w:hAnsi="Times New Roman" w:cs="Times New Roman"/>
                <w:sz w:val="28"/>
                <w:szCs w:val="28"/>
              </w:rPr>
              <w:t xml:space="preserve">konvojēšanu starp ieslodzījuma vietām </w:t>
            </w:r>
            <w:r w:rsidRPr="003B668C">
              <w:rPr>
                <w:rFonts w:ascii="Times New Roman" w:hAnsi="Times New Roman" w:cs="Times New Roman"/>
                <w:sz w:val="28"/>
                <w:szCs w:val="28"/>
                <w:lang w:eastAsia="ar-SA"/>
              </w:rPr>
              <w:t>saistībā ar ieslodzījuma (brīvības atņemšanas soda vai drošības līdzekļa – apcietinājums) izpildi;</w:t>
            </w:r>
          </w:p>
          <w:p w:rsidR="00F114B7" w:rsidRPr="003B668C" w:rsidRDefault="00F114B7" w:rsidP="00F114B7">
            <w:pPr>
              <w:spacing w:after="0"/>
              <w:ind w:firstLine="709"/>
              <w:jc w:val="both"/>
              <w:rPr>
                <w:rFonts w:ascii="Times New Roman" w:hAnsi="Times New Roman" w:cs="Times New Roman"/>
                <w:sz w:val="28"/>
                <w:szCs w:val="28"/>
                <w:lang w:eastAsia="ar-SA"/>
              </w:rPr>
            </w:pPr>
            <w:r w:rsidRPr="003B668C">
              <w:rPr>
                <w:rFonts w:ascii="Times New Roman" w:hAnsi="Times New Roman" w:cs="Times New Roman"/>
                <w:sz w:val="28"/>
                <w:szCs w:val="28"/>
                <w:lang w:eastAsia="ar-SA"/>
              </w:rPr>
              <w:t>4.2. ar 2021. gada 1. janvāri</w:t>
            </w:r>
            <w:r w:rsidRPr="003B668C">
              <w:rPr>
                <w:rFonts w:ascii="Times New Roman" w:hAnsi="Times New Roman" w:cs="Times New Roman"/>
                <w:sz w:val="28"/>
                <w:szCs w:val="28"/>
              </w:rPr>
              <w:t xml:space="preserve"> konvojēšanu</w:t>
            </w:r>
            <w:r w:rsidRPr="003B668C">
              <w:rPr>
                <w:rFonts w:ascii="Times New Roman" w:hAnsi="Times New Roman" w:cs="Times New Roman"/>
                <w:sz w:val="28"/>
                <w:szCs w:val="28"/>
                <w:lang w:eastAsia="ar-SA"/>
              </w:rPr>
              <w:t xml:space="preserve">: </w:t>
            </w:r>
          </w:p>
          <w:p w:rsidR="00F114B7" w:rsidRPr="003B668C" w:rsidRDefault="00F114B7" w:rsidP="00F114B7">
            <w:pPr>
              <w:spacing w:after="0"/>
              <w:ind w:firstLine="709"/>
              <w:jc w:val="both"/>
              <w:rPr>
                <w:rFonts w:ascii="Times New Roman" w:hAnsi="Times New Roman" w:cs="Times New Roman"/>
                <w:bCs/>
                <w:iCs/>
                <w:sz w:val="28"/>
                <w:szCs w:val="28"/>
              </w:rPr>
            </w:pPr>
            <w:r w:rsidRPr="003B668C">
              <w:rPr>
                <w:rFonts w:ascii="Times New Roman" w:hAnsi="Times New Roman" w:cs="Times New Roman"/>
                <w:sz w:val="28"/>
                <w:szCs w:val="28"/>
                <w:lang w:eastAsia="ar-SA"/>
              </w:rPr>
              <w:lastRenderedPageBreak/>
              <w:t>4.2.1. </w:t>
            </w:r>
            <w:r w:rsidRPr="003B668C">
              <w:rPr>
                <w:rFonts w:ascii="Times New Roman" w:hAnsi="Times New Roman" w:cs="Times New Roman"/>
                <w:bCs/>
                <w:iCs/>
                <w:sz w:val="28"/>
                <w:szCs w:val="28"/>
              </w:rPr>
              <w:t xml:space="preserve">no ieslodzījuma vietas uz </w:t>
            </w:r>
            <w:r w:rsidRPr="003B668C">
              <w:rPr>
                <w:rFonts w:ascii="Times New Roman" w:hAnsi="Times New Roman" w:cs="Times New Roman"/>
                <w:sz w:val="28"/>
                <w:szCs w:val="28"/>
              </w:rPr>
              <w:t xml:space="preserve">tiesu </w:t>
            </w:r>
            <w:r w:rsidRPr="003B668C">
              <w:rPr>
                <w:rFonts w:ascii="Times New Roman" w:hAnsi="Times New Roman" w:cs="Times New Roman"/>
                <w:bCs/>
                <w:iCs/>
                <w:sz w:val="28"/>
                <w:szCs w:val="28"/>
              </w:rPr>
              <w:t>un no</w:t>
            </w:r>
            <w:r w:rsidRPr="003B668C">
              <w:rPr>
                <w:rFonts w:ascii="Times New Roman" w:hAnsi="Times New Roman" w:cs="Times New Roman"/>
                <w:sz w:val="28"/>
                <w:szCs w:val="28"/>
              </w:rPr>
              <w:t xml:space="preserve"> tās un apsardzi tiesas procesa laikā, ja procesa virzītājs ir tiesa vai prokuratūra;</w:t>
            </w:r>
          </w:p>
          <w:p w:rsidR="00F114B7" w:rsidRPr="003B668C" w:rsidRDefault="00F114B7" w:rsidP="00F114B7">
            <w:pPr>
              <w:spacing w:after="0"/>
              <w:ind w:firstLine="709"/>
              <w:jc w:val="both"/>
              <w:rPr>
                <w:rFonts w:ascii="Times New Roman" w:hAnsi="Times New Roman" w:cs="Times New Roman"/>
                <w:sz w:val="28"/>
                <w:szCs w:val="28"/>
              </w:rPr>
            </w:pPr>
            <w:r w:rsidRPr="003B668C">
              <w:rPr>
                <w:rFonts w:ascii="Times New Roman" w:hAnsi="Times New Roman" w:cs="Times New Roman"/>
                <w:sz w:val="28"/>
                <w:szCs w:val="28"/>
                <w:lang w:eastAsia="ar-SA"/>
              </w:rPr>
              <w:t>4.2.2. </w:t>
            </w:r>
            <w:r w:rsidRPr="003B668C">
              <w:rPr>
                <w:rFonts w:ascii="Times New Roman" w:hAnsi="Times New Roman" w:cs="Times New Roman"/>
                <w:sz w:val="28"/>
                <w:szCs w:val="28"/>
              </w:rPr>
              <w:t xml:space="preserve">no ieslodzījuma vietas uz tiesu </w:t>
            </w:r>
            <w:r w:rsidRPr="003B668C">
              <w:rPr>
                <w:rFonts w:ascii="Times New Roman" w:hAnsi="Times New Roman" w:cs="Times New Roman"/>
                <w:bCs/>
                <w:iCs/>
                <w:sz w:val="28"/>
                <w:szCs w:val="28"/>
              </w:rPr>
              <w:t>un no</w:t>
            </w:r>
            <w:r w:rsidRPr="003B668C">
              <w:rPr>
                <w:rFonts w:ascii="Times New Roman" w:hAnsi="Times New Roman" w:cs="Times New Roman"/>
                <w:sz w:val="28"/>
                <w:szCs w:val="28"/>
              </w:rPr>
              <w:t xml:space="preserve"> tās administratīvo un civiltiesisko jautājumu izskatīšanai, kas radušies, personām atrodoties ieslodzījuma vietā;</w:t>
            </w:r>
          </w:p>
          <w:p w:rsidR="003B668C" w:rsidRDefault="00F114B7" w:rsidP="003B668C">
            <w:pPr>
              <w:spacing w:after="0"/>
              <w:ind w:firstLine="709"/>
              <w:jc w:val="both"/>
              <w:rPr>
                <w:rFonts w:ascii="Times New Roman" w:hAnsi="Times New Roman" w:cs="Times New Roman"/>
                <w:sz w:val="28"/>
                <w:szCs w:val="28"/>
              </w:rPr>
            </w:pPr>
            <w:r w:rsidRPr="003B668C">
              <w:rPr>
                <w:rFonts w:ascii="Times New Roman" w:hAnsi="Times New Roman" w:cs="Times New Roman"/>
                <w:sz w:val="28"/>
                <w:szCs w:val="28"/>
                <w:lang w:eastAsia="ar-SA"/>
              </w:rPr>
              <w:t>4.2.3. </w:t>
            </w:r>
            <w:r w:rsidRPr="003B668C">
              <w:rPr>
                <w:rFonts w:ascii="Times New Roman" w:hAnsi="Times New Roman" w:cs="Times New Roman"/>
                <w:sz w:val="28"/>
                <w:szCs w:val="28"/>
              </w:rPr>
              <w:t>no ieslodzījuma vietas uz Valsts policijas īslaicīgās aizturēšanas vietu un no tās, ja procesa virzītājs ir tiesa vai prokuratūra;</w:t>
            </w:r>
          </w:p>
          <w:p w:rsidR="00E13077" w:rsidRPr="003B668C" w:rsidRDefault="00F114B7" w:rsidP="003B668C">
            <w:pPr>
              <w:spacing w:after="0"/>
              <w:ind w:firstLine="709"/>
              <w:jc w:val="both"/>
              <w:rPr>
                <w:rFonts w:ascii="Times New Roman" w:hAnsi="Times New Roman" w:cs="Times New Roman"/>
                <w:sz w:val="28"/>
                <w:szCs w:val="28"/>
              </w:rPr>
            </w:pPr>
            <w:r w:rsidRPr="003B668C">
              <w:rPr>
                <w:rFonts w:ascii="Times New Roman" w:hAnsi="Times New Roman" w:cs="Times New Roman"/>
                <w:sz w:val="28"/>
                <w:szCs w:val="28"/>
                <w:lang w:eastAsia="ar-SA"/>
              </w:rPr>
              <w:t>4.2.4. </w:t>
            </w:r>
            <w:r w:rsidRPr="003B668C">
              <w:rPr>
                <w:rFonts w:ascii="Times New Roman" w:hAnsi="Times New Roman" w:cs="Times New Roman"/>
                <w:sz w:val="28"/>
                <w:szCs w:val="28"/>
              </w:rPr>
              <w:t>no ieslodzījuma vietas medicīniskās ekspertīzes veikšanai.</w:t>
            </w:r>
          </w:p>
          <w:p w:rsidR="00F114B7" w:rsidRPr="003B668C" w:rsidRDefault="00F114B7" w:rsidP="00F114B7">
            <w:pPr>
              <w:ind w:firstLine="851"/>
              <w:jc w:val="both"/>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 xml:space="preserve">Sākot darbu pie Rīkojumā noteikto uzdevumu izpildes, Iekšlietu ministrija kopīgi ar Tieslietu ministriju ir secinājusi, ka, lielākā daļa izpildei nepieciešamo normatīvo aktu projektu ir Tieslietu ministrijas kompetencē, piemēram, grozījumi Ieslodzījuma vietu pārvaldes likumā, grozījumi Latvijas Sodu izpildes kodeksā, grozījumi Apcietinājumā turēšanas kārtības likumā un grozījumu likumā “Par tiesu varu”. Tāpat uzdevuma izpildei ir nepieciešams detalizēts izvērtējums par Ieslodzījuma vietu pārvaldei nepieciešamo attiecībā uz ieslodzīto konvojēšanas pienākumu pārņemšanu, kas saistīta ar infrastruktūras jautājumu risināšanu konvoja bāzes izvietošanai, amata vietu pārdalījumu un citiem jautājumiem. </w:t>
            </w:r>
          </w:p>
          <w:p w:rsidR="00F114B7" w:rsidRPr="003B668C" w:rsidRDefault="00F114B7" w:rsidP="00F114B7">
            <w:pPr>
              <w:ind w:firstLine="720"/>
              <w:jc w:val="both"/>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 xml:space="preserve">Tieslietu ministrijas ieskatā minētos jautājumus nav iespējams izvērtēt noteiktajā termiņā, līdz ar to nepieciešams arī nedaudz pagarināt uzdevuma izpildes termiņu. </w:t>
            </w:r>
          </w:p>
          <w:p w:rsidR="00054137" w:rsidRPr="003B668C" w:rsidRDefault="00F114B7" w:rsidP="00F114B7">
            <w:pPr>
              <w:spacing w:after="0"/>
              <w:jc w:val="both"/>
              <w:rPr>
                <w:rFonts w:ascii="Times New Roman" w:hAnsi="Times New Roman" w:cs="Times New Roman"/>
                <w:bCs/>
                <w:sz w:val="28"/>
                <w:szCs w:val="28"/>
              </w:rPr>
            </w:pPr>
            <w:r w:rsidRPr="003B668C">
              <w:rPr>
                <w:rFonts w:ascii="Times New Roman" w:eastAsia="Times New Roman" w:hAnsi="Times New Roman" w:cs="Times New Roman"/>
                <w:sz w:val="28"/>
                <w:szCs w:val="28"/>
                <w:lang w:eastAsia="lv-LV"/>
              </w:rPr>
              <w:tab/>
              <w:t>Ņemot vērā minēto, rīkojuma projekts noteic Tieslietu ministriju kā atbildīgo ministriju par uzdevuma veikšanu un paredz pagarināt Rīkojuma 4. punktā noteikto termiņu tiesību aktu projekta un pasākuma plāna izstrādei līdz 2017. gada 1. jūlijam.</w:t>
            </w:r>
          </w:p>
        </w:tc>
      </w:tr>
      <w:tr w:rsidR="00054137" w:rsidRPr="003B668C" w:rsidTr="009B157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Projekta izstrādē iesaistītās institūcijas</w:t>
            </w:r>
          </w:p>
        </w:tc>
        <w:tc>
          <w:tcPr>
            <w:tcW w:w="3160" w:type="pct"/>
            <w:tcBorders>
              <w:top w:val="outset" w:sz="6" w:space="0" w:color="auto"/>
              <w:left w:val="outset" w:sz="6" w:space="0" w:color="auto"/>
              <w:bottom w:val="outset" w:sz="6" w:space="0" w:color="auto"/>
              <w:right w:val="outset" w:sz="6" w:space="0" w:color="auto"/>
            </w:tcBorders>
            <w:hideMark/>
          </w:tcPr>
          <w:p w:rsidR="00054137" w:rsidRPr="003B668C" w:rsidRDefault="00054137" w:rsidP="00043635">
            <w:pPr>
              <w:spacing w:after="0"/>
              <w:jc w:val="both"/>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Iekšlietu ministrija,</w:t>
            </w:r>
            <w:r w:rsidR="003B668C" w:rsidRPr="003B668C">
              <w:rPr>
                <w:rFonts w:ascii="Times New Roman" w:eastAsia="Times New Roman" w:hAnsi="Times New Roman" w:cs="Times New Roman"/>
                <w:sz w:val="28"/>
                <w:szCs w:val="28"/>
                <w:lang w:eastAsia="lv-LV"/>
              </w:rPr>
              <w:t xml:space="preserve"> Tieslietu ministrija,</w:t>
            </w:r>
            <w:r w:rsidRPr="003B668C">
              <w:rPr>
                <w:rFonts w:ascii="Times New Roman" w:eastAsia="Times New Roman" w:hAnsi="Times New Roman" w:cs="Times New Roman"/>
                <w:sz w:val="28"/>
                <w:szCs w:val="28"/>
                <w:lang w:eastAsia="lv-LV"/>
              </w:rPr>
              <w:t xml:space="preserve"> </w:t>
            </w:r>
            <w:r w:rsidR="00043635" w:rsidRPr="003B668C">
              <w:rPr>
                <w:rFonts w:ascii="Times New Roman" w:eastAsia="Times New Roman" w:hAnsi="Times New Roman" w:cs="Times New Roman"/>
                <w:sz w:val="28"/>
                <w:szCs w:val="28"/>
                <w:lang w:eastAsia="lv-LV"/>
              </w:rPr>
              <w:t>Valsts policija</w:t>
            </w:r>
            <w:r w:rsidR="003B668C" w:rsidRPr="003B668C">
              <w:rPr>
                <w:rFonts w:ascii="Times New Roman" w:eastAsia="Times New Roman" w:hAnsi="Times New Roman" w:cs="Times New Roman"/>
                <w:sz w:val="28"/>
                <w:szCs w:val="28"/>
                <w:lang w:eastAsia="lv-LV"/>
              </w:rPr>
              <w:t>, Ieslodzījuma vietu pārvalde</w:t>
            </w:r>
          </w:p>
        </w:tc>
      </w:tr>
      <w:tr w:rsidR="00054137" w:rsidRPr="003B668C" w:rsidTr="009B157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Cita informācija</w:t>
            </w:r>
          </w:p>
        </w:tc>
        <w:tc>
          <w:tcPr>
            <w:tcW w:w="3160" w:type="pct"/>
            <w:tcBorders>
              <w:top w:val="outset" w:sz="6" w:space="0" w:color="auto"/>
              <w:left w:val="outset" w:sz="6" w:space="0" w:color="auto"/>
              <w:bottom w:val="outset" w:sz="6" w:space="0" w:color="auto"/>
              <w:right w:val="outset" w:sz="6" w:space="0" w:color="auto"/>
            </w:tcBorders>
            <w:hideMark/>
          </w:tcPr>
          <w:p w:rsidR="00054137" w:rsidRPr="003B668C" w:rsidRDefault="00054137" w:rsidP="009B1576">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Nav</w:t>
            </w:r>
          </w:p>
        </w:tc>
      </w:tr>
    </w:tbl>
    <w:p w:rsidR="0013780F" w:rsidRPr="003B668C" w:rsidRDefault="0013780F" w:rsidP="00054137">
      <w:pPr>
        <w:pStyle w:val="naisf"/>
        <w:tabs>
          <w:tab w:val="left" w:pos="6710"/>
        </w:tabs>
        <w:spacing w:before="0" w:after="120"/>
        <w:rPr>
          <w:sz w:val="28"/>
          <w:szCs w:val="28"/>
        </w:rPr>
      </w:pPr>
    </w:p>
    <w:tbl>
      <w:tblPr>
        <w:tblW w:w="513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77"/>
        <w:gridCol w:w="6188"/>
      </w:tblGrid>
      <w:tr w:rsidR="003B668C" w:rsidRPr="003B668C" w:rsidTr="00D13058">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3B668C" w:rsidRPr="003B668C" w:rsidRDefault="003B668C" w:rsidP="00D13058">
            <w:pPr>
              <w:spacing w:after="0"/>
              <w:ind w:firstLine="300"/>
              <w:jc w:val="center"/>
              <w:rPr>
                <w:rFonts w:ascii="Times New Roman" w:eastAsia="Times New Roman" w:hAnsi="Times New Roman" w:cs="Times New Roman"/>
                <w:b/>
                <w:bCs/>
                <w:sz w:val="28"/>
                <w:szCs w:val="28"/>
                <w:lang w:eastAsia="lv-LV"/>
              </w:rPr>
            </w:pPr>
            <w:r w:rsidRPr="003B668C">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3B668C" w:rsidRPr="003B668C" w:rsidTr="00D13058">
        <w:trPr>
          <w:trHeight w:val="465"/>
        </w:trPr>
        <w:tc>
          <w:tcPr>
            <w:tcW w:w="245"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Sabiedrības mērķgrupas, kuras tiesiskais regulējums ietekmē vai varētu ietekmēt</w:t>
            </w:r>
          </w:p>
        </w:tc>
        <w:tc>
          <w:tcPr>
            <w:tcW w:w="3246"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 xml:space="preserve">Valsts policijas un Ieslodzījuma vietu pārvaldes amatpersonas ar speciālajām dienesta pakāpēm. </w:t>
            </w:r>
          </w:p>
        </w:tc>
      </w:tr>
      <w:tr w:rsidR="003B668C" w:rsidRPr="003B668C" w:rsidTr="00D13058">
        <w:trPr>
          <w:trHeight w:val="510"/>
        </w:trPr>
        <w:tc>
          <w:tcPr>
            <w:tcW w:w="245"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Tiesiskā regulējuma ietekme uz tautsaimniecību un administratīvo slogu</w:t>
            </w:r>
          </w:p>
        </w:tc>
        <w:tc>
          <w:tcPr>
            <w:tcW w:w="3246"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Projekta tiesiskais regulējums nemaina iesaistīto institūciju un amatpersonu tiesības un pienākumus, kā arī veicamās darbības.</w:t>
            </w:r>
          </w:p>
        </w:tc>
      </w:tr>
      <w:tr w:rsidR="003B668C" w:rsidRPr="003B668C" w:rsidTr="00D13058">
        <w:trPr>
          <w:trHeight w:val="510"/>
        </w:trPr>
        <w:tc>
          <w:tcPr>
            <w:tcW w:w="245"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3.</w:t>
            </w:r>
          </w:p>
        </w:tc>
        <w:tc>
          <w:tcPr>
            <w:tcW w:w="1509"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Administratīvo izmaksu monetārs novērtējums</w:t>
            </w:r>
          </w:p>
        </w:tc>
        <w:tc>
          <w:tcPr>
            <w:tcW w:w="3246"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 xml:space="preserve">Administratīvās izmaksas gada laikā mērķgrupai, ko veido fiziskas personas, nepārsniedz 200 </w:t>
            </w:r>
            <w:r w:rsidRPr="003B668C">
              <w:rPr>
                <w:rFonts w:ascii="Times New Roman" w:eastAsia="Times New Roman" w:hAnsi="Times New Roman" w:cs="Times New Roman"/>
                <w:i/>
                <w:sz w:val="28"/>
                <w:szCs w:val="28"/>
                <w:lang w:eastAsia="lv-LV"/>
              </w:rPr>
              <w:t>euro</w:t>
            </w:r>
            <w:r w:rsidRPr="003B668C">
              <w:rPr>
                <w:rFonts w:ascii="Times New Roman" w:eastAsia="Times New Roman" w:hAnsi="Times New Roman" w:cs="Times New Roman"/>
                <w:sz w:val="28"/>
                <w:szCs w:val="28"/>
                <w:lang w:eastAsia="lv-LV"/>
              </w:rPr>
              <w:t xml:space="preserve">, bet mērķgrupai, kuru veido juridiskas personas - 2000 </w:t>
            </w:r>
            <w:r w:rsidRPr="003B668C">
              <w:rPr>
                <w:rFonts w:ascii="Times New Roman" w:eastAsia="Times New Roman" w:hAnsi="Times New Roman" w:cs="Times New Roman"/>
                <w:i/>
                <w:sz w:val="28"/>
                <w:szCs w:val="28"/>
                <w:lang w:eastAsia="lv-LV"/>
              </w:rPr>
              <w:t>euro</w:t>
            </w:r>
            <w:r w:rsidRPr="003B668C">
              <w:rPr>
                <w:rFonts w:ascii="Times New Roman" w:eastAsia="Times New Roman" w:hAnsi="Times New Roman" w:cs="Times New Roman"/>
                <w:sz w:val="28"/>
                <w:szCs w:val="28"/>
                <w:lang w:eastAsia="lv-LV"/>
              </w:rPr>
              <w:t>.</w:t>
            </w:r>
          </w:p>
        </w:tc>
      </w:tr>
      <w:tr w:rsidR="003B668C" w:rsidRPr="003B668C" w:rsidTr="00D13058">
        <w:trPr>
          <w:trHeight w:val="345"/>
        </w:trPr>
        <w:tc>
          <w:tcPr>
            <w:tcW w:w="245"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Cita informācija</w:t>
            </w:r>
          </w:p>
        </w:tc>
        <w:tc>
          <w:tcPr>
            <w:tcW w:w="3246"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Nav.</w:t>
            </w:r>
          </w:p>
        </w:tc>
      </w:tr>
    </w:tbl>
    <w:p w:rsidR="003B668C" w:rsidRPr="003B668C" w:rsidRDefault="003B668C" w:rsidP="00054137">
      <w:pPr>
        <w:pStyle w:val="naisf"/>
        <w:tabs>
          <w:tab w:val="left" w:pos="6710"/>
        </w:tabs>
        <w:spacing w:before="0" w:after="120"/>
        <w:rPr>
          <w:sz w:val="28"/>
          <w:szCs w:val="28"/>
        </w:rPr>
      </w:pPr>
    </w:p>
    <w:tbl>
      <w:tblPr>
        <w:tblW w:w="513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527"/>
        <w:gridCol w:w="5540"/>
      </w:tblGrid>
      <w:tr w:rsidR="003B668C" w:rsidRPr="003B668C" w:rsidTr="00D1305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B668C" w:rsidRPr="003B668C" w:rsidRDefault="003B668C" w:rsidP="00D13058">
            <w:pPr>
              <w:spacing w:after="0"/>
              <w:ind w:firstLine="300"/>
              <w:jc w:val="center"/>
              <w:rPr>
                <w:rFonts w:ascii="Times New Roman" w:eastAsia="Times New Roman" w:hAnsi="Times New Roman" w:cs="Times New Roman"/>
                <w:b/>
                <w:bCs/>
                <w:sz w:val="28"/>
                <w:szCs w:val="28"/>
                <w:lang w:eastAsia="lv-LV"/>
              </w:rPr>
            </w:pPr>
            <w:r w:rsidRPr="003B668C">
              <w:rPr>
                <w:rFonts w:ascii="Times New Roman" w:eastAsia="Times New Roman" w:hAnsi="Times New Roman" w:cs="Times New Roman"/>
                <w:b/>
                <w:bCs/>
                <w:sz w:val="28"/>
                <w:szCs w:val="28"/>
                <w:lang w:eastAsia="lv-LV"/>
              </w:rPr>
              <w:t>VII. Tiesību akta projekta izpildes nodrošināšana un tās ietekme uz institūcijām</w:t>
            </w:r>
          </w:p>
        </w:tc>
      </w:tr>
      <w:tr w:rsidR="003B668C" w:rsidRPr="003B668C" w:rsidTr="00D13058">
        <w:trPr>
          <w:trHeight w:val="420"/>
        </w:trPr>
        <w:tc>
          <w:tcPr>
            <w:tcW w:w="244"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1.</w:t>
            </w:r>
          </w:p>
        </w:tc>
        <w:tc>
          <w:tcPr>
            <w:tcW w:w="1850"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Projekta izpildē iesaistītās institūcijas</w:t>
            </w:r>
          </w:p>
        </w:tc>
        <w:tc>
          <w:tcPr>
            <w:tcW w:w="2907"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3B668C">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Tieslietu ministrija, Iekšlietu ministrija, Valsts policija, Ieslodzījuma vietu pārvalde</w:t>
            </w:r>
          </w:p>
        </w:tc>
      </w:tr>
      <w:tr w:rsidR="003B668C" w:rsidRPr="003B668C" w:rsidTr="00D13058">
        <w:trPr>
          <w:trHeight w:val="450"/>
        </w:trPr>
        <w:tc>
          <w:tcPr>
            <w:tcW w:w="244"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2.</w:t>
            </w:r>
          </w:p>
        </w:tc>
        <w:tc>
          <w:tcPr>
            <w:tcW w:w="1850"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 xml:space="preserve">Projekta izpildes ietekme uz pārvaldes funkcijām un institucionālo struktūru. </w:t>
            </w:r>
          </w:p>
          <w:p w:rsidR="003B668C" w:rsidRPr="003B668C" w:rsidRDefault="003B668C" w:rsidP="00D13058">
            <w:pPr>
              <w:spacing w:after="0"/>
              <w:ind w:firstLine="30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907"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 xml:space="preserve">Projekta izpilde tieši neietekmē Projekta izstrādē iesaistīto institūciju funkcijas un uzdevumus. </w:t>
            </w:r>
          </w:p>
        </w:tc>
      </w:tr>
      <w:tr w:rsidR="003B668C" w:rsidRPr="003B668C" w:rsidTr="00D13058">
        <w:trPr>
          <w:trHeight w:val="390"/>
        </w:trPr>
        <w:tc>
          <w:tcPr>
            <w:tcW w:w="244"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3.</w:t>
            </w:r>
          </w:p>
        </w:tc>
        <w:tc>
          <w:tcPr>
            <w:tcW w:w="1850"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Cita informācija</w:t>
            </w:r>
          </w:p>
        </w:tc>
        <w:tc>
          <w:tcPr>
            <w:tcW w:w="2907" w:type="pct"/>
            <w:tcBorders>
              <w:top w:val="outset" w:sz="6" w:space="0" w:color="414142"/>
              <w:left w:val="outset" w:sz="6" w:space="0" w:color="414142"/>
              <w:bottom w:val="outset" w:sz="6" w:space="0" w:color="414142"/>
              <w:right w:val="outset" w:sz="6" w:space="0" w:color="414142"/>
            </w:tcBorders>
            <w:hideMark/>
          </w:tcPr>
          <w:p w:rsidR="003B668C" w:rsidRPr="003B668C" w:rsidRDefault="003B668C" w:rsidP="00D13058">
            <w:pPr>
              <w:spacing w:after="0"/>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Nav.</w:t>
            </w:r>
          </w:p>
        </w:tc>
      </w:tr>
    </w:tbl>
    <w:p w:rsidR="003B668C" w:rsidRDefault="003B668C" w:rsidP="00054137">
      <w:pPr>
        <w:pStyle w:val="naisf"/>
        <w:tabs>
          <w:tab w:val="left" w:pos="6710"/>
        </w:tabs>
        <w:spacing w:before="0" w:after="120"/>
        <w:rPr>
          <w:sz w:val="28"/>
          <w:szCs w:val="28"/>
        </w:rPr>
      </w:pPr>
    </w:p>
    <w:p w:rsidR="00054137" w:rsidRPr="003B668C" w:rsidRDefault="003B668C" w:rsidP="00054137">
      <w:pPr>
        <w:pStyle w:val="naisf"/>
        <w:tabs>
          <w:tab w:val="left" w:pos="6710"/>
        </w:tabs>
        <w:spacing w:before="0" w:after="120"/>
        <w:rPr>
          <w:sz w:val="28"/>
          <w:szCs w:val="28"/>
        </w:rPr>
      </w:pPr>
      <w:r w:rsidRPr="003B668C">
        <w:rPr>
          <w:sz w:val="28"/>
          <w:szCs w:val="28"/>
        </w:rPr>
        <w:t xml:space="preserve">Anotācijas </w:t>
      </w:r>
      <w:r w:rsidR="00054137" w:rsidRPr="003B668C">
        <w:rPr>
          <w:sz w:val="28"/>
          <w:szCs w:val="28"/>
        </w:rPr>
        <w:t>III, IV,</w:t>
      </w:r>
      <w:r w:rsidRPr="003B668C">
        <w:rPr>
          <w:sz w:val="28"/>
          <w:szCs w:val="28"/>
        </w:rPr>
        <w:t xml:space="preserve"> V</w:t>
      </w:r>
      <w:r w:rsidR="00054137" w:rsidRPr="003B668C">
        <w:rPr>
          <w:sz w:val="28"/>
          <w:szCs w:val="28"/>
        </w:rPr>
        <w:t xml:space="preserve"> un VI sadaļa – projekts šīs jomas neskar.</w:t>
      </w:r>
    </w:p>
    <w:p w:rsidR="0013780F" w:rsidRPr="003B668C" w:rsidRDefault="0013780F" w:rsidP="00054137">
      <w:pPr>
        <w:tabs>
          <w:tab w:val="left" w:pos="6521"/>
        </w:tabs>
        <w:jc w:val="both"/>
        <w:rPr>
          <w:rFonts w:ascii="Times New Roman" w:eastAsia="Times New Roman" w:hAnsi="Times New Roman" w:cs="Times New Roman"/>
          <w:sz w:val="28"/>
          <w:szCs w:val="28"/>
          <w:lang w:eastAsia="lv-LV"/>
        </w:rPr>
      </w:pPr>
    </w:p>
    <w:p w:rsidR="00054137" w:rsidRPr="003B668C" w:rsidRDefault="00054137" w:rsidP="00054137">
      <w:pPr>
        <w:tabs>
          <w:tab w:val="left" w:pos="6521"/>
        </w:tabs>
        <w:jc w:val="both"/>
        <w:rPr>
          <w:rFonts w:ascii="Times New Roman" w:eastAsia="Times New Roman" w:hAnsi="Times New Roman" w:cs="Times New Roman"/>
          <w:sz w:val="28"/>
          <w:szCs w:val="28"/>
          <w:lang w:eastAsia="lv-LV"/>
        </w:rPr>
      </w:pPr>
      <w:r w:rsidRPr="003B668C">
        <w:rPr>
          <w:rFonts w:ascii="Times New Roman" w:eastAsia="Times New Roman" w:hAnsi="Times New Roman" w:cs="Times New Roman"/>
          <w:sz w:val="28"/>
          <w:szCs w:val="28"/>
          <w:lang w:eastAsia="lv-LV"/>
        </w:rPr>
        <w:t>Iekšlietu ministrs</w:t>
      </w:r>
      <w:r w:rsidRPr="003B668C">
        <w:rPr>
          <w:rFonts w:ascii="Times New Roman" w:eastAsia="Times New Roman" w:hAnsi="Times New Roman" w:cs="Times New Roman"/>
          <w:sz w:val="28"/>
          <w:szCs w:val="28"/>
          <w:lang w:eastAsia="lv-LV"/>
        </w:rPr>
        <w:tab/>
        <w:t>R.Kozlovskis</w:t>
      </w:r>
    </w:p>
    <w:p w:rsidR="00054137" w:rsidRPr="003B668C" w:rsidRDefault="00054137" w:rsidP="00054137">
      <w:pPr>
        <w:pStyle w:val="naisf"/>
        <w:rPr>
          <w:sz w:val="28"/>
          <w:szCs w:val="28"/>
        </w:rPr>
      </w:pPr>
    </w:p>
    <w:p w:rsidR="00054137" w:rsidRPr="003B668C" w:rsidRDefault="00054137" w:rsidP="00054137">
      <w:pPr>
        <w:pStyle w:val="naisf"/>
        <w:rPr>
          <w:sz w:val="28"/>
          <w:szCs w:val="28"/>
        </w:rPr>
      </w:pPr>
      <w:r w:rsidRPr="003B668C">
        <w:rPr>
          <w:sz w:val="28"/>
          <w:szCs w:val="28"/>
        </w:rPr>
        <w:t>Vīza: valsts sekretāre</w:t>
      </w:r>
      <w:r w:rsidRPr="003B668C">
        <w:rPr>
          <w:sz w:val="28"/>
          <w:szCs w:val="28"/>
        </w:rPr>
        <w:tab/>
      </w:r>
      <w:r w:rsidRPr="003B668C">
        <w:rPr>
          <w:sz w:val="28"/>
          <w:szCs w:val="28"/>
        </w:rPr>
        <w:tab/>
      </w:r>
      <w:r w:rsidRPr="003B668C">
        <w:rPr>
          <w:sz w:val="28"/>
          <w:szCs w:val="28"/>
        </w:rPr>
        <w:tab/>
      </w:r>
      <w:r w:rsidRPr="003B668C">
        <w:rPr>
          <w:sz w:val="28"/>
          <w:szCs w:val="28"/>
        </w:rPr>
        <w:tab/>
      </w:r>
      <w:r w:rsidRPr="003B668C">
        <w:rPr>
          <w:sz w:val="28"/>
          <w:szCs w:val="28"/>
        </w:rPr>
        <w:tab/>
      </w:r>
      <w:r w:rsidRPr="003B668C">
        <w:rPr>
          <w:sz w:val="28"/>
          <w:szCs w:val="28"/>
        </w:rPr>
        <w:tab/>
        <w:t>I. Pētersone–Godmane</w:t>
      </w:r>
    </w:p>
    <w:p w:rsidR="00043635" w:rsidRPr="003B668C" w:rsidRDefault="00043635" w:rsidP="00054137">
      <w:pPr>
        <w:pStyle w:val="naisf"/>
        <w:spacing w:before="0" w:after="0"/>
        <w:rPr>
          <w:sz w:val="20"/>
        </w:rPr>
      </w:pPr>
    </w:p>
    <w:p w:rsidR="0013780F" w:rsidRPr="003B668C" w:rsidRDefault="00043635" w:rsidP="00054137">
      <w:pPr>
        <w:tabs>
          <w:tab w:val="left" w:pos="7088"/>
        </w:tabs>
        <w:spacing w:after="0"/>
        <w:rPr>
          <w:rFonts w:ascii="Times New Roman" w:hAnsi="Times New Roman" w:cs="Times New Roman"/>
          <w:sz w:val="20"/>
          <w:szCs w:val="20"/>
        </w:rPr>
      </w:pPr>
      <w:r w:rsidRPr="003B668C">
        <w:rPr>
          <w:rFonts w:ascii="Times New Roman" w:hAnsi="Times New Roman" w:cs="Times New Roman"/>
          <w:sz w:val="20"/>
          <w:szCs w:val="20"/>
        </w:rPr>
        <w:t>D.Vēbers</w:t>
      </w:r>
    </w:p>
    <w:p w:rsidR="005A3B50" w:rsidRPr="003B668C" w:rsidRDefault="00054137" w:rsidP="0013780F">
      <w:pPr>
        <w:tabs>
          <w:tab w:val="left" w:pos="7088"/>
        </w:tabs>
        <w:spacing w:after="0"/>
        <w:rPr>
          <w:rFonts w:ascii="Times New Roman" w:hAnsi="Times New Roman" w:cs="Times New Roman"/>
          <w:sz w:val="20"/>
          <w:szCs w:val="20"/>
        </w:rPr>
      </w:pPr>
      <w:r w:rsidRPr="003B668C">
        <w:rPr>
          <w:rFonts w:ascii="Times New Roman" w:hAnsi="Times New Roman" w:cs="Times New Roman"/>
          <w:sz w:val="20"/>
          <w:szCs w:val="20"/>
        </w:rPr>
        <w:t>67</w:t>
      </w:r>
      <w:r w:rsidR="00043635" w:rsidRPr="003B668C">
        <w:rPr>
          <w:rFonts w:ascii="Times New Roman" w:hAnsi="Times New Roman" w:cs="Times New Roman"/>
          <w:sz w:val="20"/>
          <w:szCs w:val="20"/>
        </w:rPr>
        <w:t>075242</w:t>
      </w:r>
      <w:r w:rsidR="0013780F" w:rsidRPr="003B668C">
        <w:rPr>
          <w:rFonts w:ascii="Times New Roman" w:hAnsi="Times New Roman" w:cs="Times New Roman"/>
          <w:sz w:val="20"/>
          <w:szCs w:val="20"/>
        </w:rPr>
        <w:t xml:space="preserve">, </w:t>
      </w:r>
      <w:hyperlink r:id="rId6" w:history="1">
        <w:r w:rsidR="003B668C" w:rsidRPr="003B668C">
          <w:rPr>
            <w:rStyle w:val="Hipersaite"/>
            <w:rFonts w:ascii="Times New Roman" w:hAnsi="Times New Roman" w:cs="Times New Roman"/>
            <w:sz w:val="20"/>
            <w:szCs w:val="20"/>
          </w:rPr>
          <w:t>dainis.vebers@vp.gov.lv</w:t>
        </w:r>
      </w:hyperlink>
    </w:p>
    <w:p w:rsidR="003B668C" w:rsidRPr="003B668C" w:rsidRDefault="003B668C" w:rsidP="0013780F">
      <w:pPr>
        <w:tabs>
          <w:tab w:val="left" w:pos="7088"/>
        </w:tabs>
        <w:spacing w:after="0"/>
        <w:rPr>
          <w:rFonts w:ascii="Times New Roman" w:hAnsi="Times New Roman" w:cs="Times New Roman"/>
          <w:sz w:val="20"/>
          <w:szCs w:val="20"/>
        </w:rPr>
      </w:pPr>
      <w:r w:rsidRPr="003B668C">
        <w:rPr>
          <w:rFonts w:ascii="Times New Roman" w:hAnsi="Times New Roman" w:cs="Times New Roman"/>
          <w:sz w:val="20"/>
          <w:szCs w:val="20"/>
        </w:rPr>
        <w:t>J.Bekmanis</w:t>
      </w:r>
    </w:p>
    <w:p w:rsidR="003B668C" w:rsidRPr="003B668C" w:rsidRDefault="003B668C" w:rsidP="0013780F">
      <w:pPr>
        <w:tabs>
          <w:tab w:val="left" w:pos="7088"/>
        </w:tabs>
        <w:spacing w:after="0"/>
        <w:rPr>
          <w:sz w:val="20"/>
          <w:szCs w:val="20"/>
        </w:rPr>
      </w:pPr>
      <w:r w:rsidRPr="003B668C">
        <w:rPr>
          <w:rFonts w:ascii="Times New Roman" w:hAnsi="Times New Roman" w:cs="Times New Roman"/>
          <w:sz w:val="20"/>
          <w:szCs w:val="20"/>
        </w:rPr>
        <w:t xml:space="preserve">67219402, </w:t>
      </w:r>
      <w:hyperlink r:id="rId7" w:history="1">
        <w:r w:rsidRPr="003B668C">
          <w:rPr>
            <w:rStyle w:val="Hipersaite"/>
            <w:rFonts w:ascii="Times New Roman" w:hAnsi="Times New Roman" w:cs="Times New Roman"/>
            <w:sz w:val="20"/>
            <w:szCs w:val="20"/>
          </w:rPr>
          <w:t>janis.bekmanis@iem.gov.lv</w:t>
        </w:r>
      </w:hyperlink>
      <w:r w:rsidRPr="003B668C">
        <w:rPr>
          <w:rFonts w:ascii="Times New Roman" w:hAnsi="Times New Roman" w:cs="Times New Roman"/>
          <w:sz w:val="20"/>
          <w:szCs w:val="20"/>
        </w:rPr>
        <w:t xml:space="preserve"> </w:t>
      </w:r>
    </w:p>
    <w:sectPr w:rsidR="003B668C" w:rsidRPr="003B668C" w:rsidSect="00E7549A">
      <w:headerReference w:type="default" r:id="rId8"/>
      <w:footerReference w:type="default" r:id="rId9"/>
      <w:footerReference w:type="firs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16" w:rsidRDefault="00F66216" w:rsidP="00043635">
      <w:pPr>
        <w:spacing w:after="0"/>
      </w:pPr>
      <w:r>
        <w:separator/>
      </w:r>
    </w:p>
  </w:endnote>
  <w:endnote w:type="continuationSeparator" w:id="0">
    <w:p w:rsidR="00F66216" w:rsidRDefault="00F66216" w:rsidP="000436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D2" w:rsidRDefault="00A26BC0" w:rsidP="004D2098">
    <w:pP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w:t>
    </w:r>
    <w:r w:rsidR="00043635">
      <w:rPr>
        <w:rFonts w:ascii="Times New Roman" w:hAnsi="Times New Roman" w:cs="Times New Roman"/>
        <w:noProof/>
        <w:sz w:val="20"/>
        <w:szCs w:val="20"/>
      </w:rPr>
      <w:t>2103</w:t>
    </w:r>
    <w:r>
      <w:rPr>
        <w:rFonts w:ascii="Times New Roman" w:hAnsi="Times New Roman" w:cs="Times New Roman"/>
        <w:noProof/>
        <w:sz w:val="20"/>
        <w:szCs w:val="20"/>
      </w:rPr>
      <w:t>17_rik</w:t>
    </w:r>
    <w:r w:rsidR="00043635">
      <w:rPr>
        <w:rFonts w:ascii="Times New Roman" w:hAnsi="Times New Roman" w:cs="Times New Roman"/>
        <w:noProof/>
        <w:sz w:val="20"/>
        <w:szCs w:val="20"/>
      </w:rPr>
      <w:t>248</w:t>
    </w:r>
    <w:r>
      <w:rPr>
        <w:rFonts w:ascii="Times New Roman" w:hAnsi="Times New Roman" w:cs="Times New Roman"/>
        <w:sz w:val="20"/>
        <w:szCs w:val="20"/>
      </w:rPr>
      <w:fldChar w:fldCharType="end"/>
    </w:r>
  </w:p>
  <w:p w:rsidR="00500BD2" w:rsidRDefault="00F662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D2" w:rsidRDefault="00A26BC0" w:rsidP="00E7549A">
    <w:pPr>
      <w:jc w:val="both"/>
    </w:pPr>
    <w:r>
      <w:rPr>
        <w:rFonts w:ascii="Times New Roman" w:hAnsi="Times New Roman" w:cs="Times New Roman"/>
        <w:sz w:val="20"/>
        <w:szCs w:val="20"/>
      </w:rPr>
      <w:t>IEMAnot_040117</w:t>
    </w:r>
    <w:r w:rsidRPr="00E7549A">
      <w:rPr>
        <w:rFonts w:ascii="Times New Roman" w:hAnsi="Times New Roman" w:cs="Times New Roman"/>
        <w:sz w:val="20"/>
        <w:szCs w:val="20"/>
      </w:rPr>
      <w:t>_rik439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16" w:rsidRDefault="00F66216" w:rsidP="00043635">
      <w:pPr>
        <w:spacing w:after="0"/>
      </w:pPr>
      <w:r>
        <w:separator/>
      </w:r>
    </w:p>
  </w:footnote>
  <w:footnote w:type="continuationSeparator" w:id="0">
    <w:p w:rsidR="00F66216" w:rsidRDefault="00F66216" w:rsidP="000436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A26BC0">
        <w:pPr>
          <w:pStyle w:val="Galvene"/>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D279BA">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rsidR="00500BD2" w:rsidRDefault="00F6621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37"/>
    <w:rsid w:val="00043635"/>
    <w:rsid w:val="00054137"/>
    <w:rsid w:val="0013780F"/>
    <w:rsid w:val="001A09B1"/>
    <w:rsid w:val="001A4AD1"/>
    <w:rsid w:val="003B668C"/>
    <w:rsid w:val="0041154A"/>
    <w:rsid w:val="004F17BD"/>
    <w:rsid w:val="005A3B50"/>
    <w:rsid w:val="00853FB4"/>
    <w:rsid w:val="00A26BC0"/>
    <w:rsid w:val="00BA545D"/>
    <w:rsid w:val="00D279BA"/>
    <w:rsid w:val="00E13077"/>
    <w:rsid w:val="00EE3956"/>
    <w:rsid w:val="00F114B7"/>
    <w:rsid w:val="00F66216"/>
    <w:rsid w:val="00FB00E5"/>
    <w:rsid w:val="00FD63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058E9F-6C1B-4B60-9F1E-99262177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054137"/>
    <w:pPr>
      <w:spacing w:after="120" w:line="240" w:lineRule="auto"/>
    </w:pPr>
  </w:style>
  <w:style w:type="paragraph" w:styleId="Virsraksts3">
    <w:name w:val="heading 3"/>
    <w:basedOn w:val="Parasts"/>
    <w:link w:val="Virsraksts3Rakstz"/>
    <w:uiPriority w:val="9"/>
    <w:qFormat/>
    <w:rsid w:val="00054137"/>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54137"/>
    <w:rPr>
      <w:rFonts w:ascii="Times New Roman" w:eastAsia="Times New Roman" w:hAnsi="Times New Roman" w:cs="Times New Roman"/>
      <w:b/>
      <w:bCs/>
      <w:sz w:val="27"/>
      <w:szCs w:val="27"/>
      <w:lang w:eastAsia="lv-LV"/>
    </w:rPr>
  </w:style>
  <w:style w:type="paragraph" w:styleId="Galvene">
    <w:name w:val="header"/>
    <w:basedOn w:val="Parasts"/>
    <w:link w:val="GalveneRakstz"/>
    <w:uiPriority w:val="99"/>
    <w:unhideWhenUsed/>
    <w:rsid w:val="00054137"/>
    <w:pPr>
      <w:tabs>
        <w:tab w:val="center" w:pos="4153"/>
        <w:tab w:val="right" w:pos="8306"/>
      </w:tabs>
      <w:spacing w:after="0"/>
    </w:pPr>
  </w:style>
  <w:style w:type="character" w:customStyle="1" w:styleId="GalveneRakstz">
    <w:name w:val="Galvene Rakstz."/>
    <w:basedOn w:val="Noklusjumarindkopasfonts"/>
    <w:link w:val="Galvene"/>
    <w:uiPriority w:val="99"/>
    <w:rsid w:val="00054137"/>
  </w:style>
  <w:style w:type="paragraph" w:styleId="Kjene">
    <w:name w:val="footer"/>
    <w:basedOn w:val="Parasts"/>
    <w:link w:val="KjeneRakstz"/>
    <w:unhideWhenUsed/>
    <w:rsid w:val="00054137"/>
    <w:pPr>
      <w:tabs>
        <w:tab w:val="center" w:pos="4153"/>
        <w:tab w:val="right" w:pos="8306"/>
      </w:tabs>
      <w:spacing w:after="0"/>
    </w:pPr>
  </w:style>
  <w:style w:type="character" w:customStyle="1" w:styleId="KjeneRakstz">
    <w:name w:val="Kājene Rakstz."/>
    <w:basedOn w:val="Noklusjumarindkopasfonts"/>
    <w:link w:val="Kjene"/>
    <w:rsid w:val="00054137"/>
  </w:style>
  <w:style w:type="paragraph" w:customStyle="1" w:styleId="naisf">
    <w:name w:val="naisf"/>
    <w:basedOn w:val="Parasts"/>
    <w:rsid w:val="00054137"/>
    <w:pPr>
      <w:spacing w:before="100" w:after="100"/>
    </w:pPr>
    <w:rPr>
      <w:rFonts w:ascii="Times New Roman" w:eastAsia="Times New Roman" w:hAnsi="Times New Roman" w:cs="Times New Roman"/>
      <w:sz w:val="24"/>
      <w:szCs w:val="20"/>
      <w:lang w:eastAsia="lv-LV"/>
    </w:rPr>
  </w:style>
  <w:style w:type="character" w:styleId="Hipersaite">
    <w:name w:val="Hyperlink"/>
    <w:basedOn w:val="Noklusjumarindkopasfonts"/>
    <w:uiPriority w:val="99"/>
    <w:unhideWhenUsed/>
    <w:rsid w:val="003B6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nis.bekmanis@ie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nis.vebers@v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4645</Words>
  <Characters>2649</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VP1;Dainis Vēbers</dc:creator>
  <cp:keywords/>
  <dc:description>67075242
dainis.vebers@vp.gov.lv</dc:description>
  <cp:lastModifiedBy>Janis Bekmanis</cp:lastModifiedBy>
  <cp:revision>2</cp:revision>
  <dcterms:created xsi:type="dcterms:W3CDTF">2017-02-22T19:45:00Z</dcterms:created>
  <dcterms:modified xsi:type="dcterms:W3CDTF">2017-02-22T19:45:00Z</dcterms:modified>
</cp:coreProperties>
</file>