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D7" w:rsidRPr="008E6BE7" w:rsidRDefault="005060D7" w:rsidP="00CE7F2B">
      <w:pPr>
        <w:spacing w:after="0" w:line="240" w:lineRule="auto"/>
        <w:rPr>
          <w:rFonts w:ascii="Times New Roman" w:hAnsi="Times New Roman"/>
          <w:b/>
          <w:sz w:val="28"/>
          <w:szCs w:val="28"/>
        </w:rPr>
      </w:pPr>
    </w:p>
    <w:p w:rsidR="005060D7" w:rsidRPr="008E6BE7" w:rsidRDefault="005060D7" w:rsidP="00CE7F2B">
      <w:pPr>
        <w:spacing w:after="0" w:line="240" w:lineRule="auto"/>
        <w:rPr>
          <w:rFonts w:ascii="Times New Roman" w:hAnsi="Times New Roman"/>
          <w:b/>
          <w:sz w:val="28"/>
          <w:szCs w:val="28"/>
        </w:rPr>
      </w:pPr>
    </w:p>
    <w:p w:rsidR="005060D7" w:rsidRPr="008E6BE7" w:rsidRDefault="005060D7" w:rsidP="00CE7F2B">
      <w:pPr>
        <w:spacing w:after="0" w:line="240" w:lineRule="auto"/>
        <w:rPr>
          <w:rFonts w:ascii="Times New Roman" w:hAnsi="Times New Roman"/>
          <w:b/>
          <w:sz w:val="28"/>
          <w:szCs w:val="28"/>
        </w:rPr>
      </w:pPr>
    </w:p>
    <w:p w:rsidR="005060D7" w:rsidRPr="008E6BE7" w:rsidRDefault="005060D7" w:rsidP="00CE7F2B">
      <w:pPr>
        <w:spacing w:after="0" w:line="240" w:lineRule="auto"/>
        <w:rPr>
          <w:rFonts w:ascii="Times New Roman" w:hAnsi="Times New Roman"/>
          <w:b/>
          <w:sz w:val="28"/>
          <w:szCs w:val="28"/>
        </w:rPr>
      </w:pPr>
    </w:p>
    <w:p w:rsidR="005060D7" w:rsidRPr="008E6BE7" w:rsidRDefault="005060D7" w:rsidP="00CE7F2B">
      <w:pPr>
        <w:spacing w:after="0" w:line="240" w:lineRule="auto"/>
        <w:rPr>
          <w:rFonts w:ascii="Times New Roman" w:hAnsi="Times New Roman"/>
          <w:b/>
          <w:sz w:val="28"/>
          <w:szCs w:val="28"/>
        </w:rPr>
      </w:pPr>
    </w:p>
    <w:p w:rsidR="005060D7" w:rsidRPr="008E6BE7" w:rsidRDefault="005060D7" w:rsidP="00CE7F2B">
      <w:pPr>
        <w:spacing w:after="0" w:line="240" w:lineRule="auto"/>
        <w:rPr>
          <w:rFonts w:ascii="Times New Roman" w:hAnsi="Times New Roman"/>
          <w:b/>
          <w:sz w:val="28"/>
          <w:szCs w:val="28"/>
        </w:rPr>
      </w:pPr>
    </w:p>
    <w:p w:rsidR="005060D7" w:rsidRPr="008E6BE7" w:rsidRDefault="005060D7" w:rsidP="00CE7F2B">
      <w:pPr>
        <w:spacing w:after="0" w:line="240" w:lineRule="auto"/>
        <w:rPr>
          <w:rFonts w:ascii="Times New Roman" w:hAnsi="Times New Roman"/>
          <w:b/>
          <w:sz w:val="28"/>
          <w:szCs w:val="28"/>
        </w:rPr>
      </w:pPr>
    </w:p>
    <w:p w:rsidR="005060D7" w:rsidRPr="008E6BE7" w:rsidRDefault="005060D7" w:rsidP="00CE7F2B">
      <w:pPr>
        <w:spacing w:after="0" w:line="240" w:lineRule="auto"/>
        <w:rPr>
          <w:rFonts w:ascii="Times New Roman" w:hAnsi="Times New Roman"/>
          <w:b/>
          <w:sz w:val="28"/>
          <w:szCs w:val="28"/>
        </w:rPr>
      </w:pPr>
    </w:p>
    <w:p w:rsidR="005060D7" w:rsidRPr="008E6BE7" w:rsidRDefault="005060D7" w:rsidP="00CE7F2B">
      <w:pPr>
        <w:spacing w:after="0" w:line="240" w:lineRule="auto"/>
        <w:rPr>
          <w:rFonts w:ascii="Times New Roman" w:hAnsi="Times New Roman"/>
          <w:b/>
          <w:sz w:val="28"/>
          <w:szCs w:val="28"/>
        </w:rPr>
      </w:pPr>
    </w:p>
    <w:p w:rsidR="005060D7" w:rsidRPr="008E6BE7" w:rsidRDefault="005060D7" w:rsidP="00CE7F2B">
      <w:pPr>
        <w:spacing w:after="0" w:line="240" w:lineRule="auto"/>
        <w:rPr>
          <w:rFonts w:ascii="Times New Roman" w:hAnsi="Times New Roman"/>
          <w:b/>
          <w:sz w:val="28"/>
          <w:szCs w:val="28"/>
        </w:rPr>
      </w:pPr>
    </w:p>
    <w:p w:rsidR="005060D7" w:rsidRPr="008E6BE7" w:rsidRDefault="005060D7" w:rsidP="00CE7F2B">
      <w:pPr>
        <w:spacing w:after="0" w:line="240" w:lineRule="auto"/>
        <w:rPr>
          <w:rFonts w:ascii="Times New Roman" w:hAnsi="Times New Roman"/>
          <w:b/>
          <w:sz w:val="28"/>
          <w:szCs w:val="28"/>
        </w:rPr>
      </w:pPr>
    </w:p>
    <w:p w:rsidR="005060D7" w:rsidRPr="008E6BE7" w:rsidRDefault="005060D7" w:rsidP="00CE7F2B">
      <w:pPr>
        <w:spacing w:after="0" w:line="240" w:lineRule="auto"/>
        <w:rPr>
          <w:rFonts w:ascii="Times New Roman" w:hAnsi="Times New Roman"/>
          <w:b/>
          <w:sz w:val="28"/>
          <w:szCs w:val="28"/>
        </w:rPr>
      </w:pPr>
    </w:p>
    <w:p w:rsidR="005060D7" w:rsidRPr="008E6BE7" w:rsidRDefault="005060D7" w:rsidP="00CE7F2B">
      <w:pPr>
        <w:spacing w:after="0" w:line="240" w:lineRule="auto"/>
        <w:rPr>
          <w:rFonts w:ascii="Times New Roman" w:hAnsi="Times New Roman"/>
          <w:b/>
          <w:sz w:val="28"/>
          <w:szCs w:val="28"/>
        </w:rPr>
      </w:pPr>
    </w:p>
    <w:p w:rsidR="005060D7" w:rsidRPr="008E6BE7" w:rsidRDefault="005060D7" w:rsidP="00CE7F2B">
      <w:pPr>
        <w:spacing w:after="0" w:line="240" w:lineRule="auto"/>
        <w:rPr>
          <w:rFonts w:ascii="Times New Roman" w:hAnsi="Times New Roman"/>
          <w:b/>
          <w:sz w:val="28"/>
          <w:szCs w:val="28"/>
        </w:rPr>
      </w:pPr>
    </w:p>
    <w:p w:rsidR="005060D7" w:rsidRPr="008E6BE7" w:rsidRDefault="005060D7" w:rsidP="00CE7F2B">
      <w:pPr>
        <w:spacing w:after="0" w:line="240" w:lineRule="auto"/>
        <w:rPr>
          <w:rFonts w:ascii="Times New Roman" w:hAnsi="Times New Roman"/>
          <w:b/>
          <w:sz w:val="28"/>
          <w:szCs w:val="28"/>
        </w:rPr>
      </w:pPr>
    </w:p>
    <w:p w:rsidR="000671DE" w:rsidRPr="008E6BE7" w:rsidRDefault="000671DE" w:rsidP="00CE7F2B">
      <w:pPr>
        <w:spacing w:after="0" w:line="240" w:lineRule="auto"/>
        <w:jc w:val="center"/>
        <w:rPr>
          <w:rFonts w:ascii="Times New Roman" w:hAnsi="Times New Roman"/>
          <w:b/>
          <w:sz w:val="28"/>
          <w:szCs w:val="28"/>
        </w:rPr>
      </w:pPr>
      <w:r w:rsidRPr="008E6BE7">
        <w:rPr>
          <w:rFonts w:ascii="Times New Roman" w:hAnsi="Times New Roman"/>
          <w:b/>
          <w:sz w:val="28"/>
          <w:szCs w:val="28"/>
        </w:rPr>
        <w:t xml:space="preserve">Informatīvais ziņojums „Par </w:t>
      </w:r>
      <w:proofErr w:type="spellStart"/>
      <w:r w:rsidRPr="008E6BE7">
        <w:rPr>
          <w:rFonts w:ascii="Times New Roman" w:hAnsi="Times New Roman"/>
          <w:b/>
          <w:sz w:val="28"/>
          <w:szCs w:val="28"/>
        </w:rPr>
        <w:t>izmēģinājumprojekta</w:t>
      </w:r>
      <w:proofErr w:type="spellEnd"/>
      <w:r w:rsidRPr="008E6BE7">
        <w:rPr>
          <w:rFonts w:ascii="Times New Roman" w:hAnsi="Times New Roman"/>
          <w:b/>
          <w:sz w:val="28"/>
          <w:szCs w:val="28"/>
        </w:rPr>
        <w:t xml:space="preserve"> „Profesionālās tālākizglītības programmu īstenošana bezdarbniekiem valsts vai pašvaldību dibinātās izglītības iestādēs” otrās kārtas īstenošanu”</w:t>
      </w:r>
    </w:p>
    <w:p w:rsidR="005060D7" w:rsidRPr="008E6BE7" w:rsidRDefault="005060D7" w:rsidP="00CE7F2B">
      <w:pPr>
        <w:spacing w:after="0" w:line="240" w:lineRule="auto"/>
        <w:jc w:val="center"/>
        <w:rPr>
          <w:rFonts w:ascii="Times New Roman" w:hAnsi="Times New Roman"/>
          <w:b/>
          <w:sz w:val="28"/>
          <w:szCs w:val="28"/>
        </w:rPr>
      </w:pPr>
    </w:p>
    <w:p w:rsidR="005060D7" w:rsidRPr="008E6BE7" w:rsidRDefault="005060D7" w:rsidP="00CE7F2B">
      <w:pPr>
        <w:spacing w:after="0" w:line="240" w:lineRule="auto"/>
        <w:jc w:val="center"/>
        <w:rPr>
          <w:rFonts w:ascii="Times New Roman" w:hAnsi="Times New Roman"/>
          <w:sz w:val="28"/>
          <w:szCs w:val="28"/>
        </w:rPr>
      </w:pPr>
    </w:p>
    <w:p w:rsidR="005060D7" w:rsidRPr="008E6BE7" w:rsidRDefault="005060D7" w:rsidP="00CE7F2B">
      <w:pPr>
        <w:spacing w:after="0" w:line="240" w:lineRule="auto"/>
        <w:jc w:val="right"/>
        <w:rPr>
          <w:rFonts w:ascii="Times New Roman" w:hAnsi="Times New Roman"/>
          <w:sz w:val="28"/>
          <w:szCs w:val="28"/>
        </w:rPr>
      </w:pPr>
    </w:p>
    <w:p w:rsidR="005060D7" w:rsidRPr="008E6BE7" w:rsidRDefault="005060D7" w:rsidP="00CE7F2B">
      <w:pPr>
        <w:spacing w:after="0" w:line="240" w:lineRule="auto"/>
        <w:jc w:val="right"/>
        <w:rPr>
          <w:rFonts w:ascii="Times New Roman" w:hAnsi="Times New Roman"/>
          <w:sz w:val="28"/>
          <w:szCs w:val="28"/>
        </w:rPr>
      </w:pPr>
    </w:p>
    <w:p w:rsidR="005060D7" w:rsidRPr="008E6BE7" w:rsidRDefault="005060D7" w:rsidP="00CE7F2B">
      <w:pPr>
        <w:spacing w:after="0" w:line="240" w:lineRule="auto"/>
        <w:jc w:val="right"/>
        <w:rPr>
          <w:rFonts w:ascii="Times New Roman" w:hAnsi="Times New Roman"/>
          <w:sz w:val="28"/>
          <w:szCs w:val="28"/>
        </w:rPr>
      </w:pPr>
    </w:p>
    <w:p w:rsidR="005060D7" w:rsidRPr="008E6BE7" w:rsidRDefault="005060D7" w:rsidP="00CE7F2B">
      <w:pPr>
        <w:spacing w:after="0" w:line="240" w:lineRule="auto"/>
        <w:jc w:val="right"/>
        <w:rPr>
          <w:rFonts w:ascii="Times New Roman" w:hAnsi="Times New Roman"/>
          <w:sz w:val="28"/>
          <w:szCs w:val="28"/>
        </w:rPr>
      </w:pPr>
    </w:p>
    <w:p w:rsidR="005060D7" w:rsidRPr="008E6BE7" w:rsidRDefault="005060D7" w:rsidP="00CE7F2B">
      <w:pPr>
        <w:spacing w:after="0" w:line="240" w:lineRule="auto"/>
        <w:jc w:val="right"/>
        <w:rPr>
          <w:rFonts w:ascii="Times New Roman" w:hAnsi="Times New Roman"/>
          <w:sz w:val="28"/>
          <w:szCs w:val="28"/>
        </w:rPr>
      </w:pPr>
    </w:p>
    <w:p w:rsidR="005060D7" w:rsidRPr="008E6BE7" w:rsidRDefault="005060D7" w:rsidP="00CE7F2B">
      <w:pPr>
        <w:spacing w:after="0" w:line="240" w:lineRule="auto"/>
        <w:jc w:val="right"/>
        <w:rPr>
          <w:rFonts w:ascii="Times New Roman" w:hAnsi="Times New Roman"/>
          <w:sz w:val="28"/>
          <w:szCs w:val="28"/>
        </w:rPr>
      </w:pPr>
    </w:p>
    <w:p w:rsidR="005060D7" w:rsidRPr="008E6BE7" w:rsidRDefault="005060D7" w:rsidP="00CE7F2B">
      <w:pPr>
        <w:spacing w:after="0" w:line="240" w:lineRule="auto"/>
        <w:jc w:val="right"/>
        <w:rPr>
          <w:rFonts w:ascii="Times New Roman" w:hAnsi="Times New Roman"/>
          <w:sz w:val="28"/>
          <w:szCs w:val="28"/>
        </w:rPr>
      </w:pPr>
    </w:p>
    <w:p w:rsidR="005060D7" w:rsidRPr="008E6BE7" w:rsidRDefault="005060D7" w:rsidP="00CE7F2B">
      <w:pPr>
        <w:spacing w:after="0" w:line="240" w:lineRule="auto"/>
        <w:jc w:val="right"/>
        <w:rPr>
          <w:rFonts w:ascii="Times New Roman" w:hAnsi="Times New Roman"/>
          <w:sz w:val="28"/>
          <w:szCs w:val="28"/>
        </w:rPr>
      </w:pPr>
    </w:p>
    <w:p w:rsidR="005060D7" w:rsidRPr="008E6BE7" w:rsidRDefault="005060D7" w:rsidP="00CE7F2B">
      <w:pPr>
        <w:spacing w:after="0" w:line="240" w:lineRule="auto"/>
        <w:jc w:val="right"/>
        <w:rPr>
          <w:rFonts w:ascii="Times New Roman" w:hAnsi="Times New Roman"/>
          <w:sz w:val="28"/>
          <w:szCs w:val="28"/>
        </w:rPr>
      </w:pPr>
    </w:p>
    <w:p w:rsidR="005060D7" w:rsidRPr="008E6BE7" w:rsidRDefault="005060D7" w:rsidP="00CE7F2B">
      <w:pPr>
        <w:spacing w:after="0" w:line="240" w:lineRule="auto"/>
        <w:jc w:val="center"/>
        <w:rPr>
          <w:rFonts w:ascii="Times New Roman" w:hAnsi="Times New Roman"/>
          <w:sz w:val="28"/>
          <w:szCs w:val="28"/>
        </w:rPr>
      </w:pPr>
    </w:p>
    <w:p w:rsidR="005060D7" w:rsidRPr="008E6BE7" w:rsidRDefault="005060D7" w:rsidP="00CE7F2B">
      <w:pPr>
        <w:spacing w:after="0" w:line="240" w:lineRule="auto"/>
        <w:jc w:val="center"/>
        <w:rPr>
          <w:rFonts w:ascii="Times New Roman" w:hAnsi="Times New Roman"/>
          <w:sz w:val="28"/>
          <w:szCs w:val="28"/>
        </w:rPr>
      </w:pPr>
    </w:p>
    <w:p w:rsidR="005060D7" w:rsidRPr="008E6BE7" w:rsidRDefault="005060D7" w:rsidP="00CE7F2B">
      <w:pPr>
        <w:spacing w:after="0" w:line="240" w:lineRule="auto"/>
        <w:jc w:val="center"/>
        <w:rPr>
          <w:rFonts w:ascii="Times New Roman" w:hAnsi="Times New Roman"/>
          <w:sz w:val="28"/>
          <w:szCs w:val="28"/>
        </w:rPr>
      </w:pPr>
    </w:p>
    <w:p w:rsidR="005060D7" w:rsidRPr="008E6BE7" w:rsidRDefault="005060D7" w:rsidP="00CE7F2B">
      <w:pPr>
        <w:spacing w:after="0" w:line="240" w:lineRule="auto"/>
        <w:jc w:val="center"/>
        <w:rPr>
          <w:rFonts w:ascii="Times New Roman" w:hAnsi="Times New Roman"/>
          <w:sz w:val="28"/>
          <w:szCs w:val="28"/>
        </w:rPr>
      </w:pPr>
    </w:p>
    <w:p w:rsidR="005060D7" w:rsidRPr="008E6BE7" w:rsidRDefault="005060D7" w:rsidP="00CE7F2B">
      <w:pPr>
        <w:spacing w:after="0" w:line="240" w:lineRule="auto"/>
        <w:jc w:val="center"/>
        <w:rPr>
          <w:rFonts w:ascii="Times New Roman" w:hAnsi="Times New Roman"/>
          <w:sz w:val="28"/>
          <w:szCs w:val="28"/>
        </w:rPr>
      </w:pPr>
    </w:p>
    <w:p w:rsidR="005060D7" w:rsidRPr="008E6BE7" w:rsidRDefault="005060D7" w:rsidP="00CE7F2B">
      <w:pPr>
        <w:spacing w:after="0" w:line="240" w:lineRule="auto"/>
        <w:jc w:val="center"/>
        <w:rPr>
          <w:rFonts w:ascii="Times New Roman" w:hAnsi="Times New Roman"/>
          <w:sz w:val="28"/>
          <w:szCs w:val="28"/>
        </w:rPr>
      </w:pPr>
    </w:p>
    <w:p w:rsidR="005060D7" w:rsidRPr="008E6BE7" w:rsidRDefault="005060D7" w:rsidP="00CE7F2B">
      <w:pPr>
        <w:spacing w:after="0" w:line="240" w:lineRule="auto"/>
        <w:jc w:val="center"/>
        <w:rPr>
          <w:rFonts w:ascii="Times New Roman" w:hAnsi="Times New Roman"/>
          <w:sz w:val="28"/>
          <w:szCs w:val="28"/>
        </w:rPr>
      </w:pPr>
    </w:p>
    <w:p w:rsidR="005060D7" w:rsidRPr="008E6BE7" w:rsidRDefault="005060D7" w:rsidP="00CE7F2B">
      <w:pPr>
        <w:spacing w:after="0" w:line="240" w:lineRule="auto"/>
        <w:jc w:val="center"/>
        <w:rPr>
          <w:rFonts w:ascii="Times New Roman" w:hAnsi="Times New Roman"/>
          <w:sz w:val="28"/>
          <w:szCs w:val="28"/>
        </w:rPr>
      </w:pPr>
    </w:p>
    <w:p w:rsidR="005060D7" w:rsidRPr="008E6BE7" w:rsidRDefault="005060D7" w:rsidP="00CE7F2B">
      <w:pPr>
        <w:spacing w:after="0" w:line="240" w:lineRule="auto"/>
        <w:jc w:val="center"/>
        <w:rPr>
          <w:rFonts w:ascii="Times New Roman" w:hAnsi="Times New Roman"/>
          <w:sz w:val="28"/>
          <w:szCs w:val="28"/>
        </w:rPr>
      </w:pPr>
    </w:p>
    <w:p w:rsidR="005060D7" w:rsidRPr="008E6BE7" w:rsidRDefault="00D374B3" w:rsidP="00CE7F2B">
      <w:pPr>
        <w:spacing w:after="0" w:line="240" w:lineRule="auto"/>
        <w:jc w:val="center"/>
        <w:rPr>
          <w:rFonts w:ascii="Times New Roman" w:hAnsi="Times New Roman"/>
          <w:sz w:val="28"/>
          <w:szCs w:val="28"/>
        </w:rPr>
      </w:pPr>
      <w:r>
        <w:rPr>
          <w:rFonts w:ascii="Times New Roman" w:hAnsi="Times New Roman"/>
          <w:sz w:val="28"/>
          <w:szCs w:val="28"/>
        </w:rPr>
        <w:t>Rīga, 2017</w:t>
      </w:r>
    </w:p>
    <w:p w:rsidR="005060D7" w:rsidRPr="008E6BE7" w:rsidRDefault="005060D7" w:rsidP="00CE7F2B">
      <w:pPr>
        <w:spacing w:after="0" w:line="240" w:lineRule="auto"/>
        <w:jc w:val="center"/>
        <w:rPr>
          <w:rFonts w:ascii="Times New Roman" w:hAnsi="Times New Roman"/>
          <w:b/>
          <w:sz w:val="28"/>
          <w:szCs w:val="28"/>
        </w:rPr>
      </w:pPr>
      <w:r w:rsidRPr="008E6BE7">
        <w:rPr>
          <w:rFonts w:ascii="Times New Roman" w:hAnsi="Times New Roman"/>
          <w:sz w:val="28"/>
          <w:szCs w:val="28"/>
        </w:rPr>
        <w:br w:type="page"/>
      </w:r>
      <w:r w:rsidRPr="008E6BE7">
        <w:rPr>
          <w:rFonts w:ascii="Times New Roman" w:hAnsi="Times New Roman"/>
          <w:b/>
          <w:sz w:val="28"/>
          <w:szCs w:val="28"/>
        </w:rPr>
        <w:lastRenderedPageBreak/>
        <w:t>Saturs</w:t>
      </w:r>
    </w:p>
    <w:p w:rsidR="005060D7" w:rsidRPr="008E6BE7" w:rsidRDefault="005060D7" w:rsidP="00CE7F2B">
      <w:pPr>
        <w:spacing w:after="0" w:line="240" w:lineRule="auto"/>
        <w:jc w:val="center"/>
        <w:rPr>
          <w:rFonts w:ascii="Times New Roman" w:hAnsi="Times New Roman"/>
          <w:sz w:val="28"/>
          <w:szCs w:val="28"/>
        </w:rPr>
      </w:pPr>
    </w:p>
    <w:p w:rsidR="00600AD4" w:rsidRPr="008E6BE7" w:rsidRDefault="00600AD4" w:rsidP="00CE7F2B">
      <w:pPr>
        <w:spacing w:after="0" w:line="240" w:lineRule="auto"/>
        <w:jc w:val="center"/>
        <w:rPr>
          <w:rFonts w:ascii="Times New Roman" w:hAnsi="Times New Roman"/>
          <w:sz w:val="28"/>
          <w:szCs w:val="28"/>
        </w:rPr>
      </w:pPr>
    </w:p>
    <w:p w:rsidR="00600AD4" w:rsidRPr="008E6BE7" w:rsidRDefault="005060D7" w:rsidP="00CE7F2B">
      <w:pPr>
        <w:pStyle w:val="TOC1"/>
        <w:tabs>
          <w:tab w:val="right" w:leader="dot" w:pos="8777"/>
        </w:tabs>
        <w:rPr>
          <w:rFonts w:ascii="Times New Roman" w:eastAsiaTheme="minorEastAsia" w:hAnsi="Times New Roman"/>
          <w:noProof/>
          <w:sz w:val="28"/>
          <w:szCs w:val="28"/>
          <w:lang w:eastAsia="lv-LV"/>
        </w:rPr>
      </w:pPr>
      <w:r w:rsidRPr="008E6BE7">
        <w:rPr>
          <w:rFonts w:ascii="Times New Roman" w:hAnsi="Times New Roman"/>
          <w:sz w:val="28"/>
          <w:szCs w:val="28"/>
        </w:rPr>
        <w:fldChar w:fldCharType="begin"/>
      </w:r>
      <w:r w:rsidRPr="008E6BE7">
        <w:rPr>
          <w:rFonts w:ascii="Times New Roman" w:hAnsi="Times New Roman"/>
          <w:sz w:val="28"/>
          <w:szCs w:val="28"/>
        </w:rPr>
        <w:instrText xml:space="preserve"> TOC \o "1-3" \h \z \u </w:instrText>
      </w:r>
      <w:r w:rsidRPr="008E6BE7">
        <w:rPr>
          <w:rFonts w:ascii="Times New Roman" w:hAnsi="Times New Roman"/>
          <w:sz w:val="28"/>
          <w:szCs w:val="28"/>
        </w:rPr>
        <w:fldChar w:fldCharType="separate"/>
      </w:r>
      <w:hyperlink w:anchor="_Toc411246698" w:history="1">
        <w:r w:rsidR="00600AD4" w:rsidRPr="008E6BE7">
          <w:rPr>
            <w:rStyle w:val="Hyperlink"/>
            <w:rFonts w:ascii="Times New Roman" w:hAnsi="Times New Roman"/>
            <w:noProof/>
            <w:color w:val="auto"/>
            <w:sz w:val="28"/>
            <w:szCs w:val="28"/>
          </w:rPr>
          <w:t>1. Informatīvā ziņojuma izstrādes pamatojums</w:t>
        </w:r>
        <w:r w:rsidR="00600AD4" w:rsidRPr="008E6BE7">
          <w:rPr>
            <w:rFonts w:ascii="Times New Roman" w:hAnsi="Times New Roman"/>
            <w:noProof/>
            <w:webHidden/>
            <w:sz w:val="28"/>
            <w:szCs w:val="28"/>
          </w:rPr>
          <w:tab/>
        </w:r>
        <w:r w:rsidR="00600AD4" w:rsidRPr="008E6BE7">
          <w:rPr>
            <w:rFonts w:ascii="Times New Roman" w:hAnsi="Times New Roman"/>
            <w:noProof/>
            <w:webHidden/>
            <w:sz w:val="28"/>
            <w:szCs w:val="28"/>
          </w:rPr>
          <w:fldChar w:fldCharType="begin"/>
        </w:r>
        <w:r w:rsidR="00600AD4" w:rsidRPr="008E6BE7">
          <w:rPr>
            <w:rFonts w:ascii="Times New Roman" w:hAnsi="Times New Roman"/>
            <w:noProof/>
            <w:webHidden/>
            <w:sz w:val="28"/>
            <w:szCs w:val="28"/>
          </w:rPr>
          <w:instrText xml:space="preserve"> PAGEREF _Toc411246698 \h </w:instrText>
        </w:r>
        <w:r w:rsidR="00600AD4" w:rsidRPr="008E6BE7">
          <w:rPr>
            <w:rFonts w:ascii="Times New Roman" w:hAnsi="Times New Roman"/>
            <w:noProof/>
            <w:webHidden/>
            <w:sz w:val="28"/>
            <w:szCs w:val="28"/>
          </w:rPr>
        </w:r>
        <w:r w:rsidR="00600AD4" w:rsidRPr="008E6BE7">
          <w:rPr>
            <w:rFonts w:ascii="Times New Roman" w:hAnsi="Times New Roman"/>
            <w:noProof/>
            <w:webHidden/>
            <w:sz w:val="28"/>
            <w:szCs w:val="28"/>
          </w:rPr>
          <w:fldChar w:fldCharType="separate"/>
        </w:r>
        <w:r w:rsidR="00CB5684">
          <w:rPr>
            <w:rFonts w:ascii="Times New Roman" w:hAnsi="Times New Roman"/>
            <w:noProof/>
            <w:webHidden/>
            <w:sz w:val="28"/>
            <w:szCs w:val="28"/>
          </w:rPr>
          <w:t>3</w:t>
        </w:r>
        <w:r w:rsidR="00600AD4" w:rsidRPr="008E6BE7">
          <w:rPr>
            <w:rFonts w:ascii="Times New Roman" w:hAnsi="Times New Roman"/>
            <w:noProof/>
            <w:webHidden/>
            <w:sz w:val="28"/>
            <w:szCs w:val="28"/>
          </w:rPr>
          <w:fldChar w:fldCharType="end"/>
        </w:r>
      </w:hyperlink>
    </w:p>
    <w:p w:rsidR="00600AD4" w:rsidRPr="008E6BE7" w:rsidRDefault="00CB5684" w:rsidP="00CE7F2B">
      <w:pPr>
        <w:pStyle w:val="TOC1"/>
        <w:tabs>
          <w:tab w:val="right" w:leader="dot" w:pos="8777"/>
        </w:tabs>
        <w:rPr>
          <w:rFonts w:ascii="Times New Roman" w:eastAsiaTheme="minorEastAsia" w:hAnsi="Times New Roman"/>
          <w:noProof/>
          <w:sz w:val="28"/>
          <w:szCs w:val="28"/>
          <w:lang w:eastAsia="lv-LV"/>
        </w:rPr>
      </w:pPr>
      <w:hyperlink w:anchor="_Toc411246699" w:history="1">
        <w:r w:rsidR="00600AD4" w:rsidRPr="008E6BE7">
          <w:rPr>
            <w:rStyle w:val="Hyperlink"/>
            <w:rFonts w:ascii="Times New Roman" w:hAnsi="Times New Roman"/>
            <w:noProof/>
            <w:color w:val="auto"/>
            <w:sz w:val="28"/>
            <w:szCs w:val="28"/>
          </w:rPr>
          <w:t>2. Situācijas apraksts</w:t>
        </w:r>
        <w:r w:rsidR="00600AD4" w:rsidRPr="008E6BE7">
          <w:rPr>
            <w:rFonts w:ascii="Times New Roman" w:hAnsi="Times New Roman"/>
            <w:noProof/>
            <w:webHidden/>
            <w:sz w:val="28"/>
            <w:szCs w:val="28"/>
          </w:rPr>
          <w:tab/>
        </w:r>
        <w:r w:rsidR="00600AD4" w:rsidRPr="008E6BE7">
          <w:rPr>
            <w:rFonts w:ascii="Times New Roman" w:hAnsi="Times New Roman"/>
            <w:noProof/>
            <w:webHidden/>
            <w:sz w:val="28"/>
            <w:szCs w:val="28"/>
          </w:rPr>
          <w:fldChar w:fldCharType="begin"/>
        </w:r>
        <w:r w:rsidR="00600AD4" w:rsidRPr="008E6BE7">
          <w:rPr>
            <w:rFonts w:ascii="Times New Roman" w:hAnsi="Times New Roman"/>
            <w:noProof/>
            <w:webHidden/>
            <w:sz w:val="28"/>
            <w:szCs w:val="28"/>
          </w:rPr>
          <w:instrText xml:space="preserve"> PAGEREF _Toc411246699 \h </w:instrText>
        </w:r>
        <w:r w:rsidR="00600AD4" w:rsidRPr="008E6BE7">
          <w:rPr>
            <w:rFonts w:ascii="Times New Roman" w:hAnsi="Times New Roman"/>
            <w:noProof/>
            <w:webHidden/>
            <w:sz w:val="28"/>
            <w:szCs w:val="28"/>
          </w:rPr>
        </w:r>
        <w:r w:rsidR="00600AD4" w:rsidRPr="008E6BE7">
          <w:rPr>
            <w:rFonts w:ascii="Times New Roman" w:hAnsi="Times New Roman"/>
            <w:noProof/>
            <w:webHidden/>
            <w:sz w:val="28"/>
            <w:szCs w:val="28"/>
          </w:rPr>
          <w:fldChar w:fldCharType="separate"/>
        </w:r>
        <w:r>
          <w:rPr>
            <w:rFonts w:ascii="Times New Roman" w:hAnsi="Times New Roman"/>
            <w:noProof/>
            <w:webHidden/>
            <w:sz w:val="28"/>
            <w:szCs w:val="28"/>
          </w:rPr>
          <w:t>3</w:t>
        </w:r>
        <w:r w:rsidR="00600AD4" w:rsidRPr="008E6BE7">
          <w:rPr>
            <w:rFonts w:ascii="Times New Roman" w:hAnsi="Times New Roman"/>
            <w:noProof/>
            <w:webHidden/>
            <w:sz w:val="28"/>
            <w:szCs w:val="28"/>
          </w:rPr>
          <w:fldChar w:fldCharType="end"/>
        </w:r>
      </w:hyperlink>
    </w:p>
    <w:p w:rsidR="00600AD4" w:rsidRPr="008E6BE7" w:rsidRDefault="00CB5684" w:rsidP="00CE7F2B">
      <w:pPr>
        <w:pStyle w:val="TOC1"/>
        <w:tabs>
          <w:tab w:val="right" w:leader="dot" w:pos="8777"/>
        </w:tabs>
        <w:rPr>
          <w:rFonts w:ascii="Times New Roman" w:eastAsiaTheme="minorEastAsia" w:hAnsi="Times New Roman"/>
          <w:noProof/>
          <w:sz w:val="28"/>
          <w:szCs w:val="28"/>
          <w:lang w:eastAsia="lv-LV"/>
        </w:rPr>
      </w:pPr>
      <w:hyperlink w:anchor="_Toc411246700" w:history="1">
        <w:r w:rsidR="00600AD4" w:rsidRPr="008E6BE7">
          <w:rPr>
            <w:rStyle w:val="Hyperlink"/>
            <w:rFonts w:ascii="Times New Roman" w:hAnsi="Times New Roman"/>
            <w:noProof/>
            <w:color w:val="auto"/>
            <w:sz w:val="28"/>
            <w:szCs w:val="28"/>
          </w:rPr>
          <w:t>3. Izmēģinājumprojektā konstatētās problēmas</w:t>
        </w:r>
        <w:r w:rsidR="00600AD4" w:rsidRPr="008E6BE7">
          <w:rPr>
            <w:rFonts w:ascii="Times New Roman" w:hAnsi="Times New Roman"/>
            <w:noProof/>
            <w:webHidden/>
            <w:sz w:val="28"/>
            <w:szCs w:val="28"/>
          </w:rPr>
          <w:tab/>
        </w:r>
        <w:r w:rsidR="00600AD4" w:rsidRPr="008E6BE7">
          <w:rPr>
            <w:rFonts w:ascii="Times New Roman" w:hAnsi="Times New Roman"/>
            <w:noProof/>
            <w:webHidden/>
            <w:sz w:val="28"/>
            <w:szCs w:val="28"/>
          </w:rPr>
          <w:fldChar w:fldCharType="begin"/>
        </w:r>
        <w:r w:rsidR="00600AD4" w:rsidRPr="008E6BE7">
          <w:rPr>
            <w:rFonts w:ascii="Times New Roman" w:hAnsi="Times New Roman"/>
            <w:noProof/>
            <w:webHidden/>
            <w:sz w:val="28"/>
            <w:szCs w:val="28"/>
          </w:rPr>
          <w:instrText xml:space="preserve"> PAGEREF _Toc411246700 \h </w:instrText>
        </w:r>
        <w:r w:rsidR="00600AD4" w:rsidRPr="008E6BE7">
          <w:rPr>
            <w:rFonts w:ascii="Times New Roman" w:hAnsi="Times New Roman"/>
            <w:noProof/>
            <w:webHidden/>
            <w:sz w:val="28"/>
            <w:szCs w:val="28"/>
          </w:rPr>
        </w:r>
        <w:r w:rsidR="00600AD4" w:rsidRPr="008E6BE7">
          <w:rPr>
            <w:rFonts w:ascii="Times New Roman" w:hAnsi="Times New Roman"/>
            <w:noProof/>
            <w:webHidden/>
            <w:sz w:val="28"/>
            <w:szCs w:val="28"/>
          </w:rPr>
          <w:fldChar w:fldCharType="separate"/>
        </w:r>
        <w:r>
          <w:rPr>
            <w:rFonts w:ascii="Times New Roman" w:hAnsi="Times New Roman"/>
            <w:noProof/>
            <w:webHidden/>
            <w:sz w:val="28"/>
            <w:szCs w:val="28"/>
          </w:rPr>
          <w:t>12</w:t>
        </w:r>
        <w:r w:rsidR="00600AD4" w:rsidRPr="008E6BE7">
          <w:rPr>
            <w:rFonts w:ascii="Times New Roman" w:hAnsi="Times New Roman"/>
            <w:noProof/>
            <w:webHidden/>
            <w:sz w:val="28"/>
            <w:szCs w:val="28"/>
          </w:rPr>
          <w:fldChar w:fldCharType="end"/>
        </w:r>
      </w:hyperlink>
    </w:p>
    <w:p w:rsidR="00600AD4" w:rsidRPr="008E6BE7" w:rsidRDefault="00CB5684" w:rsidP="00CE7F2B">
      <w:pPr>
        <w:pStyle w:val="TOC1"/>
        <w:tabs>
          <w:tab w:val="right" w:leader="dot" w:pos="8777"/>
        </w:tabs>
        <w:rPr>
          <w:rFonts w:ascii="Times New Roman" w:eastAsiaTheme="minorEastAsia" w:hAnsi="Times New Roman"/>
          <w:noProof/>
          <w:sz w:val="28"/>
          <w:szCs w:val="28"/>
          <w:lang w:eastAsia="lv-LV"/>
        </w:rPr>
      </w:pPr>
      <w:hyperlink w:anchor="_Toc411246701" w:history="1">
        <w:r w:rsidR="00600AD4" w:rsidRPr="008E6BE7">
          <w:rPr>
            <w:rStyle w:val="Hyperlink"/>
            <w:rFonts w:ascii="Times New Roman" w:hAnsi="Times New Roman"/>
            <w:noProof/>
            <w:color w:val="auto"/>
            <w:sz w:val="28"/>
            <w:szCs w:val="28"/>
          </w:rPr>
          <w:t>4. Uz pieprasījumu virzīta pakalpojuma sniegšana</w:t>
        </w:r>
        <w:r w:rsidR="00600AD4" w:rsidRPr="008E6BE7">
          <w:rPr>
            <w:rFonts w:ascii="Times New Roman" w:hAnsi="Times New Roman"/>
            <w:noProof/>
            <w:webHidden/>
            <w:sz w:val="28"/>
            <w:szCs w:val="28"/>
          </w:rPr>
          <w:tab/>
        </w:r>
        <w:r w:rsidR="00600AD4" w:rsidRPr="008E6BE7">
          <w:rPr>
            <w:rFonts w:ascii="Times New Roman" w:hAnsi="Times New Roman"/>
            <w:noProof/>
            <w:webHidden/>
            <w:sz w:val="28"/>
            <w:szCs w:val="28"/>
          </w:rPr>
          <w:fldChar w:fldCharType="begin"/>
        </w:r>
        <w:r w:rsidR="00600AD4" w:rsidRPr="008E6BE7">
          <w:rPr>
            <w:rFonts w:ascii="Times New Roman" w:hAnsi="Times New Roman"/>
            <w:noProof/>
            <w:webHidden/>
            <w:sz w:val="28"/>
            <w:szCs w:val="28"/>
          </w:rPr>
          <w:instrText xml:space="preserve"> PAGEREF _Toc411246701 \h </w:instrText>
        </w:r>
        <w:r w:rsidR="00600AD4" w:rsidRPr="008E6BE7">
          <w:rPr>
            <w:rFonts w:ascii="Times New Roman" w:hAnsi="Times New Roman"/>
            <w:noProof/>
            <w:webHidden/>
            <w:sz w:val="28"/>
            <w:szCs w:val="28"/>
          </w:rPr>
        </w:r>
        <w:r w:rsidR="00600AD4" w:rsidRPr="008E6BE7">
          <w:rPr>
            <w:rFonts w:ascii="Times New Roman" w:hAnsi="Times New Roman"/>
            <w:noProof/>
            <w:webHidden/>
            <w:sz w:val="28"/>
            <w:szCs w:val="28"/>
          </w:rPr>
          <w:fldChar w:fldCharType="separate"/>
        </w:r>
        <w:r>
          <w:rPr>
            <w:rFonts w:ascii="Times New Roman" w:hAnsi="Times New Roman"/>
            <w:noProof/>
            <w:webHidden/>
            <w:sz w:val="28"/>
            <w:szCs w:val="28"/>
          </w:rPr>
          <w:t>14</w:t>
        </w:r>
        <w:r w:rsidR="00600AD4" w:rsidRPr="008E6BE7">
          <w:rPr>
            <w:rFonts w:ascii="Times New Roman" w:hAnsi="Times New Roman"/>
            <w:noProof/>
            <w:webHidden/>
            <w:sz w:val="28"/>
            <w:szCs w:val="28"/>
          </w:rPr>
          <w:fldChar w:fldCharType="end"/>
        </w:r>
      </w:hyperlink>
    </w:p>
    <w:p w:rsidR="00600AD4" w:rsidRPr="008E6BE7" w:rsidRDefault="00CB5684" w:rsidP="00CE7F2B">
      <w:pPr>
        <w:pStyle w:val="TOC1"/>
        <w:tabs>
          <w:tab w:val="right" w:leader="dot" w:pos="8777"/>
        </w:tabs>
        <w:rPr>
          <w:rFonts w:ascii="Times New Roman" w:eastAsiaTheme="minorEastAsia" w:hAnsi="Times New Roman"/>
          <w:noProof/>
          <w:sz w:val="28"/>
          <w:szCs w:val="28"/>
          <w:lang w:eastAsia="lv-LV"/>
        </w:rPr>
      </w:pPr>
      <w:hyperlink w:anchor="_Toc411246702" w:history="1">
        <w:r w:rsidR="00600AD4" w:rsidRPr="008E6BE7">
          <w:rPr>
            <w:rStyle w:val="Hyperlink"/>
            <w:rFonts w:ascii="Times New Roman" w:hAnsi="Times New Roman"/>
            <w:noProof/>
            <w:color w:val="auto"/>
            <w:sz w:val="28"/>
            <w:szCs w:val="28"/>
          </w:rPr>
          <w:t>5. Turpmākā rīcība</w:t>
        </w:r>
        <w:r w:rsidR="00600AD4" w:rsidRPr="008E6BE7">
          <w:rPr>
            <w:rFonts w:ascii="Times New Roman" w:hAnsi="Times New Roman"/>
            <w:noProof/>
            <w:webHidden/>
            <w:sz w:val="28"/>
            <w:szCs w:val="28"/>
          </w:rPr>
          <w:tab/>
        </w:r>
        <w:r w:rsidR="00600AD4" w:rsidRPr="008E6BE7">
          <w:rPr>
            <w:rFonts w:ascii="Times New Roman" w:hAnsi="Times New Roman"/>
            <w:noProof/>
            <w:webHidden/>
            <w:sz w:val="28"/>
            <w:szCs w:val="28"/>
          </w:rPr>
          <w:fldChar w:fldCharType="begin"/>
        </w:r>
        <w:r w:rsidR="00600AD4" w:rsidRPr="008E6BE7">
          <w:rPr>
            <w:rFonts w:ascii="Times New Roman" w:hAnsi="Times New Roman"/>
            <w:noProof/>
            <w:webHidden/>
            <w:sz w:val="28"/>
            <w:szCs w:val="28"/>
          </w:rPr>
          <w:instrText xml:space="preserve"> PAGEREF _Toc411246702 \h </w:instrText>
        </w:r>
        <w:r w:rsidR="00600AD4" w:rsidRPr="008E6BE7">
          <w:rPr>
            <w:rFonts w:ascii="Times New Roman" w:hAnsi="Times New Roman"/>
            <w:noProof/>
            <w:webHidden/>
            <w:sz w:val="28"/>
            <w:szCs w:val="28"/>
          </w:rPr>
        </w:r>
        <w:r w:rsidR="00600AD4" w:rsidRPr="008E6BE7">
          <w:rPr>
            <w:rFonts w:ascii="Times New Roman" w:hAnsi="Times New Roman"/>
            <w:noProof/>
            <w:webHidden/>
            <w:sz w:val="28"/>
            <w:szCs w:val="28"/>
          </w:rPr>
          <w:fldChar w:fldCharType="separate"/>
        </w:r>
        <w:r>
          <w:rPr>
            <w:rFonts w:ascii="Times New Roman" w:hAnsi="Times New Roman"/>
            <w:noProof/>
            <w:webHidden/>
            <w:sz w:val="28"/>
            <w:szCs w:val="28"/>
          </w:rPr>
          <w:t>15</w:t>
        </w:r>
        <w:r w:rsidR="00600AD4" w:rsidRPr="008E6BE7">
          <w:rPr>
            <w:rFonts w:ascii="Times New Roman" w:hAnsi="Times New Roman"/>
            <w:noProof/>
            <w:webHidden/>
            <w:sz w:val="28"/>
            <w:szCs w:val="28"/>
          </w:rPr>
          <w:fldChar w:fldCharType="end"/>
        </w:r>
      </w:hyperlink>
    </w:p>
    <w:p w:rsidR="00600AD4" w:rsidRPr="008E6BE7" w:rsidRDefault="00CB5684" w:rsidP="00CE7F2B">
      <w:pPr>
        <w:pStyle w:val="TOC1"/>
        <w:tabs>
          <w:tab w:val="right" w:leader="dot" w:pos="8777"/>
        </w:tabs>
        <w:rPr>
          <w:rFonts w:ascii="Times New Roman" w:eastAsiaTheme="minorEastAsia" w:hAnsi="Times New Roman"/>
          <w:noProof/>
          <w:sz w:val="28"/>
          <w:szCs w:val="28"/>
          <w:lang w:eastAsia="lv-LV"/>
        </w:rPr>
      </w:pPr>
      <w:hyperlink w:anchor="_Toc411246703" w:history="1">
        <w:r w:rsidR="00600AD4" w:rsidRPr="008E6BE7">
          <w:rPr>
            <w:rStyle w:val="Hyperlink"/>
            <w:rFonts w:ascii="Times New Roman" w:hAnsi="Times New Roman"/>
            <w:noProof/>
            <w:color w:val="auto"/>
            <w:sz w:val="28"/>
            <w:szCs w:val="28"/>
          </w:rPr>
          <w:t>Pielikums</w:t>
        </w:r>
        <w:r w:rsidR="00600AD4" w:rsidRPr="008E6BE7">
          <w:rPr>
            <w:rFonts w:ascii="Times New Roman" w:hAnsi="Times New Roman"/>
            <w:noProof/>
            <w:webHidden/>
            <w:sz w:val="28"/>
            <w:szCs w:val="28"/>
          </w:rPr>
          <w:tab/>
        </w:r>
        <w:r w:rsidR="00600AD4" w:rsidRPr="008E6BE7">
          <w:rPr>
            <w:rFonts w:ascii="Times New Roman" w:hAnsi="Times New Roman"/>
            <w:noProof/>
            <w:webHidden/>
            <w:sz w:val="28"/>
            <w:szCs w:val="28"/>
          </w:rPr>
          <w:fldChar w:fldCharType="begin"/>
        </w:r>
        <w:r w:rsidR="00600AD4" w:rsidRPr="008E6BE7">
          <w:rPr>
            <w:rFonts w:ascii="Times New Roman" w:hAnsi="Times New Roman"/>
            <w:noProof/>
            <w:webHidden/>
            <w:sz w:val="28"/>
            <w:szCs w:val="28"/>
          </w:rPr>
          <w:instrText xml:space="preserve"> PAGEREF _Toc411246703 \h </w:instrText>
        </w:r>
        <w:r w:rsidR="00600AD4" w:rsidRPr="008E6BE7">
          <w:rPr>
            <w:rFonts w:ascii="Times New Roman" w:hAnsi="Times New Roman"/>
            <w:noProof/>
            <w:webHidden/>
            <w:sz w:val="28"/>
            <w:szCs w:val="28"/>
          </w:rPr>
        </w:r>
        <w:r w:rsidR="00600AD4" w:rsidRPr="008E6BE7">
          <w:rPr>
            <w:rFonts w:ascii="Times New Roman" w:hAnsi="Times New Roman"/>
            <w:noProof/>
            <w:webHidden/>
            <w:sz w:val="28"/>
            <w:szCs w:val="28"/>
          </w:rPr>
          <w:fldChar w:fldCharType="separate"/>
        </w:r>
        <w:r>
          <w:rPr>
            <w:rFonts w:ascii="Times New Roman" w:hAnsi="Times New Roman"/>
            <w:noProof/>
            <w:webHidden/>
            <w:sz w:val="28"/>
            <w:szCs w:val="28"/>
          </w:rPr>
          <w:t>19</w:t>
        </w:r>
        <w:r w:rsidR="00600AD4" w:rsidRPr="008E6BE7">
          <w:rPr>
            <w:rFonts w:ascii="Times New Roman" w:hAnsi="Times New Roman"/>
            <w:noProof/>
            <w:webHidden/>
            <w:sz w:val="28"/>
            <w:szCs w:val="28"/>
          </w:rPr>
          <w:fldChar w:fldCharType="end"/>
        </w:r>
      </w:hyperlink>
    </w:p>
    <w:p w:rsidR="005060D7" w:rsidRPr="008E6BE7" w:rsidRDefault="005060D7" w:rsidP="00CE7F2B">
      <w:pPr>
        <w:rPr>
          <w:rFonts w:ascii="Times New Roman" w:hAnsi="Times New Roman"/>
          <w:sz w:val="28"/>
          <w:szCs w:val="28"/>
        </w:rPr>
      </w:pPr>
      <w:r w:rsidRPr="008E6BE7">
        <w:rPr>
          <w:rFonts w:ascii="Times New Roman" w:hAnsi="Times New Roman"/>
          <w:sz w:val="28"/>
          <w:szCs w:val="28"/>
        </w:rPr>
        <w:fldChar w:fldCharType="end"/>
      </w:r>
    </w:p>
    <w:p w:rsidR="00C4245D" w:rsidRPr="008E6BE7" w:rsidRDefault="00C4245D" w:rsidP="00CE7F2B">
      <w:pPr>
        <w:pStyle w:val="Heading1"/>
        <w:jc w:val="center"/>
        <w:rPr>
          <w:rFonts w:ascii="Times New Roman" w:hAnsi="Times New Roman"/>
        </w:rPr>
      </w:pPr>
    </w:p>
    <w:p w:rsidR="00C4245D" w:rsidRPr="008E6BE7" w:rsidRDefault="00C4245D" w:rsidP="00CE7F2B">
      <w:pPr>
        <w:rPr>
          <w:rFonts w:ascii="Times New Roman" w:hAnsi="Times New Roman"/>
        </w:rPr>
      </w:pPr>
    </w:p>
    <w:p w:rsidR="00C4245D" w:rsidRPr="008E6BE7" w:rsidRDefault="00C4245D" w:rsidP="00CE7F2B">
      <w:pPr>
        <w:rPr>
          <w:rFonts w:ascii="Times New Roman" w:hAnsi="Times New Roman"/>
        </w:rPr>
      </w:pPr>
    </w:p>
    <w:p w:rsidR="00C4245D" w:rsidRPr="008E6BE7" w:rsidRDefault="00C4245D" w:rsidP="00CE7F2B">
      <w:pPr>
        <w:rPr>
          <w:rFonts w:ascii="Times New Roman" w:hAnsi="Times New Roman"/>
        </w:rPr>
      </w:pPr>
    </w:p>
    <w:p w:rsidR="00C4245D" w:rsidRPr="008E6BE7" w:rsidRDefault="00C4245D" w:rsidP="00CE7F2B">
      <w:pPr>
        <w:rPr>
          <w:rFonts w:ascii="Times New Roman" w:hAnsi="Times New Roman"/>
        </w:rPr>
      </w:pPr>
    </w:p>
    <w:p w:rsidR="00C4245D" w:rsidRPr="008E6BE7" w:rsidRDefault="00C4245D" w:rsidP="00CE7F2B">
      <w:pPr>
        <w:rPr>
          <w:rFonts w:ascii="Times New Roman" w:hAnsi="Times New Roman"/>
        </w:rPr>
      </w:pPr>
    </w:p>
    <w:p w:rsidR="00C4245D" w:rsidRPr="008E6BE7" w:rsidRDefault="00C4245D" w:rsidP="00CE7F2B">
      <w:pPr>
        <w:rPr>
          <w:rFonts w:ascii="Times New Roman" w:hAnsi="Times New Roman"/>
        </w:rPr>
      </w:pPr>
    </w:p>
    <w:p w:rsidR="00C4245D" w:rsidRPr="008E6BE7" w:rsidRDefault="00C4245D" w:rsidP="00CE7F2B">
      <w:pPr>
        <w:rPr>
          <w:rFonts w:ascii="Times New Roman" w:hAnsi="Times New Roman"/>
        </w:rPr>
      </w:pPr>
    </w:p>
    <w:p w:rsidR="00C4245D" w:rsidRPr="008E6BE7" w:rsidRDefault="00C4245D" w:rsidP="00CE7F2B">
      <w:pPr>
        <w:rPr>
          <w:rFonts w:ascii="Times New Roman" w:hAnsi="Times New Roman"/>
        </w:rPr>
      </w:pPr>
    </w:p>
    <w:p w:rsidR="00C4245D" w:rsidRPr="008E6BE7" w:rsidRDefault="00C4245D" w:rsidP="00CE7F2B">
      <w:pPr>
        <w:rPr>
          <w:rFonts w:ascii="Times New Roman" w:hAnsi="Times New Roman"/>
        </w:rPr>
      </w:pPr>
    </w:p>
    <w:p w:rsidR="00C4245D" w:rsidRPr="008E6BE7" w:rsidRDefault="00C4245D" w:rsidP="00CE7F2B">
      <w:pPr>
        <w:pStyle w:val="Heading1"/>
        <w:tabs>
          <w:tab w:val="left" w:pos="876"/>
        </w:tabs>
        <w:rPr>
          <w:rFonts w:ascii="Times New Roman" w:hAnsi="Times New Roman"/>
        </w:rPr>
      </w:pPr>
      <w:r w:rsidRPr="008E6BE7">
        <w:rPr>
          <w:rFonts w:ascii="Times New Roman" w:hAnsi="Times New Roman"/>
        </w:rPr>
        <w:tab/>
      </w:r>
    </w:p>
    <w:p w:rsidR="00EE3535" w:rsidRDefault="00EE3535" w:rsidP="00CE7F2B">
      <w:pPr>
        <w:pStyle w:val="Heading1"/>
        <w:jc w:val="center"/>
        <w:rPr>
          <w:rFonts w:ascii="Times New Roman" w:hAnsi="Times New Roman"/>
        </w:rPr>
      </w:pPr>
    </w:p>
    <w:p w:rsidR="00EE3535" w:rsidRPr="00EE3535" w:rsidRDefault="00EE3535" w:rsidP="00EE3535"/>
    <w:p w:rsidR="00EE3535" w:rsidRDefault="00EE3535" w:rsidP="00EE3535"/>
    <w:p w:rsidR="00EE3535" w:rsidRDefault="00EE3535" w:rsidP="00F2791D">
      <w:pPr>
        <w:tabs>
          <w:tab w:val="left" w:pos="1152"/>
        </w:tabs>
      </w:pPr>
      <w:r>
        <w:tab/>
      </w:r>
    </w:p>
    <w:p w:rsidR="005060D7" w:rsidRPr="00F2791D" w:rsidRDefault="005060D7" w:rsidP="00CE7F2B">
      <w:pPr>
        <w:pStyle w:val="Heading1"/>
        <w:jc w:val="center"/>
      </w:pPr>
      <w:bookmarkStart w:id="0" w:name="_Toc411246698"/>
      <w:r w:rsidRPr="008E6BE7">
        <w:rPr>
          <w:rFonts w:ascii="Times New Roman" w:hAnsi="Times New Roman"/>
          <w:sz w:val="28"/>
          <w:szCs w:val="28"/>
        </w:rPr>
        <w:lastRenderedPageBreak/>
        <w:t>1. Informatīvā ziņojuma izstrādes pamatojums</w:t>
      </w:r>
      <w:bookmarkEnd w:id="0"/>
    </w:p>
    <w:p w:rsidR="005060D7" w:rsidRPr="008E6BE7" w:rsidRDefault="005060D7" w:rsidP="00CE7F2B">
      <w:pPr>
        <w:spacing w:after="0" w:line="240" w:lineRule="auto"/>
        <w:rPr>
          <w:rFonts w:ascii="Times New Roman" w:hAnsi="Times New Roman"/>
        </w:rPr>
      </w:pPr>
    </w:p>
    <w:p w:rsidR="007F7762" w:rsidRPr="008E6BE7" w:rsidRDefault="003805A2" w:rsidP="00030B50">
      <w:pPr>
        <w:spacing w:after="0" w:line="240" w:lineRule="auto"/>
        <w:ind w:firstLine="720"/>
        <w:jc w:val="both"/>
        <w:rPr>
          <w:rFonts w:ascii="Times New Roman" w:hAnsi="Times New Roman"/>
          <w:sz w:val="28"/>
          <w:szCs w:val="28"/>
        </w:rPr>
      </w:pPr>
      <w:proofErr w:type="spellStart"/>
      <w:r w:rsidRPr="008E6BE7">
        <w:rPr>
          <w:rFonts w:ascii="Times New Roman" w:hAnsi="Times New Roman"/>
          <w:sz w:val="28"/>
          <w:szCs w:val="28"/>
        </w:rPr>
        <w:t>Izmēģinājumprojekta</w:t>
      </w:r>
      <w:proofErr w:type="spellEnd"/>
      <w:r w:rsidR="005060D7" w:rsidRPr="008E6BE7">
        <w:rPr>
          <w:rFonts w:ascii="Times New Roman" w:hAnsi="Times New Roman"/>
          <w:sz w:val="28"/>
          <w:szCs w:val="28"/>
        </w:rPr>
        <w:t xml:space="preserve"> „Profesionālās tālākizglītības programmu īstenošana bezdarbniekiem valsts vai pašvaldību dibinātās izglītības iestādēs” </w:t>
      </w:r>
      <w:r w:rsidR="00EE533F" w:rsidRPr="008E6BE7">
        <w:rPr>
          <w:rFonts w:ascii="Times New Roman" w:hAnsi="Times New Roman"/>
          <w:sz w:val="28"/>
          <w:szCs w:val="28"/>
        </w:rPr>
        <w:t xml:space="preserve">otrās </w:t>
      </w:r>
      <w:r w:rsidRPr="008E6BE7">
        <w:rPr>
          <w:rFonts w:ascii="Times New Roman" w:hAnsi="Times New Roman"/>
          <w:sz w:val="28"/>
          <w:szCs w:val="28"/>
        </w:rPr>
        <w:t xml:space="preserve">kārtas īstenošana </w:t>
      </w:r>
      <w:r w:rsidR="005060D7" w:rsidRPr="008E6BE7">
        <w:rPr>
          <w:rFonts w:ascii="Times New Roman" w:hAnsi="Times New Roman"/>
          <w:sz w:val="28"/>
          <w:szCs w:val="28"/>
        </w:rPr>
        <w:t xml:space="preserve">(turpmāk – </w:t>
      </w:r>
      <w:proofErr w:type="spellStart"/>
      <w:r w:rsidR="00A065F7" w:rsidRPr="008E6BE7">
        <w:rPr>
          <w:rFonts w:ascii="Times New Roman" w:hAnsi="Times New Roman"/>
          <w:sz w:val="28"/>
          <w:szCs w:val="28"/>
        </w:rPr>
        <w:t>i</w:t>
      </w:r>
      <w:r w:rsidRPr="008E6BE7">
        <w:rPr>
          <w:rFonts w:ascii="Times New Roman" w:hAnsi="Times New Roman"/>
          <w:sz w:val="28"/>
          <w:szCs w:val="28"/>
        </w:rPr>
        <w:t>zmēģinājumprojekts</w:t>
      </w:r>
      <w:proofErr w:type="spellEnd"/>
      <w:r w:rsidRPr="008E6BE7">
        <w:rPr>
          <w:rFonts w:ascii="Times New Roman" w:hAnsi="Times New Roman"/>
          <w:sz w:val="28"/>
          <w:szCs w:val="28"/>
        </w:rPr>
        <w:t>) ieviesta</w:t>
      </w:r>
      <w:r w:rsidR="005060D7" w:rsidRPr="008E6BE7">
        <w:rPr>
          <w:rFonts w:ascii="Times New Roman" w:hAnsi="Times New Roman"/>
          <w:sz w:val="28"/>
          <w:szCs w:val="28"/>
        </w:rPr>
        <w:t>, pamatojoties u</w:t>
      </w:r>
      <w:r w:rsidR="00E34C04" w:rsidRPr="008E6BE7">
        <w:rPr>
          <w:rFonts w:ascii="Times New Roman" w:hAnsi="Times New Roman"/>
          <w:sz w:val="28"/>
          <w:szCs w:val="28"/>
        </w:rPr>
        <w:t>z</w:t>
      </w:r>
      <w:r w:rsidR="005060D7" w:rsidRPr="008E6BE7">
        <w:rPr>
          <w:rFonts w:ascii="Times New Roman" w:hAnsi="Times New Roman"/>
          <w:sz w:val="28"/>
          <w:szCs w:val="28"/>
        </w:rPr>
        <w:t xml:space="preserve"> </w:t>
      </w:r>
      <w:r w:rsidR="007F7762" w:rsidRPr="008E6BE7">
        <w:rPr>
          <w:rFonts w:ascii="Times New Roman" w:hAnsi="Times New Roman"/>
          <w:sz w:val="28"/>
          <w:szCs w:val="28"/>
        </w:rPr>
        <w:t xml:space="preserve">2015. gada 14. aprīļa Ministru kabineta (turpmāk – MK) sēdē atbalstīto informatīvo ziņojumu „Par </w:t>
      </w:r>
      <w:proofErr w:type="spellStart"/>
      <w:r w:rsidR="007F7762" w:rsidRPr="008E6BE7">
        <w:rPr>
          <w:rFonts w:ascii="Times New Roman" w:hAnsi="Times New Roman"/>
          <w:sz w:val="28"/>
          <w:szCs w:val="28"/>
        </w:rPr>
        <w:t>izmēģinājumprojekta</w:t>
      </w:r>
      <w:proofErr w:type="spellEnd"/>
      <w:r w:rsidR="007F7762" w:rsidRPr="008E6BE7">
        <w:rPr>
          <w:rFonts w:ascii="Times New Roman" w:hAnsi="Times New Roman"/>
          <w:sz w:val="28"/>
          <w:szCs w:val="28"/>
        </w:rPr>
        <w:t xml:space="preserve"> „Profesionālās tālākizglītības programmu īstenošana bezdarbniekiem valsts vai pašvaldību dibinātās izglītības iestādēs” īstenošanu” un sēdes </w:t>
      </w:r>
      <w:proofErr w:type="spellStart"/>
      <w:r w:rsidR="007F7762" w:rsidRPr="008E6BE7">
        <w:rPr>
          <w:rFonts w:ascii="Times New Roman" w:hAnsi="Times New Roman"/>
          <w:sz w:val="28"/>
          <w:szCs w:val="28"/>
        </w:rPr>
        <w:t>protokollēmuma</w:t>
      </w:r>
      <w:proofErr w:type="spellEnd"/>
      <w:r w:rsidR="007F7762" w:rsidRPr="008E6BE7">
        <w:rPr>
          <w:rFonts w:ascii="Times New Roman" w:hAnsi="Times New Roman"/>
          <w:sz w:val="28"/>
          <w:szCs w:val="28"/>
        </w:rPr>
        <w:t xml:space="preserve"> (prot. Nr. 20 46.§) 3.</w:t>
      </w:r>
      <w:r w:rsidR="00076177" w:rsidRPr="008E6BE7">
        <w:rPr>
          <w:rFonts w:ascii="Times New Roman" w:hAnsi="Times New Roman"/>
          <w:sz w:val="28"/>
          <w:szCs w:val="28"/>
        </w:rPr>
        <w:t>2</w:t>
      </w:r>
      <w:r w:rsidR="007F7762" w:rsidRPr="008E6BE7">
        <w:rPr>
          <w:rFonts w:ascii="Times New Roman" w:hAnsi="Times New Roman"/>
          <w:sz w:val="28"/>
          <w:szCs w:val="28"/>
        </w:rPr>
        <w:t xml:space="preserve">. punktā </w:t>
      </w:r>
      <w:r w:rsidR="00076300" w:rsidRPr="008E6BE7">
        <w:rPr>
          <w:rFonts w:ascii="Times New Roman" w:hAnsi="Times New Roman"/>
          <w:sz w:val="28"/>
          <w:szCs w:val="28"/>
        </w:rPr>
        <w:t xml:space="preserve">doto uzdevumu - Labklājības ministrijai </w:t>
      </w:r>
      <w:r w:rsidR="00EE533F" w:rsidRPr="008E6BE7">
        <w:rPr>
          <w:rFonts w:ascii="Times New Roman" w:hAnsi="Times New Roman"/>
          <w:sz w:val="28"/>
          <w:szCs w:val="28"/>
        </w:rPr>
        <w:t xml:space="preserve">(turpmāk – LM) </w:t>
      </w:r>
      <w:r w:rsidR="00076300" w:rsidRPr="008E6BE7">
        <w:rPr>
          <w:rFonts w:ascii="Times New Roman" w:hAnsi="Times New Roman"/>
          <w:sz w:val="28"/>
          <w:szCs w:val="28"/>
        </w:rPr>
        <w:t xml:space="preserve">sadarbībā ar Izglītības un zinātnes ministriju </w:t>
      </w:r>
      <w:r w:rsidR="008E0A5B">
        <w:rPr>
          <w:rFonts w:ascii="Times New Roman" w:hAnsi="Times New Roman"/>
          <w:sz w:val="28"/>
          <w:szCs w:val="28"/>
        </w:rPr>
        <w:t>līdz 2015. </w:t>
      </w:r>
      <w:r w:rsidR="00076177" w:rsidRPr="008E6BE7">
        <w:rPr>
          <w:rFonts w:ascii="Times New Roman" w:hAnsi="Times New Roman"/>
          <w:sz w:val="28"/>
          <w:szCs w:val="28"/>
        </w:rPr>
        <w:t>gada 1. septembr</w:t>
      </w:r>
      <w:r w:rsidR="00EE533F" w:rsidRPr="008E6BE7">
        <w:rPr>
          <w:rFonts w:ascii="Times New Roman" w:hAnsi="Times New Roman"/>
          <w:sz w:val="28"/>
          <w:szCs w:val="28"/>
        </w:rPr>
        <w:t xml:space="preserve">im uzsākt </w:t>
      </w:r>
      <w:proofErr w:type="spellStart"/>
      <w:r w:rsidR="00EE533F" w:rsidRPr="008E6BE7">
        <w:rPr>
          <w:rFonts w:ascii="Times New Roman" w:hAnsi="Times New Roman"/>
          <w:sz w:val="28"/>
          <w:szCs w:val="28"/>
        </w:rPr>
        <w:t>izmēģinājumprojekta</w:t>
      </w:r>
      <w:proofErr w:type="spellEnd"/>
      <w:r w:rsidR="00EE533F" w:rsidRPr="008E6BE7">
        <w:rPr>
          <w:rFonts w:ascii="Times New Roman" w:hAnsi="Times New Roman"/>
          <w:sz w:val="28"/>
          <w:szCs w:val="28"/>
        </w:rPr>
        <w:t xml:space="preserve"> otrās </w:t>
      </w:r>
      <w:r w:rsidR="00076177" w:rsidRPr="008E6BE7">
        <w:rPr>
          <w:rFonts w:ascii="Times New Roman" w:hAnsi="Times New Roman"/>
          <w:sz w:val="28"/>
          <w:szCs w:val="28"/>
        </w:rPr>
        <w:t>kārtas īstenošanu, nodrošinot sociālās atstumtības riskam pakļauto grupu bezdarbnieku iesaisti valsts un pašvaldību dibinātās profesionālās izglītības iestādēs, kuru infrastruktūras uzlabošana ir veikta no</w:t>
      </w:r>
      <w:r w:rsidR="00147BB0" w:rsidRPr="008E6BE7">
        <w:rPr>
          <w:rFonts w:ascii="Times New Roman" w:hAnsi="Times New Roman"/>
          <w:sz w:val="28"/>
          <w:szCs w:val="28"/>
        </w:rPr>
        <w:t xml:space="preserve"> </w:t>
      </w:r>
      <w:r w:rsidR="00147BB0" w:rsidRPr="008E6BE7">
        <w:rPr>
          <w:rFonts w:ascii="Times New Roman" w:hAnsi="Times New Roman"/>
          <w:iCs/>
          <w:spacing w:val="-4"/>
          <w:sz w:val="28"/>
          <w:szCs w:val="28"/>
          <w:lang w:eastAsia="lv-LV"/>
        </w:rPr>
        <w:t>Eiropas Reģionālās attīstības fonda</w:t>
      </w:r>
      <w:r w:rsidR="00076177" w:rsidRPr="008E6BE7">
        <w:rPr>
          <w:rFonts w:ascii="Times New Roman" w:hAnsi="Times New Roman"/>
          <w:sz w:val="28"/>
          <w:szCs w:val="28"/>
        </w:rPr>
        <w:t xml:space="preserve"> </w:t>
      </w:r>
      <w:r w:rsidR="00147BB0" w:rsidRPr="008E6BE7">
        <w:rPr>
          <w:rFonts w:ascii="Times New Roman" w:hAnsi="Times New Roman"/>
          <w:sz w:val="28"/>
          <w:szCs w:val="28"/>
        </w:rPr>
        <w:t>(</w:t>
      </w:r>
      <w:r w:rsidR="00966B1B" w:rsidRPr="008E6BE7">
        <w:rPr>
          <w:rFonts w:ascii="Times New Roman" w:hAnsi="Times New Roman"/>
          <w:sz w:val="28"/>
          <w:szCs w:val="28"/>
        </w:rPr>
        <w:t xml:space="preserve">turpmāk - </w:t>
      </w:r>
      <w:r w:rsidR="00076177" w:rsidRPr="008E6BE7">
        <w:rPr>
          <w:rFonts w:ascii="Times New Roman" w:hAnsi="Times New Roman"/>
          <w:sz w:val="28"/>
          <w:szCs w:val="28"/>
        </w:rPr>
        <w:t>ERAF</w:t>
      </w:r>
      <w:r w:rsidR="00147BB0" w:rsidRPr="008E6BE7">
        <w:rPr>
          <w:rFonts w:ascii="Times New Roman" w:hAnsi="Times New Roman"/>
          <w:sz w:val="28"/>
          <w:szCs w:val="28"/>
        </w:rPr>
        <w:t>)</w:t>
      </w:r>
      <w:r w:rsidR="00076177" w:rsidRPr="008E6BE7">
        <w:rPr>
          <w:rFonts w:ascii="Times New Roman" w:hAnsi="Times New Roman"/>
          <w:sz w:val="28"/>
          <w:szCs w:val="28"/>
        </w:rPr>
        <w:t xml:space="preserve"> līdzekļiem</w:t>
      </w:r>
      <w:r w:rsidR="00966B1B" w:rsidRPr="008E6BE7">
        <w:rPr>
          <w:rFonts w:ascii="Times New Roman" w:hAnsi="Times New Roman"/>
          <w:sz w:val="28"/>
          <w:szCs w:val="28"/>
        </w:rPr>
        <w:t xml:space="preserve"> (turpmāk - PII)</w:t>
      </w:r>
      <w:r w:rsidR="00076177" w:rsidRPr="008E6BE7">
        <w:rPr>
          <w:rFonts w:ascii="Times New Roman" w:hAnsi="Times New Roman"/>
          <w:sz w:val="28"/>
          <w:szCs w:val="28"/>
        </w:rPr>
        <w:t xml:space="preserve">, un profesionālās izglītības kompetences centros </w:t>
      </w:r>
      <w:r w:rsidR="00076300" w:rsidRPr="008E6BE7">
        <w:rPr>
          <w:rFonts w:ascii="Times New Roman" w:hAnsi="Times New Roman"/>
          <w:sz w:val="28"/>
          <w:szCs w:val="28"/>
        </w:rPr>
        <w:t xml:space="preserve">(turpmāk – PIKC) </w:t>
      </w:r>
      <w:r w:rsidR="00076177" w:rsidRPr="008E6BE7">
        <w:rPr>
          <w:rFonts w:ascii="Times New Roman" w:hAnsi="Times New Roman"/>
          <w:sz w:val="28"/>
          <w:szCs w:val="28"/>
        </w:rPr>
        <w:t>noteiktās profesionālās tālākizglītības programmās.</w:t>
      </w:r>
    </w:p>
    <w:p w:rsidR="0067363D" w:rsidRPr="0067363D" w:rsidRDefault="004B54E5" w:rsidP="0067363D">
      <w:pPr>
        <w:spacing w:after="0" w:line="240" w:lineRule="auto"/>
        <w:ind w:firstLine="720"/>
        <w:jc w:val="both"/>
        <w:rPr>
          <w:rFonts w:ascii="Times New Roman" w:hAnsi="Times New Roman"/>
          <w:sz w:val="28"/>
          <w:szCs w:val="28"/>
        </w:rPr>
      </w:pPr>
      <w:r w:rsidRPr="008E6BE7">
        <w:rPr>
          <w:rFonts w:ascii="Times New Roman" w:hAnsi="Times New Roman"/>
          <w:sz w:val="28"/>
          <w:szCs w:val="28"/>
        </w:rPr>
        <w:t>I</w:t>
      </w:r>
      <w:r w:rsidR="005060D7" w:rsidRPr="008E6BE7">
        <w:rPr>
          <w:rFonts w:ascii="Times New Roman" w:hAnsi="Times New Roman"/>
          <w:sz w:val="28"/>
          <w:szCs w:val="28"/>
        </w:rPr>
        <w:t xml:space="preserve">nformatīvā ziņojuma </w:t>
      </w:r>
      <w:r w:rsidR="005060D7" w:rsidRPr="008E6BE7">
        <w:rPr>
          <w:rFonts w:ascii="Times New Roman" w:hAnsi="Times New Roman"/>
          <w:b/>
          <w:sz w:val="28"/>
          <w:szCs w:val="28"/>
        </w:rPr>
        <w:t xml:space="preserve">mērķis </w:t>
      </w:r>
      <w:r w:rsidR="005060D7" w:rsidRPr="008E6BE7">
        <w:rPr>
          <w:rFonts w:ascii="Times New Roman" w:hAnsi="Times New Roman"/>
          <w:sz w:val="28"/>
          <w:szCs w:val="28"/>
        </w:rPr>
        <w:t>ir</w:t>
      </w:r>
      <w:r w:rsidR="00C62322" w:rsidRPr="008E6BE7">
        <w:rPr>
          <w:rFonts w:ascii="Times New Roman" w:hAnsi="Times New Roman"/>
          <w:sz w:val="28"/>
          <w:szCs w:val="28"/>
        </w:rPr>
        <w:t xml:space="preserve"> </w:t>
      </w:r>
      <w:r w:rsidR="0067363D">
        <w:rPr>
          <w:rFonts w:ascii="Times New Roman" w:hAnsi="Times New Roman"/>
          <w:sz w:val="28"/>
          <w:szCs w:val="28"/>
        </w:rPr>
        <w:t xml:space="preserve">noteikt </w:t>
      </w:r>
      <w:r w:rsidR="0067363D" w:rsidRPr="0067363D">
        <w:rPr>
          <w:rFonts w:ascii="Times New Roman" w:hAnsi="Times New Roman"/>
          <w:sz w:val="28"/>
          <w:szCs w:val="28"/>
        </w:rPr>
        <w:t>nepieciešamās darbības turpmākajā Nodarbinātības valsts aģentūras (</w:t>
      </w:r>
      <w:r w:rsidR="0067363D">
        <w:rPr>
          <w:rFonts w:ascii="Times New Roman" w:hAnsi="Times New Roman"/>
          <w:sz w:val="28"/>
          <w:szCs w:val="28"/>
        </w:rPr>
        <w:t xml:space="preserve">turpmāk - </w:t>
      </w:r>
      <w:r w:rsidR="0067363D" w:rsidRPr="0067363D">
        <w:rPr>
          <w:rFonts w:ascii="Times New Roman" w:hAnsi="Times New Roman"/>
          <w:sz w:val="28"/>
          <w:szCs w:val="28"/>
        </w:rPr>
        <w:t>NVA) klientu profesionālās tā</w:t>
      </w:r>
      <w:r w:rsidR="0067363D">
        <w:rPr>
          <w:rFonts w:ascii="Times New Roman" w:hAnsi="Times New Roman"/>
          <w:sz w:val="28"/>
          <w:szCs w:val="28"/>
        </w:rPr>
        <w:t xml:space="preserve">lākizglītības procesa plānošanā </w:t>
      </w:r>
      <w:r w:rsidR="0067363D" w:rsidRPr="008E6BE7">
        <w:rPr>
          <w:rFonts w:ascii="Times New Roman" w:hAnsi="Times New Roman"/>
          <w:sz w:val="28"/>
          <w:szCs w:val="28"/>
        </w:rPr>
        <w:t>sadarbībā ar PII un PIKC.</w:t>
      </w:r>
    </w:p>
    <w:p w:rsidR="0067363D" w:rsidRPr="008E6BE7" w:rsidRDefault="0067363D" w:rsidP="00CE7F2B">
      <w:pPr>
        <w:spacing w:after="0" w:line="240" w:lineRule="auto"/>
        <w:ind w:firstLine="720"/>
        <w:jc w:val="both"/>
        <w:rPr>
          <w:rFonts w:ascii="Times New Roman" w:hAnsi="Times New Roman"/>
          <w:sz w:val="28"/>
          <w:szCs w:val="28"/>
        </w:rPr>
      </w:pPr>
    </w:p>
    <w:p w:rsidR="00831FE1" w:rsidRPr="008E6BE7" w:rsidRDefault="00831FE1">
      <w:pPr>
        <w:spacing w:after="0" w:line="240" w:lineRule="auto"/>
        <w:rPr>
          <w:rFonts w:ascii="Times New Roman" w:hAnsi="Times New Roman"/>
          <w:b/>
          <w:bCs/>
          <w:kern w:val="32"/>
          <w:sz w:val="28"/>
          <w:szCs w:val="28"/>
        </w:rPr>
      </w:pPr>
      <w:bookmarkStart w:id="1" w:name="_Toc411246699"/>
    </w:p>
    <w:p w:rsidR="005060D7" w:rsidRPr="008E6BE7" w:rsidRDefault="005060D7" w:rsidP="00CE7F2B">
      <w:pPr>
        <w:pStyle w:val="Heading1"/>
        <w:spacing w:before="0" w:after="0"/>
        <w:jc w:val="center"/>
        <w:rPr>
          <w:rFonts w:ascii="Times New Roman" w:hAnsi="Times New Roman"/>
          <w:sz w:val="28"/>
          <w:szCs w:val="28"/>
        </w:rPr>
      </w:pPr>
      <w:r w:rsidRPr="008E6BE7">
        <w:rPr>
          <w:rFonts w:ascii="Times New Roman" w:hAnsi="Times New Roman"/>
          <w:sz w:val="28"/>
          <w:szCs w:val="28"/>
        </w:rPr>
        <w:t>2. Situācijas apraksts</w:t>
      </w:r>
      <w:bookmarkEnd w:id="1"/>
    </w:p>
    <w:p w:rsidR="000634B6" w:rsidRPr="008E6BE7" w:rsidRDefault="000634B6" w:rsidP="00CE7F2B">
      <w:pPr>
        <w:pStyle w:val="ListParagraph"/>
        <w:ind w:left="0" w:firstLine="436"/>
        <w:jc w:val="both"/>
        <w:rPr>
          <w:rFonts w:ascii="Times New Roman" w:hAnsi="Times New Roman" w:cs="Times New Roman"/>
          <w:bCs/>
          <w:iCs/>
          <w:spacing w:val="-4"/>
          <w:sz w:val="28"/>
          <w:szCs w:val="28"/>
        </w:rPr>
      </w:pPr>
    </w:p>
    <w:p w:rsidR="00D269F2" w:rsidRPr="008E6BE7" w:rsidRDefault="00017153" w:rsidP="00D269F2">
      <w:pPr>
        <w:spacing w:after="0" w:line="240" w:lineRule="auto"/>
        <w:ind w:firstLine="720"/>
        <w:jc w:val="both"/>
        <w:rPr>
          <w:rFonts w:ascii="Times New Roman" w:hAnsi="Times New Roman"/>
          <w:sz w:val="28"/>
          <w:szCs w:val="28"/>
        </w:rPr>
      </w:pPr>
      <w:r w:rsidRPr="008E6BE7">
        <w:rPr>
          <w:rFonts w:ascii="Times New Roman" w:hAnsi="Times New Roman"/>
          <w:sz w:val="28"/>
          <w:szCs w:val="28"/>
        </w:rPr>
        <w:t>Veicinot izglītības infrastruktūrā ieguldīto ERAF finanšu līdzekļu izmantošanu, vienlaikus nodrošinot kvalitatīva izglītības pakalpojuma sniegšanu bezdarbniekiem, ka arī motivējot izglītības iestādes nodrošināt augsta</w:t>
      </w:r>
      <w:r w:rsidR="00597AC7" w:rsidRPr="008E6BE7">
        <w:rPr>
          <w:rFonts w:ascii="Times New Roman" w:hAnsi="Times New Roman"/>
          <w:sz w:val="28"/>
          <w:szCs w:val="28"/>
        </w:rPr>
        <w:t xml:space="preserve">s kvalitātes </w:t>
      </w:r>
      <w:r w:rsidR="00CE163A">
        <w:rPr>
          <w:rFonts w:ascii="Times New Roman" w:hAnsi="Times New Roman"/>
          <w:sz w:val="28"/>
          <w:szCs w:val="28"/>
        </w:rPr>
        <w:t>izglītības</w:t>
      </w:r>
      <w:r w:rsidR="00597AC7" w:rsidRPr="008E6BE7">
        <w:rPr>
          <w:rFonts w:ascii="Times New Roman" w:hAnsi="Times New Roman"/>
          <w:sz w:val="28"/>
          <w:szCs w:val="28"/>
        </w:rPr>
        <w:t xml:space="preserve"> procesu un </w:t>
      </w:r>
      <w:r w:rsidR="009E7472" w:rsidRPr="008E6BE7">
        <w:rPr>
          <w:rFonts w:ascii="Times New Roman" w:hAnsi="Times New Roman"/>
          <w:sz w:val="28"/>
          <w:szCs w:val="28"/>
        </w:rPr>
        <w:t xml:space="preserve">izmantojot </w:t>
      </w:r>
      <w:r w:rsidR="00597AC7" w:rsidRPr="008E6BE7">
        <w:rPr>
          <w:rFonts w:ascii="Times New Roman" w:hAnsi="Times New Roman"/>
          <w:sz w:val="28"/>
          <w:szCs w:val="28"/>
        </w:rPr>
        <w:t xml:space="preserve">Pasaules Bankas </w:t>
      </w:r>
      <w:r w:rsidR="00B00FF8" w:rsidRPr="008E6BE7">
        <w:rPr>
          <w:rFonts w:ascii="Times New Roman" w:hAnsi="Times New Roman"/>
          <w:sz w:val="28"/>
          <w:szCs w:val="28"/>
        </w:rPr>
        <w:t xml:space="preserve">(turpmāk – PB) </w:t>
      </w:r>
      <w:r w:rsidR="00597AC7" w:rsidRPr="008E6BE7">
        <w:rPr>
          <w:rFonts w:ascii="Times New Roman" w:hAnsi="Times New Roman"/>
          <w:sz w:val="28"/>
          <w:szCs w:val="28"/>
        </w:rPr>
        <w:t>veiktā pētījuma "Latvija: kurš ir bezdarbnieks, ekonomiski neaktīvais un trūcīgais?" rezultātus par bezdarb</w:t>
      </w:r>
      <w:r w:rsidR="009E7472" w:rsidRPr="008E6BE7">
        <w:rPr>
          <w:rFonts w:ascii="Times New Roman" w:hAnsi="Times New Roman"/>
          <w:sz w:val="28"/>
          <w:szCs w:val="28"/>
        </w:rPr>
        <w:t xml:space="preserve">nieku </w:t>
      </w:r>
      <w:r w:rsidR="00CE163A">
        <w:rPr>
          <w:rFonts w:ascii="Times New Roman" w:hAnsi="Times New Roman"/>
          <w:sz w:val="28"/>
          <w:szCs w:val="28"/>
        </w:rPr>
        <w:t>izglītības</w:t>
      </w:r>
      <w:r w:rsidR="009E7472" w:rsidRPr="008E6BE7">
        <w:rPr>
          <w:rFonts w:ascii="Times New Roman" w:hAnsi="Times New Roman"/>
          <w:sz w:val="28"/>
          <w:szCs w:val="28"/>
        </w:rPr>
        <w:t xml:space="preserve"> pasākumu analīzi, </w:t>
      </w:r>
      <w:r w:rsidR="001F3B84">
        <w:rPr>
          <w:rFonts w:ascii="Times New Roman" w:hAnsi="Times New Roman"/>
          <w:sz w:val="28"/>
          <w:szCs w:val="28"/>
        </w:rPr>
        <w:t>NVA</w:t>
      </w:r>
      <w:r w:rsidR="00966B1B" w:rsidRPr="008E6BE7">
        <w:rPr>
          <w:rFonts w:ascii="Times New Roman" w:hAnsi="Times New Roman"/>
          <w:sz w:val="28"/>
          <w:szCs w:val="28"/>
        </w:rPr>
        <w:t xml:space="preserve"> sadarbībā ar </w:t>
      </w:r>
      <w:r w:rsidRPr="008E6BE7">
        <w:rPr>
          <w:rFonts w:ascii="Times New Roman" w:hAnsi="Times New Roman"/>
          <w:sz w:val="28"/>
          <w:szCs w:val="28"/>
        </w:rPr>
        <w:t>PII</w:t>
      </w:r>
      <w:r w:rsidR="00C802F6" w:rsidRPr="008E6BE7">
        <w:rPr>
          <w:rFonts w:ascii="Times New Roman" w:hAnsi="Times New Roman"/>
          <w:sz w:val="28"/>
          <w:szCs w:val="28"/>
        </w:rPr>
        <w:t xml:space="preserve"> laikā no 2014.</w:t>
      </w:r>
      <w:r w:rsidR="00D269F2" w:rsidRPr="008E6BE7">
        <w:rPr>
          <w:rFonts w:ascii="Times New Roman" w:hAnsi="Times New Roman"/>
          <w:sz w:val="28"/>
          <w:szCs w:val="28"/>
        </w:rPr>
        <w:t> </w:t>
      </w:r>
      <w:r w:rsidR="00C802F6" w:rsidRPr="008E6BE7">
        <w:rPr>
          <w:rFonts w:ascii="Times New Roman" w:hAnsi="Times New Roman"/>
          <w:sz w:val="28"/>
          <w:szCs w:val="28"/>
        </w:rPr>
        <w:t>gada 19.janvāra līdz 31. decembrim</w:t>
      </w:r>
      <w:r w:rsidR="00337F9E" w:rsidRPr="008E6BE7">
        <w:rPr>
          <w:rFonts w:ascii="Times New Roman" w:hAnsi="Times New Roman"/>
          <w:sz w:val="28"/>
          <w:szCs w:val="28"/>
        </w:rPr>
        <w:t xml:space="preserve"> īstenoja </w:t>
      </w:r>
      <w:proofErr w:type="spellStart"/>
      <w:r w:rsidR="00337F9E" w:rsidRPr="008E6BE7">
        <w:rPr>
          <w:rFonts w:ascii="Times New Roman" w:hAnsi="Times New Roman"/>
          <w:sz w:val="28"/>
          <w:szCs w:val="28"/>
        </w:rPr>
        <w:t>izmēģinājumprojekta</w:t>
      </w:r>
      <w:proofErr w:type="spellEnd"/>
      <w:r w:rsidR="00337F9E" w:rsidRPr="008E6BE7">
        <w:rPr>
          <w:rFonts w:ascii="Times New Roman" w:hAnsi="Times New Roman"/>
          <w:sz w:val="28"/>
          <w:szCs w:val="28"/>
        </w:rPr>
        <w:t xml:space="preserve"> pirmo </w:t>
      </w:r>
      <w:r w:rsidR="000C4FE2" w:rsidRPr="008E6BE7">
        <w:rPr>
          <w:rFonts w:ascii="Times New Roman" w:hAnsi="Times New Roman"/>
          <w:sz w:val="28"/>
          <w:szCs w:val="28"/>
        </w:rPr>
        <w:t>kārtu</w:t>
      </w:r>
      <w:r w:rsidR="00C802F6" w:rsidRPr="008E6BE7">
        <w:rPr>
          <w:rFonts w:ascii="Times New Roman" w:hAnsi="Times New Roman"/>
          <w:sz w:val="28"/>
          <w:szCs w:val="28"/>
        </w:rPr>
        <w:t>, lai aprobētu sadarbības modeli bezdarbnieku iesaistei pieprasītās profesionālās tālākizglītības programmās.</w:t>
      </w:r>
      <w:r w:rsidR="000C4FE2" w:rsidRPr="008E6BE7">
        <w:rPr>
          <w:rFonts w:ascii="Times New Roman" w:hAnsi="Times New Roman"/>
          <w:sz w:val="28"/>
          <w:szCs w:val="28"/>
        </w:rPr>
        <w:t xml:space="preserve"> </w:t>
      </w:r>
    </w:p>
    <w:p w:rsidR="00D33418" w:rsidRPr="008E6BE7" w:rsidRDefault="00C802F6" w:rsidP="00D269F2">
      <w:pPr>
        <w:spacing w:after="0" w:line="240" w:lineRule="auto"/>
        <w:ind w:firstLine="720"/>
        <w:jc w:val="both"/>
        <w:rPr>
          <w:rFonts w:ascii="Times New Roman" w:hAnsi="Times New Roman"/>
          <w:sz w:val="28"/>
          <w:szCs w:val="28"/>
        </w:rPr>
      </w:pPr>
      <w:r w:rsidRPr="008E6BE7">
        <w:rPr>
          <w:rFonts w:ascii="Times New Roman" w:hAnsi="Times New Roman"/>
          <w:sz w:val="28"/>
          <w:szCs w:val="28"/>
        </w:rPr>
        <w:t xml:space="preserve">Sākotnēji </w:t>
      </w:r>
      <w:proofErr w:type="spellStart"/>
      <w:r w:rsidRPr="008E6BE7">
        <w:rPr>
          <w:rFonts w:ascii="Times New Roman" w:hAnsi="Times New Roman"/>
          <w:sz w:val="28"/>
          <w:szCs w:val="28"/>
        </w:rPr>
        <w:t>izmēģinājumprojekts</w:t>
      </w:r>
      <w:proofErr w:type="spellEnd"/>
      <w:r w:rsidRPr="008E6BE7">
        <w:rPr>
          <w:rFonts w:ascii="Times New Roman" w:hAnsi="Times New Roman"/>
          <w:sz w:val="28"/>
          <w:szCs w:val="28"/>
        </w:rPr>
        <w:t xml:space="preserve"> paredzēja 200 bezdarbnieku pārkvalifikāciju, tomēr tālākizglītības prog</w:t>
      </w:r>
      <w:r w:rsidR="00D94C91">
        <w:rPr>
          <w:rFonts w:ascii="Times New Roman" w:hAnsi="Times New Roman"/>
          <w:sz w:val="28"/>
          <w:szCs w:val="28"/>
        </w:rPr>
        <w:t>rammu apguvē tika iesaistīti 164</w:t>
      </w:r>
      <w:r w:rsidRPr="008E6BE7">
        <w:rPr>
          <w:rFonts w:ascii="Times New Roman" w:hAnsi="Times New Roman"/>
          <w:sz w:val="28"/>
          <w:szCs w:val="28"/>
        </w:rPr>
        <w:t xml:space="preserve"> bezdarbnieki, no kuriem mācības</w:t>
      </w:r>
      <w:r w:rsidR="00D94C91">
        <w:rPr>
          <w:rFonts w:ascii="Times New Roman" w:hAnsi="Times New Roman"/>
          <w:sz w:val="28"/>
          <w:szCs w:val="28"/>
        </w:rPr>
        <w:t xml:space="preserve"> pabeidza 125</w:t>
      </w:r>
      <w:r w:rsidRPr="008E6BE7">
        <w:rPr>
          <w:rFonts w:ascii="Times New Roman" w:hAnsi="Times New Roman"/>
          <w:sz w:val="28"/>
          <w:szCs w:val="28"/>
        </w:rPr>
        <w:t xml:space="preserve"> bezdarbni</w:t>
      </w:r>
      <w:r w:rsidR="00CE163A">
        <w:rPr>
          <w:rFonts w:ascii="Times New Roman" w:hAnsi="Times New Roman"/>
          <w:sz w:val="28"/>
          <w:szCs w:val="28"/>
        </w:rPr>
        <w:t>eki.  Bezdarbnieki tika izglītoti</w:t>
      </w:r>
      <w:r w:rsidRPr="008E6BE7">
        <w:rPr>
          <w:rFonts w:ascii="Times New Roman" w:hAnsi="Times New Roman"/>
          <w:sz w:val="28"/>
          <w:szCs w:val="28"/>
        </w:rPr>
        <w:t xml:space="preserve"> tādās profesijās kā metinātājs, autoatslēdznieks, datorsistēmu tehniķis, maiznieks, galdnieka palīgs un citās.</w:t>
      </w:r>
      <w:r w:rsidR="000C4FE2" w:rsidRPr="008E6BE7">
        <w:rPr>
          <w:rFonts w:ascii="Times New Roman" w:hAnsi="Times New Roman"/>
          <w:sz w:val="28"/>
          <w:szCs w:val="28"/>
        </w:rPr>
        <w:t xml:space="preserve"> </w:t>
      </w:r>
      <w:proofErr w:type="spellStart"/>
      <w:r w:rsidR="00337F9E" w:rsidRPr="008E6BE7">
        <w:rPr>
          <w:rFonts w:ascii="Times New Roman" w:hAnsi="Times New Roman"/>
          <w:sz w:val="28"/>
          <w:szCs w:val="28"/>
        </w:rPr>
        <w:t>Izmēģinājumprojekta</w:t>
      </w:r>
      <w:proofErr w:type="spellEnd"/>
      <w:r w:rsidR="00337F9E" w:rsidRPr="008E6BE7">
        <w:rPr>
          <w:rFonts w:ascii="Times New Roman" w:hAnsi="Times New Roman"/>
          <w:sz w:val="28"/>
          <w:szCs w:val="28"/>
        </w:rPr>
        <w:t xml:space="preserve"> pirmā </w:t>
      </w:r>
      <w:r w:rsidR="00D33418" w:rsidRPr="008E6BE7">
        <w:rPr>
          <w:rFonts w:ascii="Times New Roman" w:hAnsi="Times New Roman"/>
          <w:sz w:val="28"/>
          <w:szCs w:val="28"/>
        </w:rPr>
        <w:t xml:space="preserve">kārta tika īstenota vairākās PII, </w:t>
      </w:r>
      <w:r w:rsidR="00EE533F" w:rsidRPr="008E6BE7">
        <w:rPr>
          <w:rFonts w:ascii="Times New Roman" w:hAnsi="Times New Roman"/>
          <w:sz w:val="28"/>
          <w:szCs w:val="28"/>
        </w:rPr>
        <w:t xml:space="preserve">sākotnēji paredzot </w:t>
      </w:r>
      <w:r w:rsidR="00D33418" w:rsidRPr="008E6BE7">
        <w:rPr>
          <w:rFonts w:ascii="Times New Roman" w:hAnsi="Times New Roman"/>
          <w:sz w:val="28"/>
          <w:szCs w:val="28"/>
        </w:rPr>
        <w:t>arī reģionālo pārklājumu.</w:t>
      </w:r>
    </w:p>
    <w:p w:rsidR="00C17881" w:rsidRPr="008E6BE7" w:rsidRDefault="00C802F6" w:rsidP="0094026C">
      <w:pPr>
        <w:spacing w:after="0" w:line="240" w:lineRule="auto"/>
        <w:ind w:firstLine="720"/>
        <w:jc w:val="both"/>
        <w:rPr>
          <w:rFonts w:ascii="Times New Roman" w:hAnsi="Times New Roman"/>
          <w:sz w:val="28"/>
          <w:szCs w:val="28"/>
        </w:rPr>
      </w:pPr>
      <w:r w:rsidRPr="008E6BE7">
        <w:rPr>
          <w:rFonts w:ascii="Times New Roman" w:hAnsi="Times New Roman"/>
          <w:sz w:val="28"/>
          <w:szCs w:val="28"/>
        </w:rPr>
        <w:lastRenderedPageBreak/>
        <w:t xml:space="preserve">Analizējot </w:t>
      </w:r>
      <w:proofErr w:type="spellStart"/>
      <w:r w:rsidRPr="008E6BE7">
        <w:rPr>
          <w:rFonts w:ascii="Times New Roman" w:hAnsi="Times New Roman"/>
          <w:sz w:val="28"/>
          <w:szCs w:val="28"/>
        </w:rPr>
        <w:t>izmēģinājumprojekta</w:t>
      </w:r>
      <w:proofErr w:type="spellEnd"/>
      <w:r w:rsidRPr="008E6BE7">
        <w:rPr>
          <w:rFonts w:ascii="Times New Roman" w:hAnsi="Times New Roman"/>
          <w:sz w:val="28"/>
          <w:szCs w:val="28"/>
        </w:rPr>
        <w:t xml:space="preserve"> rezultātus, tika konstatētas atsevišķas problēmas attiecībā uz bezdarbnieku iesaisti, piemēram, </w:t>
      </w:r>
      <w:r w:rsidR="00017FE3" w:rsidRPr="008E6BE7">
        <w:rPr>
          <w:rFonts w:ascii="Times New Roman" w:hAnsi="Times New Roman"/>
          <w:sz w:val="28"/>
          <w:szCs w:val="28"/>
        </w:rPr>
        <w:t xml:space="preserve">sarežģījumi ar mācību grupu komplektēšanu; bezdarbnieku </w:t>
      </w:r>
      <w:r w:rsidR="00CE163A">
        <w:rPr>
          <w:rFonts w:ascii="Times New Roman" w:hAnsi="Times New Roman"/>
          <w:sz w:val="28"/>
          <w:szCs w:val="28"/>
        </w:rPr>
        <w:t>nevēlēšanās doties uz izglītības apguves vietām</w:t>
      </w:r>
      <w:r w:rsidRPr="008E6BE7">
        <w:rPr>
          <w:rFonts w:ascii="Times New Roman" w:hAnsi="Times New Roman"/>
          <w:sz w:val="28"/>
          <w:szCs w:val="28"/>
        </w:rPr>
        <w:t>, ja izglītības iestāde nebija tuvu dzīves vietai; skolu nespēja nodrošināt nepārtrauktu tālākizglītības pro</w:t>
      </w:r>
      <w:r w:rsidR="00017FE3" w:rsidRPr="008E6BE7">
        <w:rPr>
          <w:rFonts w:ascii="Times New Roman" w:hAnsi="Times New Roman"/>
          <w:sz w:val="28"/>
          <w:szCs w:val="28"/>
        </w:rPr>
        <w:t xml:space="preserve">grammu apguvi visa gada garumā; </w:t>
      </w:r>
      <w:r w:rsidR="004869AA" w:rsidRPr="008E6BE7">
        <w:rPr>
          <w:rFonts w:ascii="Times New Roman" w:hAnsi="Times New Roman"/>
          <w:sz w:val="28"/>
          <w:szCs w:val="28"/>
        </w:rPr>
        <w:t xml:space="preserve">bezdarbnieku vēlmju trūkums attiecībā uz </w:t>
      </w:r>
      <w:proofErr w:type="spellStart"/>
      <w:r w:rsidR="004869AA" w:rsidRPr="008E6BE7">
        <w:rPr>
          <w:rFonts w:ascii="Times New Roman" w:hAnsi="Times New Roman"/>
          <w:sz w:val="28"/>
          <w:szCs w:val="28"/>
        </w:rPr>
        <w:t>izmēģinājumprojektā</w:t>
      </w:r>
      <w:proofErr w:type="spellEnd"/>
      <w:r w:rsidR="004869AA" w:rsidRPr="008E6BE7">
        <w:rPr>
          <w:rFonts w:ascii="Times New Roman" w:hAnsi="Times New Roman"/>
          <w:sz w:val="28"/>
          <w:szCs w:val="28"/>
        </w:rPr>
        <w:t xml:space="preserve"> pieejamajām izglītības programmām; kopējo</w:t>
      </w:r>
      <w:r w:rsidR="001466F7" w:rsidRPr="008E6BE7">
        <w:rPr>
          <w:rFonts w:ascii="Times New Roman" w:hAnsi="Times New Roman"/>
          <w:sz w:val="28"/>
          <w:szCs w:val="28"/>
        </w:rPr>
        <w:t xml:space="preserve"> izglītības iestāžu</w:t>
      </w:r>
      <w:r w:rsidR="004869AA" w:rsidRPr="008E6BE7">
        <w:rPr>
          <w:rFonts w:ascii="Times New Roman" w:hAnsi="Times New Roman"/>
          <w:sz w:val="28"/>
          <w:szCs w:val="28"/>
        </w:rPr>
        <w:t xml:space="preserve"> neieinteresētību</w:t>
      </w:r>
      <w:r w:rsidR="00017FE3" w:rsidRPr="008E6BE7">
        <w:rPr>
          <w:rFonts w:ascii="Times New Roman" w:hAnsi="Times New Roman"/>
          <w:sz w:val="28"/>
          <w:szCs w:val="28"/>
        </w:rPr>
        <w:t xml:space="preserve"> </w:t>
      </w:r>
      <w:r w:rsidR="004869AA" w:rsidRPr="008E6BE7">
        <w:rPr>
          <w:rFonts w:ascii="Times New Roman" w:hAnsi="Times New Roman"/>
          <w:sz w:val="28"/>
          <w:szCs w:val="28"/>
        </w:rPr>
        <w:t xml:space="preserve">iesaistīties </w:t>
      </w:r>
      <w:proofErr w:type="spellStart"/>
      <w:r w:rsidR="004869AA" w:rsidRPr="008E6BE7">
        <w:rPr>
          <w:rFonts w:ascii="Times New Roman" w:hAnsi="Times New Roman"/>
          <w:sz w:val="28"/>
          <w:szCs w:val="28"/>
        </w:rPr>
        <w:t>izmēģinājumprojektā</w:t>
      </w:r>
      <w:proofErr w:type="spellEnd"/>
      <w:r w:rsidR="00EC4B30" w:rsidRPr="008E6BE7">
        <w:rPr>
          <w:rFonts w:ascii="Times New Roman" w:hAnsi="Times New Roman"/>
          <w:sz w:val="28"/>
          <w:szCs w:val="28"/>
        </w:rPr>
        <w:t xml:space="preserve">, </w:t>
      </w:r>
      <w:r w:rsidR="00A73EF4" w:rsidRPr="008E6BE7">
        <w:rPr>
          <w:rFonts w:ascii="Times New Roman" w:hAnsi="Times New Roman"/>
          <w:sz w:val="28"/>
          <w:szCs w:val="28"/>
        </w:rPr>
        <w:t>u.c. ar norēķinu kārtību saistītas problēmas.</w:t>
      </w:r>
    </w:p>
    <w:p w:rsidR="00BD69D7" w:rsidRPr="008E6BE7" w:rsidRDefault="00C17881" w:rsidP="008248E1">
      <w:pPr>
        <w:pStyle w:val="ListParagraph"/>
        <w:ind w:left="0" w:firstLine="436"/>
        <w:jc w:val="both"/>
        <w:rPr>
          <w:rFonts w:ascii="Times New Roman" w:hAnsi="Times New Roman" w:cs="Times New Roman"/>
          <w:iCs/>
          <w:spacing w:val="-4"/>
          <w:sz w:val="28"/>
          <w:szCs w:val="28"/>
        </w:rPr>
      </w:pPr>
      <w:r w:rsidRPr="008E6BE7">
        <w:rPr>
          <w:rFonts w:ascii="Times New Roman" w:hAnsi="Times New Roman" w:cs="Times New Roman"/>
          <w:sz w:val="28"/>
          <w:szCs w:val="28"/>
          <w:lang w:eastAsia="en-US"/>
        </w:rPr>
        <w:t>Lai turpinātu un pilnveidotu NVA sad</w:t>
      </w:r>
      <w:r w:rsidR="0094026C" w:rsidRPr="008E6BE7">
        <w:rPr>
          <w:rFonts w:ascii="Times New Roman" w:hAnsi="Times New Roman" w:cs="Times New Roman"/>
          <w:sz w:val="28"/>
          <w:szCs w:val="28"/>
          <w:lang w:eastAsia="en-US"/>
        </w:rPr>
        <w:t>arbību ar PII</w:t>
      </w:r>
      <w:r w:rsidRPr="008E6BE7">
        <w:rPr>
          <w:rFonts w:ascii="Times New Roman" w:hAnsi="Times New Roman" w:cs="Times New Roman"/>
          <w:sz w:val="28"/>
          <w:szCs w:val="28"/>
          <w:lang w:eastAsia="en-US"/>
        </w:rPr>
        <w:t xml:space="preserve">, </w:t>
      </w:r>
      <w:r w:rsidR="00DD4B20" w:rsidRPr="008E6BE7">
        <w:rPr>
          <w:rFonts w:ascii="Times New Roman" w:hAnsi="Times New Roman" w:cs="Times New Roman"/>
          <w:sz w:val="28"/>
          <w:szCs w:val="28"/>
          <w:lang w:eastAsia="en-US"/>
        </w:rPr>
        <w:t xml:space="preserve">pamatojoties uz </w:t>
      </w:r>
      <w:proofErr w:type="spellStart"/>
      <w:r w:rsidR="00DD4B20" w:rsidRPr="008E6BE7">
        <w:rPr>
          <w:rFonts w:ascii="Times New Roman" w:hAnsi="Times New Roman" w:cs="Times New Roman"/>
          <w:sz w:val="28"/>
          <w:szCs w:val="28"/>
          <w:lang w:eastAsia="en-US"/>
        </w:rPr>
        <w:t>izmē</w:t>
      </w:r>
      <w:r w:rsidR="001F3B84">
        <w:rPr>
          <w:rFonts w:ascii="Times New Roman" w:hAnsi="Times New Roman" w:cs="Times New Roman"/>
          <w:sz w:val="28"/>
          <w:szCs w:val="28"/>
          <w:lang w:eastAsia="en-US"/>
        </w:rPr>
        <w:t>ģi</w:t>
      </w:r>
      <w:r w:rsidR="00DD4B20" w:rsidRPr="008E6BE7">
        <w:rPr>
          <w:rFonts w:ascii="Times New Roman" w:hAnsi="Times New Roman" w:cs="Times New Roman"/>
          <w:sz w:val="28"/>
          <w:szCs w:val="28"/>
          <w:lang w:eastAsia="en-US"/>
        </w:rPr>
        <w:t>nājumprojekta</w:t>
      </w:r>
      <w:proofErr w:type="spellEnd"/>
      <w:r w:rsidR="00DD4B20" w:rsidRPr="008E6BE7">
        <w:rPr>
          <w:rFonts w:ascii="Times New Roman" w:hAnsi="Times New Roman" w:cs="Times New Roman"/>
          <w:sz w:val="28"/>
          <w:szCs w:val="28"/>
          <w:lang w:eastAsia="en-US"/>
        </w:rPr>
        <w:t xml:space="preserve"> pirmās kārtas rezultātiem, </w:t>
      </w:r>
      <w:r w:rsidR="008248E1" w:rsidRPr="008E6BE7">
        <w:rPr>
          <w:rFonts w:ascii="Times New Roman" w:hAnsi="Times New Roman" w:cs="Times New Roman"/>
          <w:sz w:val="28"/>
          <w:szCs w:val="28"/>
          <w:lang w:eastAsia="en-US"/>
        </w:rPr>
        <w:t xml:space="preserve">MK ar </w:t>
      </w:r>
      <w:r w:rsidR="008248E1" w:rsidRPr="008E6BE7">
        <w:rPr>
          <w:rFonts w:ascii="Times New Roman" w:hAnsi="Times New Roman" w:cs="Times New Roman"/>
          <w:iCs/>
          <w:spacing w:val="-4"/>
          <w:sz w:val="28"/>
          <w:szCs w:val="28"/>
        </w:rPr>
        <w:t>2015</w:t>
      </w:r>
      <w:r w:rsidR="008248E1" w:rsidRPr="008E6BE7">
        <w:rPr>
          <w:rFonts w:ascii="Times New Roman" w:hAnsi="Times New Roman" w:cs="Times New Roman"/>
          <w:sz w:val="28"/>
          <w:szCs w:val="28"/>
          <w:lang w:eastAsia="en-US"/>
        </w:rPr>
        <w:t xml:space="preserve">. gada 14. aprīļa sēdes </w:t>
      </w:r>
      <w:proofErr w:type="spellStart"/>
      <w:r w:rsidR="008248E1" w:rsidRPr="008E6BE7">
        <w:rPr>
          <w:rFonts w:ascii="Times New Roman" w:hAnsi="Times New Roman" w:cs="Times New Roman"/>
          <w:sz w:val="28"/>
          <w:szCs w:val="28"/>
          <w:lang w:eastAsia="en-US"/>
        </w:rPr>
        <w:t>protokollēmumu</w:t>
      </w:r>
      <w:proofErr w:type="spellEnd"/>
      <w:r w:rsidR="008248E1" w:rsidRPr="008E6BE7">
        <w:rPr>
          <w:rFonts w:ascii="Times New Roman" w:hAnsi="Times New Roman" w:cs="Times New Roman"/>
          <w:sz w:val="28"/>
          <w:szCs w:val="28"/>
          <w:lang w:eastAsia="en-US"/>
        </w:rPr>
        <w:t xml:space="preserve"> (prot. Nr. 20 46.§)</w:t>
      </w:r>
      <w:r w:rsidR="00C84E7B" w:rsidRPr="008E6BE7">
        <w:rPr>
          <w:rFonts w:ascii="Times New Roman" w:hAnsi="Times New Roman" w:cs="Times New Roman"/>
          <w:sz w:val="28"/>
          <w:szCs w:val="28"/>
          <w:lang w:eastAsia="en-US"/>
        </w:rPr>
        <w:t xml:space="preserve"> </w:t>
      </w:r>
      <w:r w:rsidR="008248E1" w:rsidRPr="008E6BE7">
        <w:rPr>
          <w:rFonts w:ascii="Times New Roman" w:hAnsi="Times New Roman" w:cs="Times New Roman"/>
          <w:sz w:val="28"/>
          <w:szCs w:val="28"/>
          <w:lang w:eastAsia="en-US"/>
        </w:rPr>
        <w:t>lēma par nepieciešamīb</w:t>
      </w:r>
      <w:r w:rsidR="00EE533F" w:rsidRPr="008E6BE7">
        <w:rPr>
          <w:rFonts w:ascii="Times New Roman" w:hAnsi="Times New Roman" w:cs="Times New Roman"/>
          <w:sz w:val="28"/>
          <w:szCs w:val="28"/>
          <w:lang w:eastAsia="en-US"/>
        </w:rPr>
        <w:t xml:space="preserve">u īstenot </w:t>
      </w:r>
      <w:proofErr w:type="spellStart"/>
      <w:r w:rsidR="00EE533F" w:rsidRPr="008E6BE7">
        <w:rPr>
          <w:rFonts w:ascii="Times New Roman" w:hAnsi="Times New Roman" w:cs="Times New Roman"/>
          <w:sz w:val="28"/>
          <w:szCs w:val="28"/>
          <w:lang w:eastAsia="en-US"/>
        </w:rPr>
        <w:t>izmēģinājumprojekta</w:t>
      </w:r>
      <w:proofErr w:type="spellEnd"/>
      <w:r w:rsidR="00EE533F" w:rsidRPr="008E6BE7">
        <w:rPr>
          <w:rFonts w:ascii="Times New Roman" w:hAnsi="Times New Roman" w:cs="Times New Roman"/>
          <w:sz w:val="28"/>
          <w:szCs w:val="28"/>
          <w:lang w:eastAsia="en-US"/>
        </w:rPr>
        <w:t xml:space="preserve"> otro </w:t>
      </w:r>
      <w:r w:rsidR="008248E1" w:rsidRPr="008E6BE7">
        <w:rPr>
          <w:rFonts w:ascii="Times New Roman" w:hAnsi="Times New Roman" w:cs="Times New Roman"/>
          <w:sz w:val="28"/>
          <w:szCs w:val="28"/>
          <w:lang w:eastAsia="en-US"/>
        </w:rPr>
        <w:t xml:space="preserve">kārtu. </w:t>
      </w:r>
    </w:p>
    <w:p w:rsidR="003D7265" w:rsidRPr="008E6BE7" w:rsidRDefault="00743070" w:rsidP="00743070">
      <w:pPr>
        <w:spacing w:after="0" w:line="240" w:lineRule="auto"/>
        <w:jc w:val="both"/>
        <w:rPr>
          <w:rFonts w:ascii="Times New Roman" w:hAnsi="Times New Roman"/>
          <w:b/>
          <w:bCs/>
          <w:iCs/>
          <w:spacing w:val="-4"/>
          <w:sz w:val="28"/>
          <w:szCs w:val="28"/>
          <w:lang w:eastAsia="lv-LV"/>
        </w:rPr>
      </w:pPr>
      <w:r w:rsidRPr="008E6BE7">
        <w:rPr>
          <w:rFonts w:ascii="Times New Roman" w:hAnsi="Times New Roman"/>
          <w:b/>
          <w:bCs/>
          <w:iCs/>
          <w:spacing w:val="-4"/>
          <w:sz w:val="28"/>
          <w:szCs w:val="28"/>
        </w:rPr>
        <w:tab/>
      </w:r>
      <w:r w:rsidR="000D2073" w:rsidRPr="008E6BE7">
        <w:rPr>
          <w:rFonts w:ascii="Times New Roman" w:hAnsi="Times New Roman"/>
          <w:b/>
          <w:bCs/>
          <w:iCs/>
          <w:spacing w:val="-4"/>
          <w:sz w:val="28"/>
          <w:szCs w:val="28"/>
        </w:rPr>
        <w:t xml:space="preserve">No </w:t>
      </w:r>
      <w:r w:rsidR="00EE533F" w:rsidRPr="008E6BE7">
        <w:rPr>
          <w:rFonts w:ascii="Times New Roman" w:hAnsi="Times New Roman"/>
          <w:b/>
          <w:bCs/>
          <w:iCs/>
          <w:spacing w:val="-4"/>
          <w:sz w:val="28"/>
          <w:szCs w:val="28"/>
        </w:rPr>
        <w:t>2015. gada 1</w:t>
      </w:r>
      <w:r w:rsidR="00152189" w:rsidRPr="008E6BE7">
        <w:rPr>
          <w:rFonts w:ascii="Times New Roman" w:hAnsi="Times New Roman"/>
          <w:b/>
          <w:bCs/>
          <w:iCs/>
          <w:spacing w:val="-4"/>
          <w:sz w:val="28"/>
          <w:szCs w:val="28"/>
        </w:rPr>
        <w:t>.</w:t>
      </w:r>
      <w:r w:rsidR="00EE533F" w:rsidRPr="008E6BE7">
        <w:rPr>
          <w:rFonts w:ascii="Times New Roman" w:hAnsi="Times New Roman"/>
          <w:b/>
          <w:bCs/>
          <w:iCs/>
          <w:spacing w:val="-4"/>
          <w:sz w:val="28"/>
          <w:szCs w:val="28"/>
        </w:rPr>
        <w:t>septembra</w:t>
      </w:r>
      <w:r w:rsidR="000D2073" w:rsidRPr="008E6BE7">
        <w:rPr>
          <w:rFonts w:ascii="Times New Roman" w:hAnsi="Times New Roman"/>
          <w:b/>
          <w:bCs/>
          <w:iCs/>
          <w:spacing w:val="-4"/>
          <w:sz w:val="28"/>
          <w:szCs w:val="28"/>
        </w:rPr>
        <w:t xml:space="preserve"> līdz </w:t>
      </w:r>
      <w:r w:rsidR="00B5634C" w:rsidRPr="008E6BE7">
        <w:rPr>
          <w:rFonts w:ascii="Times New Roman" w:hAnsi="Times New Roman"/>
          <w:b/>
          <w:bCs/>
          <w:iCs/>
          <w:spacing w:val="-4"/>
          <w:sz w:val="28"/>
          <w:szCs w:val="28"/>
        </w:rPr>
        <w:t xml:space="preserve">2016. gada </w:t>
      </w:r>
      <w:r w:rsidR="00BA7B3D" w:rsidRPr="008E6BE7">
        <w:rPr>
          <w:rFonts w:ascii="Times New Roman" w:hAnsi="Times New Roman"/>
          <w:b/>
          <w:bCs/>
          <w:iCs/>
          <w:spacing w:val="-4"/>
          <w:sz w:val="28"/>
          <w:szCs w:val="28"/>
        </w:rPr>
        <w:t>1.aprīlim</w:t>
      </w:r>
      <w:r w:rsidR="00B5634C" w:rsidRPr="008E6BE7">
        <w:rPr>
          <w:rFonts w:ascii="Times New Roman" w:hAnsi="Times New Roman"/>
          <w:b/>
          <w:bCs/>
          <w:iCs/>
          <w:spacing w:val="-4"/>
          <w:sz w:val="28"/>
          <w:szCs w:val="28"/>
        </w:rPr>
        <w:t xml:space="preserve"> </w:t>
      </w:r>
      <w:r w:rsidR="00B5634C" w:rsidRPr="008E6BE7">
        <w:rPr>
          <w:rFonts w:ascii="Times New Roman" w:hAnsi="Times New Roman"/>
          <w:iCs/>
          <w:spacing w:val="-4"/>
          <w:sz w:val="28"/>
          <w:szCs w:val="28"/>
        </w:rPr>
        <w:t>NVA</w:t>
      </w:r>
      <w:r w:rsidR="000634B6" w:rsidRPr="008E6BE7">
        <w:rPr>
          <w:rFonts w:ascii="Times New Roman" w:hAnsi="Times New Roman"/>
          <w:bCs/>
          <w:iCs/>
          <w:spacing w:val="-4"/>
          <w:sz w:val="28"/>
          <w:szCs w:val="28"/>
        </w:rPr>
        <w:t xml:space="preserve"> </w:t>
      </w:r>
      <w:r w:rsidR="000D2073" w:rsidRPr="008E6BE7">
        <w:rPr>
          <w:rFonts w:ascii="Times New Roman" w:hAnsi="Times New Roman"/>
          <w:bCs/>
          <w:iCs/>
          <w:spacing w:val="-4"/>
          <w:sz w:val="28"/>
          <w:szCs w:val="28"/>
        </w:rPr>
        <w:t>īstenoja</w:t>
      </w:r>
      <w:r w:rsidR="000634B6" w:rsidRPr="008E6BE7">
        <w:rPr>
          <w:rFonts w:ascii="Times New Roman" w:hAnsi="Times New Roman"/>
          <w:bCs/>
          <w:iCs/>
          <w:spacing w:val="-4"/>
          <w:sz w:val="28"/>
          <w:szCs w:val="28"/>
        </w:rPr>
        <w:t xml:space="preserve"> </w:t>
      </w:r>
      <w:proofErr w:type="spellStart"/>
      <w:r w:rsidR="00A065F7" w:rsidRPr="008E6BE7">
        <w:rPr>
          <w:rFonts w:ascii="Times New Roman" w:hAnsi="Times New Roman"/>
          <w:bCs/>
          <w:iCs/>
          <w:spacing w:val="-4"/>
          <w:sz w:val="28"/>
          <w:szCs w:val="28"/>
        </w:rPr>
        <w:t>i</w:t>
      </w:r>
      <w:r w:rsidR="00A97A7E" w:rsidRPr="008E6BE7">
        <w:rPr>
          <w:rFonts w:ascii="Times New Roman" w:hAnsi="Times New Roman"/>
          <w:bCs/>
          <w:iCs/>
          <w:spacing w:val="-4"/>
          <w:sz w:val="28"/>
          <w:szCs w:val="28"/>
        </w:rPr>
        <w:t>zmēģinājumprojekta</w:t>
      </w:r>
      <w:proofErr w:type="spellEnd"/>
      <w:r w:rsidR="00EE533F" w:rsidRPr="008E6BE7">
        <w:rPr>
          <w:rFonts w:ascii="Times New Roman" w:hAnsi="Times New Roman"/>
          <w:bCs/>
          <w:iCs/>
          <w:spacing w:val="-4"/>
          <w:sz w:val="28"/>
          <w:szCs w:val="28"/>
        </w:rPr>
        <w:t xml:space="preserve"> otro </w:t>
      </w:r>
      <w:r w:rsidR="00B5634C" w:rsidRPr="008E6BE7">
        <w:rPr>
          <w:rFonts w:ascii="Times New Roman" w:hAnsi="Times New Roman"/>
          <w:bCs/>
          <w:iCs/>
          <w:spacing w:val="-4"/>
          <w:sz w:val="28"/>
          <w:szCs w:val="28"/>
        </w:rPr>
        <w:t>kārtu</w:t>
      </w:r>
      <w:r w:rsidR="003D7265" w:rsidRPr="008E6BE7">
        <w:rPr>
          <w:rFonts w:ascii="Times New Roman" w:hAnsi="Times New Roman"/>
          <w:bCs/>
          <w:iCs/>
          <w:spacing w:val="-4"/>
          <w:sz w:val="28"/>
          <w:szCs w:val="28"/>
        </w:rPr>
        <w:t xml:space="preserve"> sadarbībā ar </w:t>
      </w:r>
      <w:r w:rsidR="00966B1B" w:rsidRPr="008E6BE7">
        <w:rPr>
          <w:rFonts w:ascii="Times New Roman" w:hAnsi="Times New Roman"/>
          <w:sz w:val="28"/>
          <w:szCs w:val="28"/>
        </w:rPr>
        <w:t xml:space="preserve">PII </w:t>
      </w:r>
      <w:r w:rsidR="003D7265" w:rsidRPr="008E6BE7">
        <w:rPr>
          <w:rFonts w:ascii="Times New Roman" w:hAnsi="Times New Roman"/>
          <w:sz w:val="28"/>
          <w:szCs w:val="28"/>
        </w:rPr>
        <w:t>un PIKC</w:t>
      </w:r>
      <w:r w:rsidR="00196C1F" w:rsidRPr="008E6BE7">
        <w:rPr>
          <w:rFonts w:ascii="Times New Roman" w:hAnsi="Times New Roman"/>
          <w:bCs/>
          <w:iCs/>
          <w:spacing w:val="-4"/>
          <w:sz w:val="28"/>
          <w:szCs w:val="28"/>
        </w:rPr>
        <w:t xml:space="preserve"> ar mērķi profesionālās tālākizglītības programmu apguvē </w:t>
      </w:r>
      <w:r w:rsidR="00B927F2" w:rsidRPr="008E6BE7">
        <w:rPr>
          <w:rFonts w:ascii="Times New Roman" w:hAnsi="Times New Roman"/>
          <w:b/>
          <w:iCs/>
          <w:spacing w:val="-4"/>
          <w:sz w:val="28"/>
          <w:szCs w:val="28"/>
        </w:rPr>
        <w:t>iesaistīt 200 </w:t>
      </w:r>
      <w:r w:rsidR="00196C1F" w:rsidRPr="008E6BE7">
        <w:rPr>
          <w:rFonts w:ascii="Times New Roman" w:hAnsi="Times New Roman"/>
          <w:b/>
          <w:iCs/>
          <w:spacing w:val="-4"/>
          <w:sz w:val="28"/>
          <w:szCs w:val="28"/>
        </w:rPr>
        <w:t>bezdarbniekus</w:t>
      </w:r>
      <w:r w:rsidR="00196C1F" w:rsidRPr="008E6BE7">
        <w:rPr>
          <w:rFonts w:ascii="Times New Roman" w:hAnsi="Times New Roman"/>
          <w:bCs/>
          <w:iCs/>
          <w:spacing w:val="-4"/>
          <w:sz w:val="28"/>
          <w:szCs w:val="28"/>
        </w:rPr>
        <w:t xml:space="preserve"> (bezdarbnieku grupu komplektēšana tika organizēta</w:t>
      </w:r>
      <w:r w:rsidR="008E0A5B">
        <w:rPr>
          <w:rFonts w:ascii="Times New Roman" w:hAnsi="Times New Roman"/>
          <w:sz w:val="28"/>
          <w:szCs w:val="28"/>
        </w:rPr>
        <w:t xml:space="preserve"> līdz 201</w:t>
      </w:r>
      <w:r w:rsidR="00CD6F76">
        <w:rPr>
          <w:rFonts w:ascii="Times New Roman" w:hAnsi="Times New Roman"/>
          <w:sz w:val="28"/>
          <w:szCs w:val="28"/>
        </w:rPr>
        <w:t>6</w:t>
      </w:r>
      <w:r w:rsidR="008E0A5B">
        <w:rPr>
          <w:rFonts w:ascii="Times New Roman" w:hAnsi="Times New Roman"/>
          <w:sz w:val="28"/>
          <w:szCs w:val="28"/>
        </w:rPr>
        <w:t>. </w:t>
      </w:r>
      <w:r w:rsidR="00196C1F" w:rsidRPr="008E6BE7">
        <w:rPr>
          <w:rFonts w:ascii="Times New Roman" w:hAnsi="Times New Roman"/>
          <w:sz w:val="28"/>
          <w:szCs w:val="28"/>
        </w:rPr>
        <w:t>ga</w:t>
      </w:r>
      <w:r w:rsidRPr="008E6BE7">
        <w:rPr>
          <w:rFonts w:ascii="Times New Roman" w:hAnsi="Times New Roman"/>
          <w:sz w:val="28"/>
          <w:szCs w:val="28"/>
        </w:rPr>
        <w:t>da 30. martam</w:t>
      </w:r>
      <w:r w:rsidR="00196C1F" w:rsidRPr="008E6BE7">
        <w:rPr>
          <w:rFonts w:ascii="Times New Roman" w:hAnsi="Times New Roman"/>
          <w:sz w:val="28"/>
          <w:szCs w:val="28"/>
        </w:rPr>
        <w:t xml:space="preserve">). </w:t>
      </w:r>
      <w:r w:rsidR="00196C1F" w:rsidRPr="008E6BE7">
        <w:rPr>
          <w:rFonts w:ascii="Times New Roman" w:hAnsi="Times New Roman"/>
          <w:bCs/>
          <w:iCs/>
          <w:spacing w:val="-4"/>
          <w:sz w:val="28"/>
          <w:szCs w:val="28"/>
        </w:rPr>
        <w:t xml:space="preserve">Normatīvie akti, saskaņā ar kuriem tika īstenots </w:t>
      </w:r>
      <w:proofErr w:type="spellStart"/>
      <w:r w:rsidR="00196C1F" w:rsidRPr="008E6BE7">
        <w:rPr>
          <w:rFonts w:ascii="Times New Roman" w:hAnsi="Times New Roman"/>
          <w:bCs/>
          <w:iCs/>
          <w:spacing w:val="-4"/>
          <w:sz w:val="28"/>
          <w:szCs w:val="28"/>
        </w:rPr>
        <w:t>izmēģinājumprojekts</w:t>
      </w:r>
      <w:proofErr w:type="spellEnd"/>
      <w:r w:rsidR="00196C1F" w:rsidRPr="008E6BE7">
        <w:rPr>
          <w:rFonts w:ascii="Times New Roman" w:hAnsi="Times New Roman"/>
          <w:bCs/>
          <w:iCs/>
          <w:spacing w:val="-4"/>
          <w:sz w:val="28"/>
          <w:szCs w:val="28"/>
        </w:rPr>
        <w:t>, ir uzskaitīti ziņojuma pielikumā.</w:t>
      </w:r>
    </w:p>
    <w:p w:rsidR="00556214" w:rsidRPr="008E6BE7" w:rsidRDefault="008A2C4B" w:rsidP="00D33418">
      <w:pPr>
        <w:spacing w:after="0" w:line="240" w:lineRule="auto"/>
        <w:ind w:firstLine="720"/>
        <w:jc w:val="both"/>
        <w:rPr>
          <w:rFonts w:ascii="Times New Roman" w:hAnsi="Times New Roman"/>
          <w:sz w:val="28"/>
          <w:szCs w:val="28"/>
        </w:rPr>
      </w:pPr>
      <w:r w:rsidRPr="008E6BE7">
        <w:rPr>
          <w:rFonts w:ascii="Times New Roman" w:hAnsi="Times New Roman"/>
          <w:sz w:val="28"/>
          <w:szCs w:val="28"/>
        </w:rPr>
        <w:t>I</w:t>
      </w:r>
      <w:r w:rsidR="005060D7" w:rsidRPr="008E6BE7">
        <w:rPr>
          <w:rFonts w:ascii="Times New Roman" w:hAnsi="Times New Roman"/>
          <w:sz w:val="28"/>
          <w:szCs w:val="28"/>
        </w:rPr>
        <w:t xml:space="preserve">zglītības programmas tika </w:t>
      </w:r>
      <w:r w:rsidR="00556214" w:rsidRPr="008E6BE7">
        <w:rPr>
          <w:rFonts w:ascii="Times New Roman" w:hAnsi="Times New Roman"/>
          <w:sz w:val="28"/>
          <w:szCs w:val="28"/>
        </w:rPr>
        <w:t>noteiktas atbilstoši</w:t>
      </w:r>
      <w:r w:rsidRPr="008E6BE7">
        <w:rPr>
          <w:rFonts w:ascii="Times New Roman" w:hAnsi="Times New Roman"/>
          <w:sz w:val="28"/>
          <w:szCs w:val="28"/>
        </w:rPr>
        <w:t xml:space="preserve"> </w:t>
      </w:r>
      <w:r w:rsidR="004B6C20" w:rsidRPr="008E6BE7">
        <w:rPr>
          <w:rFonts w:ascii="Times New Roman" w:hAnsi="Times New Roman"/>
          <w:sz w:val="28"/>
          <w:szCs w:val="28"/>
        </w:rPr>
        <w:t>LM</w:t>
      </w:r>
      <w:r w:rsidR="00B4118C" w:rsidRPr="008E6BE7">
        <w:rPr>
          <w:rFonts w:ascii="Times New Roman" w:hAnsi="Times New Roman"/>
          <w:sz w:val="28"/>
          <w:szCs w:val="28"/>
        </w:rPr>
        <w:t xml:space="preserve"> </w:t>
      </w:r>
      <w:r w:rsidR="005060D7" w:rsidRPr="008E6BE7">
        <w:rPr>
          <w:rFonts w:ascii="Times New Roman" w:hAnsi="Times New Roman"/>
          <w:sz w:val="28"/>
          <w:szCs w:val="28"/>
        </w:rPr>
        <w:t xml:space="preserve">Apmācību komisijas </w:t>
      </w:r>
      <w:r w:rsidR="005060D7" w:rsidRPr="008E6BE7">
        <w:rPr>
          <w:rFonts w:ascii="Times New Roman" w:hAnsi="Times New Roman"/>
          <w:sz w:val="28"/>
          <w:szCs w:val="28"/>
          <w:lang w:eastAsia="lv-LV"/>
        </w:rPr>
        <w:t>(</w:t>
      </w:r>
      <w:r w:rsidR="004B7999" w:rsidRPr="008E6BE7">
        <w:rPr>
          <w:rFonts w:ascii="Times New Roman" w:hAnsi="Times New Roman"/>
          <w:sz w:val="28"/>
          <w:szCs w:val="28"/>
          <w:lang w:eastAsia="lv-LV"/>
        </w:rPr>
        <w:t xml:space="preserve">detalizētāka </w:t>
      </w:r>
      <w:r w:rsidR="00FD6851" w:rsidRPr="008E6BE7">
        <w:rPr>
          <w:rFonts w:ascii="Times New Roman" w:hAnsi="Times New Roman"/>
          <w:sz w:val="28"/>
          <w:szCs w:val="28"/>
          <w:lang w:eastAsia="lv-LV"/>
        </w:rPr>
        <w:t xml:space="preserve">informācija par komisiju </w:t>
      </w:r>
      <w:r w:rsidR="004B7999" w:rsidRPr="008E6BE7">
        <w:rPr>
          <w:rFonts w:ascii="Times New Roman" w:hAnsi="Times New Roman"/>
          <w:sz w:val="28"/>
          <w:szCs w:val="28"/>
          <w:lang w:eastAsia="lv-LV"/>
        </w:rPr>
        <w:t>ir sniegta ziņojuma pielikumā</w:t>
      </w:r>
      <w:r w:rsidR="00B4118C" w:rsidRPr="008E6BE7">
        <w:rPr>
          <w:rFonts w:ascii="Times New Roman" w:hAnsi="Times New Roman"/>
          <w:sz w:val="28"/>
          <w:szCs w:val="28"/>
          <w:lang w:eastAsia="lv-LV"/>
        </w:rPr>
        <w:t>)</w:t>
      </w:r>
      <w:r w:rsidR="00B4118C" w:rsidRPr="008E6BE7" w:rsidDel="00B4118C">
        <w:rPr>
          <w:rFonts w:ascii="Times New Roman" w:hAnsi="Times New Roman"/>
          <w:sz w:val="28"/>
          <w:szCs w:val="28"/>
        </w:rPr>
        <w:t xml:space="preserve"> </w:t>
      </w:r>
      <w:r w:rsidR="00B4118C" w:rsidRPr="008E6BE7">
        <w:rPr>
          <w:rFonts w:ascii="Times New Roman" w:hAnsi="Times New Roman"/>
          <w:sz w:val="28"/>
          <w:szCs w:val="28"/>
        </w:rPr>
        <w:t>a</w:t>
      </w:r>
      <w:r w:rsidR="004D06C5" w:rsidRPr="008E6BE7">
        <w:rPr>
          <w:rFonts w:ascii="Times New Roman" w:hAnsi="Times New Roman"/>
          <w:sz w:val="28"/>
          <w:szCs w:val="28"/>
        </w:rPr>
        <w:t>pstiprinātajam</w:t>
      </w:r>
      <w:r w:rsidR="005060D7" w:rsidRPr="008E6BE7">
        <w:rPr>
          <w:rFonts w:ascii="Times New Roman" w:hAnsi="Times New Roman"/>
          <w:sz w:val="28"/>
          <w:szCs w:val="28"/>
        </w:rPr>
        <w:t xml:space="preserve"> </w:t>
      </w:r>
      <w:r w:rsidR="00556214" w:rsidRPr="008E6BE7">
        <w:rPr>
          <w:rFonts w:ascii="Times New Roman" w:hAnsi="Times New Roman"/>
          <w:sz w:val="28"/>
          <w:szCs w:val="28"/>
        </w:rPr>
        <w:t>profesionālās tālākizglītības programmu sarakstam</w:t>
      </w:r>
      <w:r w:rsidRPr="008E6BE7">
        <w:rPr>
          <w:rFonts w:ascii="Times New Roman" w:hAnsi="Times New Roman"/>
          <w:sz w:val="28"/>
          <w:szCs w:val="28"/>
        </w:rPr>
        <w:t>, kurā</w:t>
      </w:r>
      <w:r w:rsidR="005060D7" w:rsidRPr="008E6BE7">
        <w:rPr>
          <w:rFonts w:ascii="Times New Roman" w:hAnsi="Times New Roman"/>
          <w:sz w:val="28"/>
          <w:szCs w:val="28"/>
        </w:rPr>
        <w:t xml:space="preserve"> nepieciešams veikt bezdarbnieku apmācību, pārkvalifikāciju un kvalifikācijas paaugstināšanu</w:t>
      </w:r>
      <w:r w:rsidR="004D06C5" w:rsidRPr="008E6BE7">
        <w:rPr>
          <w:rFonts w:ascii="Times New Roman" w:hAnsi="Times New Roman"/>
          <w:sz w:val="28"/>
          <w:szCs w:val="28"/>
        </w:rPr>
        <w:t xml:space="preserve"> (turpmāk – </w:t>
      </w:r>
      <w:r w:rsidR="00BC5994" w:rsidRPr="008E6BE7">
        <w:rPr>
          <w:rFonts w:ascii="Times New Roman" w:hAnsi="Times New Roman"/>
          <w:sz w:val="28"/>
          <w:szCs w:val="28"/>
        </w:rPr>
        <w:t>tālākizglītības programmu</w:t>
      </w:r>
      <w:r w:rsidR="004D06C5" w:rsidRPr="008E6BE7">
        <w:rPr>
          <w:rFonts w:ascii="Times New Roman" w:hAnsi="Times New Roman"/>
          <w:sz w:val="28"/>
          <w:szCs w:val="28"/>
        </w:rPr>
        <w:t xml:space="preserve"> saraksts),</w:t>
      </w:r>
      <w:r w:rsidR="00170B3A" w:rsidRPr="008E6BE7">
        <w:rPr>
          <w:rFonts w:ascii="Times New Roman" w:hAnsi="Times New Roman"/>
          <w:sz w:val="28"/>
          <w:szCs w:val="28"/>
        </w:rPr>
        <w:t xml:space="preserve"> </w:t>
      </w:r>
      <w:r w:rsidR="00556214" w:rsidRPr="008E6BE7">
        <w:rPr>
          <w:rFonts w:ascii="Times New Roman" w:hAnsi="Times New Roman"/>
          <w:sz w:val="28"/>
          <w:szCs w:val="28"/>
        </w:rPr>
        <w:t>un pamatojoties uz izglītības iestāžu iesniegtajiem piedāvājumiem.</w:t>
      </w:r>
    </w:p>
    <w:p w:rsidR="00162008" w:rsidRDefault="007F3D4E" w:rsidP="00CE7F2B">
      <w:pPr>
        <w:spacing w:after="0" w:line="240" w:lineRule="auto"/>
        <w:ind w:firstLine="720"/>
        <w:jc w:val="both"/>
        <w:rPr>
          <w:rFonts w:ascii="Times New Roman" w:hAnsi="Times New Roman"/>
          <w:sz w:val="28"/>
          <w:szCs w:val="28"/>
        </w:rPr>
      </w:pPr>
      <w:r w:rsidRPr="008E6BE7">
        <w:rPr>
          <w:rFonts w:ascii="Times New Roman" w:hAnsi="Times New Roman"/>
          <w:sz w:val="28"/>
          <w:szCs w:val="28"/>
        </w:rPr>
        <w:t>L</w:t>
      </w:r>
      <w:r w:rsidR="00EE533F" w:rsidRPr="008E6BE7">
        <w:rPr>
          <w:rFonts w:ascii="Times New Roman" w:hAnsi="Times New Roman"/>
          <w:sz w:val="28"/>
          <w:szCs w:val="28"/>
        </w:rPr>
        <w:t xml:space="preserve">īdzīgi kā </w:t>
      </w:r>
      <w:proofErr w:type="spellStart"/>
      <w:r w:rsidR="00EE533F" w:rsidRPr="008E6BE7">
        <w:rPr>
          <w:rFonts w:ascii="Times New Roman" w:hAnsi="Times New Roman"/>
          <w:sz w:val="28"/>
          <w:szCs w:val="28"/>
        </w:rPr>
        <w:t>izmēģinājumprojekta</w:t>
      </w:r>
      <w:proofErr w:type="spellEnd"/>
      <w:r w:rsidR="00EE533F" w:rsidRPr="008E6BE7">
        <w:rPr>
          <w:rFonts w:ascii="Times New Roman" w:hAnsi="Times New Roman"/>
          <w:sz w:val="28"/>
          <w:szCs w:val="28"/>
        </w:rPr>
        <w:t xml:space="preserve"> pirmajā </w:t>
      </w:r>
      <w:r w:rsidRPr="008E6BE7">
        <w:rPr>
          <w:rFonts w:ascii="Times New Roman" w:hAnsi="Times New Roman"/>
          <w:sz w:val="28"/>
          <w:szCs w:val="28"/>
        </w:rPr>
        <w:t>kārt</w:t>
      </w:r>
      <w:r w:rsidR="007437E1" w:rsidRPr="008E6BE7">
        <w:rPr>
          <w:rFonts w:ascii="Times New Roman" w:hAnsi="Times New Roman"/>
          <w:sz w:val="28"/>
          <w:szCs w:val="28"/>
        </w:rPr>
        <w:t xml:space="preserve">ā, </w:t>
      </w:r>
      <w:r w:rsidR="00EE533F" w:rsidRPr="008E6BE7">
        <w:rPr>
          <w:rFonts w:ascii="Times New Roman" w:hAnsi="Times New Roman"/>
          <w:sz w:val="28"/>
          <w:szCs w:val="28"/>
        </w:rPr>
        <w:t xml:space="preserve">arī otrās </w:t>
      </w:r>
      <w:r w:rsidRPr="008E6BE7">
        <w:rPr>
          <w:rFonts w:ascii="Times New Roman" w:hAnsi="Times New Roman"/>
          <w:sz w:val="28"/>
          <w:szCs w:val="28"/>
        </w:rPr>
        <w:t xml:space="preserve">kārtas īstenošanā </w:t>
      </w:r>
      <w:r w:rsidR="00500155" w:rsidRPr="008E6BE7">
        <w:rPr>
          <w:rFonts w:ascii="Times New Roman" w:hAnsi="Times New Roman"/>
          <w:sz w:val="28"/>
          <w:szCs w:val="28"/>
        </w:rPr>
        <w:t>NVA</w:t>
      </w:r>
      <w:r w:rsidR="00F56196" w:rsidRPr="008E6BE7">
        <w:rPr>
          <w:rFonts w:ascii="Times New Roman" w:hAnsi="Times New Roman"/>
          <w:sz w:val="28"/>
          <w:szCs w:val="28"/>
        </w:rPr>
        <w:t xml:space="preserve"> neveica iepirkumu procedūru, </w:t>
      </w:r>
      <w:r w:rsidR="004B6C20" w:rsidRPr="008E6BE7">
        <w:rPr>
          <w:rFonts w:ascii="Times New Roman" w:hAnsi="Times New Roman"/>
          <w:sz w:val="28"/>
          <w:szCs w:val="28"/>
        </w:rPr>
        <w:t>bet gan organizēja bezdarbnieku mācību grupu komplektēšanu, speciāli novirzot tās uz PIKC un PII, kas ir atšķirīgi no ierastās kārtības, kādu NVA piemēro profesionālās tālākizglītības programmu īstenošanā bezdarbniekiem ar kuponu metodi</w:t>
      </w:r>
      <w:r w:rsidR="00BC5994" w:rsidRPr="008E6BE7">
        <w:rPr>
          <w:rFonts w:ascii="Times New Roman" w:hAnsi="Times New Roman"/>
          <w:sz w:val="28"/>
          <w:szCs w:val="28"/>
        </w:rPr>
        <w:t xml:space="preserve"> (</w:t>
      </w:r>
      <w:r w:rsidR="007437E1" w:rsidRPr="008E6BE7">
        <w:rPr>
          <w:rFonts w:ascii="Times New Roman" w:hAnsi="Times New Roman"/>
          <w:sz w:val="28"/>
          <w:szCs w:val="28"/>
        </w:rPr>
        <w:t xml:space="preserve">2016. gadā NVA </w:t>
      </w:r>
      <w:r w:rsidR="00294D1A" w:rsidRPr="008E6BE7">
        <w:rPr>
          <w:rFonts w:ascii="Times New Roman" w:hAnsi="Times New Roman"/>
          <w:sz w:val="28"/>
          <w:szCs w:val="28"/>
        </w:rPr>
        <w:t>vairs neveic</w:t>
      </w:r>
      <w:r w:rsidR="007437E1" w:rsidRPr="008E6BE7">
        <w:rPr>
          <w:rFonts w:ascii="Times New Roman" w:hAnsi="Times New Roman"/>
          <w:sz w:val="28"/>
          <w:szCs w:val="28"/>
        </w:rPr>
        <w:t xml:space="preserve"> publiskā ie</w:t>
      </w:r>
      <w:r w:rsidR="00294D1A" w:rsidRPr="008E6BE7">
        <w:rPr>
          <w:rFonts w:ascii="Times New Roman" w:hAnsi="Times New Roman"/>
          <w:sz w:val="28"/>
          <w:szCs w:val="28"/>
        </w:rPr>
        <w:t>pirkuma procedūras organizēšanu</w:t>
      </w:r>
      <w:r w:rsidR="007437E1" w:rsidRPr="008E6BE7">
        <w:rPr>
          <w:rFonts w:ascii="Times New Roman" w:hAnsi="Times New Roman"/>
          <w:sz w:val="28"/>
          <w:szCs w:val="28"/>
        </w:rPr>
        <w:t xml:space="preserve">, </w:t>
      </w:r>
      <w:r w:rsidR="00294D1A" w:rsidRPr="008E6BE7">
        <w:rPr>
          <w:rFonts w:ascii="Times New Roman" w:hAnsi="Times New Roman"/>
          <w:sz w:val="28"/>
          <w:szCs w:val="28"/>
        </w:rPr>
        <w:t>jo ir ieviestas fiksētas apmācību kuponu izmaksas</w:t>
      </w:r>
      <w:r w:rsidR="007437E1" w:rsidRPr="008E6BE7">
        <w:rPr>
          <w:rFonts w:ascii="Times New Roman" w:hAnsi="Times New Roman"/>
          <w:sz w:val="28"/>
          <w:szCs w:val="28"/>
        </w:rPr>
        <w:t>).</w:t>
      </w:r>
      <w:r w:rsidR="00043347">
        <w:rPr>
          <w:rFonts w:ascii="Times New Roman" w:hAnsi="Times New Roman"/>
          <w:sz w:val="28"/>
          <w:szCs w:val="28"/>
        </w:rPr>
        <w:t xml:space="preserve"> </w:t>
      </w:r>
    </w:p>
    <w:p w:rsidR="005F51DD" w:rsidRPr="002821D6" w:rsidRDefault="005F51DD" w:rsidP="005F51DD">
      <w:pPr>
        <w:spacing w:after="0" w:line="240" w:lineRule="auto"/>
        <w:ind w:firstLine="720"/>
        <w:jc w:val="both"/>
        <w:rPr>
          <w:rFonts w:ascii="Times New Roman" w:hAnsi="Times New Roman"/>
          <w:sz w:val="28"/>
          <w:szCs w:val="28"/>
        </w:rPr>
      </w:pPr>
      <w:proofErr w:type="spellStart"/>
      <w:r w:rsidRPr="002821D6">
        <w:rPr>
          <w:rFonts w:ascii="Times New Roman" w:hAnsi="Times New Roman"/>
          <w:sz w:val="28"/>
          <w:szCs w:val="28"/>
        </w:rPr>
        <w:t>Izmēģinājumprojekts</w:t>
      </w:r>
      <w:proofErr w:type="spellEnd"/>
      <w:r w:rsidRPr="002821D6">
        <w:rPr>
          <w:rFonts w:ascii="Times New Roman" w:hAnsi="Times New Roman"/>
          <w:sz w:val="28"/>
          <w:szCs w:val="28"/>
        </w:rPr>
        <w:t xml:space="preserve"> un līdz ar to grupu komplektēšana ārpus kuponu sistēmas ietvara noritēja apmācību sistēmas pilnveidošanas nolūkos, t.sk., lai novērtētu valsts un pašvaldību profesionālās izglītības iestāžu objektīvās iespējas un gatavību iesaistīties apmācību kuponu sistēmā, novērstu identificētos šķēršļus un līdz ar to veicinātu to turpmāku pilnvērtīgu iesaisti šajā sistēmā. Līdz ar to, piemērojot </w:t>
      </w:r>
      <w:proofErr w:type="spellStart"/>
      <w:r w:rsidRPr="002821D6">
        <w:rPr>
          <w:rFonts w:ascii="Times New Roman" w:hAnsi="Times New Roman"/>
          <w:sz w:val="28"/>
          <w:szCs w:val="28"/>
        </w:rPr>
        <w:t>izmēģinājumprojektu</w:t>
      </w:r>
      <w:proofErr w:type="spellEnd"/>
      <w:r w:rsidRPr="002821D6">
        <w:rPr>
          <w:rFonts w:ascii="Times New Roman" w:hAnsi="Times New Roman"/>
          <w:sz w:val="28"/>
          <w:szCs w:val="28"/>
        </w:rPr>
        <w:t xml:space="preserve"> apmācību kuponu sistēmā, tā sekmīga īstenošana un noteikto mērķu sasniegšana būtu maz iespējama. Minētie mērķi tika izvirzīti, lai atbilstoši Eiropas Komisijas un citu starptautisko organizāciju aicinājumam veicinātu ERAF līdzekļu ieguldījumu </w:t>
      </w:r>
      <w:r w:rsidRPr="002821D6">
        <w:rPr>
          <w:rFonts w:ascii="Times New Roman" w:hAnsi="Times New Roman"/>
          <w:sz w:val="28"/>
          <w:szCs w:val="28"/>
        </w:rPr>
        <w:lastRenderedPageBreak/>
        <w:t>profesionālās izglītības iestāžu modernizācijā efektīvu izmantošanu, vienlaikus ņemot vērā, ka valsts un pašvaldību profesionālās izglītības iestādes, kas iepriekš bija koncentrējušās tikai uz jauniešu izglītošanu, gūst sākotnējo pieredzi tieši pieaugušo izglītībā. Attiecīgais uzdevums Labklājības ministrijai tika dots ar MK 2013. gada 21. maija sēdes protokolu.</w:t>
      </w:r>
    </w:p>
    <w:p w:rsidR="005F51DD" w:rsidRPr="002821D6" w:rsidRDefault="005F51DD" w:rsidP="005F51DD">
      <w:pPr>
        <w:spacing w:after="0" w:line="240" w:lineRule="auto"/>
        <w:ind w:firstLine="720"/>
        <w:jc w:val="both"/>
        <w:rPr>
          <w:rFonts w:ascii="Times New Roman" w:hAnsi="Times New Roman"/>
          <w:sz w:val="28"/>
          <w:szCs w:val="28"/>
        </w:rPr>
      </w:pPr>
      <w:proofErr w:type="spellStart"/>
      <w:r w:rsidRPr="002821D6">
        <w:rPr>
          <w:rFonts w:ascii="Times New Roman" w:hAnsi="Times New Roman"/>
          <w:sz w:val="28"/>
          <w:szCs w:val="28"/>
        </w:rPr>
        <w:t>Izmēģinājumprojekta</w:t>
      </w:r>
      <w:proofErr w:type="spellEnd"/>
      <w:r w:rsidRPr="002821D6">
        <w:rPr>
          <w:rFonts w:ascii="Times New Roman" w:hAnsi="Times New Roman"/>
          <w:sz w:val="28"/>
          <w:szCs w:val="28"/>
        </w:rPr>
        <w:t xml:space="preserve"> grupu komplektēšanas metode neparedzēja īpašu un papildus finansiālu atbalstu PII un PIKC. Proti, NVA sedza mācību izmaksas saskaņā ar Ministru kabineta 2011. gada 25. janvāra noteikumiem Nr.75 „Noteikumi par aktīvo nodarbinātības pasākumu un preventīvo bezdarba samazināšanas pasākumu organizēšanas un finansēšanas kārtību un pasākumu īstenotāju izvēles principiem” (turpmāk – MK noteikumi Nr.75) 45. punktu. Tādējādi </w:t>
      </w:r>
      <w:proofErr w:type="spellStart"/>
      <w:r w:rsidRPr="002821D6">
        <w:rPr>
          <w:rFonts w:ascii="Times New Roman" w:hAnsi="Times New Roman"/>
          <w:sz w:val="28"/>
          <w:szCs w:val="28"/>
        </w:rPr>
        <w:t>izmēģinājumprojektā</w:t>
      </w:r>
      <w:proofErr w:type="spellEnd"/>
      <w:r w:rsidRPr="002821D6">
        <w:rPr>
          <w:rFonts w:ascii="Times New Roman" w:hAnsi="Times New Roman"/>
          <w:sz w:val="28"/>
          <w:szCs w:val="28"/>
        </w:rPr>
        <w:t xml:space="preserve"> piemērotās izmaksas profesionālās tālākizglītības programmu apguvē bija tādas pašas kā šīm izglītības programmām apmācību kuponu sistēmā, kas atbilst fiksētas jeb vienas vienības apmācību kuponu izmaksas metodikai. Turklāt </w:t>
      </w:r>
      <w:proofErr w:type="spellStart"/>
      <w:r w:rsidRPr="002821D6">
        <w:rPr>
          <w:rFonts w:ascii="Times New Roman" w:hAnsi="Times New Roman"/>
          <w:sz w:val="28"/>
          <w:szCs w:val="28"/>
        </w:rPr>
        <w:t>izmēģinājumprojektā</w:t>
      </w:r>
      <w:proofErr w:type="spellEnd"/>
      <w:r w:rsidRPr="002821D6">
        <w:rPr>
          <w:rFonts w:ascii="Times New Roman" w:hAnsi="Times New Roman"/>
          <w:sz w:val="28"/>
          <w:szCs w:val="28"/>
        </w:rPr>
        <w:t xml:space="preserve"> mācību iestādēm netika piemērots cita veida atbalsts, piemēram, mācību vietas pielāgošanai, ņemot vērā ievērojamos ERAF un valsts ieguldījumus šo skolu infrastruktūrā. Visas izmaksas novirzītas NVA klientiem, kas šīm skolām neradīja konkurences priekšrocību, salīdzinājumā ar privātajām izglītības iestādēm apmācību kuponu sistēmā. </w:t>
      </w:r>
    </w:p>
    <w:p w:rsidR="005F51DD" w:rsidRPr="002821D6" w:rsidRDefault="005F51DD" w:rsidP="005F51DD">
      <w:pPr>
        <w:spacing w:after="0" w:line="240" w:lineRule="auto"/>
        <w:ind w:firstLine="720"/>
        <w:jc w:val="both"/>
        <w:rPr>
          <w:rFonts w:ascii="Times New Roman" w:hAnsi="Times New Roman"/>
          <w:sz w:val="28"/>
          <w:szCs w:val="28"/>
        </w:rPr>
      </w:pPr>
      <w:r w:rsidRPr="002821D6">
        <w:rPr>
          <w:rFonts w:ascii="Times New Roman" w:hAnsi="Times New Roman"/>
          <w:sz w:val="28"/>
          <w:szCs w:val="28"/>
        </w:rPr>
        <w:t xml:space="preserve">Tā bija bezdarbnieku brīva izvēle - iesaistīties </w:t>
      </w:r>
      <w:proofErr w:type="spellStart"/>
      <w:r w:rsidRPr="002821D6">
        <w:rPr>
          <w:rFonts w:ascii="Times New Roman" w:hAnsi="Times New Roman"/>
          <w:sz w:val="28"/>
          <w:szCs w:val="28"/>
        </w:rPr>
        <w:t>izmēģinājumprojektā</w:t>
      </w:r>
      <w:proofErr w:type="spellEnd"/>
      <w:r w:rsidRPr="002821D6">
        <w:rPr>
          <w:rFonts w:ascii="Times New Roman" w:hAnsi="Times New Roman"/>
          <w:sz w:val="28"/>
          <w:szCs w:val="28"/>
        </w:rPr>
        <w:t xml:space="preserve"> vai tālākizglītības programmu apguvē “apmācību kuponu” sistēmas ietvaros.  Ievērojot nepieciešamību bezdarbniekiem nodrošināt izglītības apguvi atbilstoši darba tirgus pieprasījumam un tautsaimniecības nozaru attīstības prognozēm, uzaicinājumu iesaistīties </w:t>
      </w:r>
      <w:proofErr w:type="spellStart"/>
      <w:r w:rsidRPr="002821D6">
        <w:rPr>
          <w:rFonts w:ascii="Times New Roman" w:hAnsi="Times New Roman"/>
          <w:sz w:val="28"/>
          <w:szCs w:val="28"/>
        </w:rPr>
        <w:t>izmēģinājumprojektā</w:t>
      </w:r>
      <w:proofErr w:type="spellEnd"/>
      <w:r w:rsidRPr="002821D6">
        <w:rPr>
          <w:rFonts w:ascii="Times New Roman" w:hAnsi="Times New Roman"/>
          <w:sz w:val="28"/>
          <w:szCs w:val="28"/>
        </w:rPr>
        <w:t xml:space="preserve"> saņēma tās valsts un pašvaldību mācību iestādes, kuru īstenotās programmas atbilst Apmācību komisijas noteiktajam izglītības programmu sarakstam (ne visas izglītības programmas, ko īsteno PIKC atbilst </w:t>
      </w:r>
      <w:r w:rsidR="005D66B0">
        <w:rPr>
          <w:rFonts w:ascii="Times New Roman" w:hAnsi="Times New Roman"/>
          <w:sz w:val="28"/>
          <w:szCs w:val="28"/>
        </w:rPr>
        <w:t>NVA izglītības programmu</w:t>
      </w:r>
      <w:r w:rsidRPr="002821D6">
        <w:rPr>
          <w:rFonts w:ascii="Times New Roman" w:hAnsi="Times New Roman"/>
          <w:sz w:val="28"/>
          <w:szCs w:val="28"/>
        </w:rPr>
        <w:t xml:space="preserve"> sarakstiem, kas tiek apstiprināti, reaģējot uz īstermiņa darba tirgus pieprasījumu un tautsaimniecības nozares attīstības prognozēm), to skaits </w:t>
      </w:r>
      <w:proofErr w:type="spellStart"/>
      <w:r w:rsidRPr="002821D6">
        <w:rPr>
          <w:rFonts w:ascii="Times New Roman" w:hAnsi="Times New Roman"/>
          <w:sz w:val="28"/>
          <w:szCs w:val="28"/>
        </w:rPr>
        <w:t>izmēģinājumprojektā</w:t>
      </w:r>
      <w:proofErr w:type="spellEnd"/>
      <w:r w:rsidRPr="002821D6">
        <w:rPr>
          <w:rFonts w:ascii="Times New Roman" w:hAnsi="Times New Roman"/>
          <w:sz w:val="28"/>
          <w:szCs w:val="28"/>
        </w:rPr>
        <w:t xml:space="preserve"> bija krietni mazāks, nekā apmācību kuponu sistēmas ietvaros.</w:t>
      </w:r>
    </w:p>
    <w:p w:rsidR="005F51DD" w:rsidRPr="002821D6" w:rsidRDefault="005F51DD" w:rsidP="00CE7F2B">
      <w:pPr>
        <w:spacing w:after="0" w:line="240" w:lineRule="auto"/>
        <w:ind w:firstLine="720"/>
        <w:jc w:val="both"/>
        <w:rPr>
          <w:rFonts w:ascii="Times New Roman" w:hAnsi="Times New Roman"/>
          <w:sz w:val="28"/>
          <w:szCs w:val="28"/>
        </w:rPr>
      </w:pPr>
      <w:r w:rsidRPr="002821D6">
        <w:rPr>
          <w:rFonts w:ascii="Times New Roman" w:hAnsi="Times New Roman"/>
          <w:sz w:val="28"/>
          <w:szCs w:val="28"/>
        </w:rPr>
        <w:t xml:space="preserve">Visbeidzot </w:t>
      </w:r>
      <w:proofErr w:type="spellStart"/>
      <w:r w:rsidRPr="002821D6">
        <w:rPr>
          <w:rFonts w:ascii="Times New Roman" w:hAnsi="Times New Roman"/>
          <w:sz w:val="28"/>
          <w:szCs w:val="28"/>
        </w:rPr>
        <w:t>izmēģinājumprojektā</w:t>
      </w:r>
      <w:proofErr w:type="spellEnd"/>
      <w:r w:rsidRPr="002821D6">
        <w:rPr>
          <w:rFonts w:ascii="Times New Roman" w:hAnsi="Times New Roman"/>
          <w:sz w:val="28"/>
          <w:szCs w:val="28"/>
        </w:rPr>
        <w:t xml:space="preserve"> tika noteikts maksimālais iesaistāmo personu skaits jeb rezultatīvais rādītājs – 200 bezdarbnieki (tam netiekot sasniegtam), kas ir salīdzinoši neliels skaits, salīdzinot ar to, kas katru gadu iesaistās “apmācību kuponu” sistēmas ietvaros (piemēram, 2015. gadā profesionālā apmācībā, pārkvalifikācijā un kvalifikācijas paaugstināšanā pavisam kopā iesaistītas 4 472 personas, kopā ar Jauniešu garantijā iesaistītajiem). </w:t>
      </w:r>
    </w:p>
    <w:p w:rsidR="00294D1A" w:rsidRPr="008E6BE7" w:rsidRDefault="00294D1A" w:rsidP="00294D1A">
      <w:pPr>
        <w:spacing w:after="0" w:line="240" w:lineRule="auto"/>
        <w:jc w:val="both"/>
        <w:rPr>
          <w:rFonts w:ascii="Times New Roman" w:hAnsi="Times New Roman"/>
          <w:sz w:val="28"/>
          <w:szCs w:val="28"/>
        </w:rPr>
      </w:pPr>
      <w:r w:rsidRPr="008E6BE7">
        <w:rPr>
          <w:rFonts w:ascii="Times New Roman" w:hAnsi="Times New Roman"/>
          <w:sz w:val="28"/>
          <w:szCs w:val="28"/>
        </w:rPr>
        <w:lastRenderedPageBreak/>
        <w:tab/>
      </w:r>
      <w:r w:rsidR="000C2E76" w:rsidRPr="008E6BE7">
        <w:rPr>
          <w:rFonts w:ascii="Times New Roman" w:hAnsi="Times New Roman"/>
          <w:sz w:val="28"/>
          <w:szCs w:val="28"/>
        </w:rPr>
        <w:t>Atš</w:t>
      </w:r>
      <w:r w:rsidR="00EE533F" w:rsidRPr="008E6BE7">
        <w:rPr>
          <w:rFonts w:ascii="Times New Roman" w:hAnsi="Times New Roman"/>
          <w:sz w:val="28"/>
          <w:szCs w:val="28"/>
        </w:rPr>
        <w:t xml:space="preserve">ķirībā no </w:t>
      </w:r>
      <w:proofErr w:type="spellStart"/>
      <w:r w:rsidR="00EE533F" w:rsidRPr="008E6BE7">
        <w:rPr>
          <w:rFonts w:ascii="Times New Roman" w:hAnsi="Times New Roman"/>
          <w:sz w:val="28"/>
          <w:szCs w:val="28"/>
        </w:rPr>
        <w:t>izmēģinājumprojekta</w:t>
      </w:r>
      <w:proofErr w:type="spellEnd"/>
      <w:r w:rsidR="00EE533F" w:rsidRPr="008E6BE7">
        <w:rPr>
          <w:rFonts w:ascii="Times New Roman" w:hAnsi="Times New Roman"/>
          <w:sz w:val="28"/>
          <w:szCs w:val="28"/>
        </w:rPr>
        <w:t xml:space="preserve"> pirmās kārtas, otrās </w:t>
      </w:r>
      <w:r w:rsidRPr="008E6BE7">
        <w:rPr>
          <w:rFonts w:ascii="Times New Roman" w:hAnsi="Times New Roman"/>
          <w:sz w:val="28"/>
          <w:szCs w:val="28"/>
        </w:rPr>
        <w:t>kārta</w:t>
      </w:r>
      <w:r w:rsidR="00ED167C" w:rsidRPr="008E6BE7">
        <w:rPr>
          <w:rFonts w:ascii="Times New Roman" w:hAnsi="Times New Roman"/>
          <w:sz w:val="28"/>
          <w:szCs w:val="28"/>
        </w:rPr>
        <w:t>s</w:t>
      </w:r>
      <w:r w:rsidRPr="008E6BE7">
        <w:rPr>
          <w:rFonts w:ascii="Times New Roman" w:hAnsi="Times New Roman"/>
          <w:sz w:val="28"/>
          <w:szCs w:val="28"/>
        </w:rPr>
        <w:t xml:space="preserve"> mērķa grupa ir bezdarbnieki, kuri ir bez darba vismaz 12 mēnešus vai ir vecāki par 45 gadiem un kuri atbilst vismaz vienam no šādiem kritērijiem: </w:t>
      </w:r>
    </w:p>
    <w:p w:rsidR="00294D1A" w:rsidRPr="008E6BE7" w:rsidRDefault="00294D1A" w:rsidP="00127D19">
      <w:pPr>
        <w:numPr>
          <w:ilvl w:val="0"/>
          <w:numId w:val="2"/>
        </w:numPr>
        <w:spacing w:after="0" w:line="240" w:lineRule="auto"/>
        <w:ind w:left="993"/>
        <w:jc w:val="both"/>
        <w:rPr>
          <w:rFonts w:ascii="Times New Roman" w:hAnsi="Times New Roman"/>
          <w:sz w:val="28"/>
          <w:szCs w:val="28"/>
        </w:rPr>
      </w:pPr>
      <w:r w:rsidRPr="008E6BE7">
        <w:rPr>
          <w:rFonts w:ascii="Times New Roman" w:hAnsi="Times New Roman"/>
          <w:sz w:val="28"/>
          <w:szCs w:val="28"/>
        </w:rPr>
        <w:t xml:space="preserve">bezdarbnieks nav iepriekš ieguvis profesionālo kvalifikāciju; </w:t>
      </w:r>
    </w:p>
    <w:p w:rsidR="00294D1A" w:rsidRPr="008E6BE7" w:rsidRDefault="00294D1A" w:rsidP="00127D19">
      <w:pPr>
        <w:numPr>
          <w:ilvl w:val="0"/>
          <w:numId w:val="2"/>
        </w:numPr>
        <w:spacing w:after="0" w:line="240" w:lineRule="auto"/>
        <w:ind w:left="993"/>
        <w:jc w:val="both"/>
        <w:rPr>
          <w:rFonts w:ascii="Times New Roman" w:hAnsi="Times New Roman"/>
          <w:sz w:val="28"/>
          <w:szCs w:val="28"/>
        </w:rPr>
      </w:pPr>
      <w:r w:rsidRPr="008E6BE7">
        <w:rPr>
          <w:rFonts w:ascii="Times New Roman" w:hAnsi="Times New Roman"/>
          <w:sz w:val="28"/>
          <w:szCs w:val="28"/>
        </w:rPr>
        <w:t>iepriekš iegūt</w:t>
      </w:r>
      <w:r w:rsidR="00285BDA">
        <w:rPr>
          <w:rFonts w:ascii="Times New Roman" w:hAnsi="Times New Roman"/>
          <w:sz w:val="28"/>
          <w:szCs w:val="28"/>
        </w:rPr>
        <w:t>a</w:t>
      </w:r>
      <w:r w:rsidRPr="008E6BE7">
        <w:rPr>
          <w:rFonts w:ascii="Times New Roman" w:hAnsi="Times New Roman"/>
          <w:sz w:val="28"/>
          <w:szCs w:val="28"/>
        </w:rPr>
        <w:t xml:space="preserve"> profesionālā kvalifikācija vai profesionālā pieredze nav pieprasīta darba tirgū, t.i., nav iekļauta </w:t>
      </w:r>
      <w:r w:rsidR="00BC5994" w:rsidRPr="008E6BE7">
        <w:rPr>
          <w:rFonts w:ascii="Times New Roman" w:hAnsi="Times New Roman"/>
          <w:sz w:val="28"/>
          <w:szCs w:val="28"/>
        </w:rPr>
        <w:t xml:space="preserve">LM </w:t>
      </w:r>
      <w:r w:rsidRPr="008E6BE7">
        <w:rPr>
          <w:rFonts w:ascii="Times New Roman" w:hAnsi="Times New Roman"/>
          <w:sz w:val="28"/>
          <w:szCs w:val="28"/>
        </w:rPr>
        <w:t xml:space="preserve">Apmācību komisijas tālākizglītības programmu sarakstā vai NVA filiālēs administratīvajā teritorijā nav reģistrētu atbilstošu vakanču pēdējo trīs mēnešu laikā; </w:t>
      </w:r>
    </w:p>
    <w:p w:rsidR="00294D1A" w:rsidRPr="008E6BE7" w:rsidRDefault="00294D1A" w:rsidP="00127D19">
      <w:pPr>
        <w:numPr>
          <w:ilvl w:val="0"/>
          <w:numId w:val="2"/>
        </w:numPr>
        <w:spacing w:after="0" w:line="240" w:lineRule="auto"/>
        <w:ind w:left="993"/>
        <w:jc w:val="both"/>
        <w:rPr>
          <w:rFonts w:ascii="Times New Roman" w:hAnsi="Times New Roman"/>
          <w:sz w:val="28"/>
          <w:szCs w:val="28"/>
        </w:rPr>
      </w:pPr>
      <w:r w:rsidRPr="008E6BE7">
        <w:rPr>
          <w:rFonts w:ascii="Times New Roman" w:hAnsi="Times New Roman"/>
          <w:sz w:val="28"/>
          <w:szCs w:val="28"/>
        </w:rPr>
        <w:t xml:space="preserve">iepriekš iegūta profesionālā kvalifikācija neatbilst attiecīgai profesijai noteiktajām prasībām; </w:t>
      </w:r>
    </w:p>
    <w:p w:rsidR="00294D1A" w:rsidRPr="008E6BE7" w:rsidRDefault="00294D1A" w:rsidP="00127D19">
      <w:pPr>
        <w:numPr>
          <w:ilvl w:val="0"/>
          <w:numId w:val="2"/>
        </w:numPr>
        <w:spacing w:after="0" w:line="240" w:lineRule="auto"/>
        <w:ind w:left="993"/>
        <w:jc w:val="both"/>
        <w:rPr>
          <w:rFonts w:ascii="Times New Roman" w:hAnsi="Times New Roman"/>
          <w:sz w:val="28"/>
          <w:szCs w:val="28"/>
        </w:rPr>
      </w:pPr>
      <w:r w:rsidRPr="008E6BE7">
        <w:rPr>
          <w:rFonts w:ascii="Times New Roman" w:hAnsi="Times New Roman"/>
          <w:sz w:val="28"/>
          <w:szCs w:val="28"/>
        </w:rPr>
        <w:t xml:space="preserve">bezdarbnieks zaudējis profesionālās prasmes, jo nav strādājis iegūtajā profesijā vismaz pēdējos trīs gadus; </w:t>
      </w:r>
    </w:p>
    <w:p w:rsidR="00294D1A" w:rsidRPr="008E6BE7" w:rsidRDefault="00294D1A" w:rsidP="00127D19">
      <w:pPr>
        <w:numPr>
          <w:ilvl w:val="0"/>
          <w:numId w:val="2"/>
        </w:numPr>
        <w:spacing w:after="120" w:line="240" w:lineRule="auto"/>
        <w:ind w:left="992" w:hanging="357"/>
        <w:jc w:val="both"/>
        <w:rPr>
          <w:rFonts w:ascii="Times New Roman" w:hAnsi="Times New Roman"/>
          <w:sz w:val="28"/>
          <w:szCs w:val="28"/>
        </w:rPr>
      </w:pPr>
      <w:r w:rsidRPr="008E6BE7">
        <w:rPr>
          <w:rFonts w:ascii="Times New Roman" w:hAnsi="Times New Roman"/>
          <w:sz w:val="28"/>
          <w:szCs w:val="28"/>
        </w:rPr>
        <w:t>veselības stāvokļa dēļ turpmāk nevar būt nodarbināts iegūtajā profesijā.</w:t>
      </w:r>
    </w:p>
    <w:p w:rsidR="00E30A90" w:rsidRPr="008E6BE7" w:rsidRDefault="00BC5994" w:rsidP="00C95021">
      <w:pPr>
        <w:spacing w:after="0" w:line="240" w:lineRule="auto"/>
        <w:ind w:firstLine="720"/>
        <w:jc w:val="both"/>
        <w:rPr>
          <w:rFonts w:ascii="Times New Roman" w:hAnsi="Times New Roman"/>
          <w:sz w:val="28"/>
          <w:szCs w:val="28"/>
        </w:rPr>
      </w:pPr>
      <w:r w:rsidRPr="008E6BE7">
        <w:rPr>
          <w:rFonts w:ascii="Times New Roman" w:hAnsi="Times New Roman"/>
          <w:sz w:val="28"/>
          <w:szCs w:val="28"/>
        </w:rPr>
        <w:t xml:space="preserve">Sākotnēji </w:t>
      </w:r>
      <w:proofErr w:type="spellStart"/>
      <w:r w:rsidRPr="008E6BE7">
        <w:rPr>
          <w:rFonts w:ascii="Times New Roman" w:hAnsi="Times New Roman"/>
          <w:sz w:val="28"/>
          <w:szCs w:val="28"/>
        </w:rPr>
        <w:t>izmēģinājumprojekta</w:t>
      </w:r>
      <w:proofErr w:type="spellEnd"/>
      <w:r w:rsidRPr="008E6BE7">
        <w:rPr>
          <w:rFonts w:ascii="Times New Roman" w:hAnsi="Times New Roman"/>
          <w:sz w:val="28"/>
          <w:szCs w:val="28"/>
        </w:rPr>
        <w:t xml:space="preserve"> otrajā </w:t>
      </w:r>
      <w:r w:rsidR="00C23009" w:rsidRPr="008E6BE7">
        <w:rPr>
          <w:rFonts w:ascii="Times New Roman" w:hAnsi="Times New Roman"/>
          <w:sz w:val="28"/>
          <w:szCs w:val="28"/>
        </w:rPr>
        <w:t>kārt</w:t>
      </w:r>
      <w:r w:rsidRPr="008E6BE7">
        <w:rPr>
          <w:rFonts w:ascii="Times New Roman" w:hAnsi="Times New Roman"/>
          <w:sz w:val="28"/>
          <w:szCs w:val="28"/>
        </w:rPr>
        <w:t>ā NVA izdevās īstenot</w:t>
      </w:r>
      <w:r w:rsidR="00E30A90" w:rsidRPr="008E6BE7">
        <w:rPr>
          <w:rFonts w:ascii="Times New Roman" w:hAnsi="Times New Roman"/>
          <w:sz w:val="28"/>
          <w:szCs w:val="28"/>
        </w:rPr>
        <w:t xml:space="preserve"> sadarbību ar sešām izglītības iestādēm, noteiktās profesionālās tālākizglītības programmās:</w:t>
      </w:r>
    </w:p>
    <w:p w:rsidR="00E30A90" w:rsidRPr="008E6BE7" w:rsidRDefault="00B52B6F" w:rsidP="00127D19">
      <w:pPr>
        <w:numPr>
          <w:ilvl w:val="0"/>
          <w:numId w:val="6"/>
        </w:numPr>
        <w:spacing w:after="0" w:line="240" w:lineRule="auto"/>
        <w:ind w:left="993" w:hanging="426"/>
        <w:jc w:val="both"/>
        <w:rPr>
          <w:rFonts w:ascii="Times New Roman" w:hAnsi="Times New Roman"/>
          <w:sz w:val="28"/>
          <w:szCs w:val="28"/>
        </w:rPr>
      </w:pPr>
      <w:r>
        <w:rPr>
          <w:rFonts w:ascii="Times New Roman" w:hAnsi="Times New Roman"/>
          <w:sz w:val="28"/>
          <w:szCs w:val="28"/>
        </w:rPr>
        <w:t>PIKC “Daugavpils B</w:t>
      </w:r>
      <w:r w:rsidR="00E30A90" w:rsidRPr="008E6BE7">
        <w:rPr>
          <w:rFonts w:ascii="Times New Roman" w:hAnsi="Times New Roman"/>
          <w:sz w:val="28"/>
          <w:szCs w:val="28"/>
        </w:rPr>
        <w:t xml:space="preserve">ūvniecības tehnikums” </w:t>
      </w:r>
      <w:r w:rsidR="00C95021" w:rsidRPr="008E6BE7">
        <w:rPr>
          <w:rFonts w:ascii="Times New Roman" w:hAnsi="Times New Roman"/>
          <w:sz w:val="28"/>
          <w:szCs w:val="28"/>
        </w:rPr>
        <w:t>–</w:t>
      </w:r>
      <w:r w:rsidR="00E30A90" w:rsidRPr="008E6BE7">
        <w:rPr>
          <w:rFonts w:ascii="Times New Roman" w:hAnsi="Times New Roman"/>
          <w:sz w:val="28"/>
          <w:szCs w:val="28"/>
        </w:rPr>
        <w:t xml:space="preserve"> </w:t>
      </w:r>
      <w:r w:rsidR="00C95021" w:rsidRPr="008E6BE7">
        <w:rPr>
          <w:rFonts w:ascii="Times New Roman" w:hAnsi="Times New Roman"/>
          <w:sz w:val="28"/>
          <w:szCs w:val="28"/>
        </w:rPr>
        <w:t>“</w:t>
      </w:r>
      <w:r w:rsidR="00E30A90" w:rsidRPr="008E6BE7">
        <w:rPr>
          <w:rFonts w:ascii="Times New Roman" w:hAnsi="Times New Roman"/>
          <w:sz w:val="28"/>
          <w:szCs w:val="28"/>
        </w:rPr>
        <w:t>Inženierkomunikāciju montētājs</w:t>
      </w:r>
      <w:r w:rsidR="00C95021" w:rsidRPr="008E6BE7">
        <w:rPr>
          <w:rFonts w:ascii="Times New Roman" w:hAnsi="Times New Roman"/>
          <w:sz w:val="28"/>
          <w:szCs w:val="28"/>
        </w:rPr>
        <w:t>”</w:t>
      </w:r>
      <w:r w:rsidR="00E30A90" w:rsidRPr="008E6BE7">
        <w:rPr>
          <w:rFonts w:ascii="Times New Roman" w:hAnsi="Times New Roman"/>
          <w:sz w:val="28"/>
          <w:szCs w:val="28"/>
        </w:rPr>
        <w:t xml:space="preserve">, </w:t>
      </w:r>
      <w:r w:rsidR="00C95021" w:rsidRPr="008E6BE7">
        <w:rPr>
          <w:rFonts w:ascii="Times New Roman" w:hAnsi="Times New Roman"/>
          <w:sz w:val="28"/>
          <w:szCs w:val="28"/>
        </w:rPr>
        <w:t>“</w:t>
      </w:r>
      <w:proofErr w:type="spellStart"/>
      <w:r w:rsidR="00E30A90" w:rsidRPr="008E6BE7">
        <w:rPr>
          <w:rFonts w:ascii="Times New Roman" w:hAnsi="Times New Roman"/>
          <w:sz w:val="28"/>
          <w:szCs w:val="28"/>
        </w:rPr>
        <w:t>Lokmetinātājs</w:t>
      </w:r>
      <w:proofErr w:type="spellEnd"/>
      <w:r w:rsidR="00E30A90" w:rsidRPr="008E6BE7">
        <w:rPr>
          <w:rFonts w:ascii="Times New Roman" w:hAnsi="Times New Roman"/>
          <w:sz w:val="28"/>
          <w:szCs w:val="28"/>
        </w:rPr>
        <w:t xml:space="preserve"> metināšanā ar mehanizēto iekārtu inertas gāzes vidē </w:t>
      </w:r>
      <w:r w:rsidR="00C95021" w:rsidRPr="008E6BE7">
        <w:rPr>
          <w:rFonts w:ascii="Times New Roman" w:hAnsi="Times New Roman"/>
          <w:sz w:val="28"/>
          <w:szCs w:val="28"/>
        </w:rPr>
        <w:t>(</w:t>
      </w:r>
      <w:r w:rsidR="00E30A90" w:rsidRPr="008E6BE7">
        <w:rPr>
          <w:rFonts w:ascii="Times New Roman" w:hAnsi="Times New Roman"/>
          <w:sz w:val="28"/>
          <w:szCs w:val="28"/>
        </w:rPr>
        <w:t>MIG</w:t>
      </w:r>
      <w:r w:rsidR="00C95021" w:rsidRPr="008E6BE7">
        <w:rPr>
          <w:rFonts w:ascii="Times New Roman" w:hAnsi="Times New Roman"/>
          <w:sz w:val="28"/>
          <w:szCs w:val="28"/>
        </w:rPr>
        <w:t>)”</w:t>
      </w:r>
      <w:r w:rsidR="00E30A90" w:rsidRPr="008E6BE7">
        <w:rPr>
          <w:rFonts w:ascii="Times New Roman" w:hAnsi="Times New Roman"/>
          <w:sz w:val="28"/>
          <w:szCs w:val="28"/>
        </w:rPr>
        <w:t>;</w:t>
      </w:r>
    </w:p>
    <w:p w:rsidR="00E30A90" w:rsidRPr="008E6BE7" w:rsidRDefault="00E30A90" w:rsidP="00127D19">
      <w:pPr>
        <w:numPr>
          <w:ilvl w:val="0"/>
          <w:numId w:val="6"/>
        </w:numPr>
        <w:spacing w:after="0" w:line="240" w:lineRule="auto"/>
        <w:ind w:left="993" w:hanging="426"/>
        <w:jc w:val="both"/>
        <w:rPr>
          <w:rFonts w:ascii="Times New Roman" w:hAnsi="Times New Roman"/>
          <w:sz w:val="28"/>
          <w:szCs w:val="28"/>
        </w:rPr>
      </w:pPr>
      <w:r w:rsidRPr="008E6BE7">
        <w:rPr>
          <w:rFonts w:ascii="Times New Roman" w:hAnsi="Times New Roman"/>
          <w:sz w:val="28"/>
          <w:szCs w:val="28"/>
        </w:rPr>
        <w:t xml:space="preserve">PIKC “Rīgas Valsts tehnikums” </w:t>
      </w:r>
      <w:r w:rsidR="00C95021" w:rsidRPr="008E6BE7">
        <w:rPr>
          <w:rFonts w:ascii="Times New Roman" w:hAnsi="Times New Roman"/>
          <w:sz w:val="28"/>
          <w:szCs w:val="28"/>
        </w:rPr>
        <w:t>–</w:t>
      </w:r>
      <w:r w:rsidRPr="008E6BE7">
        <w:rPr>
          <w:rFonts w:ascii="Times New Roman" w:hAnsi="Times New Roman"/>
          <w:sz w:val="28"/>
          <w:szCs w:val="28"/>
        </w:rPr>
        <w:t xml:space="preserve"> </w:t>
      </w:r>
      <w:r w:rsidR="00C95021" w:rsidRPr="008E6BE7">
        <w:rPr>
          <w:rFonts w:ascii="Times New Roman" w:hAnsi="Times New Roman"/>
          <w:sz w:val="28"/>
          <w:szCs w:val="28"/>
        </w:rPr>
        <w:t>“</w:t>
      </w:r>
      <w:r w:rsidRPr="008E6BE7">
        <w:rPr>
          <w:rFonts w:ascii="Times New Roman" w:hAnsi="Times New Roman"/>
          <w:sz w:val="28"/>
          <w:szCs w:val="28"/>
        </w:rPr>
        <w:t>Automehāniķis</w:t>
      </w:r>
      <w:r w:rsidR="00C95021" w:rsidRPr="008E6BE7">
        <w:rPr>
          <w:rFonts w:ascii="Times New Roman" w:hAnsi="Times New Roman"/>
          <w:sz w:val="28"/>
          <w:szCs w:val="28"/>
        </w:rPr>
        <w:t>”</w:t>
      </w:r>
      <w:r w:rsidRPr="008E6BE7">
        <w:rPr>
          <w:rFonts w:ascii="Times New Roman" w:hAnsi="Times New Roman"/>
          <w:sz w:val="28"/>
          <w:szCs w:val="28"/>
        </w:rPr>
        <w:t xml:space="preserve">, </w:t>
      </w:r>
      <w:r w:rsidR="00C95021" w:rsidRPr="008E6BE7">
        <w:rPr>
          <w:rFonts w:ascii="Times New Roman" w:hAnsi="Times New Roman"/>
          <w:sz w:val="28"/>
          <w:szCs w:val="28"/>
        </w:rPr>
        <w:t>“</w:t>
      </w:r>
      <w:r w:rsidRPr="008E6BE7">
        <w:rPr>
          <w:rFonts w:ascii="Times New Roman" w:hAnsi="Times New Roman"/>
          <w:sz w:val="28"/>
          <w:szCs w:val="28"/>
        </w:rPr>
        <w:t>Elektrotehniķis</w:t>
      </w:r>
      <w:r w:rsidR="00C95021" w:rsidRPr="008E6BE7">
        <w:rPr>
          <w:rFonts w:ascii="Times New Roman" w:hAnsi="Times New Roman"/>
          <w:sz w:val="28"/>
          <w:szCs w:val="28"/>
        </w:rPr>
        <w:t>”</w:t>
      </w:r>
      <w:r w:rsidRPr="008E6BE7">
        <w:rPr>
          <w:rFonts w:ascii="Times New Roman" w:hAnsi="Times New Roman"/>
          <w:sz w:val="28"/>
          <w:szCs w:val="28"/>
        </w:rPr>
        <w:t>;</w:t>
      </w:r>
    </w:p>
    <w:p w:rsidR="00E30A90" w:rsidRPr="008E6BE7" w:rsidRDefault="00B52B6F" w:rsidP="00127D19">
      <w:pPr>
        <w:numPr>
          <w:ilvl w:val="0"/>
          <w:numId w:val="6"/>
        </w:numPr>
        <w:spacing w:after="0" w:line="240" w:lineRule="auto"/>
        <w:ind w:left="993" w:hanging="426"/>
        <w:jc w:val="both"/>
        <w:rPr>
          <w:rFonts w:ascii="Times New Roman" w:hAnsi="Times New Roman"/>
          <w:sz w:val="28"/>
          <w:szCs w:val="28"/>
        </w:rPr>
      </w:pPr>
      <w:r>
        <w:rPr>
          <w:rFonts w:ascii="Times New Roman" w:hAnsi="Times New Roman"/>
          <w:sz w:val="28"/>
          <w:szCs w:val="28"/>
        </w:rPr>
        <w:t>PIKC “Rīgas T</w:t>
      </w:r>
      <w:r w:rsidR="00E30A90" w:rsidRPr="008E6BE7">
        <w:rPr>
          <w:rFonts w:ascii="Times New Roman" w:hAnsi="Times New Roman"/>
          <w:sz w:val="28"/>
          <w:szCs w:val="28"/>
        </w:rPr>
        <w:t xml:space="preserve">ūrisma un radošas industrijas tehnikums” </w:t>
      </w:r>
      <w:r w:rsidR="00C95021" w:rsidRPr="008E6BE7">
        <w:rPr>
          <w:rFonts w:ascii="Times New Roman" w:hAnsi="Times New Roman"/>
          <w:sz w:val="28"/>
          <w:szCs w:val="28"/>
        </w:rPr>
        <w:t>– “</w:t>
      </w:r>
      <w:r w:rsidR="00E30A90" w:rsidRPr="008E6BE7">
        <w:rPr>
          <w:rFonts w:ascii="Times New Roman" w:hAnsi="Times New Roman"/>
          <w:sz w:val="28"/>
          <w:szCs w:val="28"/>
        </w:rPr>
        <w:t>Konditora palīgs</w:t>
      </w:r>
      <w:r w:rsidR="00C95021" w:rsidRPr="008E6BE7">
        <w:rPr>
          <w:rFonts w:ascii="Times New Roman" w:hAnsi="Times New Roman"/>
          <w:sz w:val="28"/>
          <w:szCs w:val="28"/>
        </w:rPr>
        <w:t>”</w:t>
      </w:r>
      <w:r w:rsidR="00E30A90" w:rsidRPr="008E6BE7">
        <w:rPr>
          <w:rFonts w:ascii="Times New Roman" w:hAnsi="Times New Roman"/>
          <w:sz w:val="28"/>
          <w:szCs w:val="28"/>
        </w:rPr>
        <w:t xml:space="preserve">, </w:t>
      </w:r>
      <w:r w:rsidR="00C95021" w:rsidRPr="008E6BE7">
        <w:rPr>
          <w:rFonts w:ascii="Times New Roman" w:hAnsi="Times New Roman"/>
          <w:sz w:val="28"/>
          <w:szCs w:val="28"/>
        </w:rPr>
        <w:t>“</w:t>
      </w:r>
      <w:r w:rsidR="00E30A90" w:rsidRPr="008E6BE7">
        <w:rPr>
          <w:rFonts w:ascii="Times New Roman" w:hAnsi="Times New Roman"/>
          <w:sz w:val="28"/>
          <w:szCs w:val="28"/>
        </w:rPr>
        <w:t>Maiznieks</w:t>
      </w:r>
      <w:r w:rsidR="00C95021" w:rsidRPr="008E6BE7">
        <w:rPr>
          <w:rFonts w:ascii="Times New Roman" w:hAnsi="Times New Roman"/>
          <w:sz w:val="28"/>
          <w:szCs w:val="28"/>
        </w:rPr>
        <w:t>”</w:t>
      </w:r>
      <w:r w:rsidR="00E30A90" w:rsidRPr="008E6BE7">
        <w:rPr>
          <w:rFonts w:ascii="Times New Roman" w:hAnsi="Times New Roman"/>
          <w:sz w:val="28"/>
          <w:szCs w:val="28"/>
        </w:rPr>
        <w:t>;</w:t>
      </w:r>
    </w:p>
    <w:p w:rsidR="00E30A90" w:rsidRPr="008E6BE7" w:rsidRDefault="00E30A90" w:rsidP="00127D19">
      <w:pPr>
        <w:numPr>
          <w:ilvl w:val="0"/>
          <w:numId w:val="6"/>
        </w:numPr>
        <w:tabs>
          <w:tab w:val="left" w:pos="993"/>
        </w:tabs>
        <w:spacing w:after="0" w:line="240" w:lineRule="auto"/>
        <w:ind w:left="993" w:hanging="426"/>
        <w:jc w:val="both"/>
        <w:rPr>
          <w:rFonts w:ascii="Times New Roman" w:hAnsi="Times New Roman"/>
          <w:sz w:val="28"/>
          <w:szCs w:val="28"/>
        </w:rPr>
      </w:pPr>
      <w:r w:rsidRPr="008E6BE7">
        <w:rPr>
          <w:rFonts w:ascii="Times New Roman" w:hAnsi="Times New Roman"/>
          <w:sz w:val="28"/>
          <w:szCs w:val="28"/>
        </w:rPr>
        <w:t xml:space="preserve">PIKC „Jelgavas tehnikums”– </w:t>
      </w:r>
      <w:r w:rsidR="00C95021" w:rsidRPr="008E6BE7">
        <w:rPr>
          <w:rFonts w:ascii="Times New Roman" w:hAnsi="Times New Roman"/>
          <w:sz w:val="28"/>
          <w:szCs w:val="28"/>
        </w:rPr>
        <w:t>“</w:t>
      </w:r>
      <w:r w:rsidRPr="008E6BE7">
        <w:rPr>
          <w:rFonts w:ascii="Times New Roman" w:hAnsi="Times New Roman"/>
          <w:sz w:val="28"/>
          <w:szCs w:val="28"/>
        </w:rPr>
        <w:t>Lietvedis</w:t>
      </w:r>
      <w:r w:rsidR="00C95021" w:rsidRPr="008E6BE7">
        <w:rPr>
          <w:rFonts w:ascii="Times New Roman" w:hAnsi="Times New Roman"/>
          <w:sz w:val="28"/>
          <w:szCs w:val="28"/>
        </w:rPr>
        <w:t>”</w:t>
      </w:r>
      <w:r w:rsidRPr="008E6BE7">
        <w:rPr>
          <w:rFonts w:ascii="Times New Roman" w:hAnsi="Times New Roman"/>
          <w:sz w:val="28"/>
          <w:szCs w:val="28"/>
        </w:rPr>
        <w:t xml:space="preserve">, </w:t>
      </w:r>
      <w:r w:rsidR="00C95021" w:rsidRPr="008E6BE7">
        <w:rPr>
          <w:rFonts w:ascii="Times New Roman" w:hAnsi="Times New Roman"/>
          <w:sz w:val="28"/>
          <w:szCs w:val="28"/>
        </w:rPr>
        <w:t>“</w:t>
      </w:r>
      <w:r w:rsidRPr="008E6BE7">
        <w:rPr>
          <w:rFonts w:ascii="Times New Roman" w:hAnsi="Times New Roman"/>
          <w:sz w:val="28"/>
          <w:szCs w:val="28"/>
        </w:rPr>
        <w:t>Autoatslēdznieks</w:t>
      </w:r>
      <w:r w:rsidR="00C95021" w:rsidRPr="008E6BE7">
        <w:rPr>
          <w:rFonts w:ascii="Times New Roman" w:hAnsi="Times New Roman"/>
          <w:sz w:val="28"/>
          <w:szCs w:val="28"/>
        </w:rPr>
        <w:t>”</w:t>
      </w:r>
      <w:r w:rsidRPr="008E6BE7">
        <w:rPr>
          <w:rFonts w:ascii="Times New Roman" w:hAnsi="Times New Roman"/>
          <w:sz w:val="28"/>
          <w:szCs w:val="28"/>
        </w:rPr>
        <w:t xml:space="preserve">, </w:t>
      </w:r>
      <w:r w:rsidR="00C95021" w:rsidRPr="008E6BE7">
        <w:rPr>
          <w:rFonts w:ascii="Times New Roman" w:hAnsi="Times New Roman"/>
          <w:sz w:val="28"/>
          <w:szCs w:val="28"/>
        </w:rPr>
        <w:t>“</w:t>
      </w:r>
      <w:r w:rsidRPr="008E6BE7">
        <w:rPr>
          <w:rFonts w:ascii="Times New Roman" w:hAnsi="Times New Roman"/>
          <w:sz w:val="28"/>
          <w:szCs w:val="28"/>
        </w:rPr>
        <w:t>Automehāniķis</w:t>
      </w:r>
      <w:r w:rsidR="00C95021" w:rsidRPr="008E6BE7">
        <w:rPr>
          <w:rFonts w:ascii="Times New Roman" w:hAnsi="Times New Roman"/>
          <w:sz w:val="28"/>
          <w:szCs w:val="28"/>
        </w:rPr>
        <w:t>”</w:t>
      </w:r>
      <w:r w:rsidRPr="008E6BE7">
        <w:rPr>
          <w:rFonts w:ascii="Times New Roman" w:hAnsi="Times New Roman"/>
          <w:sz w:val="28"/>
          <w:szCs w:val="28"/>
        </w:rPr>
        <w:t xml:space="preserve">, </w:t>
      </w:r>
      <w:r w:rsidR="00C95021" w:rsidRPr="008E6BE7">
        <w:rPr>
          <w:rFonts w:ascii="Times New Roman" w:hAnsi="Times New Roman"/>
          <w:sz w:val="28"/>
          <w:szCs w:val="28"/>
        </w:rPr>
        <w:t>“</w:t>
      </w:r>
      <w:r w:rsidRPr="008E6BE7">
        <w:rPr>
          <w:rFonts w:ascii="Times New Roman" w:hAnsi="Times New Roman"/>
          <w:sz w:val="28"/>
          <w:szCs w:val="28"/>
        </w:rPr>
        <w:t>Datorsistēmu tehniķis</w:t>
      </w:r>
      <w:r w:rsidR="00C95021" w:rsidRPr="008E6BE7">
        <w:rPr>
          <w:rFonts w:ascii="Times New Roman" w:hAnsi="Times New Roman"/>
          <w:sz w:val="28"/>
          <w:szCs w:val="28"/>
        </w:rPr>
        <w:t>”</w:t>
      </w:r>
      <w:r w:rsidRPr="008E6BE7">
        <w:rPr>
          <w:rFonts w:ascii="Times New Roman" w:hAnsi="Times New Roman"/>
          <w:sz w:val="28"/>
          <w:szCs w:val="28"/>
        </w:rPr>
        <w:t>;</w:t>
      </w:r>
    </w:p>
    <w:p w:rsidR="00E30A90" w:rsidRPr="008E6BE7" w:rsidRDefault="00B52B6F" w:rsidP="00127D19">
      <w:pPr>
        <w:numPr>
          <w:ilvl w:val="0"/>
          <w:numId w:val="6"/>
        </w:numPr>
        <w:tabs>
          <w:tab w:val="left" w:pos="1134"/>
        </w:tabs>
        <w:spacing w:after="0" w:line="240" w:lineRule="auto"/>
        <w:ind w:left="993" w:hanging="426"/>
        <w:jc w:val="both"/>
        <w:rPr>
          <w:rFonts w:ascii="Times New Roman" w:hAnsi="Times New Roman"/>
          <w:sz w:val="28"/>
          <w:szCs w:val="28"/>
        </w:rPr>
      </w:pPr>
      <w:r>
        <w:rPr>
          <w:rFonts w:ascii="Times New Roman" w:hAnsi="Times New Roman"/>
          <w:sz w:val="28"/>
          <w:szCs w:val="28"/>
        </w:rPr>
        <w:t>PIKC “Kuldīgas T</w:t>
      </w:r>
      <w:r w:rsidR="00E30A90" w:rsidRPr="008E6BE7">
        <w:rPr>
          <w:rFonts w:ascii="Times New Roman" w:hAnsi="Times New Roman"/>
          <w:sz w:val="28"/>
          <w:szCs w:val="28"/>
        </w:rPr>
        <w:t xml:space="preserve">ehnoloģiju un tūrisma tehnikums” </w:t>
      </w:r>
      <w:r w:rsidR="00C95021" w:rsidRPr="008E6BE7">
        <w:rPr>
          <w:rFonts w:ascii="Times New Roman" w:hAnsi="Times New Roman"/>
          <w:sz w:val="28"/>
          <w:szCs w:val="28"/>
        </w:rPr>
        <w:t>–</w:t>
      </w:r>
      <w:r w:rsidR="00E30A90" w:rsidRPr="008E6BE7">
        <w:rPr>
          <w:rFonts w:ascii="Times New Roman" w:hAnsi="Times New Roman"/>
          <w:sz w:val="28"/>
          <w:szCs w:val="28"/>
        </w:rPr>
        <w:t xml:space="preserve"> </w:t>
      </w:r>
      <w:r w:rsidR="00C95021" w:rsidRPr="008E6BE7">
        <w:rPr>
          <w:rFonts w:ascii="Times New Roman" w:hAnsi="Times New Roman"/>
          <w:sz w:val="28"/>
          <w:szCs w:val="28"/>
        </w:rPr>
        <w:t>“</w:t>
      </w:r>
      <w:r w:rsidR="00E30A90" w:rsidRPr="008E6BE7">
        <w:rPr>
          <w:rFonts w:ascii="Times New Roman" w:hAnsi="Times New Roman"/>
          <w:sz w:val="28"/>
          <w:szCs w:val="28"/>
        </w:rPr>
        <w:t>Galdnieks</w:t>
      </w:r>
      <w:r w:rsidR="00C95021" w:rsidRPr="008E6BE7">
        <w:rPr>
          <w:rFonts w:ascii="Times New Roman" w:hAnsi="Times New Roman"/>
          <w:sz w:val="28"/>
          <w:szCs w:val="28"/>
        </w:rPr>
        <w:t>”</w:t>
      </w:r>
      <w:r w:rsidR="00E30A90" w:rsidRPr="008E6BE7">
        <w:rPr>
          <w:rFonts w:ascii="Times New Roman" w:hAnsi="Times New Roman"/>
          <w:sz w:val="28"/>
          <w:szCs w:val="28"/>
        </w:rPr>
        <w:t>;</w:t>
      </w:r>
    </w:p>
    <w:p w:rsidR="00E30A90" w:rsidRPr="008E6BE7" w:rsidRDefault="00B52B6F" w:rsidP="00127D19">
      <w:pPr>
        <w:numPr>
          <w:ilvl w:val="0"/>
          <w:numId w:val="6"/>
        </w:numPr>
        <w:tabs>
          <w:tab w:val="left" w:pos="1134"/>
        </w:tabs>
        <w:spacing w:after="120" w:line="240" w:lineRule="auto"/>
        <w:ind w:left="992" w:hanging="425"/>
        <w:jc w:val="both"/>
        <w:rPr>
          <w:rFonts w:ascii="Times New Roman" w:hAnsi="Times New Roman"/>
          <w:sz w:val="28"/>
          <w:szCs w:val="28"/>
        </w:rPr>
      </w:pPr>
      <w:r>
        <w:rPr>
          <w:rFonts w:ascii="Times New Roman" w:hAnsi="Times New Roman"/>
          <w:sz w:val="28"/>
          <w:szCs w:val="28"/>
        </w:rPr>
        <w:t>PIKC “Liepājas V</w:t>
      </w:r>
      <w:r w:rsidR="00E30A90" w:rsidRPr="008E6BE7">
        <w:rPr>
          <w:rFonts w:ascii="Times New Roman" w:hAnsi="Times New Roman"/>
          <w:sz w:val="28"/>
          <w:szCs w:val="28"/>
        </w:rPr>
        <w:t xml:space="preserve">alsts tehnikums” </w:t>
      </w:r>
      <w:r w:rsidR="00C95021" w:rsidRPr="008E6BE7">
        <w:rPr>
          <w:rFonts w:ascii="Times New Roman" w:hAnsi="Times New Roman"/>
          <w:sz w:val="28"/>
          <w:szCs w:val="28"/>
        </w:rPr>
        <w:t>–</w:t>
      </w:r>
      <w:r w:rsidR="00E30A90" w:rsidRPr="008E6BE7">
        <w:rPr>
          <w:rFonts w:ascii="Times New Roman" w:hAnsi="Times New Roman"/>
          <w:sz w:val="28"/>
          <w:szCs w:val="28"/>
        </w:rPr>
        <w:t xml:space="preserve"> </w:t>
      </w:r>
      <w:r w:rsidR="00C95021" w:rsidRPr="008E6BE7">
        <w:rPr>
          <w:rFonts w:ascii="Times New Roman" w:hAnsi="Times New Roman"/>
          <w:sz w:val="28"/>
          <w:szCs w:val="28"/>
        </w:rPr>
        <w:t>“</w:t>
      </w:r>
      <w:r w:rsidR="00E30A90" w:rsidRPr="008E6BE7">
        <w:rPr>
          <w:rFonts w:ascii="Times New Roman" w:hAnsi="Times New Roman"/>
          <w:sz w:val="28"/>
          <w:szCs w:val="28"/>
        </w:rPr>
        <w:t>Šuvējs</w:t>
      </w:r>
      <w:r w:rsidR="00C95021" w:rsidRPr="008E6BE7">
        <w:rPr>
          <w:rFonts w:ascii="Times New Roman" w:hAnsi="Times New Roman"/>
          <w:sz w:val="28"/>
          <w:szCs w:val="28"/>
        </w:rPr>
        <w:t>”</w:t>
      </w:r>
      <w:r w:rsidR="00E30A90" w:rsidRPr="008E6BE7">
        <w:rPr>
          <w:rFonts w:ascii="Times New Roman" w:hAnsi="Times New Roman"/>
          <w:sz w:val="28"/>
          <w:szCs w:val="28"/>
        </w:rPr>
        <w:t>.</w:t>
      </w:r>
    </w:p>
    <w:p w:rsidR="00C23009" w:rsidRPr="008E6BE7" w:rsidRDefault="006B6276" w:rsidP="00C90E36">
      <w:pPr>
        <w:spacing w:after="120" w:line="240" w:lineRule="auto"/>
        <w:ind w:firstLine="720"/>
        <w:jc w:val="both"/>
        <w:rPr>
          <w:rFonts w:ascii="Times New Roman" w:hAnsi="Times New Roman"/>
          <w:sz w:val="28"/>
          <w:szCs w:val="28"/>
        </w:rPr>
      </w:pPr>
      <w:r w:rsidRPr="008E6BE7">
        <w:rPr>
          <w:rFonts w:ascii="Times New Roman" w:hAnsi="Times New Roman"/>
          <w:sz w:val="28"/>
          <w:szCs w:val="28"/>
        </w:rPr>
        <w:t>Tomēr 2015. gadā izglītības program</w:t>
      </w:r>
      <w:r w:rsidR="00BC5994" w:rsidRPr="008E6BE7">
        <w:rPr>
          <w:rFonts w:ascii="Times New Roman" w:hAnsi="Times New Roman"/>
          <w:sz w:val="28"/>
          <w:szCs w:val="28"/>
        </w:rPr>
        <w:t xml:space="preserve">mu apguvi </w:t>
      </w:r>
      <w:proofErr w:type="spellStart"/>
      <w:r w:rsidR="00BC5994" w:rsidRPr="008E6BE7">
        <w:rPr>
          <w:rFonts w:ascii="Times New Roman" w:hAnsi="Times New Roman"/>
          <w:sz w:val="28"/>
          <w:szCs w:val="28"/>
        </w:rPr>
        <w:t>izmēģinājumprojekta</w:t>
      </w:r>
      <w:proofErr w:type="spellEnd"/>
      <w:r w:rsidR="00BC5994" w:rsidRPr="008E6BE7">
        <w:rPr>
          <w:rFonts w:ascii="Times New Roman" w:hAnsi="Times New Roman"/>
          <w:sz w:val="28"/>
          <w:szCs w:val="28"/>
        </w:rPr>
        <w:t xml:space="preserve"> otrās </w:t>
      </w:r>
      <w:r w:rsidRPr="008E6BE7">
        <w:rPr>
          <w:rFonts w:ascii="Times New Roman" w:hAnsi="Times New Roman"/>
          <w:sz w:val="28"/>
          <w:szCs w:val="28"/>
        </w:rPr>
        <w:t xml:space="preserve">kārtas ietvaros uzsāka </w:t>
      </w:r>
      <w:r w:rsidR="00BC5994" w:rsidRPr="008E6BE7">
        <w:rPr>
          <w:rFonts w:ascii="Times New Roman" w:hAnsi="Times New Roman"/>
          <w:sz w:val="28"/>
          <w:szCs w:val="28"/>
        </w:rPr>
        <w:t xml:space="preserve">tikai 77 bezdarbnieki jeb </w:t>
      </w:r>
      <w:r w:rsidR="00421893" w:rsidRPr="008E6BE7">
        <w:rPr>
          <w:rFonts w:ascii="Times New Roman" w:hAnsi="Times New Roman"/>
          <w:sz w:val="28"/>
          <w:szCs w:val="28"/>
        </w:rPr>
        <w:t>38,</w:t>
      </w:r>
      <w:r w:rsidRPr="008E6BE7">
        <w:rPr>
          <w:rFonts w:ascii="Times New Roman" w:hAnsi="Times New Roman"/>
          <w:sz w:val="28"/>
          <w:szCs w:val="28"/>
        </w:rPr>
        <w:t xml:space="preserve">5 % no kopēja rezultatīvā radītāja - 200 iesaistāmajiem. Līdz ar to NVA </w:t>
      </w:r>
      <w:r w:rsidR="00967F66" w:rsidRPr="008E6BE7">
        <w:rPr>
          <w:rFonts w:ascii="Times New Roman" w:hAnsi="Times New Roman"/>
          <w:sz w:val="28"/>
          <w:szCs w:val="28"/>
        </w:rPr>
        <w:t xml:space="preserve">vairākkārt </w:t>
      </w:r>
      <w:r w:rsidR="00B927F2" w:rsidRPr="008E6BE7">
        <w:rPr>
          <w:rFonts w:ascii="Times New Roman" w:hAnsi="Times New Roman"/>
          <w:sz w:val="28"/>
          <w:szCs w:val="28"/>
        </w:rPr>
        <w:t xml:space="preserve">nācās </w:t>
      </w:r>
      <w:r w:rsidR="00A13BD8" w:rsidRPr="008E6BE7">
        <w:rPr>
          <w:rFonts w:ascii="Times New Roman" w:hAnsi="Times New Roman"/>
          <w:sz w:val="28"/>
          <w:szCs w:val="28"/>
        </w:rPr>
        <w:t>atkārtoti nosūt</w:t>
      </w:r>
      <w:r w:rsidR="00B927F2" w:rsidRPr="008E6BE7">
        <w:rPr>
          <w:rFonts w:ascii="Times New Roman" w:hAnsi="Times New Roman"/>
          <w:sz w:val="28"/>
          <w:szCs w:val="28"/>
        </w:rPr>
        <w:t>īt</w:t>
      </w:r>
      <w:r w:rsidR="00A13BD8" w:rsidRPr="008E6BE7">
        <w:rPr>
          <w:rFonts w:ascii="Times New Roman" w:hAnsi="Times New Roman"/>
          <w:sz w:val="28"/>
          <w:szCs w:val="28"/>
        </w:rPr>
        <w:t xml:space="preserve"> uzaicinājumus PII </w:t>
      </w:r>
      <w:r w:rsidR="00966B1B" w:rsidRPr="008E6BE7">
        <w:rPr>
          <w:rFonts w:ascii="Times New Roman" w:hAnsi="Times New Roman"/>
          <w:sz w:val="28"/>
          <w:szCs w:val="28"/>
        </w:rPr>
        <w:t xml:space="preserve">un PIKC </w:t>
      </w:r>
      <w:r w:rsidR="00A13BD8" w:rsidRPr="008E6BE7">
        <w:rPr>
          <w:rFonts w:ascii="Times New Roman" w:hAnsi="Times New Roman"/>
          <w:sz w:val="28"/>
          <w:szCs w:val="28"/>
        </w:rPr>
        <w:t xml:space="preserve">par iespēju iesaistīties </w:t>
      </w:r>
      <w:proofErr w:type="spellStart"/>
      <w:r w:rsidR="00A13BD8" w:rsidRPr="008E6BE7">
        <w:rPr>
          <w:rFonts w:ascii="Times New Roman" w:hAnsi="Times New Roman"/>
          <w:sz w:val="28"/>
          <w:szCs w:val="28"/>
        </w:rPr>
        <w:t>izmēģinājumprojektā</w:t>
      </w:r>
      <w:proofErr w:type="spellEnd"/>
      <w:r w:rsidR="00A13BD8" w:rsidRPr="008E6BE7">
        <w:rPr>
          <w:rFonts w:ascii="Times New Roman" w:hAnsi="Times New Roman"/>
          <w:sz w:val="28"/>
          <w:szCs w:val="28"/>
        </w:rPr>
        <w:t xml:space="preserve">, kā rezultātā līdz 2016. gada martam NVA izdevās noslēgt sadarbības līgumus ar papildus </w:t>
      </w:r>
      <w:r w:rsidR="00967F66" w:rsidRPr="008E6BE7">
        <w:rPr>
          <w:rFonts w:ascii="Times New Roman" w:hAnsi="Times New Roman"/>
          <w:sz w:val="28"/>
          <w:szCs w:val="28"/>
        </w:rPr>
        <w:t>astoņām</w:t>
      </w:r>
      <w:r w:rsidR="00A13BD8" w:rsidRPr="008E6BE7">
        <w:rPr>
          <w:rFonts w:ascii="Times New Roman" w:hAnsi="Times New Roman"/>
          <w:sz w:val="28"/>
          <w:szCs w:val="28"/>
        </w:rPr>
        <w:t xml:space="preserve"> izglītības iestādēm, noteiktās profesionālās tālākizglītības programmās:</w:t>
      </w:r>
    </w:p>
    <w:p w:rsidR="00A13BD8" w:rsidRPr="008E6BE7" w:rsidRDefault="00A13BD8" w:rsidP="00127D19">
      <w:pPr>
        <w:numPr>
          <w:ilvl w:val="0"/>
          <w:numId w:val="7"/>
        </w:numPr>
        <w:spacing w:after="0" w:line="240" w:lineRule="auto"/>
        <w:ind w:left="992" w:hanging="425"/>
        <w:jc w:val="both"/>
        <w:rPr>
          <w:rFonts w:ascii="Times New Roman" w:hAnsi="Times New Roman"/>
          <w:sz w:val="28"/>
          <w:szCs w:val="28"/>
        </w:rPr>
      </w:pPr>
      <w:r w:rsidRPr="008E6BE7">
        <w:rPr>
          <w:rFonts w:ascii="Times New Roman" w:hAnsi="Times New Roman"/>
          <w:sz w:val="28"/>
          <w:szCs w:val="28"/>
        </w:rPr>
        <w:t xml:space="preserve">PIKC “Smiltenes tehnikums” </w:t>
      </w:r>
      <w:r w:rsidR="00421893" w:rsidRPr="008E6BE7">
        <w:rPr>
          <w:rFonts w:ascii="Times New Roman" w:hAnsi="Times New Roman"/>
          <w:sz w:val="28"/>
          <w:szCs w:val="28"/>
        </w:rPr>
        <w:t>–</w:t>
      </w:r>
      <w:r w:rsidRPr="008E6BE7">
        <w:rPr>
          <w:rFonts w:ascii="Times New Roman" w:hAnsi="Times New Roman"/>
          <w:sz w:val="28"/>
          <w:szCs w:val="28"/>
        </w:rPr>
        <w:t xml:space="preserve"> </w:t>
      </w:r>
      <w:r w:rsidR="00421893" w:rsidRPr="008E6BE7">
        <w:rPr>
          <w:rFonts w:ascii="Times New Roman" w:hAnsi="Times New Roman"/>
          <w:sz w:val="28"/>
          <w:szCs w:val="28"/>
        </w:rPr>
        <w:t>“</w:t>
      </w:r>
      <w:r w:rsidRPr="008E6BE7">
        <w:rPr>
          <w:rFonts w:ascii="Times New Roman" w:hAnsi="Times New Roman"/>
          <w:sz w:val="28"/>
          <w:szCs w:val="28"/>
        </w:rPr>
        <w:t>Šuvējs;</w:t>
      </w:r>
    </w:p>
    <w:p w:rsidR="00A13BD8" w:rsidRPr="008E6BE7" w:rsidRDefault="00A13BD8" w:rsidP="00127D19">
      <w:pPr>
        <w:numPr>
          <w:ilvl w:val="0"/>
          <w:numId w:val="7"/>
        </w:numPr>
        <w:spacing w:after="0" w:line="240" w:lineRule="auto"/>
        <w:ind w:left="992" w:hanging="425"/>
        <w:jc w:val="both"/>
        <w:rPr>
          <w:rFonts w:ascii="Times New Roman" w:hAnsi="Times New Roman"/>
          <w:sz w:val="28"/>
          <w:szCs w:val="28"/>
        </w:rPr>
      </w:pPr>
      <w:r w:rsidRPr="008E6BE7">
        <w:rPr>
          <w:rFonts w:ascii="Times New Roman" w:hAnsi="Times New Roman"/>
          <w:sz w:val="28"/>
          <w:szCs w:val="28"/>
        </w:rPr>
        <w:t xml:space="preserve">PIKC "Rīgas Tehniskā koledža” – </w:t>
      </w:r>
      <w:r w:rsidR="00967F66" w:rsidRPr="008E6BE7">
        <w:rPr>
          <w:rFonts w:ascii="Times New Roman" w:hAnsi="Times New Roman"/>
          <w:sz w:val="28"/>
          <w:szCs w:val="28"/>
        </w:rPr>
        <w:t>“</w:t>
      </w:r>
      <w:r w:rsidRPr="008E6BE7">
        <w:rPr>
          <w:rFonts w:ascii="Times New Roman" w:hAnsi="Times New Roman"/>
          <w:sz w:val="28"/>
          <w:szCs w:val="28"/>
        </w:rPr>
        <w:t>Elektrotehniķis</w:t>
      </w:r>
      <w:r w:rsidR="00967F66" w:rsidRPr="008E6BE7">
        <w:rPr>
          <w:rFonts w:ascii="Times New Roman" w:hAnsi="Times New Roman"/>
          <w:sz w:val="28"/>
          <w:szCs w:val="28"/>
        </w:rPr>
        <w:t>”</w:t>
      </w:r>
      <w:r w:rsidRPr="008E6BE7">
        <w:rPr>
          <w:rFonts w:ascii="Times New Roman" w:hAnsi="Times New Roman"/>
          <w:sz w:val="28"/>
          <w:szCs w:val="28"/>
        </w:rPr>
        <w:t xml:space="preserve">, </w:t>
      </w:r>
      <w:r w:rsidR="00967F66" w:rsidRPr="008E6BE7">
        <w:rPr>
          <w:rFonts w:ascii="Times New Roman" w:hAnsi="Times New Roman"/>
          <w:sz w:val="28"/>
          <w:szCs w:val="28"/>
        </w:rPr>
        <w:t>“</w:t>
      </w:r>
      <w:r w:rsidRPr="008E6BE7">
        <w:rPr>
          <w:rFonts w:ascii="Times New Roman" w:hAnsi="Times New Roman"/>
          <w:sz w:val="28"/>
          <w:szCs w:val="28"/>
        </w:rPr>
        <w:t>Loģistikas darbinieks</w:t>
      </w:r>
      <w:r w:rsidR="00967F66" w:rsidRPr="008E6BE7">
        <w:rPr>
          <w:rFonts w:ascii="Times New Roman" w:hAnsi="Times New Roman"/>
          <w:sz w:val="28"/>
          <w:szCs w:val="28"/>
        </w:rPr>
        <w:t>”</w:t>
      </w:r>
      <w:r w:rsidRPr="008E6BE7">
        <w:rPr>
          <w:rFonts w:ascii="Times New Roman" w:hAnsi="Times New Roman"/>
          <w:sz w:val="28"/>
          <w:szCs w:val="28"/>
        </w:rPr>
        <w:t>;</w:t>
      </w:r>
    </w:p>
    <w:p w:rsidR="00A13BD8" w:rsidRPr="008E6BE7" w:rsidRDefault="00A13BD8" w:rsidP="00127D19">
      <w:pPr>
        <w:numPr>
          <w:ilvl w:val="0"/>
          <w:numId w:val="7"/>
        </w:numPr>
        <w:spacing w:after="0" w:line="240" w:lineRule="auto"/>
        <w:ind w:left="992" w:hanging="425"/>
        <w:jc w:val="both"/>
        <w:rPr>
          <w:rFonts w:ascii="Times New Roman" w:hAnsi="Times New Roman"/>
          <w:sz w:val="28"/>
          <w:szCs w:val="28"/>
        </w:rPr>
      </w:pPr>
      <w:r w:rsidRPr="008E6BE7">
        <w:rPr>
          <w:rFonts w:ascii="Times New Roman" w:hAnsi="Times New Roman"/>
          <w:sz w:val="28"/>
          <w:szCs w:val="28"/>
        </w:rPr>
        <w:lastRenderedPageBreak/>
        <w:t xml:space="preserve">PIKC “Ogres tehnikums” </w:t>
      </w:r>
      <w:r w:rsidR="00967F66" w:rsidRPr="008E6BE7">
        <w:rPr>
          <w:rFonts w:ascii="Times New Roman" w:hAnsi="Times New Roman"/>
          <w:sz w:val="28"/>
          <w:szCs w:val="28"/>
        </w:rPr>
        <w:t>–</w:t>
      </w:r>
      <w:r w:rsidRPr="008E6BE7">
        <w:rPr>
          <w:rFonts w:ascii="Times New Roman" w:hAnsi="Times New Roman"/>
          <w:sz w:val="28"/>
          <w:szCs w:val="28"/>
        </w:rPr>
        <w:t xml:space="preserve"> </w:t>
      </w:r>
      <w:r w:rsidR="00967F66" w:rsidRPr="008E6BE7">
        <w:rPr>
          <w:rFonts w:ascii="Times New Roman" w:hAnsi="Times New Roman"/>
          <w:sz w:val="28"/>
          <w:szCs w:val="28"/>
        </w:rPr>
        <w:t>“</w:t>
      </w:r>
      <w:r w:rsidRPr="008E6BE7">
        <w:rPr>
          <w:rFonts w:ascii="Times New Roman" w:hAnsi="Times New Roman"/>
          <w:sz w:val="28"/>
          <w:szCs w:val="28"/>
        </w:rPr>
        <w:t>Būvizstrādājumu galdnieks</w:t>
      </w:r>
      <w:r w:rsidR="00967F66" w:rsidRPr="008E6BE7">
        <w:rPr>
          <w:rFonts w:ascii="Times New Roman" w:hAnsi="Times New Roman"/>
          <w:sz w:val="28"/>
          <w:szCs w:val="28"/>
        </w:rPr>
        <w:t>”</w:t>
      </w:r>
      <w:r w:rsidRPr="008E6BE7">
        <w:rPr>
          <w:rFonts w:ascii="Times New Roman" w:hAnsi="Times New Roman"/>
          <w:sz w:val="28"/>
          <w:szCs w:val="28"/>
        </w:rPr>
        <w:t xml:space="preserve">, </w:t>
      </w:r>
      <w:r w:rsidR="00967F66" w:rsidRPr="008E6BE7">
        <w:rPr>
          <w:rFonts w:ascii="Times New Roman" w:hAnsi="Times New Roman"/>
          <w:sz w:val="28"/>
          <w:szCs w:val="28"/>
        </w:rPr>
        <w:t>“</w:t>
      </w:r>
      <w:r w:rsidRPr="008E6BE7">
        <w:rPr>
          <w:rFonts w:ascii="Times New Roman" w:hAnsi="Times New Roman"/>
          <w:sz w:val="28"/>
          <w:szCs w:val="28"/>
        </w:rPr>
        <w:t>Datorsistēmu tehniķis</w:t>
      </w:r>
      <w:r w:rsidR="00967F66" w:rsidRPr="008E6BE7">
        <w:rPr>
          <w:rFonts w:ascii="Times New Roman" w:hAnsi="Times New Roman"/>
          <w:sz w:val="28"/>
          <w:szCs w:val="28"/>
        </w:rPr>
        <w:t>”</w:t>
      </w:r>
      <w:r w:rsidRPr="008E6BE7">
        <w:rPr>
          <w:rFonts w:ascii="Times New Roman" w:hAnsi="Times New Roman"/>
          <w:sz w:val="28"/>
          <w:szCs w:val="28"/>
        </w:rPr>
        <w:t xml:space="preserve">, </w:t>
      </w:r>
      <w:r w:rsidR="00967F66" w:rsidRPr="008E6BE7">
        <w:rPr>
          <w:rFonts w:ascii="Times New Roman" w:hAnsi="Times New Roman"/>
          <w:sz w:val="28"/>
          <w:szCs w:val="28"/>
        </w:rPr>
        <w:t>“</w:t>
      </w:r>
      <w:r w:rsidRPr="008E6BE7">
        <w:rPr>
          <w:rFonts w:ascii="Times New Roman" w:hAnsi="Times New Roman"/>
          <w:sz w:val="28"/>
          <w:szCs w:val="28"/>
        </w:rPr>
        <w:t>Galdnieks</w:t>
      </w:r>
      <w:r w:rsidR="00967F66" w:rsidRPr="008E6BE7">
        <w:rPr>
          <w:rFonts w:ascii="Times New Roman" w:hAnsi="Times New Roman"/>
          <w:sz w:val="28"/>
          <w:szCs w:val="28"/>
        </w:rPr>
        <w:t>”</w:t>
      </w:r>
      <w:r w:rsidRPr="008E6BE7">
        <w:rPr>
          <w:rFonts w:ascii="Times New Roman" w:hAnsi="Times New Roman"/>
          <w:sz w:val="28"/>
          <w:szCs w:val="28"/>
        </w:rPr>
        <w:t>;</w:t>
      </w:r>
    </w:p>
    <w:p w:rsidR="00A13BD8" w:rsidRPr="008E6BE7" w:rsidRDefault="00A13BD8" w:rsidP="00127D19">
      <w:pPr>
        <w:numPr>
          <w:ilvl w:val="0"/>
          <w:numId w:val="7"/>
        </w:numPr>
        <w:spacing w:after="0" w:line="240" w:lineRule="auto"/>
        <w:ind w:left="992" w:hanging="425"/>
        <w:jc w:val="both"/>
        <w:rPr>
          <w:rFonts w:ascii="Times New Roman" w:hAnsi="Times New Roman"/>
          <w:sz w:val="28"/>
          <w:szCs w:val="28"/>
        </w:rPr>
      </w:pPr>
      <w:r w:rsidRPr="008E6BE7">
        <w:rPr>
          <w:rFonts w:ascii="Times New Roman" w:hAnsi="Times New Roman"/>
          <w:sz w:val="28"/>
          <w:szCs w:val="28"/>
        </w:rPr>
        <w:t xml:space="preserve">Sociālās integrācijas valsts aģentūra “Jūrmalas profesionālā vidusskola” </w:t>
      </w:r>
      <w:r w:rsidR="00967F66" w:rsidRPr="008E6BE7">
        <w:rPr>
          <w:rFonts w:ascii="Times New Roman" w:hAnsi="Times New Roman"/>
          <w:sz w:val="28"/>
          <w:szCs w:val="28"/>
        </w:rPr>
        <w:t>–</w:t>
      </w:r>
      <w:r w:rsidRPr="008E6BE7">
        <w:rPr>
          <w:rFonts w:ascii="Times New Roman" w:hAnsi="Times New Roman"/>
          <w:sz w:val="28"/>
          <w:szCs w:val="28"/>
        </w:rPr>
        <w:t xml:space="preserve"> </w:t>
      </w:r>
      <w:r w:rsidR="00967F66" w:rsidRPr="008E6BE7">
        <w:rPr>
          <w:rFonts w:ascii="Times New Roman" w:hAnsi="Times New Roman"/>
          <w:sz w:val="28"/>
          <w:szCs w:val="28"/>
        </w:rPr>
        <w:t>“</w:t>
      </w:r>
      <w:r w:rsidRPr="008E6BE7">
        <w:rPr>
          <w:rFonts w:ascii="Times New Roman" w:hAnsi="Times New Roman"/>
          <w:sz w:val="28"/>
          <w:szCs w:val="28"/>
        </w:rPr>
        <w:t>Konditora palīgs</w:t>
      </w:r>
      <w:r w:rsidR="00967F66" w:rsidRPr="008E6BE7">
        <w:rPr>
          <w:rFonts w:ascii="Times New Roman" w:hAnsi="Times New Roman"/>
          <w:sz w:val="28"/>
          <w:szCs w:val="28"/>
        </w:rPr>
        <w:t>”</w:t>
      </w:r>
      <w:r w:rsidRPr="008E6BE7">
        <w:rPr>
          <w:rFonts w:ascii="Times New Roman" w:hAnsi="Times New Roman"/>
          <w:sz w:val="28"/>
          <w:szCs w:val="28"/>
        </w:rPr>
        <w:t xml:space="preserve">, </w:t>
      </w:r>
      <w:r w:rsidR="00967F66" w:rsidRPr="008E6BE7">
        <w:rPr>
          <w:rFonts w:ascii="Times New Roman" w:hAnsi="Times New Roman"/>
          <w:sz w:val="28"/>
          <w:szCs w:val="28"/>
        </w:rPr>
        <w:t>“</w:t>
      </w:r>
      <w:r w:rsidRPr="008E6BE7">
        <w:rPr>
          <w:rFonts w:ascii="Times New Roman" w:hAnsi="Times New Roman"/>
          <w:sz w:val="28"/>
          <w:szCs w:val="28"/>
        </w:rPr>
        <w:t>Datorsistēmu tehniķis</w:t>
      </w:r>
      <w:r w:rsidR="00967F66" w:rsidRPr="008E6BE7">
        <w:rPr>
          <w:rFonts w:ascii="Times New Roman" w:hAnsi="Times New Roman"/>
          <w:sz w:val="28"/>
          <w:szCs w:val="28"/>
        </w:rPr>
        <w:t>”</w:t>
      </w:r>
      <w:r w:rsidRPr="008E6BE7">
        <w:rPr>
          <w:rFonts w:ascii="Times New Roman" w:hAnsi="Times New Roman"/>
          <w:sz w:val="28"/>
          <w:szCs w:val="28"/>
        </w:rPr>
        <w:t>;</w:t>
      </w:r>
    </w:p>
    <w:p w:rsidR="00A13BD8" w:rsidRPr="008E6BE7" w:rsidRDefault="00A13BD8" w:rsidP="00127D19">
      <w:pPr>
        <w:numPr>
          <w:ilvl w:val="0"/>
          <w:numId w:val="7"/>
        </w:numPr>
        <w:spacing w:after="0" w:line="240" w:lineRule="auto"/>
        <w:ind w:left="992" w:hanging="425"/>
        <w:jc w:val="both"/>
        <w:rPr>
          <w:rFonts w:ascii="Times New Roman" w:hAnsi="Times New Roman"/>
          <w:sz w:val="28"/>
          <w:szCs w:val="28"/>
        </w:rPr>
      </w:pPr>
      <w:r w:rsidRPr="008E6BE7">
        <w:rPr>
          <w:rFonts w:ascii="Times New Roman" w:hAnsi="Times New Roman"/>
          <w:sz w:val="28"/>
          <w:szCs w:val="28"/>
        </w:rPr>
        <w:t xml:space="preserve">Aizkraukles Profesionālā vidusskola </w:t>
      </w:r>
      <w:r w:rsidR="00967F66" w:rsidRPr="008E6BE7">
        <w:rPr>
          <w:rFonts w:ascii="Times New Roman" w:hAnsi="Times New Roman"/>
          <w:sz w:val="28"/>
          <w:szCs w:val="28"/>
        </w:rPr>
        <w:t>–</w:t>
      </w:r>
      <w:r w:rsidRPr="008E6BE7">
        <w:rPr>
          <w:rFonts w:ascii="Times New Roman" w:hAnsi="Times New Roman"/>
          <w:sz w:val="28"/>
          <w:szCs w:val="28"/>
        </w:rPr>
        <w:t xml:space="preserve"> </w:t>
      </w:r>
      <w:r w:rsidR="00967F66" w:rsidRPr="008E6BE7">
        <w:rPr>
          <w:rFonts w:ascii="Times New Roman" w:hAnsi="Times New Roman"/>
          <w:sz w:val="28"/>
          <w:szCs w:val="28"/>
        </w:rPr>
        <w:t>“</w:t>
      </w:r>
      <w:r w:rsidRPr="008E6BE7">
        <w:rPr>
          <w:rFonts w:ascii="Times New Roman" w:hAnsi="Times New Roman"/>
          <w:sz w:val="28"/>
          <w:szCs w:val="28"/>
        </w:rPr>
        <w:t>Galdnieks</w:t>
      </w:r>
      <w:r w:rsidR="00967F66" w:rsidRPr="008E6BE7">
        <w:rPr>
          <w:rFonts w:ascii="Times New Roman" w:hAnsi="Times New Roman"/>
          <w:sz w:val="28"/>
          <w:szCs w:val="28"/>
        </w:rPr>
        <w:t>”</w:t>
      </w:r>
      <w:r w:rsidRPr="008E6BE7">
        <w:rPr>
          <w:rFonts w:ascii="Times New Roman" w:hAnsi="Times New Roman"/>
          <w:sz w:val="28"/>
          <w:szCs w:val="28"/>
        </w:rPr>
        <w:t>.</w:t>
      </w:r>
    </w:p>
    <w:p w:rsidR="00967F66" w:rsidRPr="008E6BE7" w:rsidRDefault="00967F66" w:rsidP="00127D19">
      <w:pPr>
        <w:numPr>
          <w:ilvl w:val="0"/>
          <w:numId w:val="7"/>
        </w:numPr>
        <w:spacing w:after="0" w:line="240" w:lineRule="auto"/>
        <w:ind w:left="992" w:hanging="425"/>
        <w:jc w:val="both"/>
        <w:rPr>
          <w:rFonts w:ascii="Times New Roman" w:hAnsi="Times New Roman"/>
          <w:sz w:val="28"/>
          <w:szCs w:val="28"/>
        </w:rPr>
      </w:pPr>
      <w:r w:rsidRPr="008E6BE7">
        <w:rPr>
          <w:rFonts w:ascii="Times New Roman" w:hAnsi="Times New Roman"/>
          <w:sz w:val="28"/>
          <w:szCs w:val="28"/>
        </w:rPr>
        <w:t>PIKC “Daugavpils tehnikums” – “Drēbnieks”, “Datorsistēmu tehniķis”, “Elektrotehniķis”;</w:t>
      </w:r>
    </w:p>
    <w:p w:rsidR="00967F66" w:rsidRPr="008E6BE7" w:rsidRDefault="00967F66" w:rsidP="00127D19">
      <w:pPr>
        <w:numPr>
          <w:ilvl w:val="0"/>
          <w:numId w:val="7"/>
        </w:numPr>
        <w:spacing w:after="0" w:line="240" w:lineRule="auto"/>
        <w:ind w:left="992" w:hanging="425"/>
        <w:jc w:val="both"/>
        <w:rPr>
          <w:rFonts w:ascii="Times New Roman" w:hAnsi="Times New Roman"/>
          <w:sz w:val="28"/>
          <w:szCs w:val="28"/>
        </w:rPr>
      </w:pPr>
      <w:r w:rsidRPr="008E6BE7">
        <w:rPr>
          <w:rFonts w:ascii="Times New Roman" w:hAnsi="Times New Roman"/>
          <w:sz w:val="28"/>
          <w:szCs w:val="28"/>
        </w:rPr>
        <w:t>PIKC “Priekuļu tehnikums” – “Viesmīlības pakalpojumu speciālists”;</w:t>
      </w:r>
    </w:p>
    <w:p w:rsidR="0045086B" w:rsidRPr="0045086B" w:rsidRDefault="00967F66" w:rsidP="0045086B">
      <w:pPr>
        <w:numPr>
          <w:ilvl w:val="0"/>
          <w:numId w:val="7"/>
        </w:numPr>
        <w:spacing w:after="0" w:line="240" w:lineRule="auto"/>
        <w:ind w:left="992" w:hanging="425"/>
        <w:jc w:val="both"/>
        <w:rPr>
          <w:rFonts w:ascii="Times New Roman" w:hAnsi="Times New Roman"/>
          <w:sz w:val="28"/>
          <w:szCs w:val="28"/>
        </w:rPr>
      </w:pPr>
      <w:r w:rsidRPr="008E6BE7">
        <w:rPr>
          <w:rFonts w:ascii="Times New Roman" w:hAnsi="Times New Roman"/>
          <w:sz w:val="28"/>
          <w:szCs w:val="28"/>
        </w:rPr>
        <w:t xml:space="preserve">PIKC centra “Valmieras tehnikums” – “Mazumtirdzniecības </w:t>
      </w:r>
      <w:proofErr w:type="spellStart"/>
      <w:r w:rsidRPr="008E6BE7">
        <w:rPr>
          <w:rFonts w:ascii="Times New Roman" w:hAnsi="Times New Roman"/>
          <w:sz w:val="28"/>
          <w:szCs w:val="28"/>
        </w:rPr>
        <w:t>komercdarbinieks</w:t>
      </w:r>
      <w:proofErr w:type="spellEnd"/>
      <w:r w:rsidRPr="008E6BE7">
        <w:rPr>
          <w:rFonts w:ascii="Times New Roman" w:hAnsi="Times New Roman"/>
          <w:sz w:val="28"/>
          <w:szCs w:val="28"/>
        </w:rPr>
        <w:t>”.</w:t>
      </w:r>
    </w:p>
    <w:p w:rsidR="00B927F2" w:rsidRPr="008E6BE7" w:rsidRDefault="00B927F2" w:rsidP="0045086B">
      <w:pPr>
        <w:spacing w:before="120" w:after="0" w:line="240" w:lineRule="auto"/>
        <w:jc w:val="both"/>
        <w:rPr>
          <w:rFonts w:ascii="Times New Roman" w:hAnsi="Times New Roman"/>
          <w:sz w:val="28"/>
          <w:szCs w:val="28"/>
        </w:rPr>
      </w:pPr>
      <w:r w:rsidRPr="008E6BE7">
        <w:rPr>
          <w:rFonts w:ascii="Times New Roman" w:hAnsi="Times New Roman"/>
          <w:sz w:val="28"/>
          <w:szCs w:val="28"/>
        </w:rPr>
        <w:tab/>
      </w:r>
      <w:r w:rsidR="00FE5427" w:rsidRPr="008E6BE7">
        <w:rPr>
          <w:rFonts w:ascii="Times New Roman" w:hAnsi="Times New Roman"/>
          <w:sz w:val="28"/>
          <w:szCs w:val="28"/>
        </w:rPr>
        <w:t>Ņemot vērā to, ka 2015.</w:t>
      </w:r>
      <w:r w:rsidRPr="008E6BE7">
        <w:rPr>
          <w:rFonts w:ascii="Times New Roman" w:hAnsi="Times New Roman"/>
          <w:sz w:val="28"/>
          <w:szCs w:val="28"/>
        </w:rPr>
        <w:t> </w:t>
      </w:r>
      <w:r w:rsidR="00FE5427" w:rsidRPr="008E6BE7">
        <w:rPr>
          <w:rFonts w:ascii="Times New Roman" w:hAnsi="Times New Roman"/>
          <w:sz w:val="28"/>
          <w:szCs w:val="28"/>
        </w:rPr>
        <w:t xml:space="preserve">gadā </w:t>
      </w:r>
      <w:proofErr w:type="spellStart"/>
      <w:r w:rsidR="00FE5427" w:rsidRPr="008E6BE7">
        <w:rPr>
          <w:rFonts w:ascii="Times New Roman" w:hAnsi="Times New Roman"/>
          <w:sz w:val="28"/>
          <w:szCs w:val="28"/>
        </w:rPr>
        <w:t>izmēģinājumprojektā</w:t>
      </w:r>
      <w:proofErr w:type="spellEnd"/>
      <w:r w:rsidR="00FE5427" w:rsidRPr="008E6BE7">
        <w:rPr>
          <w:rFonts w:ascii="Times New Roman" w:hAnsi="Times New Roman"/>
          <w:sz w:val="28"/>
          <w:szCs w:val="28"/>
        </w:rPr>
        <w:t xml:space="preserve"> tika iesaistīti </w:t>
      </w:r>
      <w:r w:rsidRPr="008E6BE7">
        <w:rPr>
          <w:rFonts w:ascii="Times New Roman" w:hAnsi="Times New Roman"/>
          <w:sz w:val="28"/>
          <w:szCs w:val="28"/>
        </w:rPr>
        <w:t>77 bezdarbnieki, 2016.</w:t>
      </w:r>
      <w:r w:rsidR="00D22468" w:rsidRPr="008E6BE7">
        <w:rPr>
          <w:rFonts w:ascii="Times New Roman" w:hAnsi="Times New Roman"/>
          <w:sz w:val="28"/>
          <w:szCs w:val="28"/>
        </w:rPr>
        <w:t> </w:t>
      </w:r>
      <w:r w:rsidRPr="008E6BE7">
        <w:rPr>
          <w:rFonts w:ascii="Times New Roman" w:hAnsi="Times New Roman"/>
          <w:sz w:val="28"/>
          <w:szCs w:val="28"/>
        </w:rPr>
        <w:t xml:space="preserve">gadā tika noteikts rezultatīvais rādītājs – 123 iesaistāmie. Kopējās </w:t>
      </w:r>
      <w:proofErr w:type="spellStart"/>
      <w:r w:rsidRPr="008E6BE7">
        <w:rPr>
          <w:rFonts w:ascii="Times New Roman" w:hAnsi="Times New Roman"/>
          <w:sz w:val="28"/>
          <w:szCs w:val="28"/>
        </w:rPr>
        <w:t>izmēģinājumprojekta</w:t>
      </w:r>
      <w:proofErr w:type="spellEnd"/>
      <w:r w:rsidRPr="008E6BE7">
        <w:rPr>
          <w:rFonts w:ascii="Times New Roman" w:hAnsi="Times New Roman"/>
          <w:sz w:val="28"/>
          <w:szCs w:val="28"/>
        </w:rPr>
        <w:t xml:space="preserve"> izglītības </w:t>
      </w:r>
      <w:r w:rsidR="00BC5994" w:rsidRPr="008E6BE7">
        <w:rPr>
          <w:rFonts w:ascii="Times New Roman" w:hAnsi="Times New Roman"/>
          <w:sz w:val="28"/>
          <w:szCs w:val="28"/>
        </w:rPr>
        <w:t xml:space="preserve">iestāžu, </w:t>
      </w:r>
      <w:r w:rsidR="00D22468" w:rsidRPr="008E6BE7">
        <w:rPr>
          <w:rFonts w:ascii="Times New Roman" w:hAnsi="Times New Roman"/>
          <w:sz w:val="28"/>
          <w:szCs w:val="28"/>
        </w:rPr>
        <w:t xml:space="preserve">izglītības programmu </w:t>
      </w:r>
      <w:r w:rsidR="00BC5994" w:rsidRPr="008E6BE7">
        <w:rPr>
          <w:rFonts w:ascii="Times New Roman" w:hAnsi="Times New Roman"/>
          <w:sz w:val="28"/>
          <w:szCs w:val="28"/>
        </w:rPr>
        <w:t xml:space="preserve">un iesaistes rādītāju </w:t>
      </w:r>
      <w:r w:rsidR="00D22468" w:rsidRPr="008E6BE7">
        <w:rPr>
          <w:rFonts w:ascii="Times New Roman" w:hAnsi="Times New Roman"/>
          <w:sz w:val="28"/>
          <w:szCs w:val="28"/>
        </w:rPr>
        <w:t xml:space="preserve">saraksts ir atspoguļots 1.tabulā. </w:t>
      </w:r>
    </w:p>
    <w:p w:rsidR="00D613A3" w:rsidRPr="008E6BE7" w:rsidRDefault="00D613A3">
      <w:pPr>
        <w:spacing w:after="0" w:line="240" w:lineRule="auto"/>
        <w:rPr>
          <w:rFonts w:ascii="Times New Roman" w:hAnsi="Times New Roman"/>
          <w:sz w:val="28"/>
          <w:szCs w:val="28"/>
        </w:rPr>
      </w:pPr>
    </w:p>
    <w:p w:rsidR="00214A5E" w:rsidRPr="008E6BE7" w:rsidRDefault="00214A5E" w:rsidP="00214A5E">
      <w:pPr>
        <w:spacing w:after="0" w:line="240" w:lineRule="auto"/>
        <w:jc w:val="right"/>
        <w:rPr>
          <w:rFonts w:ascii="Times New Roman" w:hAnsi="Times New Roman"/>
          <w:i/>
          <w:sz w:val="24"/>
          <w:szCs w:val="24"/>
        </w:rPr>
      </w:pPr>
      <w:r w:rsidRPr="008E6BE7">
        <w:rPr>
          <w:rFonts w:ascii="Times New Roman" w:hAnsi="Times New Roman"/>
          <w:i/>
          <w:sz w:val="24"/>
          <w:szCs w:val="24"/>
        </w:rPr>
        <w:t xml:space="preserve">Tabula Nr.1 </w:t>
      </w:r>
    </w:p>
    <w:p w:rsidR="00214A5E" w:rsidRPr="008E6BE7" w:rsidRDefault="00214A5E" w:rsidP="00214A5E">
      <w:pPr>
        <w:spacing w:after="0" w:line="240" w:lineRule="auto"/>
        <w:jc w:val="center"/>
        <w:rPr>
          <w:rFonts w:ascii="Times New Roman" w:hAnsi="Times New Roman"/>
          <w:i/>
          <w:sz w:val="24"/>
          <w:szCs w:val="24"/>
        </w:rPr>
      </w:pPr>
      <w:r w:rsidRPr="008E6BE7">
        <w:rPr>
          <w:rFonts w:ascii="Times New Roman" w:hAnsi="Times New Roman"/>
          <w:i/>
          <w:sz w:val="24"/>
          <w:szCs w:val="24"/>
        </w:rPr>
        <w:t>Izglītības iestāžu un izglītības programmu saraksts</w:t>
      </w:r>
    </w:p>
    <w:tbl>
      <w:tblPr>
        <w:tblStyle w:val="TableGrid"/>
        <w:tblW w:w="9634" w:type="dxa"/>
        <w:jc w:val="center"/>
        <w:tblLayout w:type="fixed"/>
        <w:tblLook w:val="04A0" w:firstRow="1" w:lastRow="0" w:firstColumn="1" w:lastColumn="0" w:noHBand="0" w:noVBand="1"/>
      </w:tblPr>
      <w:tblGrid>
        <w:gridCol w:w="3114"/>
        <w:gridCol w:w="2126"/>
        <w:gridCol w:w="992"/>
        <w:gridCol w:w="1134"/>
        <w:gridCol w:w="1134"/>
        <w:gridCol w:w="1134"/>
      </w:tblGrid>
      <w:tr w:rsidR="00120C3F" w:rsidRPr="008E6BE7" w:rsidTr="00615C4D">
        <w:trPr>
          <w:cantSplit/>
          <w:tblHeader/>
          <w:jc w:val="center"/>
        </w:trPr>
        <w:tc>
          <w:tcPr>
            <w:tcW w:w="3114" w:type="dxa"/>
            <w:shd w:val="clear" w:color="auto" w:fill="92D050"/>
            <w:vAlign w:val="center"/>
          </w:tcPr>
          <w:p w:rsidR="00120C3F" w:rsidRPr="008E6BE7" w:rsidRDefault="00120C3F" w:rsidP="005A1C60">
            <w:pPr>
              <w:spacing w:after="0" w:line="240" w:lineRule="auto"/>
              <w:jc w:val="center"/>
              <w:rPr>
                <w:rFonts w:ascii="Times New Roman" w:hAnsi="Times New Roman"/>
                <w:sz w:val="20"/>
                <w:szCs w:val="20"/>
              </w:rPr>
            </w:pPr>
            <w:r w:rsidRPr="008E6BE7">
              <w:rPr>
                <w:rFonts w:ascii="Times New Roman" w:hAnsi="Times New Roman"/>
                <w:b/>
                <w:bCs/>
                <w:color w:val="000000"/>
                <w:sz w:val="20"/>
                <w:szCs w:val="20"/>
              </w:rPr>
              <w:t>Profesionālās izglītības iestādes nosaukums</w:t>
            </w:r>
          </w:p>
        </w:tc>
        <w:tc>
          <w:tcPr>
            <w:tcW w:w="2126" w:type="dxa"/>
            <w:shd w:val="clear" w:color="auto" w:fill="92D050"/>
            <w:vAlign w:val="center"/>
          </w:tcPr>
          <w:p w:rsidR="00120C3F" w:rsidRPr="008E6BE7" w:rsidRDefault="00120C3F" w:rsidP="005A1C60">
            <w:pPr>
              <w:spacing w:after="0" w:line="240" w:lineRule="auto"/>
              <w:jc w:val="center"/>
              <w:rPr>
                <w:rFonts w:ascii="Times New Roman" w:hAnsi="Times New Roman"/>
                <w:sz w:val="20"/>
                <w:szCs w:val="20"/>
              </w:rPr>
            </w:pPr>
            <w:r w:rsidRPr="008E6BE7">
              <w:rPr>
                <w:rFonts w:ascii="Times New Roman" w:hAnsi="Times New Roman"/>
                <w:b/>
                <w:bCs/>
                <w:color w:val="000000"/>
                <w:sz w:val="20"/>
                <w:szCs w:val="20"/>
              </w:rPr>
              <w:t>Profesionālās kvalifikācijas nosaukums</w:t>
            </w:r>
          </w:p>
        </w:tc>
        <w:tc>
          <w:tcPr>
            <w:tcW w:w="992" w:type="dxa"/>
            <w:shd w:val="clear" w:color="auto" w:fill="92D050"/>
            <w:vAlign w:val="center"/>
          </w:tcPr>
          <w:p w:rsidR="00120C3F" w:rsidRPr="008E6BE7" w:rsidRDefault="00D6481B" w:rsidP="005A1C60">
            <w:pPr>
              <w:spacing w:after="0" w:line="240" w:lineRule="auto"/>
              <w:jc w:val="center"/>
              <w:rPr>
                <w:rFonts w:ascii="Times New Roman" w:hAnsi="Times New Roman"/>
                <w:sz w:val="18"/>
                <w:szCs w:val="18"/>
              </w:rPr>
            </w:pPr>
            <w:proofErr w:type="spellStart"/>
            <w:r w:rsidRPr="008E6BE7">
              <w:rPr>
                <w:rFonts w:ascii="Times New Roman" w:hAnsi="Times New Roman"/>
                <w:b/>
                <w:bCs/>
                <w:color w:val="000000"/>
                <w:sz w:val="18"/>
                <w:szCs w:val="18"/>
              </w:rPr>
              <w:t>Izgl</w:t>
            </w:r>
            <w:proofErr w:type="spellEnd"/>
            <w:r w:rsidRPr="008E6BE7">
              <w:rPr>
                <w:rFonts w:ascii="Times New Roman" w:hAnsi="Times New Roman"/>
                <w:b/>
                <w:bCs/>
                <w:color w:val="000000"/>
                <w:sz w:val="18"/>
                <w:szCs w:val="18"/>
              </w:rPr>
              <w:t xml:space="preserve">. </w:t>
            </w:r>
            <w:proofErr w:type="spellStart"/>
            <w:r w:rsidRPr="008E6BE7">
              <w:rPr>
                <w:rFonts w:ascii="Times New Roman" w:hAnsi="Times New Roman"/>
                <w:b/>
                <w:bCs/>
                <w:color w:val="000000"/>
                <w:sz w:val="18"/>
                <w:szCs w:val="18"/>
              </w:rPr>
              <w:t>progr</w:t>
            </w:r>
            <w:proofErr w:type="spellEnd"/>
            <w:r w:rsidRPr="008E6BE7">
              <w:rPr>
                <w:rFonts w:ascii="Times New Roman" w:hAnsi="Times New Roman"/>
                <w:b/>
                <w:bCs/>
                <w:color w:val="000000"/>
                <w:sz w:val="18"/>
                <w:szCs w:val="18"/>
              </w:rPr>
              <w:t xml:space="preserve">. </w:t>
            </w:r>
            <w:r w:rsidR="00120C3F" w:rsidRPr="008E6BE7">
              <w:rPr>
                <w:rFonts w:ascii="Times New Roman" w:hAnsi="Times New Roman"/>
                <w:b/>
                <w:bCs/>
                <w:color w:val="000000"/>
                <w:sz w:val="18"/>
                <w:szCs w:val="18"/>
              </w:rPr>
              <w:t>kopējais mācību stundu skaits</w:t>
            </w:r>
          </w:p>
        </w:tc>
        <w:tc>
          <w:tcPr>
            <w:tcW w:w="1134" w:type="dxa"/>
            <w:shd w:val="clear" w:color="auto" w:fill="92D050"/>
            <w:vAlign w:val="center"/>
          </w:tcPr>
          <w:p w:rsidR="00120C3F" w:rsidRPr="008E6BE7" w:rsidRDefault="00120C3F" w:rsidP="005A1C60">
            <w:pPr>
              <w:spacing w:after="0" w:line="240" w:lineRule="auto"/>
              <w:jc w:val="center"/>
              <w:rPr>
                <w:rFonts w:ascii="Times New Roman" w:hAnsi="Times New Roman"/>
                <w:sz w:val="18"/>
                <w:szCs w:val="18"/>
              </w:rPr>
            </w:pPr>
            <w:r w:rsidRPr="008E6BE7">
              <w:rPr>
                <w:rFonts w:ascii="Times New Roman" w:hAnsi="Times New Roman"/>
                <w:b/>
                <w:bCs/>
                <w:color w:val="000000"/>
                <w:sz w:val="18"/>
                <w:szCs w:val="18"/>
              </w:rPr>
              <w:t>Maksi</w:t>
            </w:r>
            <w:r w:rsidR="00615C4D" w:rsidRPr="008E6BE7">
              <w:rPr>
                <w:rFonts w:ascii="Times New Roman" w:hAnsi="Times New Roman"/>
                <w:b/>
                <w:bCs/>
                <w:color w:val="000000"/>
                <w:sz w:val="18"/>
                <w:szCs w:val="18"/>
              </w:rPr>
              <w:t>-</w:t>
            </w:r>
            <w:proofErr w:type="spellStart"/>
            <w:r w:rsidRPr="008E6BE7">
              <w:rPr>
                <w:rFonts w:ascii="Times New Roman" w:hAnsi="Times New Roman"/>
                <w:b/>
                <w:bCs/>
                <w:color w:val="000000"/>
                <w:sz w:val="18"/>
                <w:szCs w:val="18"/>
              </w:rPr>
              <w:t>mālais</w:t>
            </w:r>
            <w:proofErr w:type="spellEnd"/>
            <w:r w:rsidRPr="008E6BE7">
              <w:rPr>
                <w:rFonts w:ascii="Times New Roman" w:hAnsi="Times New Roman"/>
                <w:b/>
                <w:bCs/>
                <w:color w:val="000000"/>
                <w:sz w:val="18"/>
                <w:szCs w:val="18"/>
              </w:rPr>
              <w:t xml:space="preserve"> apmācāmo skaits grupā</w:t>
            </w:r>
          </w:p>
        </w:tc>
        <w:tc>
          <w:tcPr>
            <w:tcW w:w="1134" w:type="dxa"/>
            <w:shd w:val="clear" w:color="auto" w:fill="92D050"/>
            <w:vAlign w:val="center"/>
          </w:tcPr>
          <w:p w:rsidR="00120C3F" w:rsidRPr="008E6BE7" w:rsidRDefault="00D6481B" w:rsidP="00D6481B">
            <w:pPr>
              <w:spacing w:after="0" w:line="240" w:lineRule="auto"/>
              <w:jc w:val="center"/>
              <w:rPr>
                <w:rFonts w:ascii="Times New Roman" w:hAnsi="Times New Roman"/>
                <w:sz w:val="18"/>
                <w:szCs w:val="18"/>
              </w:rPr>
            </w:pPr>
            <w:proofErr w:type="spellStart"/>
            <w:r w:rsidRPr="008E6BE7">
              <w:rPr>
                <w:rFonts w:ascii="Times New Roman" w:hAnsi="Times New Roman"/>
                <w:b/>
                <w:sz w:val="18"/>
                <w:szCs w:val="18"/>
              </w:rPr>
              <w:t>Izgl</w:t>
            </w:r>
            <w:proofErr w:type="spellEnd"/>
            <w:r w:rsidRPr="008E6BE7">
              <w:rPr>
                <w:rFonts w:ascii="Times New Roman" w:hAnsi="Times New Roman"/>
                <w:b/>
                <w:sz w:val="18"/>
                <w:szCs w:val="18"/>
              </w:rPr>
              <w:t xml:space="preserve">. </w:t>
            </w:r>
            <w:proofErr w:type="spellStart"/>
            <w:r w:rsidRPr="008E6BE7">
              <w:rPr>
                <w:rFonts w:ascii="Times New Roman" w:hAnsi="Times New Roman"/>
                <w:b/>
                <w:sz w:val="18"/>
                <w:szCs w:val="18"/>
              </w:rPr>
              <w:t>progr</w:t>
            </w:r>
            <w:proofErr w:type="spellEnd"/>
            <w:r w:rsidRPr="008E6BE7">
              <w:rPr>
                <w:rFonts w:ascii="Times New Roman" w:hAnsi="Times New Roman"/>
                <w:b/>
                <w:sz w:val="18"/>
                <w:szCs w:val="18"/>
              </w:rPr>
              <w:t xml:space="preserve">. </w:t>
            </w:r>
            <w:r w:rsidR="00120C3F" w:rsidRPr="008E6BE7">
              <w:rPr>
                <w:rFonts w:ascii="Times New Roman" w:hAnsi="Times New Roman"/>
                <w:b/>
                <w:sz w:val="18"/>
                <w:szCs w:val="18"/>
              </w:rPr>
              <w:t>uzsākušo dalībnieku skaits</w:t>
            </w:r>
          </w:p>
        </w:tc>
        <w:tc>
          <w:tcPr>
            <w:tcW w:w="1134" w:type="dxa"/>
            <w:shd w:val="clear" w:color="auto" w:fill="92D050"/>
            <w:vAlign w:val="center"/>
          </w:tcPr>
          <w:p w:rsidR="00120C3F" w:rsidRPr="008E6BE7" w:rsidRDefault="00120C3F" w:rsidP="00BA5B01">
            <w:pPr>
              <w:spacing w:after="0" w:line="240" w:lineRule="auto"/>
              <w:jc w:val="center"/>
              <w:rPr>
                <w:rFonts w:ascii="Times New Roman" w:hAnsi="Times New Roman"/>
                <w:sz w:val="18"/>
                <w:szCs w:val="18"/>
              </w:rPr>
            </w:pPr>
            <w:r w:rsidRPr="008E6BE7">
              <w:rPr>
                <w:rFonts w:ascii="Times New Roman" w:hAnsi="Times New Roman"/>
                <w:b/>
                <w:sz w:val="18"/>
                <w:szCs w:val="18"/>
              </w:rPr>
              <w:t>Pabeigušo skaits</w:t>
            </w:r>
            <w:r w:rsidR="00031FF4" w:rsidRPr="008E6BE7">
              <w:rPr>
                <w:rFonts w:ascii="Times New Roman" w:hAnsi="Times New Roman"/>
                <w:b/>
                <w:sz w:val="18"/>
                <w:szCs w:val="18"/>
              </w:rPr>
              <w:t xml:space="preserve"> līdz 2016.g. </w:t>
            </w:r>
            <w:r w:rsidR="00BA5B01">
              <w:rPr>
                <w:rFonts w:ascii="Times New Roman" w:hAnsi="Times New Roman"/>
                <w:b/>
                <w:sz w:val="18"/>
                <w:szCs w:val="18"/>
              </w:rPr>
              <w:t>16</w:t>
            </w:r>
            <w:r w:rsidR="00031FF4" w:rsidRPr="008E6BE7">
              <w:rPr>
                <w:rFonts w:ascii="Times New Roman" w:hAnsi="Times New Roman"/>
                <w:b/>
                <w:sz w:val="18"/>
                <w:szCs w:val="18"/>
              </w:rPr>
              <w:t>.</w:t>
            </w:r>
            <w:r w:rsidR="00BA5B01">
              <w:rPr>
                <w:rFonts w:ascii="Times New Roman" w:hAnsi="Times New Roman"/>
                <w:b/>
                <w:sz w:val="18"/>
                <w:szCs w:val="18"/>
              </w:rPr>
              <w:t>septembrim</w:t>
            </w:r>
            <w:r w:rsidR="00BA5B01" w:rsidRPr="008E6BE7">
              <w:rPr>
                <w:rFonts w:ascii="Times New Roman" w:hAnsi="Times New Roman"/>
                <w:b/>
                <w:sz w:val="18"/>
                <w:szCs w:val="18"/>
              </w:rPr>
              <w:t xml:space="preserve"> </w:t>
            </w:r>
          </w:p>
        </w:tc>
      </w:tr>
      <w:tr w:rsidR="00120C3F" w:rsidRPr="008E6BE7" w:rsidTr="00615C4D">
        <w:trPr>
          <w:jc w:val="center"/>
        </w:trPr>
        <w:tc>
          <w:tcPr>
            <w:tcW w:w="9634" w:type="dxa"/>
            <w:gridSpan w:val="6"/>
            <w:shd w:val="clear" w:color="auto" w:fill="C2D69B" w:themeFill="accent3" w:themeFillTint="99"/>
          </w:tcPr>
          <w:p w:rsidR="00120C3F" w:rsidRPr="008E6BE7" w:rsidRDefault="00120C3F" w:rsidP="00120C3F">
            <w:pPr>
              <w:spacing w:after="0" w:line="240" w:lineRule="auto"/>
              <w:jc w:val="center"/>
              <w:rPr>
                <w:rFonts w:ascii="Times New Roman" w:hAnsi="Times New Roman"/>
                <w:b/>
                <w:bCs/>
                <w:i/>
                <w:iCs/>
                <w:sz w:val="20"/>
                <w:szCs w:val="20"/>
              </w:rPr>
            </w:pPr>
            <w:r w:rsidRPr="008E6BE7">
              <w:rPr>
                <w:rFonts w:ascii="Times New Roman" w:hAnsi="Times New Roman"/>
                <w:b/>
                <w:bCs/>
                <w:i/>
                <w:iCs/>
                <w:sz w:val="20"/>
                <w:szCs w:val="20"/>
              </w:rPr>
              <w:t>Rīgas reģions</w:t>
            </w:r>
          </w:p>
        </w:tc>
      </w:tr>
      <w:tr w:rsidR="00F578C9" w:rsidRPr="008E6BE7" w:rsidTr="00D92B4A">
        <w:trPr>
          <w:jc w:val="center"/>
        </w:trPr>
        <w:tc>
          <w:tcPr>
            <w:tcW w:w="3114" w:type="dxa"/>
            <w:shd w:val="clear" w:color="auto" w:fill="FF3B3B"/>
            <w:vAlign w:val="center"/>
          </w:tcPr>
          <w:p w:rsidR="00F578C9" w:rsidRPr="008E6BE7" w:rsidRDefault="00AD25D5" w:rsidP="00F578C9">
            <w:pPr>
              <w:spacing w:after="0" w:line="240" w:lineRule="auto"/>
              <w:rPr>
                <w:rFonts w:ascii="Times New Roman" w:hAnsi="Times New Roman"/>
                <w:sz w:val="20"/>
                <w:szCs w:val="20"/>
              </w:rPr>
            </w:pPr>
            <w:r>
              <w:rPr>
                <w:rFonts w:ascii="Times New Roman" w:hAnsi="Times New Roman"/>
                <w:b/>
                <w:bCs/>
                <w:color w:val="000000"/>
                <w:sz w:val="20"/>
                <w:szCs w:val="20"/>
              </w:rPr>
              <w:t>PIKC "Rīgas V</w:t>
            </w:r>
            <w:r w:rsidR="00F578C9" w:rsidRPr="008E6BE7">
              <w:rPr>
                <w:rFonts w:ascii="Times New Roman" w:hAnsi="Times New Roman"/>
                <w:b/>
                <w:bCs/>
                <w:color w:val="000000"/>
                <w:sz w:val="20"/>
                <w:szCs w:val="20"/>
              </w:rPr>
              <w:t>alsts tehnikums"</w:t>
            </w:r>
          </w:p>
        </w:tc>
        <w:tc>
          <w:tcPr>
            <w:tcW w:w="2126" w:type="dxa"/>
            <w:shd w:val="clear" w:color="auto" w:fill="FF3B3B"/>
            <w:vAlign w:val="center"/>
          </w:tcPr>
          <w:p w:rsidR="00F578C9" w:rsidRPr="008E6BE7" w:rsidRDefault="00F578C9" w:rsidP="00F578C9">
            <w:pPr>
              <w:spacing w:after="0" w:line="240" w:lineRule="auto"/>
              <w:rPr>
                <w:rFonts w:ascii="Times New Roman" w:hAnsi="Times New Roman"/>
                <w:sz w:val="20"/>
                <w:szCs w:val="20"/>
              </w:rPr>
            </w:pPr>
            <w:r w:rsidRPr="008E6BE7">
              <w:rPr>
                <w:rFonts w:ascii="Times New Roman" w:hAnsi="Times New Roman"/>
                <w:i/>
                <w:iCs/>
                <w:color w:val="000000"/>
                <w:sz w:val="20"/>
                <w:szCs w:val="20"/>
              </w:rPr>
              <w:t>Elektrotehniķis</w:t>
            </w:r>
          </w:p>
        </w:tc>
        <w:tc>
          <w:tcPr>
            <w:tcW w:w="992" w:type="dxa"/>
            <w:shd w:val="clear" w:color="auto" w:fill="FF3B3B"/>
            <w:vAlign w:val="center"/>
          </w:tcPr>
          <w:p w:rsidR="00F578C9" w:rsidRPr="008E6BE7" w:rsidRDefault="00F578C9" w:rsidP="00F578C9">
            <w:pPr>
              <w:spacing w:after="0" w:line="240" w:lineRule="auto"/>
              <w:jc w:val="center"/>
              <w:rPr>
                <w:rFonts w:ascii="Times New Roman" w:hAnsi="Times New Roman"/>
                <w:sz w:val="20"/>
                <w:szCs w:val="20"/>
              </w:rPr>
            </w:pPr>
            <w:r w:rsidRPr="008E6BE7">
              <w:rPr>
                <w:rFonts w:ascii="Times New Roman" w:hAnsi="Times New Roman"/>
                <w:color w:val="000000"/>
                <w:sz w:val="20"/>
                <w:szCs w:val="20"/>
              </w:rPr>
              <w:t>960</w:t>
            </w:r>
          </w:p>
        </w:tc>
        <w:tc>
          <w:tcPr>
            <w:tcW w:w="1134" w:type="dxa"/>
            <w:shd w:val="clear" w:color="auto" w:fill="FF3B3B"/>
            <w:vAlign w:val="center"/>
          </w:tcPr>
          <w:p w:rsidR="00F578C9" w:rsidRPr="008E6BE7" w:rsidRDefault="00F578C9" w:rsidP="00F578C9">
            <w:pPr>
              <w:spacing w:after="0" w:line="240" w:lineRule="auto"/>
              <w:jc w:val="center"/>
              <w:rPr>
                <w:rFonts w:ascii="Times New Roman" w:hAnsi="Times New Roman"/>
                <w:sz w:val="20"/>
                <w:szCs w:val="20"/>
              </w:rPr>
            </w:pPr>
            <w:r w:rsidRPr="008E6BE7">
              <w:rPr>
                <w:rFonts w:ascii="Times New Roman" w:hAnsi="Times New Roman"/>
                <w:color w:val="000000"/>
                <w:sz w:val="20"/>
                <w:szCs w:val="20"/>
              </w:rPr>
              <w:t>12</w:t>
            </w:r>
          </w:p>
        </w:tc>
        <w:tc>
          <w:tcPr>
            <w:tcW w:w="1134" w:type="dxa"/>
            <w:shd w:val="clear" w:color="auto" w:fill="FF3B3B"/>
          </w:tcPr>
          <w:p w:rsidR="00F578C9" w:rsidRPr="008E6BE7" w:rsidRDefault="00F578C9" w:rsidP="00F578C9">
            <w:pPr>
              <w:spacing w:after="0" w:line="240" w:lineRule="auto"/>
              <w:jc w:val="center"/>
              <w:rPr>
                <w:rFonts w:ascii="Times New Roman" w:hAnsi="Times New Roman"/>
                <w:sz w:val="20"/>
                <w:szCs w:val="20"/>
              </w:rPr>
            </w:pPr>
            <w:r w:rsidRPr="008E6BE7">
              <w:rPr>
                <w:rFonts w:ascii="Times New Roman" w:hAnsi="Times New Roman"/>
                <w:sz w:val="20"/>
                <w:szCs w:val="20"/>
              </w:rPr>
              <w:t>-</w:t>
            </w:r>
          </w:p>
        </w:tc>
        <w:tc>
          <w:tcPr>
            <w:tcW w:w="1134" w:type="dxa"/>
            <w:shd w:val="clear" w:color="auto" w:fill="FF3B3B"/>
          </w:tcPr>
          <w:p w:rsidR="00F578C9" w:rsidRPr="008E6BE7" w:rsidRDefault="00F578C9" w:rsidP="00F578C9">
            <w:pPr>
              <w:spacing w:after="0" w:line="240" w:lineRule="auto"/>
              <w:jc w:val="center"/>
              <w:rPr>
                <w:rFonts w:ascii="Times New Roman" w:hAnsi="Times New Roman"/>
                <w:sz w:val="20"/>
                <w:szCs w:val="20"/>
              </w:rPr>
            </w:pPr>
            <w:r w:rsidRPr="008E6BE7">
              <w:rPr>
                <w:rFonts w:ascii="Times New Roman" w:hAnsi="Times New Roman"/>
                <w:sz w:val="20"/>
                <w:szCs w:val="20"/>
              </w:rPr>
              <w:t>-</w:t>
            </w:r>
          </w:p>
        </w:tc>
      </w:tr>
      <w:tr w:rsidR="00F578C9" w:rsidRPr="008E6BE7" w:rsidTr="00D92B4A">
        <w:trPr>
          <w:jc w:val="center"/>
        </w:trPr>
        <w:tc>
          <w:tcPr>
            <w:tcW w:w="3114" w:type="dxa"/>
            <w:vMerge w:val="restart"/>
            <w:shd w:val="clear" w:color="auto" w:fill="FF3B3B"/>
            <w:vAlign w:val="center"/>
          </w:tcPr>
          <w:p w:rsidR="00F578C9" w:rsidRPr="008E6BE7" w:rsidRDefault="00AD25D5" w:rsidP="00F578C9">
            <w:pPr>
              <w:spacing w:after="0" w:line="240" w:lineRule="auto"/>
              <w:rPr>
                <w:rFonts w:ascii="Times New Roman" w:hAnsi="Times New Roman"/>
                <w:sz w:val="20"/>
                <w:szCs w:val="20"/>
              </w:rPr>
            </w:pPr>
            <w:r>
              <w:rPr>
                <w:rFonts w:ascii="Times New Roman" w:hAnsi="Times New Roman"/>
                <w:b/>
                <w:bCs/>
                <w:color w:val="000000"/>
                <w:sz w:val="20"/>
                <w:szCs w:val="20"/>
              </w:rPr>
              <w:t>PIKC VSIA "Rīgas T</w:t>
            </w:r>
            <w:r w:rsidR="00F578C9" w:rsidRPr="008E6BE7">
              <w:rPr>
                <w:rFonts w:ascii="Times New Roman" w:hAnsi="Times New Roman"/>
                <w:b/>
                <w:bCs/>
                <w:color w:val="000000"/>
                <w:sz w:val="20"/>
                <w:szCs w:val="20"/>
              </w:rPr>
              <w:t>ūrisma un radošas industrijas tehnikums"</w:t>
            </w:r>
          </w:p>
        </w:tc>
        <w:tc>
          <w:tcPr>
            <w:tcW w:w="2126" w:type="dxa"/>
            <w:shd w:val="clear" w:color="auto" w:fill="FF3B3B"/>
            <w:vAlign w:val="center"/>
          </w:tcPr>
          <w:p w:rsidR="00F578C9" w:rsidRPr="008E6BE7" w:rsidRDefault="00F578C9" w:rsidP="00F578C9">
            <w:pPr>
              <w:spacing w:after="0" w:line="240" w:lineRule="auto"/>
              <w:rPr>
                <w:rFonts w:ascii="Times New Roman" w:hAnsi="Times New Roman"/>
                <w:sz w:val="20"/>
                <w:szCs w:val="20"/>
              </w:rPr>
            </w:pPr>
            <w:r w:rsidRPr="008E6BE7">
              <w:rPr>
                <w:rFonts w:ascii="Times New Roman" w:hAnsi="Times New Roman"/>
                <w:i/>
                <w:iCs/>
                <w:color w:val="000000"/>
                <w:sz w:val="20"/>
                <w:szCs w:val="20"/>
              </w:rPr>
              <w:t>Konditora palīgs</w:t>
            </w:r>
          </w:p>
        </w:tc>
        <w:tc>
          <w:tcPr>
            <w:tcW w:w="992" w:type="dxa"/>
            <w:shd w:val="clear" w:color="auto" w:fill="FF3B3B"/>
            <w:vAlign w:val="center"/>
          </w:tcPr>
          <w:p w:rsidR="00F578C9" w:rsidRPr="008E6BE7" w:rsidRDefault="00F578C9" w:rsidP="00F578C9">
            <w:pPr>
              <w:spacing w:after="0" w:line="240" w:lineRule="auto"/>
              <w:jc w:val="center"/>
              <w:rPr>
                <w:rFonts w:ascii="Times New Roman" w:hAnsi="Times New Roman"/>
                <w:sz w:val="20"/>
                <w:szCs w:val="20"/>
              </w:rPr>
            </w:pPr>
            <w:r w:rsidRPr="008E6BE7">
              <w:rPr>
                <w:rFonts w:ascii="Times New Roman" w:hAnsi="Times New Roman"/>
                <w:color w:val="000000"/>
                <w:sz w:val="20"/>
                <w:szCs w:val="20"/>
              </w:rPr>
              <w:t>480</w:t>
            </w:r>
          </w:p>
        </w:tc>
        <w:tc>
          <w:tcPr>
            <w:tcW w:w="1134" w:type="dxa"/>
            <w:shd w:val="clear" w:color="auto" w:fill="FF3B3B"/>
            <w:vAlign w:val="center"/>
          </w:tcPr>
          <w:p w:rsidR="00F578C9" w:rsidRPr="008E6BE7" w:rsidRDefault="00F578C9" w:rsidP="00F578C9">
            <w:pPr>
              <w:spacing w:after="0" w:line="240" w:lineRule="auto"/>
              <w:jc w:val="center"/>
              <w:rPr>
                <w:rFonts w:ascii="Times New Roman" w:hAnsi="Times New Roman"/>
                <w:sz w:val="20"/>
                <w:szCs w:val="20"/>
              </w:rPr>
            </w:pPr>
            <w:r w:rsidRPr="008E6BE7">
              <w:rPr>
                <w:rFonts w:ascii="Times New Roman" w:hAnsi="Times New Roman"/>
                <w:color w:val="000000"/>
                <w:sz w:val="20"/>
                <w:szCs w:val="20"/>
              </w:rPr>
              <w:t>12</w:t>
            </w:r>
          </w:p>
        </w:tc>
        <w:tc>
          <w:tcPr>
            <w:tcW w:w="1134" w:type="dxa"/>
            <w:shd w:val="clear" w:color="auto" w:fill="FF3B3B"/>
          </w:tcPr>
          <w:p w:rsidR="00F578C9" w:rsidRPr="008E6BE7" w:rsidRDefault="00F578C9" w:rsidP="00F578C9">
            <w:pPr>
              <w:spacing w:after="0" w:line="240" w:lineRule="auto"/>
              <w:jc w:val="center"/>
              <w:rPr>
                <w:rFonts w:ascii="Times New Roman" w:hAnsi="Times New Roman"/>
                <w:sz w:val="20"/>
                <w:szCs w:val="20"/>
              </w:rPr>
            </w:pPr>
            <w:r w:rsidRPr="008E6BE7">
              <w:rPr>
                <w:rFonts w:ascii="Times New Roman" w:hAnsi="Times New Roman"/>
                <w:sz w:val="20"/>
                <w:szCs w:val="20"/>
              </w:rPr>
              <w:t>-</w:t>
            </w:r>
          </w:p>
        </w:tc>
        <w:tc>
          <w:tcPr>
            <w:tcW w:w="1134" w:type="dxa"/>
            <w:shd w:val="clear" w:color="auto" w:fill="FF3B3B"/>
          </w:tcPr>
          <w:p w:rsidR="00F578C9" w:rsidRPr="008E6BE7" w:rsidRDefault="00F578C9" w:rsidP="00F578C9">
            <w:pPr>
              <w:spacing w:after="0" w:line="240" w:lineRule="auto"/>
              <w:jc w:val="center"/>
              <w:rPr>
                <w:rFonts w:ascii="Times New Roman" w:hAnsi="Times New Roman"/>
                <w:sz w:val="20"/>
                <w:szCs w:val="20"/>
              </w:rPr>
            </w:pPr>
            <w:r w:rsidRPr="008E6BE7">
              <w:rPr>
                <w:rFonts w:ascii="Times New Roman" w:hAnsi="Times New Roman"/>
                <w:sz w:val="20"/>
                <w:szCs w:val="20"/>
              </w:rPr>
              <w:t>-</w:t>
            </w:r>
          </w:p>
        </w:tc>
      </w:tr>
      <w:tr w:rsidR="00F578C9" w:rsidRPr="008E6BE7" w:rsidTr="00D92B4A">
        <w:trPr>
          <w:jc w:val="center"/>
        </w:trPr>
        <w:tc>
          <w:tcPr>
            <w:tcW w:w="3114" w:type="dxa"/>
            <w:vMerge/>
            <w:shd w:val="clear" w:color="auto" w:fill="FF3B3B"/>
            <w:vAlign w:val="center"/>
          </w:tcPr>
          <w:p w:rsidR="00F578C9" w:rsidRPr="008E6BE7" w:rsidRDefault="00F578C9" w:rsidP="00F578C9">
            <w:pPr>
              <w:spacing w:after="0" w:line="240" w:lineRule="auto"/>
              <w:rPr>
                <w:rFonts w:ascii="Times New Roman" w:hAnsi="Times New Roman"/>
                <w:sz w:val="20"/>
                <w:szCs w:val="20"/>
              </w:rPr>
            </w:pPr>
          </w:p>
        </w:tc>
        <w:tc>
          <w:tcPr>
            <w:tcW w:w="2126" w:type="dxa"/>
            <w:shd w:val="clear" w:color="auto" w:fill="FF3B3B"/>
            <w:vAlign w:val="center"/>
          </w:tcPr>
          <w:p w:rsidR="00F578C9" w:rsidRPr="008E6BE7" w:rsidRDefault="00F578C9" w:rsidP="00F578C9">
            <w:pPr>
              <w:spacing w:after="0" w:line="240" w:lineRule="auto"/>
              <w:rPr>
                <w:rFonts w:ascii="Times New Roman" w:hAnsi="Times New Roman"/>
                <w:sz w:val="20"/>
                <w:szCs w:val="20"/>
              </w:rPr>
            </w:pPr>
            <w:r w:rsidRPr="008E6BE7">
              <w:rPr>
                <w:rFonts w:ascii="Times New Roman" w:hAnsi="Times New Roman"/>
                <w:i/>
                <w:iCs/>
                <w:color w:val="000000"/>
                <w:sz w:val="20"/>
                <w:szCs w:val="20"/>
              </w:rPr>
              <w:t>Maiznieks</w:t>
            </w:r>
          </w:p>
        </w:tc>
        <w:tc>
          <w:tcPr>
            <w:tcW w:w="992" w:type="dxa"/>
            <w:shd w:val="clear" w:color="auto" w:fill="FF3B3B"/>
            <w:vAlign w:val="center"/>
          </w:tcPr>
          <w:p w:rsidR="00F578C9" w:rsidRPr="008E6BE7" w:rsidRDefault="00F578C9" w:rsidP="00F578C9">
            <w:pPr>
              <w:spacing w:after="0" w:line="240" w:lineRule="auto"/>
              <w:jc w:val="center"/>
              <w:rPr>
                <w:rFonts w:ascii="Times New Roman" w:hAnsi="Times New Roman"/>
                <w:sz w:val="20"/>
                <w:szCs w:val="20"/>
              </w:rPr>
            </w:pPr>
            <w:r w:rsidRPr="008E6BE7">
              <w:rPr>
                <w:rFonts w:ascii="Times New Roman" w:hAnsi="Times New Roman"/>
                <w:color w:val="000000"/>
                <w:sz w:val="20"/>
                <w:szCs w:val="20"/>
              </w:rPr>
              <w:t>640</w:t>
            </w:r>
          </w:p>
        </w:tc>
        <w:tc>
          <w:tcPr>
            <w:tcW w:w="1134" w:type="dxa"/>
            <w:shd w:val="clear" w:color="auto" w:fill="FF3B3B"/>
            <w:vAlign w:val="center"/>
          </w:tcPr>
          <w:p w:rsidR="00F578C9" w:rsidRPr="008E6BE7" w:rsidRDefault="00F578C9" w:rsidP="00F578C9">
            <w:pPr>
              <w:spacing w:after="0" w:line="240" w:lineRule="auto"/>
              <w:jc w:val="center"/>
              <w:rPr>
                <w:rFonts w:ascii="Times New Roman" w:hAnsi="Times New Roman"/>
                <w:sz w:val="20"/>
                <w:szCs w:val="20"/>
              </w:rPr>
            </w:pPr>
            <w:r w:rsidRPr="008E6BE7">
              <w:rPr>
                <w:rFonts w:ascii="Times New Roman" w:hAnsi="Times New Roman"/>
                <w:color w:val="000000"/>
                <w:sz w:val="20"/>
                <w:szCs w:val="20"/>
              </w:rPr>
              <w:t>12</w:t>
            </w:r>
          </w:p>
        </w:tc>
        <w:tc>
          <w:tcPr>
            <w:tcW w:w="1134" w:type="dxa"/>
            <w:shd w:val="clear" w:color="auto" w:fill="FF3B3B"/>
          </w:tcPr>
          <w:p w:rsidR="00F578C9" w:rsidRPr="008E6BE7" w:rsidRDefault="00F578C9" w:rsidP="00F578C9">
            <w:pPr>
              <w:spacing w:after="0" w:line="240" w:lineRule="auto"/>
              <w:jc w:val="center"/>
              <w:rPr>
                <w:rFonts w:ascii="Times New Roman" w:hAnsi="Times New Roman"/>
                <w:sz w:val="20"/>
                <w:szCs w:val="20"/>
              </w:rPr>
            </w:pPr>
            <w:r w:rsidRPr="008E6BE7">
              <w:rPr>
                <w:rFonts w:ascii="Times New Roman" w:hAnsi="Times New Roman"/>
                <w:sz w:val="20"/>
                <w:szCs w:val="20"/>
              </w:rPr>
              <w:t>-</w:t>
            </w:r>
          </w:p>
        </w:tc>
        <w:tc>
          <w:tcPr>
            <w:tcW w:w="1134" w:type="dxa"/>
            <w:shd w:val="clear" w:color="auto" w:fill="FF3B3B"/>
          </w:tcPr>
          <w:p w:rsidR="00F578C9" w:rsidRPr="008E6BE7" w:rsidRDefault="00F578C9" w:rsidP="00F578C9">
            <w:pPr>
              <w:spacing w:after="0" w:line="240" w:lineRule="auto"/>
              <w:jc w:val="center"/>
              <w:rPr>
                <w:rFonts w:ascii="Times New Roman" w:hAnsi="Times New Roman"/>
                <w:sz w:val="20"/>
                <w:szCs w:val="20"/>
              </w:rPr>
            </w:pPr>
            <w:r w:rsidRPr="008E6BE7">
              <w:rPr>
                <w:rFonts w:ascii="Times New Roman" w:hAnsi="Times New Roman"/>
                <w:sz w:val="20"/>
                <w:szCs w:val="20"/>
              </w:rPr>
              <w:t>-</w:t>
            </w:r>
          </w:p>
        </w:tc>
      </w:tr>
      <w:tr w:rsidR="00F578C9" w:rsidRPr="008E6BE7" w:rsidTr="00D92B4A">
        <w:trPr>
          <w:jc w:val="center"/>
        </w:trPr>
        <w:tc>
          <w:tcPr>
            <w:tcW w:w="3114" w:type="dxa"/>
            <w:vMerge w:val="restart"/>
            <w:shd w:val="clear" w:color="auto" w:fill="FF3B3B"/>
            <w:vAlign w:val="center"/>
          </w:tcPr>
          <w:p w:rsidR="00F578C9" w:rsidRPr="008E6BE7" w:rsidRDefault="00AD25D5" w:rsidP="00F578C9">
            <w:pPr>
              <w:spacing w:after="0" w:line="240" w:lineRule="auto"/>
              <w:rPr>
                <w:rFonts w:ascii="Times New Roman" w:hAnsi="Times New Roman"/>
                <w:sz w:val="20"/>
                <w:szCs w:val="20"/>
              </w:rPr>
            </w:pPr>
            <w:r>
              <w:rPr>
                <w:rFonts w:ascii="Times New Roman" w:hAnsi="Times New Roman"/>
                <w:b/>
                <w:bCs/>
                <w:color w:val="000000"/>
                <w:sz w:val="20"/>
                <w:szCs w:val="20"/>
              </w:rPr>
              <w:t>PIKC "Rīgas T</w:t>
            </w:r>
            <w:r w:rsidR="00F578C9" w:rsidRPr="008E6BE7">
              <w:rPr>
                <w:rFonts w:ascii="Times New Roman" w:hAnsi="Times New Roman"/>
                <w:b/>
                <w:bCs/>
                <w:color w:val="000000"/>
                <w:sz w:val="20"/>
                <w:szCs w:val="20"/>
              </w:rPr>
              <w:t>ehniskā koledža"</w:t>
            </w:r>
          </w:p>
        </w:tc>
        <w:tc>
          <w:tcPr>
            <w:tcW w:w="2126" w:type="dxa"/>
            <w:shd w:val="clear" w:color="auto" w:fill="FF3B3B"/>
            <w:vAlign w:val="center"/>
          </w:tcPr>
          <w:p w:rsidR="00F578C9" w:rsidRPr="008E6BE7" w:rsidRDefault="00F578C9" w:rsidP="00F578C9">
            <w:pPr>
              <w:spacing w:after="0" w:line="240" w:lineRule="auto"/>
              <w:rPr>
                <w:rFonts w:ascii="Times New Roman" w:hAnsi="Times New Roman"/>
                <w:sz w:val="20"/>
                <w:szCs w:val="20"/>
              </w:rPr>
            </w:pPr>
            <w:r w:rsidRPr="008E6BE7">
              <w:rPr>
                <w:rFonts w:ascii="Times New Roman" w:hAnsi="Times New Roman"/>
                <w:i/>
                <w:iCs/>
                <w:color w:val="000000"/>
                <w:sz w:val="20"/>
                <w:szCs w:val="20"/>
              </w:rPr>
              <w:t>Elektrotehniķis</w:t>
            </w:r>
          </w:p>
        </w:tc>
        <w:tc>
          <w:tcPr>
            <w:tcW w:w="992" w:type="dxa"/>
            <w:shd w:val="clear" w:color="auto" w:fill="FF3B3B"/>
            <w:vAlign w:val="center"/>
          </w:tcPr>
          <w:p w:rsidR="00F578C9" w:rsidRPr="008E6BE7" w:rsidRDefault="00F578C9" w:rsidP="00F578C9">
            <w:pPr>
              <w:spacing w:after="0" w:line="240" w:lineRule="auto"/>
              <w:jc w:val="center"/>
              <w:rPr>
                <w:rFonts w:ascii="Times New Roman" w:hAnsi="Times New Roman"/>
                <w:sz w:val="20"/>
                <w:szCs w:val="20"/>
              </w:rPr>
            </w:pPr>
            <w:r w:rsidRPr="008E6BE7">
              <w:rPr>
                <w:rFonts w:ascii="Times New Roman" w:hAnsi="Times New Roman"/>
                <w:color w:val="000000"/>
                <w:sz w:val="20"/>
                <w:szCs w:val="20"/>
              </w:rPr>
              <w:t>960</w:t>
            </w:r>
          </w:p>
        </w:tc>
        <w:tc>
          <w:tcPr>
            <w:tcW w:w="1134" w:type="dxa"/>
            <w:shd w:val="clear" w:color="auto" w:fill="FF3B3B"/>
            <w:vAlign w:val="center"/>
          </w:tcPr>
          <w:p w:rsidR="00F578C9" w:rsidRPr="008E6BE7" w:rsidRDefault="00F578C9" w:rsidP="00F578C9">
            <w:pPr>
              <w:spacing w:after="0" w:line="240" w:lineRule="auto"/>
              <w:jc w:val="center"/>
              <w:rPr>
                <w:rFonts w:ascii="Times New Roman" w:hAnsi="Times New Roman"/>
                <w:sz w:val="20"/>
                <w:szCs w:val="20"/>
              </w:rPr>
            </w:pPr>
            <w:r w:rsidRPr="008E6BE7">
              <w:rPr>
                <w:rFonts w:ascii="Times New Roman" w:hAnsi="Times New Roman"/>
                <w:color w:val="000000"/>
                <w:sz w:val="20"/>
                <w:szCs w:val="20"/>
              </w:rPr>
              <w:t>12</w:t>
            </w:r>
          </w:p>
        </w:tc>
        <w:tc>
          <w:tcPr>
            <w:tcW w:w="1134" w:type="dxa"/>
            <w:shd w:val="clear" w:color="auto" w:fill="FF3B3B"/>
          </w:tcPr>
          <w:p w:rsidR="00F578C9" w:rsidRPr="008E6BE7" w:rsidRDefault="00F578C9" w:rsidP="00F578C9">
            <w:pPr>
              <w:spacing w:after="0" w:line="240" w:lineRule="auto"/>
              <w:jc w:val="center"/>
              <w:rPr>
                <w:rFonts w:ascii="Times New Roman" w:hAnsi="Times New Roman"/>
                <w:sz w:val="20"/>
                <w:szCs w:val="20"/>
              </w:rPr>
            </w:pPr>
            <w:r w:rsidRPr="008E6BE7">
              <w:rPr>
                <w:rFonts w:ascii="Times New Roman" w:hAnsi="Times New Roman"/>
                <w:sz w:val="20"/>
                <w:szCs w:val="20"/>
              </w:rPr>
              <w:t>-</w:t>
            </w:r>
          </w:p>
        </w:tc>
        <w:tc>
          <w:tcPr>
            <w:tcW w:w="1134" w:type="dxa"/>
            <w:shd w:val="clear" w:color="auto" w:fill="FF3B3B"/>
          </w:tcPr>
          <w:p w:rsidR="00F578C9" w:rsidRPr="008E6BE7" w:rsidRDefault="00F578C9" w:rsidP="00F578C9">
            <w:pPr>
              <w:spacing w:after="0" w:line="240" w:lineRule="auto"/>
              <w:jc w:val="center"/>
              <w:rPr>
                <w:rFonts w:ascii="Times New Roman" w:hAnsi="Times New Roman"/>
                <w:sz w:val="20"/>
                <w:szCs w:val="20"/>
              </w:rPr>
            </w:pPr>
            <w:r w:rsidRPr="008E6BE7">
              <w:rPr>
                <w:rFonts w:ascii="Times New Roman" w:hAnsi="Times New Roman"/>
                <w:sz w:val="20"/>
                <w:szCs w:val="20"/>
              </w:rPr>
              <w:t>-</w:t>
            </w:r>
          </w:p>
        </w:tc>
      </w:tr>
      <w:tr w:rsidR="00F578C9" w:rsidRPr="008E6BE7" w:rsidTr="00D92B4A">
        <w:trPr>
          <w:jc w:val="center"/>
        </w:trPr>
        <w:tc>
          <w:tcPr>
            <w:tcW w:w="3114" w:type="dxa"/>
            <w:vMerge/>
            <w:shd w:val="clear" w:color="auto" w:fill="FF3B3B"/>
            <w:vAlign w:val="center"/>
          </w:tcPr>
          <w:p w:rsidR="00F578C9" w:rsidRPr="008E6BE7" w:rsidRDefault="00F578C9" w:rsidP="00F578C9">
            <w:pPr>
              <w:spacing w:after="0" w:line="240" w:lineRule="auto"/>
              <w:rPr>
                <w:rFonts w:ascii="Times New Roman" w:hAnsi="Times New Roman"/>
                <w:sz w:val="20"/>
                <w:szCs w:val="20"/>
              </w:rPr>
            </w:pPr>
          </w:p>
        </w:tc>
        <w:tc>
          <w:tcPr>
            <w:tcW w:w="2126" w:type="dxa"/>
            <w:shd w:val="clear" w:color="auto" w:fill="FF3B3B"/>
            <w:vAlign w:val="center"/>
          </w:tcPr>
          <w:p w:rsidR="00F578C9" w:rsidRPr="008E6BE7" w:rsidRDefault="00F578C9" w:rsidP="00F578C9">
            <w:pPr>
              <w:spacing w:after="0" w:line="240" w:lineRule="auto"/>
              <w:rPr>
                <w:rFonts w:ascii="Times New Roman" w:hAnsi="Times New Roman"/>
                <w:sz w:val="20"/>
                <w:szCs w:val="20"/>
              </w:rPr>
            </w:pPr>
            <w:r w:rsidRPr="008E6BE7">
              <w:rPr>
                <w:rFonts w:ascii="Times New Roman" w:hAnsi="Times New Roman"/>
                <w:i/>
                <w:iCs/>
                <w:color w:val="000000"/>
                <w:sz w:val="20"/>
                <w:szCs w:val="20"/>
              </w:rPr>
              <w:t>Loģistikas darbinieks</w:t>
            </w:r>
          </w:p>
        </w:tc>
        <w:tc>
          <w:tcPr>
            <w:tcW w:w="992" w:type="dxa"/>
            <w:shd w:val="clear" w:color="auto" w:fill="FF3B3B"/>
            <w:vAlign w:val="center"/>
          </w:tcPr>
          <w:p w:rsidR="00F578C9" w:rsidRPr="008E6BE7" w:rsidRDefault="00F578C9" w:rsidP="00F578C9">
            <w:pPr>
              <w:spacing w:after="0" w:line="240" w:lineRule="auto"/>
              <w:jc w:val="center"/>
              <w:rPr>
                <w:rFonts w:ascii="Times New Roman" w:hAnsi="Times New Roman"/>
                <w:sz w:val="20"/>
                <w:szCs w:val="20"/>
              </w:rPr>
            </w:pPr>
            <w:r w:rsidRPr="008E6BE7">
              <w:rPr>
                <w:rFonts w:ascii="Times New Roman" w:hAnsi="Times New Roman"/>
                <w:color w:val="000000"/>
                <w:sz w:val="20"/>
                <w:szCs w:val="20"/>
              </w:rPr>
              <w:t>960</w:t>
            </w:r>
          </w:p>
        </w:tc>
        <w:tc>
          <w:tcPr>
            <w:tcW w:w="1134" w:type="dxa"/>
            <w:shd w:val="clear" w:color="auto" w:fill="FF3B3B"/>
            <w:vAlign w:val="center"/>
          </w:tcPr>
          <w:p w:rsidR="00F578C9" w:rsidRPr="008E6BE7" w:rsidRDefault="00F578C9" w:rsidP="00F578C9">
            <w:pPr>
              <w:spacing w:after="0" w:line="240" w:lineRule="auto"/>
              <w:jc w:val="center"/>
              <w:rPr>
                <w:rFonts w:ascii="Times New Roman" w:hAnsi="Times New Roman"/>
                <w:sz w:val="20"/>
                <w:szCs w:val="20"/>
              </w:rPr>
            </w:pPr>
            <w:r w:rsidRPr="008E6BE7">
              <w:rPr>
                <w:rFonts w:ascii="Times New Roman" w:hAnsi="Times New Roman"/>
                <w:color w:val="000000"/>
                <w:sz w:val="20"/>
                <w:szCs w:val="20"/>
              </w:rPr>
              <w:t>12</w:t>
            </w:r>
          </w:p>
        </w:tc>
        <w:tc>
          <w:tcPr>
            <w:tcW w:w="1134" w:type="dxa"/>
            <w:shd w:val="clear" w:color="auto" w:fill="FF3B3B"/>
          </w:tcPr>
          <w:p w:rsidR="00F578C9" w:rsidRPr="008E6BE7" w:rsidRDefault="00F578C9" w:rsidP="00F578C9">
            <w:pPr>
              <w:spacing w:after="0" w:line="240" w:lineRule="auto"/>
              <w:jc w:val="center"/>
              <w:rPr>
                <w:rFonts w:ascii="Times New Roman" w:hAnsi="Times New Roman"/>
                <w:sz w:val="20"/>
                <w:szCs w:val="20"/>
              </w:rPr>
            </w:pPr>
            <w:r w:rsidRPr="008E6BE7">
              <w:rPr>
                <w:rFonts w:ascii="Times New Roman" w:hAnsi="Times New Roman"/>
                <w:sz w:val="20"/>
                <w:szCs w:val="20"/>
              </w:rPr>
              <w:t>-</w:t>
            </w:r>
          </w:p>
        </w:tc>
        <w:tc>
          <w:tcPr>
            <w:tcW w:w="1134" w:type="dxa"/>
            <w:shd w:val="clear" w:color="auto" w:fill="FF3B3B"/>
          </w:tcPr>
          <w:p w:rsidR="00F578C9" w:rsidRPr="008E6BE7" w:rsidRDefault="00F578C9" w:rsidP="00F578C9">
            <w:pPr>
              <w:spacing w:after="0" w:line="240" w:lineRule="auto"/>
              <w:jc w:val="center"/>
              <w:rPr>
                <w:rFonts w:ascii="Times New Roman" w:hAnsi="Times New Roman"/>
                <w:sz w:val="20"/>
                <w:szCs w:val="20"/>
              </w:rPr>
            </w:pPr>
            <w:r w:rsidRPr="008E6BE7">
              <w:rPr>
                <w:rFonts w:ascii="Times New Roman" w:hAnsi="Times New Roman"/>
                <w:sz w:val="20"/>
                <w:szCs w:val="20"/>
              </w:rPr>
              <w:t>-</w:t>
            </w:r>
          </w:p>
        </w:tc>
      </w:tr>
      <w:tr w:rsidR="00F578C9" w:rsidRPr="008E6BE7" w:rsidTr="00615C4D">
        <w:trPr>
          <w:jc w:val="center"/>
        </w:trPr>
        <w:tc>
          <w:tcPr>
            <w:tcW w:w="9634" w:type="dxa"/>
            <w:gridSpan w:val="6"/>
            <w:shd w:val="clear" w:color="auto" w:fill="D9D9D9" w:themeFill="background1" w:themeFillShade="D9"/>
          </w:tcPr>
          <w:p w:rsidR="00F578C9" w:rsidRPr="008E6BE7" w:rsidRDefault="00F578C9" w:rsidP="00E51FA8">
            <w:pPr>
              <w:tabs>
                <w:tab w:val="left" w:pos="6622"/>
              </w:tabs>
              <w:spacing w:after="0" w:line="240" w:lineRule="auto"/>
              <w:jc w:val="right"/>
              <w:rPr>
                <w:rFonts w:ascii="Times New Roman" w:hAnsi="Times New Roman"/>
                <w:sz w:val="20"/>
                <w:szCs w:val="20"/>
              </w:rPr>
            </w:pPr>
          </w:p>
        </w:tc>
      </w:tr>
      <w:tr w:rsidR="00120C3F" w:rsidRPr="008E6BE7" w:rsidTr="00D92B4A">
        <w:trPr>
          <w:jc w:val="center"/>
        </w:trPr>
        <w:tc>
          <w:tcPr>
            <w:tcW w:w="3114" w:type="dxa"/>
            <w:vMerge w:val="restart"/>
            <w:shd w:val="clear" w:color="auto" w:fill="FF3B3B"/>
            <w:vAlign w:val="center"/>
          </w:tcPr>
          <w:p w:rsidR="00120C3F" w:rsidRPr="008E6BE7" w:rsidRDefault="00120C3F" w:rsidP="00120C3F">
            <w:pPr>
              <w:spacing w:after="0" w:line="240" w:lineRule="auto"/>
              <w:rPr>
                <w:rFonts w:ascii="Times New Roman" w:hAnsi="Times New Roman"/>
                <w:sz w:val="20"/>
                <w:szCs w:val="20"/>
              </w:rPr>
            </w:pPr>
            <w:r w:rsidRPr="008E6BE7">
              <w:rPr>
                <w:rFonts w:ascii="Times New Roman" w:hAnsi="Times New Roman"/>
                <w:b/>
                <w:bCs/>
                <w:color w:val="000000"/>
                <w:sz w:val="20"/>
                <w:szCs w:val="20"/>
              </w:rPr>
              <w:t>Sociālās integrācijas valsts aģentūras “Jūrmalas profesionālā vidusskola”</w:t>
            </w:r>
          </w:p>
        </w:tc>
        <w:tc>
          <w:tcPr>
            <w:tcW w:w="2126" w:type="dxa"/>
            <w:shd w:val="clear" w:color="auto" w:fill="FF3B3B"/>
            <w:vAlign w:val="center"/>
          </w:tcPr>
          <w:p w:rsidR="00120C3F" w:rsidRPr="008E6BE7" w:rsidRDefault="00120C3F" w:rsidP="00120C3F">
            <w:pPr>
              <w:spacing w:after="0" w:line="240" w:lineRule="auto"/>
              <w:rPr>
                <w:rFonts w:ascii="Times New Roman" w:hAnsi="Times New Roman"/>
                <w:sz w:val="20"/>
                <w:szCs w:val="20"/>
              </w:rPr>
            </w:pPr>
            <w:r w:rsidRPr="008E6BE7">
              <w:rPr>
                <w:rFonts w:ascii="Times New Roman" w:hAnsi="Times New Roman"/>
                <w:i/>
                <w:iCs/>
                <w:color w:val="000000"/>
                <w:sz w:val="20"/>
                <w:szCs w:val="20"/>
              </w:rPr>
              <w:t>Konditora palīgs</w:t>
            </w:r>
          </w:p>
        </w:tc>
        <w:tc>
          <w:tcPr>
            <w:tcW w:w="992" w:type="dxa"/>
            <w:shd w:val="clear" w:color="auto" w:fill="FF3B3B"/>
            <w:vAlign w:val="center"/>
          </w:tcPr>
          <w:p w:rsidR="00120C3F" w:rsidRPr="008E6BE7" w:rsidRDefault="00120C3F" w:rsidP="00D6481B">
            <w:pPr>
              <w:spacing w:after="0" w:line="240" w:lineRule="auto"/>
              <w:jc w:val="center"/>
              <w:rPr>
                <w:rFonts w:ascii="Times New Roman" w:hAnsi="Times New Roman"/>
                <w:sz w:val="20"/>
                <w:szCs w:val="20"/>
              </w:rPr>
            </w:pPr>
            <w:r w:rsidRPr="008E6BE7">
              <w:rPr>
                <w:rFonts w:ascii="Times New Roman" w:hAnsi="Times New Roman"/>
                <w:color w:val="000000"/>
                <w:sz w:val="20"/>
                <w:szCs w:val="20"/>
              </w:rPr>
              <w:t>480</w:t>
            </w:r>
          </w:p>
        </w:tc>
        <w:tc>
          <w:tcPr>
            <w:tcW w:w="1134" w:type="dxa"/>
            <w:shd w:val="clear" w:color="auto" w:fill="FF3B3B"/>
            <w:vAlign w:val="center"/>
          </w:tcPr>
          <w:p w:rsidR="00120C3F" w:rsidRPr="008E6BE7" w:rsidRDefault="00120C3F" w:rsidP="00D6481B">
            <w:pPr>
              <w:spacing w:after="0" w:line="240" w:lineRule="auto"/>
              <w:jc w:val="center"/>
              <w:rPr>
                <w:rFonts w:ascii="Times New Roman" w:hAnsi="Times New Roman"/>
                <w:sz w:val="20"/>
                <w:szCs w:val="20"/>
              </w:rPr>
            </w:pPr>
            <w:r w:rsidRPr="008E6BE7">
              <w:rPr>
                <w:rFonts w:ascii="Times New Roman" w:hAnsi="Times New Roman"/>
                <w:color w:val="000000"/>
                <w:sz w:val="20"/>
                <w:szCs w:val="20"/>
              </w:rPr>
              <w:t>12</w:t>
            </w:r>
          </w:p>
        </w:tc>
        <w:tc>
          <w:tcPr>
            <w:tcW w:w="1134" w:type="dxa"/>
            <w:shd w:val="clear" w:color="auto" w:fill="FF3B3B"/>
          </w:tcPr>
          <w:p w:rsidR="00120C3F" w:rsidRPr="008E6BE7" w:rsidRDefault="00F578C9" w:rsidP="00F578C9">
            <w:pPr>
              <w:spacing w:after="0" w:line="240" w:lineRule="auto"/>
              <w:jc w:val="center"/>
              <w:rPr>
                <w:rFonts w:ascii="Times New Roman" w:hAnsi="Times New Roman"/>
                <w:sz w:val="20"/>
                <w:szCs w:val="20"/>
              </w:rPr>
            </w:pPr>
            <w:r w:rsidRPr="008E6BE7">
              <w:rPr>
                <w:rFonts w:ascii="Times New Roman" w:hAnsi="Times New Roman"/>
                <w:sz w:val="20"/>
                <w:szCs w:val="20"/>
              </w:rPr>
              <w:t>-</w:t>
            </w:r>
          </w:p>
        </w:tc>
        <w:tc>
          <w:tcPr>
            <w:tcW w:w="1134" w:type="dxa"/>
            <w:shd w:val="clear" w:color="auto" w:fill="FF3B3B"/>
          </w:tcPr>
          <w:p w:rsidR="00120C3F" w:rsidRPr="008E6BE7" w:rsidRDefault="00F578C9" w:rsidP="00F578C9">
            <w:pPr>
              <w:spacing w:after="0" w:line="240" w:lineRule="auto"/>
              <w:jc w:val="center"/>
              <w:rPr>
                <w:rFonts w:ascii="Times New Roman" w:hAnsi="Times New Roman"/>
                <w:sz w:val="20"/>
                <w:szCs w:val="20"/>
              </w:rPr>
            </w:pPr>
            <w:r w:rsidRPr="008E6BE7">
              <w:rPr>
                <w:rFonts w:ascii="Times New Roman" w:hAnsi="Times New Roman"/>
                <w:sz w:val="20"/>
                <w:szCs w:val="20"/>
              </w:rPr>
              <w:t>-</w:t>
            </w:r>
          </w:p>
        </w:tc>
      </w:tr>
      <w:tr w:rsidR="00120C3F" w:rsidRPr="008E6BE7" w:rsidTr="00D92B4A">
        <w:trPr>
          <w:jc w:val="center"/>
        </w:trPr>
        <w:tc>
          <w:tcPr>
            <w:tcW w:w="3114" w:type="dxa"/>
            <w:vMerge/>
            <w:shd w:val="clear" w:color="auto" w:fill="FF3B3B"/>
            <w:vAlign w:val="center"/>
          </w:tcPr>
          <w:p w:rsidR="00120C3F" w:rsidRPr="008E6BE7" w:rsidRDefault="00120C3F" w:rsidP="00120C3F">
            <w:pPr>
              <w:spacing w:after="0" w:line="240" w:lineRule="auto"/>
              <w:rPr>
                <w:rFonts w:ascii="Times New Roman" w:hAnsi="Times New Roman"/>
                <w:sz w:val="20"/>
                <w:szCs w:val="20"/>
              </w:rPr>
            </w:pPr>
          </w:p>
        </w:tc>
        <w:tc>
          <w:tcPr>
            <w:tcW w:w="2126" w:type="dxa"/>
            <w:shd w:val="clear" w:color="auto" w:fill="FF3B3B"/>
            <w:vAlign w:val="center"/>
          </w:tcPr>
          <w:p w:rsidR="00120C3F" w:rsidRPr="008E6BE7" w:rsidRDefault="00120C3F" w:rsidP="00120C3F">
            <w:pPr>
              <w:spacing w:after="0" w:line="240" w:lineRule="auto"/>
              <w:rPr>
                <w:rFonts w:ascii="Times New Roman" w:hAnsi="Times New Roman"/>
                <w:sz w:val="20"/>
                <w:szCs w:val="20"/>
              </w:rPr>
            </w:pPr>
            <w:r w:rsidRPr="008E6BE7">
              <w:rPr>
                <w:rFonts w:ascii="Times New Roman" w:hAnsi="Times New Roman"/>
                <w:i/>
                <w:iCs/>
                <w:color w:val="000000"/>
                <w:sz w:val="20"/>
                <w:szCs w:val="20"/>
              </w:rPr>
              <w:t>Datorsistēmu tehniķis</w:t>
            </w:r>
          </w:p>
        </w:tc>
        <w:tc>
          <w:tcPr>
            <w:tcW w:w="992" w:type="dxa"/>
            <w:shd w:val="clear" w:color="auto" w:fill="FF3B3B"/>
            <w:vAlign w:val="center"/>
          </w:tcPr>
          <w:p w:rsidR="00120C3F" w:rsidRPr="008E6BE7" w:rsidRDefault="00120C3F" w:rsidP="00D6481B">
            <w:pPr>
              <w:spacing w:after="0" w:line="240" w:lineRule="auto"/>
              <w:jc w:val="center"/>
              <w:rPr>
                <w:rFonts w:ascii="Times New Roman" w:hAnsi="Times New Roman"/>
                <w:sz w:val="20"/>
                <w:szCs w:val="20"/>
              </w:rPr>
            </w:pPr>
            <w:r w:rsidRPr="008E6BE7">
              <w:rPr>
                <w:rFonts w:ascii="Times New Roman" w:hAnsi="Times New Roman"/>
                <w:color w:val="000000"/>
                <w:sz w:val="20"/>
                <w:szCs w:val="20"/>
              </w:rPr>
              <w:t>960</w:t>
            </w:r>
          </w:p>
        </w:tc>
        <w:tc>
          <w:tcPr>
            <w:tcW w:w="1134" w:type="dxa"/>
            <w:shd w:val="clear" w:color="auto" w:fill="FF3B3B"/>
            <w:vAlign w:val="center"/>
          </w:tcPr>
          <w:p w:rsidR="00120C3F" w:rsidRPr="008E6BE7" w:rsidRDefault="00120C3F" w:rsidP="00D6481B">
            <w:pPr>
              <w:spacing w:after="0" w:line="240" w:lineRule="auto"/>
              <w:jc w:val="center"/>
              <w:rPr>
                <w:rFonts w:ascii="Times New Roman" w:hAnsi="Times New Roman"/>
                <w:sz w:val="20"/>
                <w:szCs w:val="20"/>
              </w:rPr>
            </w:pPr>
            <w:r w:rsidRPr="008E6BE7">
              <w:rPr>
                <w:rFonts w:ascii="Times New Roman" w:hAnsi="Times New Roman"/>
                <w:color w:val="000000"/>
                <w:sz w:val="20"/>
                <w:szCs w:val="20"/>
              </w:rPr>
              <w:t>12</w:t>
            </w:r>
          </w:p>
        </w:tc>
        <w:tc>
          <w:tcPr>
            <w:tcW w:w="1134" w:type="dxa"/>
            <w:shd w:val="clear" w:color="auto" w:fill="FF3B3B"/>
          </w:tcPr>
          <w:p w:rsidR="00120C3F" w:rsidRPr="008E6BE7" w:rsidRDefault="00F578C9" w:rsidP="00F578C9">
            <w:pPr>
              <w:spacing w:after="0" w:line="240" w:lineRule="auto"/>
              <w:jc w:val="center"/>
              <w:rPr>
                <w:rFonts w:ascii="Times New Roman" w:hAnsi="Times New Roman"/>
                <w:sz w:val="20"/>
                <w:szCs w:val="20"/>
              </w:rPr>
            </w:pPr>
            <w:r w:rsidRPr="008E6BE7">
              <w:rPr>
                <w:rFonts w:ascii="Times New Roman" w:hAnsi="Times New Roman"/>
                <w:sz w:val="20"/>
                <w:szCs w:val="20"/>
              </w:rPr>
              <w:t>-</w:t>
            </w:r>
          </w:p>
        </w:tc>
        <w:tc>
          <w:tcPr>
            <w:tcW w:w="1134" w:type="dxa"/>
            <w:shd w:val="clear" w:color="auto" w:fill="FF3B3B"/>
          </w:tcPr>
          <w:p w:rsidR="00120C3F" w:rsidRPr="008E6BE7" w:rsidRDefault="00F578C9" w:rsidP="00F578C9">
            <w:pPr>
              <w:spacing w:after="0" w:line="240" w:lineRule="auto"/>
              <w:jc w:val="center"/>
              <w:rPr>
                <w:rFonts w:ascii="Times New Roman" w:hAnsi="Times New Roman"/>
                <w:sz w:val="20"/>
                <w:szCs w:val="20"/>
              </w:rPr>
            </w:pPr>
            <w:r w:rsidRPr="008E6BE7">
              <w:rPr>
                <w:rFonts w:ascii="Times New Roman" w:hAnsi="Times New Roman"/>
                <w:sz w:val="20"/>
                <w:szCs w:val="20"/>
              </w:rPr>
              <w:t>-</w:t>
            </w:r>
          </w:p>
        </w:tc>
      </w:tr>
      <w:tr w:rsidR="00F578C9" w:rsidRPr="008E6BE7" w:rsidTr="00615C4D">
        <w:trPr>
          <w:jc w:val="center"/>
        </w:trPr>
        <w:tc>
          <w:tcPr>
            <w:tcW w:w="9634" w:type="dxa"/>
            <w:gridSpan w:val="6"/>
            <w:shd w:val="clear" w:color="auto" w:fill="D9D9D9" w:themeFill="background1" w:themeFillShade="D9"/>
          </w:tcPr>
          <w:p w:rsidR="00F578C9" w:rsidRPr="008E6BE7" w:rsidRDefault="00F578C9">
            <w:pPr>
              <w:spacing w:after="0" w:line="240" w:lineRule="auto"/>
              <w:rPr>
                <w:rFonts w:ascii="Times New Roman" w:hAnsi="Times New Roman"/>
                <w:sz w:val="20"/>
                <w:szCs w:val="20"/>
              </w:rPr>
            </w:pPr>
          </w:p>
        </w:tc>
      </w:tr>
      <w:tr w:rsidR="00753AB3" w:rsidRPr="008E6BE7" w:rsidTr="00D92B4A">
        <w:trPr>
          <w:jc w:val="center"/>
        </w:trPr>
        <w:tc>
          <w:tcPr>
            <w:tcW w:w="3114" w:type="dxa"/>
            <w:vMerge w:val="restart"/>
            <w:shd w:val="clear" w:color="auto" w:fill="FF3B3B"/>
            <w:vAlign w:val="center"/>
          </w:tcPr>
          <w:p w:rsidR="00753AB3" w:rsidRPr="008E6BE7" w:rsidRDefault="00753AB3" w:rsidP="00120C3F">
            <w:pPr>
              <w:spacing w:after="0" w:line="240" w:lineRule="auto"/>
              <w:rPr>
                <w:rFonts w:ascii="Times New Roman" w:hAnsi="Times New Roman"/>
                <w:sz w:val="20"/>
                <w:szCs w:val="20"/>
              </w:rPr>
            </w:pPr>
            <w:r w:rsidRPr="008E6BE7">
              <w:rPr>
                <w:rFonts w:ascii="Times New Roman" w:hAnsi="Times New Roman"/>
                <w:b/>
                <w:bCs/>
                <w:color w:val="000000"/>
                <w:sz w:val="20"/>
                <w:szCs w:val="20"/>
              </w:rPr>
              <w:t>PIKC "Ogres tehnikums"</w:t>
            </w:r>
          </w:p>
        </w:tc>
        <w:tc>
          <w:tcPr>
            <w:tcW w:w="2126" w:type="dxa"/>
            <w:shd w:val="clear" w:color="auto" w:fill="FF3B3B"/>
            <w:vAlign w:val="center"/>
          </w:tcPr>
          <w:p w:rsidR="00753AB3" w:rsidRPr="008E6BE7" w:rsidRDefault="00753AB3" w:rsidP="00120C3F">
            <w:pPr>
              <w:spacing w:after="0" w:line="240" w:lineRule="auto"/>
              <w:rPr>
                <w:rFonts w:ascii="Times New Roman" w:hAnsi="Times New Roman"/>
                <w:sz w:val="20"/>
                <w:szCs w:val="20"/>
              </w:rPr>
            </w:pPr>
            <w:r w:rsidRPr="008E6BE7">
              <w:rPr>
                <w:rFonts w:ascii="Times New Roman" w:hAnsi="Times New Roman"/>
                <w:i/>
                <w:iCs/>
                <w:color w:val="000000"/>
                <w:sz w:val="20"/>
                <w:szCs w:val="20"/>
              </w:rPr>
              <w:t>Būvizstrādājumu gādnieks</w:t>
            </w:r>
          </w:p>
        </w:tc>
        <w:tc>
          <w:tcPr>
            <w:tcW w:w="992" w:type="dxa"/>
            <w:shd w:val="clear" w:color="auto" w:fill="FF3B3B"/>
            <w:vAlign w:val="center"/>
          </w:tcPr>
          <w:p w:rsidR="00753AB3" w:rsidRPr="008E6BE7" w:rsidRDefault="00753AB3" w:rsidP="00D6481B">
            <w:pPr>
              <w:spacing w:after="0" w:line="240" w:lineRule="auto"/>
              <w:jc w:val="center"/>
              <w:rPr>
                <w:rFonts w:ascii="Times New Roman" w:hAnsi="Times New Roman"/>
                <w:sz w:val="20"/>
                <w:szCs w:val="20"/>
              </w:rPr>
            </w:pPr>
            <w:r w:rsidRPr="008E6BE7">
              <w:rPr>
                <w:rFonts w:ascii="Times New Roman" w:hAnsi="Times New Roman"/>
                <w:color w:val="000000"/>
                <w:sz w:val="20"/>
                <w:szCs w:val="20"/>
              </w:rPr>
              <w:t>960</w:t>
            </w:r>
          </w:p>
        </w:tc>
        <w:tc>
          <w:tcPr>
            <w:tcW w:w="1134" w:type="dxa"/>
            <w:shd w:val="clear" w:color="auto" w:fill="FF3B3B"/>
            <w:vAlign w:val="center"/>
          </w:tcPr>
          <w:p w:rsidR="00753AB3" w:rsidRPr="008E6BE7" w:rsidRDefault="00753AB3" w:rsidP="00D6481B">
            <w:pPr>
              <w:spacing w:after="0" w:line="240" w:lineRule="auto"/>
              <w:jc w:val="center"/>
              <w:rPr>
                <w:rFonts w:ascii="Times New Roman" w:hAnsi="Times New Roman"/>
                <w:sz w:val="20"/>
                <w:szCs w:val="20"/>
              </w:rPr>
            </w:pPr>
            <w:r w:rsidRPr="008E6BE7">
              <w:rPr>
                <w:rFonts w:ascii="Times New Roman" w:hAnsi="Times New Roman"/>
                <w:color w:val="000000"/>
                <w:sz w:val="20"/>
                <w:szCs w:val="20"/>
              </w:rPr>
              <w:t>12</w:t>
            </w:r>
          </w:p>
        </w:tc>
        <w:tc>
          <w:tcPr>
            <w:tcW w:w="1134" w:type="dxa"/>
            <w:shd w:val="clear" w:color="auto" w:fill="FF3B3B"/>
          </w:tcPr>
          <w:p w:rsidR="00753AB3" w:rsidRPr="008E6BE7" w:rsidRDefault="00F578C9" w:rsidP="00F578C9">
            <w:pPr>
              <w:spacing w:after="0" w:line="240" w:lineRule="auto"/>
              <w:jc w:val="center"/>
              <w:rPr>
                <w:rFonts w:ascii="Times New Roman" w:hAnsi="Times New Roman"/>
                <w:sz w:val="20"/>
                <w:szCs w:val="20"/>
              </w:rPr>
            </w:pPr>
            <w:r w:rsidRPr="008E6BE7">
              <w:rPr>
                <w:rFonts w:ascii="Times New Roman" w:hAnsi="Times New Roman"/>
                <w:sz w:val="20"/>
                <w:szCs w:val="20"/>
              </w:rPr>
              <w:t>-</w:t>
            </w:r>
          </w:p>
        </w:tc>
        <w:tc>
          <w:tcPr>
            <w:tcW w:w="1134" w:type="dxa"/>
            <w:shd w:val="clear" w:color="auto" w:fill="FF3B3B"/>
          </w:tcPr>
          <w:p w:rsidR="00753AB3" w:rsidRPr="008E6BE7" w:rsidRDefault="00F578C9" w:rsidP="00F578C9">
            <w:pPr>
              <w:spacing w:after="0" w:line="240" w:lineRule="auto"/>
              <w:jc w:val="center"/>
              <w:rPr>
                <w:rFonts w:ascii="Times New Roman" w:hAnsi="Times New Roman"/>
                <w:sz w:val="20"/>
                <w:szCs w:val="20"/>
              </w:rPr>
            </w:pPr>
            <w:r w:rsidRPr="008E6BE7">
              <w:rPr>
                <w:rFonts w:ascii="Times New Roman" w:hAnsi="Times New Roman"/>
                <w:sz w:val="20"/>
                <w:szCs w:val="20"/>
              </w:rPr>
              <w:t>-</w:t>
            </w:r>
          </w:p>
        </w:tc>
      </w:tr>
      <w:tr w:rsidR="00753AB3" w:rsidRPr="008E6BE7" w:rsidTr="00D92B4A">
        <w:trPr>
          <w:jc w:val="center"/>
        </w:trPr>
        <w:tc>
          <w:tcPr>
            <w:tcW w:w="3114" w:type="dxa"/>
            <w:vMerge/>
            <w:shd w:val="clear" w:color="auto" w:fill="FF3B3B"/>
            <w:vAlign w:val="center"/>
          </w:tcPr>
          <w:p w:rsidR="00753AB3" w:rsidRPr="008E6BE7" w:rsidRDefault="00753AB3" w:rsidP="00120C3F">
            <w:pPr>
              <w:spacing w:after="0" w:line="240" w:lineRule="auto"/>
              <w:rPr>
                <w:rFonts w:ascii="Times New Roman" w:hAnsi="Times New Roman"/>
                <w:sz w:val="20"/>
                <w:szCs w:val="20"/>
              </w:rPr>
            </w:pPr>
          </w:p>
        </w:tc>
        <w:tc>
          <w:tcPr>
            <w:tcW w:w="2126" w:type="dxa"/>
            <w:shd w:val="clear" w:color="auto" w:fill="FF3B3B"/>
            <w:vAlign w:val="center"/>
          </w:tcPr>
          <w:p w:rsidR="00753AB3" w:rsidRPr="008E6BE7" w:rsidRDefault="00753AB3" w:rsidP="00120C3F">
            <w:pPr>
              <w:spacing w:after="0" w:line="240" w:lineRule="auto"/>
              <w:rPr>
                <w:rFonts w:ascii="Times New Roman" w:hAnsi="Times New Roman"/>
                <w:sz w:val="20"/>
                <w:szCs w:val="20"/>
              </w:rPr>
            </w:pPr>
            <w:r w:rsidRPr="008E6BE7">
              <w:rPr>
                <w:rFonts w:ascii="Times New Roman" w:hAnsi="Times New Roman"/>
                <w:i/>
                <w:iCs/>
                <w:color w:val="000000"/>
                <w:sz w:val="20"/>
                <w:szCs w:val="20"/>
              </w:rPr>
              <w:t>Datorsistēmu tehniķis</w:t>
            </w:r>
          </w:p>
        </w:tc>
        <w:tc>
          <w:tcPr>
            <w:tcW w:w="992" w:type="dxa"/>
            <w:shd w:val="clear" w:color="auto" w:fill="FF3B3B"/>
            <w:vAlign w:val="center"/>
          </w:tcPr>
          <w:p w:rsidR="00753AB3" w:rsidRPr="008E6BE7" w:rsidRDefault="00753AB3" w:rsidP="00D6481B">
            <w:pPr>
              <w:spacing w:after="0" w:line="240" w:lineRule="auto"/>
              <w:jc w:val="center"/>
              <w:rPr>
                <w:rFonts w:ascii="Times New Roman" w:hAnsi="Times New Roman"/>
                <w:sz w:val="20"/>
                <w:szCs w:val="20"/>
              </w:rPr>
            </w:pPr>
            <w:r w:rsidRPr="008E6BE7">
              <w:rPr>
                <w:rFonts w:ascii="Times New Roman" w:hAnsi="Times New Roman"/>
                <w:color w:val="000000"/>
                <w:sz w:val="20"/>
                <w:szCs w:val="20"/>
              </w:rPr>
              <w:t>960</w:t>
            </w:r>
          </w:p>
        </w:tc>
        <w:tc>
          <w:tcPr>
            <w:tcW w:w="1134" w:type="dxa"/>
            <w:shd w:val="clear" w:color="auto" w:fill="FF3B3B"/>
            <w:vAlign w:val="center"/>
          </w:tcPr>
          <w:p w:rsidR="00753AB3" w:rsidRPr="008E6BE7" w:rsidRDefault="00753AB3" w:rsidP="00D6481B">
            <w:pPr>
              <w:spacing w:after="0" w:line="240" w:lineRule="auto"/>
              <w:jc w:val="center"/>
              <w:rPr>
                <w:rFonts w:ascii="Times New Roman" w:hAnsi="Times New Roman"/>
                <w:sz w:val="20"/>
                <w:szCs w:val="20"/>
              </w:rPr>
            </w:pPr>
            <w:r w:rsidRPr="008E6BE7">
              <w:rPr>
                <w:rFonts w:ascii="Times New Roman" w:hAnsi="Times New Roman"/>
                <w:color w:val="000000"/>
                <w:sz w:val="20"/>
                <w:szCs w:val="20"/>
              </w:rPr>
              <w:t>12</w:t>
            </w:r>
          </w:p>
        </w:tc>
        <w:tc>
          <w:tcPr>
            <w:tcW w:w="1134" w:type="dxa"/>
            <w:shd w:val="clear" w:color="auto" w:fill="FF3B3B"/>
          </w:tcPr>
          <w:p w:rsidR="00753AB3" w:rsidRPr="008E6BE7" w:rsidRDefault="00F578C9" w:rsidP="00F578C9">
            <w:pPr>
              <w:spacing w:after="0" w:line="240" w:lineRule="auto"/>
              <w:jc w:val="center"/>
              <w:rPr>
                <w:rFonts w:ascii="Times New Roman" w:hAnsi="Times New Roman"/>
                <w:sz w:val="20"/>
                <w:szCs w:val="20"/>
              </w:rPr>
            </w:pPr>
            <w:r w:rsidRPr="008E6BE7">
              <w:rPr>
                <w:rFonts w:ascii="Times New Roman" w:hAnsi="Times New Roman"/>
                <w:sz w:val="20"/>
                <w:szCs w:val="20"/>
              </w:rPr>
              <w:t>-</w:t>
            </w:r>
          </w:p>
        </w:tc>
        <w:tc>
          <w:tcPr>
            <w:tcW w:w="1134" w:type="dxa"/>
            <w:shd w:val="clear" w:color="auto" w:fill="FF3B3B"/>
          </w:tcPr>
          <w:p w:rsidR="00753AB3" w:rsidRPr="008E6BE7" w:rsidRDefault="00F578C9" w:rsidP="00F578C9">
            <w:pPr>
              <w:spacing w:after="0" w:line="240" w:lineRule="auto"/>
              <w:jc w:val="center"/>
              <w:rPr>
                <w:rFonts w:ascii="Times New Roman" w:hAnsi="Times New Roman"/>
                <w:sz w:val="20"/>
                <w:szCs w:val="20"/>
              </w:rPr>
            </w:pPr>
            <w:r w:rsidRPr="008E6BE7">
              <w:rPr>
                <w:rFonts w:ascii="Times New Roman" w:hAnsi="Times New Roman"/>
                <w:sz w:val="20"/>
                <w:szCs w:val="20"/>
              </w:rPr>
              <w:t>-</w:t>
            </w:r>
          </w:p>
        </w:tc>
      </w:tr>
      <w:tr w:rsidR="00753AB3" w:rsidRPr="008E6BE7" w:rsidTr="00D92B4A">
        <w:trPr>
          <w:jc w:val="center"/>
        </w:trPr>
        <w:tc>
          <w:tcPr>
            <w:tcW w:w="3114" w:type="dxa"/>
            <w:vMerge/>
            <w:shd w:val="clear" w:color="auto" w:fill="FF3B3B"/>
            <w:vAlign w:val="center"/>
          </w:tcPr>
          <w:p w:rsidR="00753AB3" w:rsidRPr="008E6BE7" w:rsidRDefault="00753AB3" w:rsidP="00120C3F">
            <w:pPr>
              <w:spacing w:after="0" w:line="240" w:lineRule="auto"/>
              <w:rPr>
                <w:rFonts w:ascii="Times New Roman" w:hAnsi="Times New Roman"/>
                <w:sz w:val="20"/>
                <w:szCs w:val="20"/>
              </w:rPr>
            </w:pPr>
          </w:p>
        </w:tc>
        <w:tc>
          <w:tcPr>
            <w:tcW w:w="2126" w:type="dxa"/>
            <w:shd w:val="clear" w:color="auto" w:fill="FF3B3B"/>
            <w:vAlign w:val="center"/>
          </w:tcPr>
          <w:p w:rsidR="00753AB3" w:rsidRPr="008E6BE7" w:rsidRDefault="00753AB3" w:rsidP="00120C3F">
            <w:pPr>
              <w:spacing w:after="0" w:line="240" w:lineRule="auto"/>
              <w:rPr>
                <w:rFonts w:ascii="Times New Roman" w:hAnsi="Times New Roman"/>
                <w:sz w:val="20"/>
                <w:szCs w:val="20"/>
              </w:rPr>
            </w:pPr>
            <w:r w:rsidRPr="008E6BE7">
              <w:rPr>
                <w:rFonts w:ascii="Times New Roman" w:hAnsi="Times New Roman"/>
                <w:i/>
                <w:iCs/>
                <w:color w:val="000000"/>
                <w:sz w:val="20"/>
                <w:szCs w:val="20"/>
              </w:rPr>
              <w:t>Galdnieks</w:t>
            </w:r>
          </w:p>
        </w:tc>
        <w:tc>
          <w:tcPr>
            <w:tcW w:w="992" w:type="dxa"/>
            <w:shd w:val="clear" w:color="auto" w:fill="FF3B3B"/>
            <w:vAlign w:val="center"/>
          </w:tcPr>
          <w:p w:rsidR="00753AB3" w:rsidRPr="008E6BE7" w:rsidRDefault="00753AB3" w:rsidP="00D6481B">
            <w:pPr>
              <w:spacing w:after="0" w:line="240" w:lineRule="auto"/>
              <w:jc w:val="center"/>
              <w:rPr>
                <w:rFonts w:ascii="Times New Roman" w:hAnsi="Times New Roman"/>
                <w:sz w:val="20"/>
                <w:szCs w:val="20"/>
              </w:rPr>
            </w:pPr>
            <w:r w:rsidRPr="008E6BE7">
              <w:rPr>
                <w:rFonts w:ascii="Times New Roman" w:hAnsi="Times New Roman"/>
                <w:color w:val="000000"/>
                <w:sz w:val="20"/>
                <w:szCs w:val="20"/>
              </w:rPr>
              <w:t>640</w:t>
            </w:r>
          </w:p>
        </w:tc>
        <w:tc>
          <w:tcPr>
            <w:tcW w:w="1134" w:type="dxa"/>
            <w:shd w:val="clear" w:color="auto" w:fill="FF3B3B"/>
            <w:vAlign w:val="center"/>
          </w:tcPr>
          <w:p w:rsidR="00753AB3" w:rsidRPr="008E6BE7" w:rsidRDefault="00753AB3" w:rsidP="00D6481B">
            <w:pPr>
              <w:spacing w:after="0" w:line="240" w:lineRule="auto"/>
              <w:jc w:val="center"/>
              <w:rPr>
                <w:rFonts w:ascii="Times New Roman" w:hAnsi="Times New Roman"/>
                <w:sz w:val="20"/>
                <w:szCs w:val="20"/>
              </w:rPr>
            </w:pPr>
            <w:r w:rsidRPr="008E6BE7">
              <w:rPr>
                <w:rFonts w:ascii="Times New Roman" w:hAnsi="Times New Roman"/>
                <w:color w:val="000000"/>
                <w:sz w:val="20"/>
                <w:szCs w:val="20"/>
              </w:rPr>
              <w:t>12</w:t>
            </w:r>
          </w:p>
        </w:tc>
        <w:tc>
          <w:tcPr>
            <w:tcW w:w="1134" w:type="dxa"/>
            <w:shd w:val="clear" w:color="auto" w:fill="FF3B3B"/>
          </w:tcPr>
          <w:p w:rsidR="00753AB3" w:rsidRPr="008E6BE7" w:rsidRDefault="00F578C9" w:rsidP="00F578C9">
            <w:pPr>
              <w:spacing w:after="0" w:line="240" w:lineRule="auto"/>
              <w:jc w:val="center"/>
              <w:rPr>
                <w:rFonts w:ascii="Times New Roman" w:hAnsi="Times New Roman"/>
                <w:sz w:val="20"/>
                <w:szCs w:val="20"/>
              </w:rPr>
            </w:pPr>
            <w:r w:rsidRPr="008E6BE7">
              <w:rPr>
                <w:rFonts w:ascii="Times New Roman" w:hAnsi="Times New Roman"/>
                <w:sz w:val="20"/>
                <w:szCs w:val="20"/>
              </w:rPr>
              <w:t>-</w:t>
            </w:r>
          </w:p>
        </w:tc>
        <w:tc>
          <w:tcPr>
            <w:tcW w:w="1134" w:type="dxa"/>
            <w:shd w:val="clear" w:color="auto" w:fill="FF3B3B"/>
          </w:tcPr>
          <w:p w:rsidR="00753AB3" w:rsidRPr="008E6BE7" w:rsidRDefault="00F578C9" w:rsidP="00F578C9">
            <w:pPr>
              <w:spacing w:after="0" w:line="240" w:lineRule="auto"/>
              <w:jc w:val="center"/>
              <w:rPr>
                <w:rFonts w:ascii="Times New Roman" w:hAnsi="Times New Roman"/>
                <w:sz w:val="20"/>
                <w:szCs w:val="20"/>
              </w:rPr>
            </w:pPr>
            <w:r w:rsidRPr="008E6BE7">
              <w:rPr>
                <w:rFonts w:ascii="Times New Roman" w:hAnsi="Times New Roman"/>
                <w:sz w:val="20"/>
                <w:szCs w:val="20"/>
              </w:rPr>
              <w:t>-</w:t>
            </w:r>
          </w:p>
        </w:tc>
      </w:tr>
      <w:tr w:rsidR="00120C3F" w:rsidRPr="008E6BE7" w:rsidTr="00615C4D">
        <w:trPr>
          <w:jc w:val="center"/>
        </w:trPr>
        <w:tc>
          <w:tcPr>
            <w:tcW w:w="9634" w:type="dxa"/>
            <w:gridSpan w:val="6"/>
            <w:shd w:val="clear" w:color="auto" w:fill="C2D69B" w:themeFill="accent3" w:themeFillTint="99"/>
          </w:tcPr>
          <w:p w:rsidR="00120C3F" w:rsidRPr="008E6BE7" w:rsidRDefault="00120C3F" w:rsidP="00120C3F">
            <w:pPr>
              <w:spacing w:after="0" w:line="240" w:lineRule="auto"/>
              <w:jc w:val="center"/>
              <w:rPr>
                <w:rFonts w:ascii="Times New Roman" w:hAnsi="Times New Roman"/>
                <w:sz w:val="20"/>
                <w:szCs w:val="20"/>
              </w:rPr>
            </w:pPr>
            <w:r w:rsidRPr="008E6BE7">
              <w:rPr>
                <w:rFonts w:ascii="Times New Roman" w:hAnsi="Times New Roman"/>
                <w:b/>
                <w:bCs/>
                <w:i/>
                <w:iCs/>
                <w:sz w:val="20"/>
                <w:szCs w:val="20"/>
              </w:rPr>
              <w:t>Kurzeme</w:t>
            </w:r>
          </w:p>
        </w:tc>
      </w:tr>
      <w:tr w:rsidR="00120C3F" w:rsidRPr="008E6BE7" w:rsidTr="00615C4D">
        <w:trPr>
          <w:jc w:val="center"/>
        </w:trPr>
        <w:tc>
          <w:tcPr>
            <w:tcW w:w="3114" w:type="dxa"/>
            <w:vAlign w:val="center"/>
          </w:tcPr>
          <w:p w:rsidR="00120C3F" w:rsidRPr="008E6BE7" w:rsidRDefault="00120C3F" w:rsidP="00120C3F">
            <w:pPr>
              <w:spacing w:after="0" w:line="240" w:lineRule="auto"/>
              <w:rPr>
                <w:rFonts w:ascii="Times New Roman" w:hAnsi="Times New Roman"/>
                <w:sz w:val="20"/>
                <w:szCs w:val="20"/>
              </w:rPr>
            </w:pPr>
            <w:r w:rsidRPr="008E6BE7">
              <w:rPr>
                <w:rFonts w:ascii="Times New Roman" w:hAnsi="Times New Roman"/>
                <w:b/>
                <w:bCs/>
                <w:color w:val="000000"/>
                <w:sz w:val="20"/>
                <w:szCs w:val="20"/>
              </w:rPr>
              <w:t>PIKC "Liepājas Valsts tehnikums"</w:t>
            </w:r>
          </w:p>
        </w:tc>
        <w:tc>
          <w:tcPr>
            <w:tcW w:w="2126" w:type="dxa"/>
            <w:vAlign w:val="center"/>
          </w:tcPr>
          <w:p w:rsidR="00120C3F" w:rsidRPr="008E6BE7" w:rsidRDefault="00120C3F" w:rsidP="00120C3F">
            <w:pPr>
              <w:spacing w:after="0" w:line="240" w:lineRule="auto"/>
              <w:rPr>
                <w:rFonts w:ascii="Times New Roman" w:hAnsi="Times New Roman"/>
                <w:sz w:val="20"/>
                <w:szCs w:val="20"/>
              </w:rPr>
            </w:pPr>
            <w:r w:rsidRPr="008E6BE7">
              <w:rPr>
                <w:rFonts w:ascii="Times New Roman" w:hAnsi="Times New Roman"/>
                <w:i/>
                <w:iCs/>
                <w:color w:val="000000"/>
                <w:sz w:val="20"/>
                <w:szCs w:val="20"/>
              </w:rPr>
              <w:t>Šuvējs</w:t>
            </w:r>
          </w:p>
        </w:tc>
        <w:tc>
          <w:tcPr>
            <w:tcW w:w="992" w:type="dxa"/>
            <w:vAlign w:val="center"/>
          </w:tcPr>
          <w:p w:rsidR="00120C3F" w:rsidRPr="008E6BE7" w:rsidRDefault="00120C3F" w:rsidP="00D6481B">
            <w:pPr>
              <w:spacing w:after="0" w:line="240" w:lineRule="auto"/>
              <w:jc w:val="center"/>
              <w:rPr>
                <w:rFonts w:ascii="Times New Roman" w:hAnsi="Times New Roman"/>
                <w:sz w:val="20"/>
                <w:szCs w:val="20"/>
              </w:rPr>
            </w:pPr>
            <w:r w:rsidRPr="008E6BE7">
              <w:rPr>
                <w:rFonts w:ascii="Times New Roman" w:hAnsi="Times New Roman"/>
                <w:color w:val="000000"/>
                <w:sz w:val="20"/>
                <w:szCs w:val="20"/>
              </w:rPr>
              <w:t>480</w:t>
            </w:r>
          </w:p>
        </w:tc>
        <w:tc>
          <w:tcPr>
            <w:tcW w:w="1134" w:type="dxa"/>
            <w:vAlign w:val="center"/>
          </w:tcPr>
          <w:p w:rsidR="00120C3F" w:rsidRPr="008E6BE7" w:rsidRDefault="00120C3F" w:rsidP="00D6481B">
            <w:pPr>
              <w:spacing w:after="0" w:line="240" w:lineRule="auto"/>
              <w:jc w:val="center"/>
              <w:rPr>
                <w:rFonts w:ascii="Times New Roman" w:hAnsi="Times New Roman"/>
                <w:sz w:val="20"/>
                <w:szCs w:val="20"/>
              </w:rPr>
            </w:pPr>
            <w:r w:rsidRPr="008E6BE7">
              <w:rPr>
                <w:rFonts w:ascii="Times New Roman" w:hAnsi="Times New Roman"/>
                <w:color w:val="000000"/>
                <w:sz w:val="20"/>
                <w:szCs w:val="20"/>
              </w:rPr>
              <w:t>12</w:t>
            </w:r>
          </w:p>
        </w:tc>
        <w:tc>
          <w:tcPr>
            <w:tcW w:w="1134" w:type="dxa"/>
            <w:vAlign w:val="center"/>
          </w:tcPr>
          <w:p w:rsidR="00120C3F" w:rsidRPr="008E6BE7" w:rsidRDefault="00887FD3" w:rsidP="003C24BF">
            <w:pPr>
              <w:spacing w:after="0" w:line="240" w:lineRule="auto"/>
              <w:jc w:val="center"/>
              <w:rPr>
                <w:rFonts w:ascii="Times New Roman" w:hAnsi="Times New Roman"/>
                <w:b/>
                <w:bCs/>
                <w:sz w:val="20"/>
                <w:szCs w:val="20"/>
              </w:rPr>
            </w:pPr>
            <w:r w:rsidRPr="008E6BE7">
              <w:rPr>
                <w:rFonts w:ascii="Times New Roman" w:hAnsi="Times New Roman"/>
                <w:b/>
                <w:bCs/>
                <w:sz w:val="20"/>
                <w:szCs w:val="20"/>
              </w:rPr>
              <w:t>23</w:t>
            </w:r>
          </w:p>
        </w:tc>
        <w:tc>
          <w:tcPr>
            <w:tcW w:w="1134" w:type="dxa"/>
            <w:vAlign w:val="center"/>
          </w:tcPr>
          <w:p w:rsidR="00120C3F" w:rsidRPr="008E6BE7" w:rsidRDefault="00F8763B" w:rsidP="00F8763B">
            <w:pPr>
              <w:spacing w:after="0" w:line="240" w:lineRule="auto"/>
              <w:jc w:val="center"/>
              <w:rPr>
                <w:rFonts w:ascii="Times New Roman" w:hAnsi="Times New Roman"/>
                <w:b/>
                <w:bCs/>
                <w:sz w:val="20"/>
                <w:szCs w:val="20"/>
              </w:rPr>
            </w:pPr>
            <w:r w:rsidRPr="008E6BE7">
              <w:rPr>
                <w:rFonts w:ascii="Times New Roman" w:hAnsi="Times New Roman"/>
                <w:b/>
                <w:bCs/>
                <w:sz w:val="20"/>
                <w:szCs w:val="20"/>
              </w:rPr>
              <w:t>1</w:t>
            </w:r>
            <w:r>
              <w:rPr>
                <w:rFonts w:ascii="Times New Roman" w:hAnsi="Times New Roman"/>
                <w:b/>
                <w:bCs/>
                <w:sz w:val="20"/>
                <w:szCs w:val="20"/>
              </w:rPr>
              <w:t>8</w:t>
            </w:r>
          </w:p>
        </w:tc>
      </w:tr>
      <w:tr w:rsidR="00F578C9" w:rsidRPr="008E6BE7" w:rsidTr="00615C4D">
        <w:trPr>
          <w:jc w:val="center"/>
        </w:trPr>
        <w:tc>
          <w:tcPr>
            <w:tcW w:w="9634" w:type="dxa"/>
            <w:gridSpan w:val="6"/>
            <w:shd w:val="clear" w:color="auto" w:fill="D9D9D9" w:themeFill="background1" w:themeFillShade="D9"/>
          </w:tcPr>
          <w:p w:rsidR="00F578C9" w:rsidRPr="008E6BE7" w:rsidRDefault="00F578C9">
            <w:pPr>
              <w:spacing w:after="0" w:line="240" w:lineRule="auto"/>
              <w:rPr>
                <w:rFonts w:ascii="Times New Roman" w:hAnsi="Times New Roman"/>
                <w:b/>
                <w:bCs/>
                <w:sz w:val="20"/>
                <w:szCs w:val="20"/>
              </w:rPr>
            </w:pPr>
          </w:p>
        </w:tc>
      </w:tr>
      <w:tr w:rsidR="00933E37" w:rsidRPr="008E6BE7" w:rsidTr="00615C4D">
        <w:trPr>
          <w:jc w:val="center"/>
        </w:trPr>
        <w:tc>
          <w:tcPr>
            <w:tcW w:w="3114" w:type="dxa"/>
            <w:vAlign w:val="center"/>
          </w:tcPr>
          <w:p w:rsidR="00933E37" w:rsidRPr="008E6BE7" w:rsidRDefault="00933E37" w:rsidP="00933E37">
            <w:pPr>
              <w:spacing w:after="0" w:line="240" w:lineRule="auto"/>
              <w:rPr>
                <w:rFonts w:ascii="Times New Roman" w:hAnsi="Times New Roman"/>
                <w:sz w:val="20"/>
                <w:szCs w:val="20"/>
              </w:rPr>
            </w:pPr>
            <w:r w:rsidRPr="008E6BE7">
              <w:rPr>
                <w:rFonts w:ascii="Times New Roman" w:hAnsi="Times New Roman"/>
                <w:b/>
                <w:bCs/>
                <w:color w:val="000000"/>
                <w:sz w:val="20"/>
                <w:szCs w:val="20"/>
              </w:rPr>
              <w:t>PIKC "Kuldīgas Tehnoloģiju un tūrisma tehnikums"</w:t>
            </w:r>
          </w:p>
        </w:tc>
        <w:tc>
          <w:tcPr>
            <w:tcW w:w="2126" w:type="dxa"/>
            <w:vAlign w:val="center"/>
          </w:tcPr>
          <w:p w:rsidR="00933E37" w:rsidRPr="008E6BE7" w:rsidRDefault="00933E37" w:rsidP="00933E37">
            <w:pPr>
              <w:spacing w:after="0" w:line="240" w:lineRule="auto"/>
              <w:rPr>
                <w:rFonts w:ascii="Times New Roman" w:hAnsi="Times New Roman"/>
                <w:sz w:val="20"/>
                <w:szCs w:val="20"/>
              </w:rPr>
            </w:pPr>
            <w:r w:rsidRPr="008E6BE7">
              <w:rPr>
                <w:rFonts w:ascii="Times New Roman" w:hAnsi="Times New Roman"/>
                <w:i/>
                <w:iCs/>
                <w:color w:val="000000"/>
                <w:sz w:val="20"/>
                <w:szCs w:val="20"/>
              </w:rPr>
              <w:t>Galdnieks</w:t>
            </w:r>
          </w:p>
        </w:tc>
        <w:tc>
          <w:tcPr>
            <w:tcW w:w="992" w:type="dxa"/>
            <w:vAlign w:val="center"/>
          </w:tcPr>
          <w:p w:rsidR="00933E37" w:rsidRPr="008E6BE7" w:rsidRDefault="00933E37" w:rsidP="00D6481B">
            <w:pPr>
              <w:spacing w:after="0" w:line="240" w:lineRule="auto"/>
              <w:jc w:val="center"/>
              <w:rPr>
                <w:rFonts w:ascii="Times New Roman" w:hAnsi="Times New Roman"/>
                <w:color w:val="000000"/>
                <w:sz w:val="20"/>
                <w:szCs w:val="20"/>
              </w:rPr>
            </w:pPr>
            <w:r w:rsidRPr="008E6BE7">
              <w:rPr>
                <w:rFonts w:ascii="Times New Roman" w:hAnsi="Times New Roman"/>
                <w:color w:val="000000"/>
                <w:sz w:val="20"/>
                <w:szCs w:val="20"/>
              </w:rPr>
              <w:t>640</w:t>
            </w:r>
          </w:p>
        </w:tc>
        <w:tc>
          <w:tcPr>
            <w:tcW w:w="1134" w:type="dxa"/>
            <w:vAlign w:val="center"/>
          </w:tcPr>
          <w:p w:rsidR="00933E37" w:rsidRPr="008E6BE7" w:rsidRDefault="00933E37" w:rsidP="00D6481B">
            <w:pPr>
              <w:spacing w:after="0" w:line="240" w:lineRule="auto"/>
              <w:jc w:val="center"/>
              <w:rPr>
                <w:rFonts w:ascii="Times New Roman" w:hAnsi="Times New Roman"/>
                <w:color w:val="000000"/>
                <w:sz w:val="20"/>
                <w:szCs w:val="20"/>
              </w:rPr>
            </w:pPr>
            <w:r w:rsidRPr="008E6BE7">
              <w:rPr>
                <w:rFonts w:ascii="Times New Roman" w:hAnsi="Times New Roman"/>
                <w:color w:val="000000"/>
                <w:sz w:val="20"/>
                <w:szCs w:val="20"/>
              </w:rPr>
              <w:t>12</w:t>
            </w:r>
          </w:p>
        </w:tc>
        <w:tc>
          <w:tcPr>
            <w:tcW w:w="1134" w:type="dxa"/>
            <w:vAlign w:val="center"/>
          </w:tcPr>
          <w:p w:rsidR="00933E37" w:rsidRPr="008E6BE7" w:rsidRDefault="00887FD3" w:rsidP="003C24BF">
            <w:pPr>
              <w:spacing w:after="0" w:line="240" w:lineRule="auto"/>
              <w:jc w:val="center"/>
              <w:rPr>
                <w:rFonts w:ascii="Times New Roman" w:hAnsi="Times New Roman"/>
                <w:b/>
                <w:bCs/>
                <w:sz w:val="20"/>
                <w:szCs w:val="20"/>
              </w:rPr>
            </w:pPr>
            <w:r w:rsidRPr="008E6BE7">
              <w:rPr>
                <w:rFonts w:ascii="Times New Roman" w:hAnsi="Times New Roman"/>
                <w:b/>
                <w:bCs/>
                <w:sz w:val="20"/>
                <w:szCs w:val="20"/>
              </w:rPr>
              <w:t>6</w:t>
            </w:r>
          </w:p>
        </w:tc>
        <w:tc>
          <w:tcPr>
            <w:tcW w:w="1134" w:type="dxa"/>
            <w:vAlign w:val="center"/>
          </w:tcPr>
          <w:p w:rsidR="00933E37" w:rsidRPr="008E6BE7" w:rsidRDefault="00F8763B" w:rsidP="00765874">
            <w:pPr>
              <w:spacing w:after="0" w:line="240" w:lineRule="auto"/>
              <w:jc w:val="center"/>
              <w:rPr>
                <w:rFonts w:ascii="Times New Roman" w:hAnsi="Times New Roman"/>
                <w:b/>
                <w:bCs/>
                <w:sz w:val="20"/>
                <w:szCs w:val="20"/>
              </w:rPr>
            </w:pPr>
            <w:r>
              <w:rPr>
                <w:rFonts w:ascii="Times New Roman" w:hAnsi="Times New Roman"/>
                <w:b/>
                <w:bCs/>
                <w:sz w:val="20"/>
                <w:szCs w:val="20"/>
              </w:rPr>
              <w:t>5</w:t>
            </w:r>
          </w:p>
        </w:tc>
      </w:tr>
      <w:tr w:rsidR="00933E37" w:rsidRPr="008E6BE7" w:rsidTr="00615C4D">
        <w:trPr>
          <w:jc w:val="center"/>
        </w:trPr>
        <w:tc>
          <w:tcPr>
            <w:tcW w:w="9634" w:type="dxa"/>
            <w:gridSpan w:val="6"/>
            <w:shd w:val="clear" w:color="auto" w:fill="C2D69B" w:themeFill="accent3" w:themeFillTint="99"/>
          </w:tcPr>
          <w:p w:rsidR="00933E37" w:rsidRPr="008E6BE7" w:rsidRDefault="00E51FA8">
            <w:pPr>
              <w:spacing w:after="0" w:line="240" w:lineRule="auto"/>
              <w:jc w:val="center"/>
              <w:rPr>
                <w:rFonts w:ascii="Times New Roman" w:hAnsi="Times New Roman"/>
                <w:sz w:val="20"/>
                <w:szCs w:val="20"/>
              </w:rPr>
            </w:pPr>
            <w:r w:rsidRPr="008E6BE7">
              <w:rPr>
                <w:rFonts w:ascii="Times New Roman" w:hAnsi="Times New Roman"/>
                <w:b/>
                <w:bCs/>
                <w:i/>
                <w:iCs/>
                <w:sz w:val="20"/>
                <w:szCs w:val="20"/>
              </w:rPr>
              <w:t>Latgale</w:t>
            </w:r>
          </w:p>
        </w:tc>
      </w:tr>
      <w:tr w:rsidR="00753AB3" w:rsidRPr="008E6BE7" w:rsidTr="00615C4D">
        <w:trPr>
          <w:jc w:val="center"/>
        </w:trPr>
        <w:tc>
          <w:tcPr>
            <w:tcW w:w="3114" w:type="dxa"/>
            <w:vMerge w:val="restart"/>
            <w:vAlign w:val="center"/>
          </w:tcPr>
          <w:p w:rsidR="00753AB3" w:rsidRPr="008E6BE7" w:rsidRDefault="00753AB3" w:rsidP="00933E37">
            <w:pPr>
              <w:spacing w:after="0" w:line="240" w:lineRule="auto"/>
              <w:rPr>
                <w:rFonts w:ascii="Times New Roman" w:hAnsi="Times New Roman"/>
                <w:sz w:val="20"/>
                <w:szCs w:val="20"/>
              </w:rPr>
            </w:pPr>
            <w:r w:rsidRPr="008E6BE7">
              <w:rPr>
                <w:rFonts w:ascii="Times New Roman" w:hAnsi="Times New Roman"/>
                <w:b/>
                <w:bCs/>
                <w:color w:val="000000"/>
                <w:sz w:val="20"/>
                <w:szCs w:val="20"/>
              </w:rPr>
              <w:t xml:space="preserve">PIKC “Daugavpils tehnikums” </w:t>
            </w:r>
          </w:p>
        </w:tc>
        <w:tc>
          <w:tcPr>
            <w:tcW w:w="2126" w:type="dxa"/>
            <w:vAlign w:val="center"/>
          </w:tcPr>
          <w:p w:rsidR="00753AB3" w:rsidRPr="008E6BE7" w:rsidRDefault="00753AB3" w:rsidP="00933E37">
            <w:pPr>
              <w:spacing w:after="0" w:line="240" w:lineRule="auto"/>
              <w:rPr>
                <w:rFonts w:ascii="Times New Roman" w:hAnsi="Times New Roman"/>
                <w:sz w:val="20"/>
                <w:szCs w:val="20"/>
              </w:rPr>
            </w:pPr>
            <w:r w:rsidRPr="008E6BE7">
              <w:rPr>
                <w:rFonts w:ascii="Times New Roman" w:hAnsi="Times New Roman"/>
                <w:i/>
                <w:iCs/>
                <w:color w:val="000000"/>
                <w:sz w:val="20"/>
                <w:szCs w:val="20"/>
              </w:rPr>
              <w:t>Drēbnieks</w:t>
            </w:r>
          </w:p>
        </w:tc>
        <w:tc>
          <w:tcPr>
            <w:tcW w:w="992" w:type="dxa"/>
            <w:vAlign w:val="center"/>
          </w:tcPr>
          <w:p w:rsidR="00753AB3" w:rsidRPr="008E6BE7" w:rsidRDefault="00753AB3" w:rsidP="00D6481B">
            <w:pPr>
              <w:spacing w:after="0" w:line="240" w:lineRule="auto"/>
              <w:jc w:val="center"/>
              <w:rPr>
                <w:rFonts w:ascii="Times New Roman" w:hAnsi="Times New Roman"/>
                <w:color w:val="000000"/>
                <w:sz w:val="20"/>
                <w:szCs w:val="20"/>
              </w:rPr>
            </w:pPr>
            <w:r w:rsidRPr="008E6BE7">
              <w:rPr>
                <w:rFonts w:ascii="Times New Roman" w:hAnsi="Times New Roman"/>
                <w:color w:val="000000"/>
                <w:sz w:val="20"/>
                <w:szCs w:val="20"/>
              </w:rPr>
              <w:t>640</w:t>
            </w:r>
          </w:p>
        </w:tc>
        <w:tc>
          <w:tcPr>
            <w:tcW w:w="1134" w:type="dxa"/>
            <w:vAlign w:val="center"/>
          </w:tcPr>
          <w:p w:rsidR="00753AB3" w:rsidRPr="008E6BE7" w:rsidRDefault="00753AB3" w:rsidP="00D6481B">
            <w:pPr>
              <w:spacing w:after="0" w:line="240" w:lineRule="auto"/>
              <w:jc w:val="center"/>
              <w:rPr>
                <w:rFonts w:ascii="Times New Roman" w:hAnsi="Times New Roman"/>
                <w:color w:val="000000"/>
                <w:sz w:val="20"/>
                <w:szCs w:val="20"/>
              </w:rPr>
            </w:pPr>
            <w:r w:rsidRPr="008E6BE7">
              <w:rPr>
                <w:rFonts w:ascii="Times New Roman" w:hAnsi="Times New Roman"/>
                <w:color w:val="000000"/>
                <w:sz w:val="20"/>
                <w:szCs w:val="20"/>
              </w:rPr>
              <w:t>12</w:t>
            </w:r>
          </w:p>
        </w:tc>
        <w:tc>
          <w:tcPr>
            <w:tcW w:w="1134" w:type="dxa"/>
            <w:vAlign w:val="center"/>
          </w:tcPr>
          <w:p w:rsidR="00753AB3" w:rsidRPr="008E6BE7" w:rsidRDefault="00887FD3" w:rsidP="003C24BF">
            <w:pPr>
              <w:spacing w:after="0" w:line="240" w:lineRule="auto"/>
              <w:jc w:val="center"/>
              <w:rPr>
                <w:rFonts w:ascii="Times New Roman" w:hAnsi="Times New Roman"/>
                <w:b/>
                <w:bCs/>
                <w:sz w:val="20"/>
                <w:szCs w:val="20"/>
              </w:rPr>
            </w:pPr>
            <w:r w:rsidRPr="008E6BE7">
              <w:rPr>
                <w:rFonts w:ascii="Times New Roman" w:hAnsi="Times New Roman"/>
                <w:b/>
                <w:bCs/>
                <w:sz w:val="20"/>
                <w:szCs w:val="20"/>
              </w:rPr>
              <w:t>12</w:t>
            </w:r>
          </w:p>
        </w:tc>
        <w:tc>
          <w:tcPr>
            <w:tcW w:w="1134" w:type="dxa"/>
            <w:vAlign w:val="center"/>
          </w:tcPr>
          <w:p w:rsidR="00753AB3" w:rsidRPr="008E6BE7" w:rsidRDefault="00F8763B" w:rsidP="00765874">
            <w:pPr>
              <w:spacing w:after="0" w:line="240" w:lineRule="auto"/>
              <w:jc w:val="center"/>
              <w:rPr>
                <w:rFonts w:ascii="Times New Roman" w:hAnsi="Times New Roman"/>
                <w:b/>
                <w:bCs/>
                <w:sz w:val="20"/>
                <w:szCs w:val="20"/>
              </w:rPr>
            </w:pPr>
            <w:r>
              <w:rPr>
                <w:rFonts w:ascii="Times New Roman" w:hAnsi="Times New Roman"/>
                <w:b/>
                <w:bCs/>
                <w:sz w:val="20"/>
                <w:szCs w:val="20"/>
              </w:rPr>
              <w:t>9</w:t>
            </w:r>
          </w:p>
        </w:tc>
      </w:tr>
      <w:tr w:rsidR="00753AB3" w:rsidRPr="008E6BE7" w:rsidTr="00615C4D">
        <w:trPr>
          <w:jc w:val="center"/>
        </w:trPr>
        <w:tc>
          <w:tcPr>
            <w:tcW w:w="3114" w:type="dxa"/>
            <w:vMerge/>
            <w:vAlign w:val="center"/>
          </w:tcPr>
          <w:p w:rsidR="00753AB3" w:rsidRPr="008E6BE7" w:rsidRDefault="00753AB3" w:rsidP="00933E37">
            <w:pPr>
              <w:spacing w:after="0" w:line="240" w:lineRule="auto"/>
              <w:rPr>
                <w:rFonts w:ascii="Times New Roman" w:hAnsi="Times New Roman"/>
                <w:sz w:val="20"/>
                <w:szCs w:val="20"/>
              </w:rPr>
            </w:pPr>
          </w:p>
        </w:tc>
        <w:tc>
          <w:tcPr>
            <w:tcW w:w="2126" w:type="dxa"/>
            <w:vAlign w:val="center"/>
          </w:tcPr>
          <w:p w:rsidR="00753AB3" w:rsidRPr="008E6BE7" w:rsidRDefault="00753AB3" w:rsidP="00933E37">
            <w:pPr>
              <w:spacing w:after="0" w:line="240" w:lineRule="auto"/>
              <w:rPr>
                <w:rFonts w:ascii="Times New Roman" w:hAnsi="Times New Roman"/>
                <w:sz w:val="20"/>
                <w:szCs w:val="20"/>
              </w:rPr>
            </w:pPr>
            <w:r w:rsidRPr="008E6BE7">
              <w:rPr>
                <w:rFonts w:ascii="Times New Roman" w:hAnsi="Times New Roman"/>
                <w:i/>
                <w:iCs/>
                <w:color w:val="000000"/>
                <w:sz w:val="20"/>
                <w:szCs w:val="20"/>
              </w:rPr>
              <w:t>Datorsistēmu tehniķis”</w:t>
            </w:r>
          </w:p>
        </w:tc>
        <w:tc>
          <w:tcPr>
            <w:tcW w:w="992" w:type="dxa"/>
            <w:vAlign w:val="center"/>
          </w:tcPr>
          <w:p w:rsidR="00753AB3" w:rsidRPr="008E6BE7" w:rsidRDefault="00753AB3" w:rsidP="00D6481B">
            <w:pPr>
              <w:spacing w:after="0" w:line="240" w:lineRule="auto"/>
              <w:jc w:val="center"/>
              <w:rPr>
                <w:rFonts w:ascii="Times New Roman" w:hAnsi="Times New Roman"/>
                <w:color w:val="000000"/>
                <w:sz w:val="20"/>
                <w:szCs w:val="20"/>
              </w:rPr>
            </w:pPr>
            <w:r w:rsidRPr="008E6BE7">
              <w:rPr>
                <w:rFonts w:ascii="Times New Roman" w:hAnsi="Times New Roman"/>
                <w:color w:val="000000"/>
                <w:sz w:val="20"/>
                <w:szCs w:val="20"/>
              </w:rPr>
              <w:t>960</w:t>
            </w:r>
          </w:p>
        </w:tc>
        <w:tc>
          <w:tcPr>
            <w:tcW w:w="1134" w:type="dxa"/>
            <w:vAlign w:val="center"/>
          </w:tcPr>
          <w:p w:rsidR="00753AB3" w:rsidRPr="008E6BE7" w:rsidRDefault="00753AB3" w:rsidP="00D6481B">
            <w:pPr>
              <w:spacing w:after="0" w:line="240" w:lineRule="auto"/>
              <w:jc w:val="center"/>
              <w:rPr>
                <w:rFonts w:ascii="Times New Roman" w:hAnsi="Times New Roman"/>
                <w:color w:val="000000"/>
                <w:sz w:val="20"/>
                <w:szCs w:val="20"/>
              </w:rPr>
            </w:pPr>
            <w:r w:rsidRPr="008E6BE7">
              <w:rPr>
                <w:rFonts w:ascii="Times New Roman" w:hAnsi="Times New Roman"/>
                <w:color w:val="000000"/>
                <w:sz w:val="20"/>
                <w:szCs w:val="20"/>
              </w:rPr>
              <w:t>12</w:t>
            </w:r>
          </w:p>
        </w:tc>
        <w:tc>
          <w:tcPr>
            <w:tcW w:w="1134" w:type="dxa"/>
            <w:vAlign w:val="center"/>
          </w:tcPr>
          <w:p w:rsidR="00753AB3" w:rsidRPr="008E6BE7" w:rsidRDefault="00F578C9" w:rsidP="00F578C9">
            <w:pPr>
              <w:spacing w:after="0" w:line="240" w:lineRule="auto"/>
              <w:jc w:val="center"/>
              <w:rPr>
                <w:rFonts w:ascii="Times New Roman" w:hAnsi="Times New Roman"/>
                <w:b/>
                <w:bCs/>
                <w:sz w:val="20"/>
                <w:szCs w:val="20"/>
              </w:rPr>
            </w:pPr>
            <w:r w:rsidRPr="008E6BE7">
              <w:rPr>
                <w:rFonts w:ascii="Times New Roman" w:hAnsi="Times New Roman"/>
                <w:b/>
                <w:bCs/>
                <w:sz w:val="20"/>
                <w:szCs w:val="20"/>
              </w:rPr>
              <w:t>-</w:t>
            </w:r>
          </w:p>
        </w:tc>
        <w:tc>
          <w:tcPr>
            <w:tcW w:w="1134" w:type="dxa"/>
            <w:vAlign w:val="center"/>
          </w:tcPr>
          <w:p w:rsidR="00753AB3" w:rsidRPr="008E6BE7" w:rsidRDefault="00F578C9" w:rsidP="00F578C9">
            <w:pPr>
              <w:spacing w:after="0" w:line="240" w:lineRule="auto"/>
              <w:jc w:val="center"/>
              <w:rPr>
                <w:rFonts w:ascii="Times New Roman" w:hAnsi="Times New Roman"/>
                <w:b/>
                <w:bCs/>
                <w:sz w:val="20"/>
                <w:szCs w:val="20"/>
              </w:rPr>
            </w:pPr>
            <w:r w:rsidRPr="008E6BE7">
              <w:rPr>
                <w:rFonts w:ascii="Times New Roman" w:hAnsi="Times New Roman"/>
                <w:b/>
                <w:bCs/>
                <w:sz w:val="20"/>
                <w:szCs w:val="20"/>
              </w:rPr>
              <w:t>-</w:t>
            </w:r>
          </w:p>
        </w:tc>
      </w:tr>
      <w:tr w:rsidR="00753AB3" w:rsidRPr="008E6BE7" w:rsidTr="00615C4D">
        <w:trPr>
          <w:jc w:val="center"/>
        </w:trPr>
        <w:tc>
          <w:tcPr>
            <w:tcW w:w="3114" w:type="dxa"/>
            <w:vMerge/>
            <w:vAlign w:val="center"/>
          </w:tcPr>
          <w:p w:rsidR="00753AB3" w:rsidRPr="008E6BE7" w:rsidRDefault="00753AB3" w:rsidP="00933E37">
            <w:pPr>
              <w:spacing w:after="0" w:line="240" w:lineRule="auto"/>
              <w:rPr>
                <w:rFonts w:ascii="Times New Roman" w:hAnsi="Times New Roman"/>
                <w:sz w:val="20"/>
                <w:szCs w:val="20"/>
              </w:rPr>
            </w:pPr>
          </w:p>
        </w:tc>
        <w:tc>
          <w:tcPr>
            <w:tcW w:w="2126" w:type="dxa"/>
            <w:vAlign w:val="center"/>
          </w:tcPr>
          <w:p w:rsidR="00753AB3" w:rsidRPr="008E6BE7" w:rsidRDefault="00753AB3" w:rsidP="00933E37">
            <w:pPr>
              <w:spacing w:after="0" w:line="240" w:lineRule="auto"/>
              <w:rPr>
                <w:rFonts w:ascii="Times New Roman" w:hAnsi="Times New Roman"/>
                <w:sz w:val="20"/>
                <w:szCs w:val="20"/>
              </w:rPr>
            </w:pPr>
            <w:r w:rsidRPr="008E6BE7">
              <w:rPr>
                <w:rFonts w:ascii="Times New Roman" w:hAnsi="Times New Roman"/>
                <w:i/>
                <w:iCs/>
                <w:color w:val="000000"/>
                <w:sz w:val="20"/>
                <w:szCs w:val="20"/>
              </w:rPr>
              <w:t>Elektrotehniķis</w:t>
            </w:r>
          </w:p>
        </w:tc>
        <w:tc>
          <w:tcPr>
            <w:tcW w:w="992" w:type="dxa"/>
            <w:vAlign w:val="center"/>
          </w:tcPr>
          <w:p w:rsidR="00753AB3" w:rsidRPr="008E6BE7" w:rsidRDefault="00753AB3" w:rsidP="00D6481B">
            <w:pPr>
              <w:spacing w:after="0" w:line="240" w:lineRule="auto"/>
              <w:jc w:val="center"/>
              <w:rPr>
                <w:rFonts w:ascii="Times New Roman" w:hAnsi="Times New Roman"/>
                <w:color w:val="000000"/>
                <w:sz w:val="20"/>
                <w:szCs w:val="20"/>
              </w:rPr>
            </w:pPr>
            <w:r w:rsidRPr="008E6BE7">
              <w:rPr>
                <w:rFonts w:ascii="Times New Roman" w:hAnsi="Times New Roman"/>
                <w:color w:val="000000"/>
                <w:sz w:val="20"/>
                <w:szCs w:val="20"/>
              </w:rPr>
              <w:t>960</w:t>
            </w:r>
          </w:p>
        </w:tc>
        <w:tc>
          <w:tcPr>
            <w:tcW w:w="1134" w:type="dxa"/>
            <w:vAlign w:val="center"/>
          </w:tcPr>
          <w:p w:rsidR="00753AB3" w:rsidRPr="008E6BE7" w:rsidRDefault="00753AB3" w:rsidP="00D6481B">
            <w:pPr>
              <w:spacing w:after="0" w:line="240" w:lineRule="auto"/>
              <w:jc w:val="center"/>
              <w:rPr>
                <w:rFonts w:ascii="Times New Roman" w:hAnsi="Times New Roman"/>
                <w:color w:val="000000"/>
                <w:sz w:val="20"/>
                <w:szCs w:val="20"/>
              </w:rPr>
            </w:pPr>
            <w:r w:rsidRPr="008E6BE7">
              <w:rPr>
                <w:rFonts w:ascii="Times New Roman" w:hAnsi="Times New Roman"/>
                <w:color w:val="000000"/>
                <w:sz w:val="20"/>
                <w:szCs w:val="20"/>
              </w:rPr>
              <w:t>12</w:t>
            </w:r>
          </w:p>
        </w:tc>
        <w:tc>
          <w:tcPr>
            <w:tcW w:w="1134" w:type="dxa"/>
            <w:vAlign w:val="center"/>
          </w:tcPr>
          <w:p w:rsidR="00753AB3" w:rsidRPr="008E6BE7" w:rsidRDefault="00F578C9" w:rsidP="00F578C9">
            <w:pPr>
              <w:spacing w:after="0" w:line="240" w:lineRule="auto"/>
              <w:jc w:val="center"/>
              <w:rPr>
                <w:rFonts w:ascii="Times New Roman" w:hAnsi="Times New Roman"/>
                <w:b/>
                <w:bCs/>
                <w:sz w:val="20"/>
                <w:szCs w:val="20"/>
              </w:rPr>
            </w:pPr>
            <w:r w:rsidRPr="008E6BE7">
              <w:rPr>
                <w:rFonts w:ascii="Times New Roman" w:hAnsi="Times New Roman"/>
                <w:b/>
                <w:bCs/>
                <w:sz w:val="20"/>
                <w:szCs w:val="20"/>
              </w:rPr>
              <w:t>-</w:t>
            </w:r>
          </w:p>
        </w:tc>
        <w:tc>
          <w:tcPr>
            <w:tcW w:w="1134" w:type="dxa"/>
            <w:vAlign w:val="center"/>
          </w:tcPr>
          <w:p w:rsidR="00753AB3" w:rsidRPr="008E6BE7" w:rsidRDefault="00F578C9" w:rsidP="00F578C9">
            <w:pPr>
              <w:spacing w:after="0" w:line="240" w:lineRule="auto"/>
              <w:jc w:val="center"/>
              <w:rPr>
                <w:rFonts w:ascii="Times New Roman" w:hAnsi="Times New Roman"/>
                <w:b/>
                <w:bCs/>
                <w:sz w:val="20"/>
                <w:szCs w:val="20"/>
              </w:rPr>
            </w:pPr>
            <w:r w:rsidRPr="008E6BE7">
              <w:rPr>
                <w:rFonts w:ascii="Times New Roman" w:hAnsi="Times New Roman"/>
                <w:b/>
                <w:bCs/>
                <w:sz w:val="20"/>
                <w:szCs w:val="20"/>
              </w:rPr>
              <w:t>-</w:t>
            </w:r>
          </w:p>
        </w:tc>
      </w:tr>
      <w:tr w:rsidR="00753AB3" w:rsidRPr="008E6BE7" w:rsidTr="00615C4D">
        <w:trPr>
          <w:jc w:val="center"/>
        </w:trPr>
        <w:tc>
          <w:tcPr>
            <w:tcW w:w="3114" w:type="dxa"/>
            <w:vMerge w:val="restart"/>
            <w:vAlign w:val="center"/>
          </w:tcPr>
          <w:p w:rsidR="00753AB3" w:rsidRPr="008E6BE7" w:rsidRDefault="00753AB3" w:rsidP="00933E37">
            <w:pPr>
              <w:spacing w:after="0" w:line="240" w:lineRule="auto"/>
              <w:rPr>
                <w:rFonts w:ascii="Times New Roman" w:hAnsi="Times New Roman"/>
                <w:sz w:val="20"/>
                <w:szCs w:val="20"/>
              </w:rPr>
            </w:pPr>
            <w:r w:rsidRPr="008E6BE7">
              <w:rPr>
                <w:rFonts w:ascii="Times New Roman" w:hAnsi="Times New Roman"/>
                <w:b/>
                <w:bCs/>
                <w:color w:val="000000"/>
                <w:sz w:val="20"/>
                <w:szCs w:val="20"/>
              </w:rPr>
              <w:lastRenderedPageBreak/>
              <w:t>PIKC "Daugavpils Būvniecības tehnikums"</w:t>
            </w:r>
          </w:p>
        </w:tc>
        <w:tc>
          <w:tcPr>
            <w:tcW w:w="2126" w:type="dxa"/>
            <w:vAlign w:val="center"/>
          </w:tcPr>
          <w:p w:rsidR="00753AB3" w:rsidRPr="008E6BE7" w:rsidRDefault="00753AB3" w:rsidP="00933E37">
            <w:pPr>
              <w:spacing w:after="0" w:line="240" w:lineRule="auto"/>
              <w:rPr>
                <w:rFonts w:ascii="Times New Roman" w:hAnsi="Times New Roman"/>
                <w:sz w:val="20"/>
                <w:szCs w:val="20"/>
              </w:rPr>
            </w:pPr>
            <w:proofErr w:type="spellStart"/>
            <w:r w:rsidRPr="008E6BE7">
              <w:rPr>
                <w:rFonts w:ascii="Times New Roman" w:hAnsi="Times New Roman"/>
                <w:i/>
                <w:iCs/>
                <w:color w:val="000000"/>
                <w:sz w:val="20"/>
                <w:szCs w:val="20"/>
              </w:rPr>
              <w:t>Lokmetinātājs</w:t>
            </w:r>
            <w:proofErr w:type="spellEnd"/>
            <w:r w:rsidRPr="008E6BE7">
              <w:rPr>
                <w:rFonts w:ascii="Times New Roman" w:hAnsi="Times New Roman"/>
                <w:i/>
                <w:iCs/>
                <w:color w:val="000000"/>
                <w:sz w:val="20"/>
                <w:szCs w:val="20"/>
              </w:rPr>
              <w:t xml:space="preserve"> metināšanā ar mehanizēto iekārtu inertās gāzes vidē (MIG)</w:t>
            </w:r>
          </w:p>
        </w:tc>
        <w:tc>
          <w:tcPr>
            <w:tcW w:w="992" w:type="dxa"/>
            <w:vAlign w:val="center"/>
          </w:tcPr>
          <w:p w:rsidR="00753AB3" w:rsidRPr="008E6BE7" w:rsidRDefault="00753AB3" w:rsidP="00D6481B">
            <w:pPr>
              <w:spacing w:after="0" w:line="240" w:lineRule="auto"/>
              <w:jc w:val="center"/>
              <w:rPr>
                <w:rFonts w:ascii="Times New Roman" w:hAnsi="Times New Roman"/>
                <w:color w:val="000000"/>
                <w:sz w:val="20"/>
                <w:szCs w:val="20"/>
              </w:rPr>
            </w:pPr>
            <w:r w:rsidRPr="008E6BE7">
              <w:rPr>
                <w:rFonts w:ascii="Times New Roman" w:hAnsi="Times New Roman"/>
                <w:color w:val="000000"/>
                <w:sz w:val="20"/>
                <w:szCs w:val="20"/>
              </w:rPr>
              <w:t>480</w:t>
            </w:r>
          </w:p>
        </w:tc>
        <w:tc>
          <w:tcPr>
            <w:tcW w:w="1134" w:type="dxa"/>
            <w:vAlign w:val="center"/>
          </w:tcPr>
          <w:p w:rsidR="00753AB3" w:rsidRPr="008E6BE7" w:rsidRDefault="00753AB3" w:rsidP="00D6481B">
            <w:pPr>
              <w:spacing w:after="0" w:line="240" w:lineRule="auto"/>
              <w:jc w:val="center"/>
              <w:rPr>
                <w:rFonts w:ascii="Times New Roman" w:hAnsi="Times New Roman"/>
                <w:color w:val="000000"/>
                <w:sz w:val="20"/>
                <w:szCs w:val="20"/>
              </w:rPr>
            </w:pPr>
            <w:r w:rsidRPr="008E6BE7">
              <w:rPr>
                <w:rFonts w:ascii="Times New Roman" w:hAnsi="Times New Roman"/>
                <w:color w:val="000000"/>
                <w:sz w:val="20"/>
                <w:szCs w:val="20"/>
              </w:rPr>
              <w:t>12</w:t>
            </w:r>
          </w:p>
        </w:tc>
        <w:tc>
          <w:tcPr>
            <w:tcW w:w="1134" w:type="dxa"/>
            <w:vAlign w:val="center"/>
          </w:tcPr>
          <w:p w:rsidR="00753AB3" w:rsidRPr="008E6BE7" w:rsidRDefault="00031FF4" w:rsidP="00031FF4">
            <w:pPr>
              <w:spacing w:after="0" w:line="240" w:lineRule="auto"/>
              <w:jc w:val="center"/>
              <w:rPr>
                <w:rFonts w:ascii="Times New Roman" w:hAnsi="Times New Roman"/>
                <w:b/>
                <w:bCs/>
                <w:color w:val="000000"/>
                <w:sz w:val="20"/>
                <w:szCs w:val="20"/>
              </w:rPr>
            </w:pPr>
            <w:r w:rsidRPr="008E6BE7">
              <w:rPr>
                <w:rFonts w:ascii="Times New Roman" w:hAnsi="Times New Roman"/>
                <w:b/>
                <w:bCs/>
                <w:color w:val="000000"/>
                <w:sz w:val="20"/>
                <w:szCs w:val="20"/>
              </w:rPr>
              <w:t>29</w:t>
            </w:r>
          </w:p>
        </w:tc>
        <w:tc>
          <w:tcPr>
            <w:tcW w:w="1134" w:type="dxa"/>
            <w:vAlign w:val="center"/>
          </w:tcPr>
          <w:p w:rsidR="00753AB3" w:rsidRPr="008E6BE7" w:rsidRDefault="00F8763B" w:rsidP="00F578C9">
            <w:pPr>
              <w:spacing w:after="0" w:line="240" w:lineRule="auto"/>
              <w:jc w:val="center"/>
              <w:rPr>
                <w:rFonts w:ascii="Times New Roman" w:hAnsi="Times New Roman"/>
                <w:b/>
                <w:bCs/>
                <w:sz w:val="20"/>
                <w:szCs w:val="20"/>
              </w:rPr>
            </w:pPr>
            <w:r>
              <w:rPr>
                <w:rFonts w:ascii="Times New Roman" w:hAnsi="Times New Roman"/>
                <w:b/>
                <w:bCs/>
                <w:sz w:val="20"/>
                <w:szCs w:val="20"/>
              </w:rPr>
              <w:t>23</w:t>
            </w:r>
          </w:p>
        </w:tc>
      </w:tr>
      <w:tr w:rsidR="00753AB3" w:rsidRPr="008E6BE7" w:rsidTr="00615C4D">
        <w:trPr>
          <w:jc w:val="center"/>
        </w:trPr>
        <w:tc>
          <w:tcPr>
            <w:tcW w:w="3114" w:type="dxa"/>
            <w:vMerge/>
            <w:vAlign w:val="center"/>
          </w:tcPr>
          <w:p w:rsidR="00753AB3" w:rsidRPr="008E6BE7" w:rsidRDefault="00753AB3" w:rsidP="00933E37">
            <w:pPr>
              <w:spacing w:after="0" w:line="240" w:lineRule="auto"/>
              <w:rPr>
                <w:rFonts w:ascii="Times New Roman" w:hAnsi="Times New Roman"/>
                <w:sz w:val="20"/>
                <w:szCs w:val="20"/>
              </w:rPr>
            </w:pPr>
          </w:p>
        </w:tc>
        <w:tc>
          <w:tcPr>
            <w:tcW w:w="2126" w:type="dxa"/>
            <w:vAlign w:val="center"/>
          </w:tcPr>
          <w:p w:rsidR="00753AB3" w:rsidRPr="008E6BE7" w:rsidRDefault="00753AB3" w:rsidP="00933E37">
            <w:pPr>
              <w:spacing w:after="0" w:line="240" w:lineRule="auto"/>
              <w:rPr>
                <w:rFonts w:ascii="Times New Roman" w:hAnsi="Times New Roman"/>
                <w:sz w:val="20"/>
                <w:szCs w:val="20"/>
              </w:rPr>
            </w:pPr>
            <w:r w:rsidRPr="008E6BE7">
              <w:rPr>
                <w:rFonts w:ascii="Times New Roman" w:hAnsi="Times New Roman"/>
                <w:i/>
                <w:iCs/>
                <w:color w:val="000000"/>
                <w:sz w:val="20"/>
                <w:szCs w:val="20"/>
              </w:rPr>
              <w:t>Inženierkomunikāciju montētājs</w:t>
            </w:r>
          </w:p>
        </w:tc>
        <w:tc>
          <w:tcPr>
            <w:tcW w:w="992" w:type="dxa"/>
            <w:vAlign w:val="center"/>
          </w:tcPr>
          <w:p w:rsidR="00753AB3" w:rsidRPr="008E6BE7" w:rsidRDefault="00753AB3" w:rsidP="00D6481B">
            <w:pPr>
              <w:spacing w:after="0" w:line="240" w:lineRule="auto"/>
              <w:jc w:val="center"/>
              <w:rPr>
                <w:rFonts w:ascii="Times New Roman" w:hAnsi="Times New Roman"/>
                <w:color w:val="000000"/>
                <w:sz w:val="20"/>
                <w:szCs w:val="20"/>
              </w:rPr>
            </w:pPr>
            <w:r w:rsidRPr="008E6BE7">
              <w:rPr>
                <w:rFonts w:ascii="Times New Roman" w:hAnsi="Times New Roman"/>
                <w:color w:val="000000"/>
                <w:sz w:val="20"/>
                <w:szCs w:val="20"/>
              </w:rPr>
              <w:t>640</w:t>
            </w:r>
          </w:p>
        </w:tc>
        <w:tc>
          <w:tcPr>
            <w:tcW w:w="1134" w:type="dxa"/>
            <w:vAlign w:val="center"/>
          </w:tcPr>
          <w:p w:rsidR="00753AB3" w:rsidRPr="008E6BE7" w:rsidRDefault="00753AB3" w:rsidP="00D6481B">
            <w:pPr>
              <w:spacing w:after="0" w:line="240" w:lineRule="auto"/>
              <w:jc w:val="center"/>
              <w:rPr>
                <w:rFonts w:ascii="Times New Roman" w:hAnsi="Times New Roman"/>
                <w:color w:val="000000"/>
                <w:sz w:val="20"/>
                <w:szCs w:val="20"/>
              </w:rPr>
            </w:pPr>
            <w:r w:rsidRPr="008E6BE7">
              <w:rPr>
                <w:rFonts w:ascii="Times New Roman" w:hAnsi="Times New Roman"/>
                <w:color w:val="000000"/>
                <w:sz w:val="20"/>
                <w:szCs w:val="20"/>
              </w:rPr>
              <w:t>12</w:t>
            </w:r>
          </w:p>
        </w:tc>
        <w:tc>
          <w:tcPr>
            <w:tcW w:w="1134" w:type="dxa"/>
            <w:vAlign w:val="center"/>
          </w:tcPr>
          <w:p w:rsidR="00753AB3" w:rsidRPr="008E6BE7" w:rsidRDefault="00031FF4" w:rsidP="00031FF4">
            <w:pPr>
              <w:spacing w:after="0" w:line="240" w:lineRule="auto"/>
              <w:jc w:val="center"/>
              <w:rPr>
                <w:rFonts w:ascii="Times New Roman" w:hAnsi="Times New Roman"/>
                <w:b/>
                <w:bCs/>
                <w:color w:val="000000"/>
                <w:sz w:val="20"/>
                <w:szCs w:val="20"/>
              </w:rPr>
            </w:pPr>
            <w:r w:rsidRPr="008E6BE7">
              <w:rPr>
                <w:rFonts w:ascii="Times New Roman" w:hAnsi="Times New Roman"/>
                <w:b/>
                <w:bCs/>
                <w:color w:val="000000"/>
                <w:sz w:val="20"/>
                <w:szCs w:val="20"/>
              </w:rPr>
              <w:t>60</w:t>
            </w:r>
          </w:p>
        </w:tc>
        <w:tc>
          <w:tcPr>
            <w:tcW w:w="1134" w:type="dxa"/>
            <w:vAlign w:val="center"/>
          </w:tcPr>
          <w:p w:rsidR="00753AB3" w:rsidRPr="008E6BE7" w:rsidRDefault="00F8763B" w:rsidP="00F578C9">
            <w:pPr>
              <w:spacing w:after="0" w:line="240" w:lineRule="auto"/>
              <w:jc w:val="center"/>
              <w:rPr>
                <w:rFonts w:ascii="Times New Roman" w:hAnsi="Times New Roman"/>
                <w:b/>
                <w:bCs/>
                <w:sz w:val="20"/>
                <w:szCs w:val="20"/>
              </w:rPr>
            </w:pPr>
            <w:r>
              <w:rPr>
                <w:rFonts w:ascii="Times New Roman" w:hAnsi="Times New Roman"/>
                <w:b/>
                <w:bCs/>
                <w:sz w:val="20"/>
                <w:szCs w:val="20"/>
              </w:rPr>
              <w:t>53</w:t>
            </w:r>
          </w:p>
        </w:tc>
      </w:tr>
      <w:tr w:rsidR="00F578C9" w:rsidRPr="008E6BE7" w:rsidTr="00615C4D">
        <w:trPr>
          <w:jc w:val="center"/>
        </w:trPr>
        <w:tc>
          <w:tcPr>
            <w:tcW w:w="9634" w:type="dxa"/>
            <w:gridSpan w:val="6"/>
            <w:shd w:val="clear" w:color="auto" w:fill="D9D9D9" w:themeFill="background1" w:themeFillShade="D9"/>
          </w:tcPr>
          <w:p w:rsidR="00F578C9" w:rsidRPr="008E6BE7" w:rsidRDefault="00F578C9">
            <w:pPr>
              <w:spacing w:after="0" w:line="240" w:lineRule="auto"/>
              <w:rPr>
                <w:rFonts w:ascii="Times New Roman" w:hAnsi="Times New Roman"/>
                <w:sz w:val="20"/>
                <w:szCs w:val="20"/>
              </w:rPr>
            </w:pPr>
          </w:p>
        </w:tc>
      </w:tr>
      <w:tr w:rsidR="00933E37" w:rsidRPr="008E6BE7" w:rsidTr="00615C4D">
        <w:trPr>
          <w:jc w:val="center"/>
        </w:trPr>
        <w:tc>
          <w:tcPr>
            <w:tcW w:w="3114" w:type="dxa"/>
            <w:vAlign w:val="center"/>
          </w:tcPr>
          <w:p w:rsidR="00933E37" w:rsidRPr="008E6BE7" w:rsidRDefault="00887FD3" w:rsidP="00933E37">
            <w:pPr>
              <w:spacing w:after="0" w:line="240" w:lineRule="auto"/>
              <w:rPr>
                <w:rFonts w:ascii="Times New Roman" w:hAnsi="Times New Roman"/>
                <w:sz w:val="20"/>
                <w:szCs w:val="20"/>
              </w:rPr>
            </w:pPr>
            <w:r w:rsidRPr="008E6BE7">
              <w:rPr>
                <w:rFonts w:ascii="Times New Roman" w:hAnsi="Times New Roman"/>
                <w:b/>
                <w:bCs/>
                <w:color w:val="000000"/>
                <w:sz w:val="20"/>
                <w:szCs w:val="20"/>
              </w:rPr>
              <w:t>PIKC V</w:t>
            </w:r>
            <w:r w:rsidR="00AD25D5">
              <w:rPr>
                <w:rFonts w:ascii="Times New Roman" w:hAnsi="Times New Roman"/>
                <w:b/>
                <w:bCs/>
                <w:color w:val="000000"/>
                <w:sz w:val="20"/>
                <w:szCs w:val="20"/>
              </w:rPr>
              <w:t>SIA “Rīgas T</w:t>
            </w:r>
            <w:r w:rsidR="00933E37" w:rsidRPr="008E6BE7">
              <w:rPr>
                <w:rFonts w:ascii="Times New Roman" w:hAnsi="Times New Roman"/>
                <w:b/>
                <w:bCs/>
                <w:color w:val="000000"/>
                <w:sz w:val="20"/>
                <w:szCs w:val="20"/>
              </w:rPr>
              <w:t>ūrisma un radošas industrijas tehnikums”</w:t>
            </w:r>
          </w:p>
        </w:tc>
        <w:tc>
          <w:tcPr>
            <w:tcW w:w="2126" w:type="dxa"/>
            <w:vAlign w:val="center"/>
          </w:tcPr>
          <w:p w:rsidR="00933E37" w:rsidRPr="008E6BE7" w:rsidRDefault="00933E37" w:rsidP="00933E37">
            <w:pPr>
              <w:spacing w:after="0" w:line="240" w:lineRule="auto"/>
              <w:rPr>
                <w:rFonts w:ascii="Times New Roman" w:hAnsi="Times New Roman"/>
                <w:sz w:val="20"/>
                <w:szCs w:val="20"/>
              </w:rPr>
            </w:pPr>
            <w:r w:rsidRPr="008E6BE7">
              <w:rPr>
                <w:rFonts w:ascii="Times New Roman" w:hAnsi="Times New Roman"/>
                <w:i/>
                <w:iCs/>
                <w:color w:val="000000"/>
                <w:sz w:val="20"/>
                <w:szCs w:val="20"/>
              </w:rPr>
              <w:t>Konditora palīgs</w:t>
            </w:r>
          </w:p>
        </w:tc>
        <w:tc>
          <w:tcPr>
            <w:tcW w:w="992" w:type="dxa"/>
            <w:vAlign w:val="center"/>
          </w:tcPr>
          <w:p w:rsidR="00933E37" w:rsidRPr="008E6BE7" w:rsidRDefault="00933E37" w:rsidP="00D6481B">
            <w:pPr>
              <w:spacing w:after="0" w:line="240" w:lineRule="auto"/>
              <w:jc w:val="center"/>
              <w:rPr>
                <w:rFonts w:ascii="Times New Roman" w:hAnsi="Times New Roman"/>
                <w:color w:val="000000"/>
                <w:sz w:val="20"/>
                <w:szCs w:val="20"/>
              </w:rPr>
            </w:pPr>
            <w:r w:rsidRPr="008E6BE7">
              <w:rPr>
                <w:rFonts w:ascii="Times New Roman" w:hAnsi="Times New Roman"/>
                <w:color w:val="000000"/>
                <w:sz w:val="20"/>
                <w:szCs w:val="20"/>
              </w:rPr>
              <w:t>480</w:t>
            </w:r>
          </w:p>
        </w:tc>
        <w:tc>
          <w:tcPr>
            <w:tcW w:w="1134" w:type="dxa"/>
            <w:vAlign w:val="center"/>
          </w:tcPr>
          <w:p w:rsidR="00933E37" w:rsidRPr="008E6BE7" w:rsidRDefault="00933E37" w:rsidP="00D6481B">
            <w:pPr>
              <w:spacing w:after="0" w:line="240" w:lineRule="auto"/>
              <w:jc w:val="center"/>
              <w:rPr>
                <w:rFonts w:ascii="Times New Roman" w:hAnsi="Times New Roman"/>
                <w:color w:val="000000"/>
                <w:sz w:val="20"/>
                <w:szCs w:val="20"/>
              </w:rPr>
            </w:pPr>
            <w:r w:rsidRPr="008E6BE7">
              <w:rPr>
                <w:rFonts w:ascii="Times New Roman" w:hAnsi="Times New Roman"/>
                <w:color w:val="000000"/>
                <w:sz w:val="20"/>
                <w:szCs w:val="20"/>
              </w:rPr>
              <w:t>12</w:t>
            </w:r>
          </w:p>
        </w:tc>
        <w:tc>
          <w:tcPr>
            <w:tcW w:w="1134" w:type="dxa"/>
            <w:vAlign w:val="center"/>
          </w:tcPr>
          <w:p w:rsidR="00933E37" w:rsidRPr="008E6BE7" w:rsidRDefault="00887FD3" w:rsidP="003C24BF">
            <w:pPr>
              <w:spacing w:after="0" w:line="240" w:lineRule="auto"/>
              <w:jc w:val="center"/>
              <w:rPr>
                <w:rFonts w:ascii="Times New Roman" w:hAnsi="Times New Roman"/>
                <w:b/>
                <w:bCs/>
                <w:sz w:val="20"/>
                <w:szCs w:val="20"/>
              </w:rPr>
            </w:pPr>
            <w:r w:rsidRPr="008E6BE7">
              <w:rPr>
                <w:rFonts w:ascii="Times New Roman" w:hAnsi="Times New Roman"/>
                <w:b/>
                <w:bCs/>
                <w:sz w:val="20"/>
                <w:szCs w:val="20"/>
              </w:rPr>
              <w:t>10</w:t>
            </w:r>
          </w:p>
        </w:tc>
        <w:tc>
          <w:tcPr>
            <w:tcW w:w="1134" w:type="dxa"/>
            <w:vAlign w:val="center"/>
          </w:tcPr>
          <w:p w:rsidR="00933E37" w:rsidRPr="008E6BE7" w:rsidRDefault="00F8763B" w:rsidP="00765874">
            <w:pPr>
              <w:spacing w:after="0" w:line="240" w:lineRule="auto"/>
              <w:jc w:val="center"/>
              <w:rPr>
                <w:rFonts w:ascii="Times New Roman" w:hAnsi="Times New Roman"/>
                <w:b/>
                <w:bCs/>
                <w:sz w:val="20"/>
                <w:szCs w:val="20"/>
              </w:rPr>
            </w:pPr>
            <w:r>
              <w:rPr>
                <w:rFonts w:ascii="Times New Roman" w:hAnsi="Times New Roman"/>
                <w:b/>
                <w:bCs/>
                <w:sz w:val="20"/>
                <w:szCs w:val="20"/>
              </w:rPr>
              <w:t>9</w:t>
            </w:r>
          </w:p>
        </w:tc>
      </w:tr>
      <w:tr w:rsidR="00F578C9" w:rsidRPr="008E6BE7" w:rsidTr="00615C4D">
        <w:trPr>
          <w:jc w:val="center"/>
        </w:trPr>
        <w:tc>
          <w:tcPr>
            <w:tcW w:w="9634" w:type="dxa"/>
            <w:gridSpan w:val="6"/>
            <w:shd w:val="clear" w:color="auto" w:fill="D9D9D9" w:themeFill="background1" w:themeFillShade="D9"/>
          </w:tcPr>
          <w:p w:rsidR="00F578C9" w:rsidRPr="008E6BE7" w:rsidRDefault="00F578C9">
            <w:pPr>
              <w:spacing w:after="0" w:line="240" w:lineRule="auto"/>
              <w:rPr>
                <w:rFonts w:ascii="Times New Roman" w:hAnsi="Times New Roman"/>
                <w:sz w:val="20"/>
                <w:szCs w:val="20"/>
              </w:rPr>
            </w:pPr>
          </w:p>
        </w:tc>
      </w:tr>
      <w:tr w:rsidR="00933E37" w:rsidRPr="008E6BE7" w:rsidTr="00615C4D">
        <w:trPr>
          <w:jc w:val="center"/>
        </w:trPr>
        <w:tc>
          <w:tcPr>
            <w:tcW w:w="9634" w:type="dxa"/>
            <w:gridSpan w:val="6"/>
            <w:shd w:val="clear" w:color="auto" w:fill="C2D69B" w:themeFill="accent3" w:themeFillTint="99"/>
          </w:tcPr>
          <w:p w:rsidR="00933E37" w:rsidRPr="008E6BE7" w:rsidRDefault="00933E37" w:rsidP="00615C4D">
            <w:pPr>
              <w:spacing w:after="0" w:line="240" w:lineRule="auto"/>
              <w:jc w:val="center"/>
              <w:rPr>
                <w:rFonts w:ascii="Times New Roman" w:hAnsi="Times New Roman"/>
                <w:sz w:val="20"/>
                <w:szCs w:val="20"/>
              </w:rPr>
            </w:pPr>
            <w:r w:rsidRPr="008E6BE7">
              <w:rPr>
                <w:rFonts w:ascii="Times New Roman" w:hAnsi="Times New Roman"/>
                <w:b/>
                <w:bCs/>
                <w:i/>
                <w:iCs/>
                <w:sz w:val="20"/>
                <w:szCs w:val="20"/>
              </w:rPr>
              <w:t>Vidzeme</w:t>
            </w:r>
          </w:p>
        </w:tc>
      </w:tr>
      <w:tr w:rsidR="00933E37" w:rsidRPr="008E6BE7" w:rsidTr="00615C4D">
        <w:trPr>
          <w:jc w:val="center"/>
        </w:trPr>
        <w:tc>
          <w:tcPr>
            <w:tcW w:w="3114" w:type="dxa"/>
            <w:vAlign w:val="center"/>
          </w:tcPr>
          <w:p w:rsidR="00933E37" w:rsidRPr="008E6BE7" w:rsidRDefault="00933E37" w:rsidP="00933E37">
            <w:pPr>
              <w:spacing w:after="0" w:line="240" w:lineRule="auto"/>
              <w:rPr>
                <w:rFonts w:ascii="Times New Roman" w:hAnsi="Times New Roman"/>
                <w:sz w:val="20"/>
                <w:szCs w:val="20"/>
              </w:rPr>
            </w:pPr>
            <w:r w:rsidRPr="008E6BE7">
              <w:rPr>
                <w:rFonts w:ascii="Times New Roman" w:hAnsi="Times New Roman"/>
                <w:b/>
                <w:bCs/>
                <w:color w:val="000000"/>
                <w:sz w:val="20"/>
                <w:szCs w:val="20"/>
              </w:rPr>
              <w:t xml:space="preserve">PIKC ”Priekuļu tehnikums” </w:t>
            </w:r>
          </w:p>
        </w:tc>
        <w:tc>
          <w:tcPr>
            <w:tcW w:w="2126" w:type="dxa"/>
            <w:vAlign w:val="center"/>
          </w:tcPr>
          <w:p w:rsidR="00933E37" w:rsidRPr="008E6BE7" w:rsidRDefault="00933E37" w:rsidP="00933E37">
            <w:pPr>
              <w:spacing w:after="0" w:line="240" w:lineRule="auto"/>
              <w:rPr>
                <w:rFonts w:ascii="Times New Roman" w:hAnsi="Times New Roman"/>
                <w:sz w:val="20"/>
                <w:szCs w:val="20"/>
              </w:rPr>
            </w:pPr>
            <w:r w:rsidRPr="008E6BE7">
              <w:rPr>
                <w:rFonts w:ascii="Times New Roman" w:hAnsi="Times New Roman"/>
                <w:i/>
                <w:iCs/>
                <w:color w:val="000000"/>
                <w:sz w:val="20"/>
                <w:szCs w:val="20"/>
              </w:rPr>
              <w:t>Viesmīlības pakalpojumu speciālists</w:t>
            </w:r>
          </w:p>
        </w:tc>
        <w:tc>
          <w:tcPr>
            <w:tcW w:w="992" w:type="dxa"/>
            <w:vAlign w:val="center"/>
          </w:tcPr>
          <w:p w:rsidR="00933E37" w:rsidRPr="008E6BE7" w:rsidRDefault="00933E37" w:rsidP="00D6481B">
            <w:pPr>
              <w:spacing w:after="0" w:line="240" w:lineRule="auto"/>
              <w:jc w:val="center"/>
              <w:rPr>
                <w:rFonts w:ascii="Times New Roman" w:hAnsi="Times New Roman"/>
                <w:color w:val="000000"/>
                <w:sz w:val="20"/>
                <w:szCs w:val="20"/>
              </w:rPr>
            </w:pPr>
            <w:r w:rsidRPr="008E6BE7">
              <w:rPr>
                <w:rFonts w:ascii="Times New Roman" w:hAnsi="Times New Roman"/>
                <w:color w:val="000000"/>
                <w:sz w:val="20"/>
                <w:szCs w:val="20"/>
              </w:rPr>
              <w:t>960</w:t>
            </w:r>
          </w:p>
        </w:tc>
        <w:tc>
          <w:tcPr>
            <w:tcW w:w="1134" w:type="dxa"/>
            <w:vAlign w:val="center"/>
          </w:tcPr>
          <w:p w:rsidR="00933E37" w:rsidRPr="008E6BE7" w:rsidRDefault="00933E37" w:rsidP="00D6481B">
            <w:pPr>
              <w:spacing w:after="0" w:line="240" w:lineRule="auto"/>
              <w:jc w:val="center"/>
              <w:rPr>
                <w:rFonts w:ascii="Times New Roman" w:hAnsi="Times New Roman"/>
                <w:color w:val="000000"/>
                <w:sz w:val="20"/>
                <w:szCs w:val="20"/>
              </w:rPr>
            </w:pPr>
            <w:r w:rsidRPr="008E6BE7">
              <w:rPr>
                <w:rFonts w:ascii="Times New Roman" w:hAnsi="Times New Roman"/>
                <w:color w:val="000000"/>
                <w:sz w:val="20"/>
                <w:szCs w:val="20"/>
              </w:rPr>
              <w:t>12</w:t>
            </w:r>
          </w:p>
        </w:tc>
        <w:tc>
          <w:tcPr>
            <w:tcW w:w="1134" w:type="dxa"/>
            <w:vAlign w:val="center"/>
          </w:tcPr>
          <w:p w:rsidR="00933E37" w:rsidRPr="008E6BE7" w:rsidRDefault="00887FD3" w:rsidP="003C24BF">
            <w:pPr>
              <w:spacing w:after="0" w:line="240" w:lineRule="auto"/>
              <w:jc w:val="center"/>
              <w:rPr>
                <w:rFonts w:ascii="Times New Roman" w:hAnsi="Times New Roman"/>
                <w:b/>
                <w:bCs/>
                <w:sz w:val="20"/>
                <w:szCs w:val="20"/>
              </w:rPr>
            </w:pPr>
            <w:r w:rsidRPr="008E6BE7">
              <w:rPr>
                <w:rFonts w:ascii="Times New Roman" w:hAnsi="Times New Roman"/>
                <w:b/>
                <w:bCs/>
                <w:sz w:val="20"/>
                <w:szCs w:val="20"/>
              </w:rPr>
              <w:t>7</w:t>
            </w:r>
          </w:p>
        </w:tc>
        <w:tc>
          <w:tcPr>
            <w:tcW w:w="1134" w:type="dxa"/>
            <w:vAlign w:val="center"/>
          </w:tcPr>
          <w:p w:rsidR="00933E37" w:rsidRPr="008E6BE7" w:rsidRDefault="00F8763B" w:rsidP="00765874">
            <w:pPr>
              <w:spacing w:after="0" w:line="240" w:lineRule="auto"/>
              <w:jc w:val="center"/>
              <w:rPr>
                <w:rFonts w:ascii="Times New Roman" w:hAnsi="Times New Roman"/>
                <w:b/>
                <w:bCs/>
                <w:sz w:val="20"/>
                <w:szCs w:val="20"/>
              </w:rPr>
            </w:pPr>
            <w:r>
              <w:rPr>
                <w:rFonts w:ascii="Times New Roman" w:hAnsi="Times New Roman"/>
                <w:b/>
                <w:bCs/>
                <w:sz w:val="20"/>
                <w:szCs w:val="20"/>
              </w:rPr>
              <w:t>5</w:t>
            </w:r>
          </w:p>
        </w:tc>
      </w:tr>
      <w:tr w:rsidR="00F578C9" w:rsidRPr="008E6BE7" w:rsidTr="00615C4D">
        <w:trPr>
          <w:jc w:val="center"/>
        </w:trPr>
        <w:tc>
          <w:tcPr>
            <w:tcW w:w="9634" w:type="dxa"/>
            <w:gridSpan w:val="6"/>
            <w:shd w:val="clear" w:color="auto" w:fill="D9D9D9" w:themeFill="background1" w:themeFillShade="D9"/>
          </w:tcPr>
          <w:p w:rsidR="00F578C9" w:rsidRPr="008E6BE7" w:rsidRDefault="00F578C9">
            <w:pPr>
              <w:spacing w:after="0" w:line="240" w:lineRule="auto"/>
              <w:rPr>
                <w:rFonts w:ascii="Times New Roman" w:hAnsi="Times New Roman"/>
                <w:sz w:val="20"/>
                <w:szCs w:val="20"/>
              </w:rPr>
            </w:pPr>
          </w:p>
        </w:tc>
      </w:tr>
      <w:tr w:rsidR="00933E37" w:rsidRPr="008E6BE7" w:rsidTr="00D92B4A">
        <w:trPr>
          <w:jc w:val="center"/>
        </w:trPr>
        <w:tc>
          <w:tcPr>
            <w:tcW w:w="3114" w:type="dxa"/>
            <w:shd w:val="clear" w:color="auto" w:fill="FF3B3B"/>
            <w:vAlign w:val="center"/>
          </w:tcPr>
          <w:p w:rsidR="00933E37" w:rsidRPr="008E6BE7" w:rsidRDefault="00933E37" w:rsidP="00933E37">
            <w:pPr>
              <w:spacing w:after="0" w:line="240" w:lineRule="auto"/>
              <w:rPr>
                <w:rFonts w:ascii="Times New Roman" w:hAnsi="Times New Roman"/>
                <w:sz w:val="20"/>
                <w:szCs w:val="20"/>
              </w:rPr>
            </w:pPr>
            <w:r w:rsidRPr="008E6BE7">
              <w:rPr>
                <w:rFonts w:ascii="Times New Roman" w:hAnsi="Times New Roman"/>
                <w:b/>
                <w:bCs/>
                <w:color w:val="000000"/>
                <w:sz w:val="20"/>
                <w:szCs w:val="20"/>
              </w:rPr>
              <w:t>PIKC "Valmieras tehnikums"</w:t>
            </w:r>
          </w:p>
        </w:tc>
        <w:tc>
          <w:tcPr>
            <w:tcW w:w="2126" w:type="dxa"/>
            <w:shd w:val="clear" w:color="auto" w:fill="FF3B3B"/>
            <w:vAlign w:val="center"/>
          </w:tcPr>
          <w:p w:rsidR="00933E37" w:rsidRPr="008E6BE7" w:rsidRDefault="00933E37" w:rsidP="00933E37">
            <w:pPr>
              <w:spacing w:after="0" w:line="240" w:lineRule="auto"/>
              <w:rPr>
                <w:rFonts w:ascii="Times New Roman" w:hAnsi="Times New Roman"/>
                <w:sz w:val="20"/>
                <w:szCs w:val="20"/>
              </w:rPr>
            </w:pPr>
            <w:r w:rsidRPr="008E6BE7">
              <w:rPr>
                <w:rFonts w:ascii="Times New Roman" w:hAnsi="Times New Roman"/>
                <w:i/>
                <w:iCs/>
                <w:color w:val="000000"/>
                <w:sz w:val="20"/>
                <w:szCs w:val="20"/>
              </w:rPr>
              <w:t xml:space="preserve">Mazumtirdzniecības </w:t>
            </w:r>
            <w:proofErr w:type="spellStart"/>
            <w:r w:rsidRPr="008E6BE7">
              <w:rPr>
                <w:rFonts w:ascii="Times New Roman" w:hAnsi="Times New Roman"/>
                <w:i/>
                <w:iCs/>
                <w:color w:val="000000"/>
                <w:sz w:val="20"/>
                <w:szCs w:val="20"/>
              </w:rPr>
              <w:t>komercdarbinieks</w:t>
            </w:r>
            <w:proofErr w:type="spellEnd"/>
          </w:p>
        </w:tc>
        <w:tc>
          <w:tcPr>
            <w:tcW w:w="992" w:type="dxa"/>
            <w:shd w:val="clear" w:color="auto" w:fill="FF3B3B"/>
            <w:vAlign w:val="center"/>
          </w:tcPr>
          <w:p w:rsidR="00933E37" w:rsidRPr="008E6BE7" w:rsidRDefault="00933E37" w:rsidP="00D6481B">
            <w:pPr>
              <w:spacing w:after="0" w:line="240" w:lineRule="auto"/>
              <w:jc w:val="center"/>
              <w:rPr>
                <w:rFonts w:ascii="Times New Roman" w:hAnsi="Times New Roman"/>
                <w:color w:val="000000"/>
                <w:sz w:val="20"/>
                <w:szCs w:val="20"/>
              </w:rPr>
            </w:pPr>
            <w:r w:rsidRPr="008E6BE7">
              <w:rPr>
                <w:rFonts w:ascii="Times New Roman" w:hAnsi="Times New Roman"/>
                <w:color w:val="000000"/>
                <w:sz w:val="20"/>
                <w:szCs w:val="20"/>
              </w:rPr>
              <w:t>960</w:t>
            </w:r>
          </w:p>
        </w:tc>
        <w:tc>
          <w:tcPr>
            <w:tcW w:w="1134" w:type="dxa"/>
            <w:shd w:val="clear" w:color="auto" w:fill="FF3B3B"/>
            <w:vAlign w:val="center"/>
          </w:tcPr>
          <w:p w:rsidR="00933E37" w:rsidRPr="008E6BE7" w:rsidRDefault="00933E37" w:rsidP="00D6481B">
            <w:pPr>
              <w:spacing w:after="0" w:line="240" w:lineRule="auto"/>
              <w:jc w:val="center"/>
              <w:rPr>
                <w:rFonts w:ascii="Times New Roman" w:hAnsi="Times New Roman"/>
                <w:color w:val="000000"/>
                <w:sz w:val="20"/>
                <w:szCs w:val="20"/>
              </w:rPr>
            </w:pPr>
            <w:r w:rsidRPr="008E6BE7">
              <w:rPr>
                <w:rFonts w:ascii="Times New Roman" w:hAnsi="Times New Roman"/>
                <w:color w:val="000000"/>
                <w:sz w:val="20"/>
                <w:szCs w:val="20"/>
              </w:rPr>
              <w:t>12</w:t>
            </w:r>
          </w:p>
        </w:tc>
        <w:tc>
          <w:tcPr>
            <w:tcW w:w="1134" w:type="dxa"/>
            <w:shd w:val="clear" w:color="auto" w:fill="FF3B3B"/>
          </w:tcPr>
          <w:p w:rsidR="00933E37" w:rsidRPr="008E6BE7" w:rsidRDefault="00933E37" w:rsidP="00933E37">
            <w:pPr>
              <w:spacing w:after="0" w:line="240" w:lineRule="auto"/>
              <w:rPr>
                <w:rFonts w:ascii="Times New Roman" w:hAnsi="Times New Roman"/>
                <w:sz w:val="20"/>
                <w:szCs w:val="20"/>
              </w:rPr>
            </w:pPr>
          </w:p>
        </w:tc>
        <w:tc>
          <w:tcPr>
            <w:tcW w:w="1134" w:type="dxa"/>
            <w:shd w:val="clear" w:color="auto" w:fill="FF3B3B"/>
          </w:tcPr>
          <w:p w:rsidR="00933E37" w:rsidRPr="008E6BE7" w:rsidRDefault="00933E37" w:rsidP="00933E37">
            <w:pPr>
              <w:spacing w:after="0" w:line="240" w:lineRule="auto"/>
              <w:rPr>
                <w:rFonts w:ascii="Times New Roman" w:hAnsi="Times New Roman"/>
                <w:sz w:val="20"/>
                <w:szCs w:val="20"/>
              </w:rPr>
            </w:pPr>
          </w:p>
        </w:tc>
      </w:tr>
      <w:tr w:rsidR="00F578C9" w:rsidRPr="008E6BE7" w:rsidTr="00615C4D">
        <w:trPr>
          <w:jc w:val="center"/>
        </w:trPr>
        <w:tc>
          <w:tcPr>
            <w:tcW w:w="9634" w:type="dxa"/>
            <w:gridSpan w:val="6"/>
            <w:shd w:val="clear" w:color="auto" w:fill="D9D9D9" w:themeFill="background1" w:themeFillShade="D9"/>
          </w:tcPr>
          <w:p w:rsidR="00F578C9" w:rsidRPr="008E6BE7" w:rsidRDefault="00F578C9">
            <w:pPr>
              <w:spacing w:after="0" w:line="240" w:lineRule="auto"/>
              <w:rPr>
                <w:rFonts w:ascii="Times New Roman" w:hAnsi="Times New Roman"/>
                <w:sz w:val="20"/>
                <w:szCs w:val="20"/>
              </w:rPr>
            </w:pPr>
          </w:p>
        </w:tc>
      </w:tr>
      <w:tr w:rsidR="00E51FA8" w:rsidRPr="008E6BE7" w:rsidTr="00615C4D">
        <w:trPr>
          <w:jc w:val="center"/>
        </w:trPr>
        <w:tc>
          <w:tcPr>
            <w:tcW w:w="3114" w:type="dxa"/>
            <w:vAlign w:val="center"/>
          </w:tcPr>
          <w:p w:rsidR="00E51FA8" w:rsidRPr="008E6BE7" w:rsidRDefault="00E51FA8" w:rsidP="00E51FA8">
            <w:pPr>
              <w:spacing w:after="0" w:line="240" w:lineRule="auto"/>
              <w:rPr>
                <w:rFonts w:ascii="Times New Roman" w:hAnsi="Times New Roman"/>
                <w:sz w:val="20"/>
                <w:szCs w:val="20"/>
              </w:rPr>
            </w:pPr>
            <w:r w:rsidRPr="008E6BE7">
              <w:rPr>
                <w:rFonts w:ascii="Times New Roman" w:hAnsi="Times New Roman"/>
                <w:b/>
                <w:bCs/>
                <w:color w:val="000000"/>
                <w:sz w:val="20"/>
                <w:szCs w:val="20"/>
              </w:rPr>
              <w:t>PIKC "Smiltenes tehnikums"</w:t>
            </w:r>
          </w:p>
        </w:tc>
        <w:tc>
          <w:tcPr>
            <w:tcW w:w="2126" w:type="dxa"/>
            <w:vAlign w:val="center"/>
          </w:tcPr>
          <w:p w:rsidR="00E51FA8" w:rsidRPr="008E6BE7" w:rsidRDefault="00E51FA8" w:rsidP="00E51FA8">
            <w:pPr>
              <w:spacing w:after="0" w:line="240" w:lineRule="auto"/>
              <w:rPr>
                <w:rFonts w:ascii="Times New Roman" w:hAnsi="Times New Roman"/>
                <w:sz w:val="20"/>
                <w:szCs w:val="20"/>
              </w:rPr>
            </w:pPr>
            <w:r w:rsidRPr="008E6BE7">
              <w:rPr>
                <w:rFonts w:ascii="Times New Roman" w:hAnsi="Times New Roman"/>
                <w:i/>
                <w:iCs/>
                <w:color w:val="000000"/>
                <w:sz w:val="20"/>
                <w:szCs w:val="20"/>
              </w:rPr>
              <w:t>Šuvējs</w:t>
            </w:r>
          </w:p>
        </w:tc>
        <w:tc>
          <w:tcPr>
            <w:tcW w:w="992" w:type="dxa"/>
            <w:vAlign w:val="center"/>
          </w:tcPr>
          <w:p w:rsidR="00E51FA8" w:rsidRPr="008E6BE7" w:rsidRDefault="00E51FA8" w:rsidP="00D6481B">
            <w:pPr>
              <w:spacing w:after="0" w:line="240" w:lineRule="auto"/>
              <w:jc w:val="center"/>
              <w:rPr>
                <w:rFonts w:ascii="Times New Roman" w:hAnsi="Times New Roman"/>
                <w:color w:val="000000"/>
                <w:sz w:val="20"/>
                <w:szCs w:val="20"/>
              </w:rPr>
            </w:pPr>
            <w:r w:rsidRPr="008E6BE7">
              <w:rPr>
                <w:rFonts w:ascii="Times New Roman" w:hAnsi="Times New Roman"/>
                <w:color w:val="000000"/>
                <w:sz w:val="20"/>
                <w:szCs w:val="20"/>
              </w:rPr>
              <w:t>480</w:t>
            </w:r>
          </w:p>
        </w:tc>
        <w:tc>
          <w:tcPr>
            <w:tcW w:w="1134" w:type="dxa"/>
            <w:vAlign w:val="center"/>
          </w:tcPr>
          <w:p w:rsidR="00E51FA8" w:rsidRPr="008E6BE7" w:rsidRDefault="00E51FA8" w:rsidP="00D6481B">
            <w:pPr>
              <w:spacing w:after="0" w:line="240" w:lineRule="auto"/>
              <w:jc w:val="center"/>
              <w:rPr>
                <w:rFonts w:ascii="Times New Roman" w:hAnsi="Times New Roman"/>
                <w:color w:val="000000"/>
                <w:sz w:val="20"/>
                <w:szCs w:val="20"/>
              </w:rPr>
            </w:pPr>
            <w:r w:rsidRPr="008E6BE7">
              <w:rPr>
                <w:rFonts w:ascii="Times New Roman" w:hAnsi="Times New Roman"/>
                <w:color w:val="000000"/>
                <w:sz w:val="20"/>
                <w:szCs w:val="20"/>
              </w:rPr>
              <w:t>12</w:t>
            </w:r>
          </w:p>
        </w:tc>
        <w:tc>
          <w:tcPr>
            <w:tcW w:w="1134" w:type="dxa"/>
          </w:tcPr>
          <w:p w:rsidR="00E51FA8" w:rsidRPr="008E6BE7" w:rsidRDefault="00887FD3" w:rsidP="003C24BF">
            <w:pPr>
              <w:spacing w:after="0" w:line="240" w:lineRule="auto"/>
              <w:jc w:val="center"/>
              <w:rPr>
                <w:rFonts w:ascii="Times New Roman" w:hAnsi="Times New Roman"/>
                <w:b/>
                <w:bCs/>
                <w:sz w:val="20"/>
                <w:szCs w:val="20"/>
              </w:rPr>
            </w:pPr>
            <w:r w:rsidRPr="008E6BE7">
              <w:rPr>
                <w:rFonts w:ascii="Times New Roman" w:hAnsi="Times New Roman"/>
                <w:b/>
                <w:bCs/>
                <w:sz w:val="20"/>
                <w:szCs w:val="20"/>
              </w:rPr>
              <w:t>11</w:t>
            </w:r>
          </w:p>
        </w:tc>
        <w:tc>
          <w:tcPr>
            <w:tcW w:w="1134" w:type="dxa"/>
          </w:tcPr>
          <w:p w:rsidR="00E51FA8" w:rsidRPr="00765874" w:rsidRDefault="00F8763B" w:rsidP="00765874">
            <w:pPr>
              <w:spacing w:after="0" w:line="240" w:lineRule="auto"/>
              <w:jc w:val="center"/>
              <w:rPr>
                <w:rFonts w:ascii="Times New Roman" w:hAnsi="Times New Roman"/>
                <w:b/>
                <w:sz w:val="20"/>
                <w:szCs w:val="20"/>
              </w:rPr>
            </w:pPr>
            <w:r w:rsidRPr="00765874">
              <w:rPr>
                <w:rFonts w:ascii="Times New Roman" w:hAnsi="Times New Roman"/>
                <w:b/>
                <w:sz w:val="20"/>
                <w:szCs w:val="20"/>
              </w:rPr>
              <w:t>7</w:t>
            </w:r>
          </w:p>
        </w:tc>
      </w:tr>
      <w:tr w:rsidR="00E51FA8" w:rsidRPr="008E6BE7" w:rsidTr="00615C4D">
        <w:trPr>
          <w:jc w:val="center"/>
        </w:trPr>
        <w:tc>
          <w:tcPr>
            <w:tcW w:w="9634" w:type="dxa"/>
            <w:gridSpan w:val="6"/>
            <w:shd w:val="clear" w:color="auto" w:fill="C2D69B" w:themeFill="accent3" w:themeFillTint="99"/>
          </w:tcPr>
          <w:p w:rsidR="00E51FA8" w:rsidRPr="00765874" w:rsidRDefault="00E51FA8" w:rsidP="00E51FA8">
            <w:pPr>
              <w:spacing w:after="0" w:line="240" w:lineRule="auto"/>
              <w:jc w:val="center"/>
              <w:rPr>
                <w:rFonts w:ascii="Times New Roman" w:hAnsi="Times New Roman"/>
                <w:b/>
                <w:sz w:val="20"/>
                <w:szCs w:val="20"/>
              </w:rPr>
            </w:pPr>
            <w:r w:rsidRPr="00F8763B">
              <w:rPr>
                <w:rFonts w:ascii="Times New Roman" w:hAnsi="Times New Roman"/>
                <w:b/>
                <w:bCs/>
                <w:i/>
                <w:iCs/>
                <w:sz w:val="20"/>
                <w:szCs w:val="20"/>
              </w:rPr>
              <w:t>Zemgale</w:t>
            </w:r>
          </w:p>
        </w:tc>
      </w:tr>
      <w:tr w:rsidR="00E51FA8" w:rsidRPr="008E6BE7" w:rsidTr="00615C4D">
        <w:trPr>
          <w:jc w:val="center"/>
        </w:trPr>
        <w:tc>
          <w:tcPr>
            <w:tcW w:w="3114" w:type="dxa"/>
            <w:vMerge w:val="restart"/>
            <w:vAlign w:val="center"/>
          </w:tcPr>
          <w:p w:rsidR="00E51FA8" w:rsidRPr="008E6BE7" w:rsidRDefault="00E51FA8" w:rsidP="00E51FA8">
            <w:pPr>
              <w:spacing w:after="0" w:line="240" w:lineRule="auto"/>
              <w:rPr>
                <w:rFonts w:ascii="Times New Roman" w:hAnsi="Times New Roman"/>
                <w:sz w:val="20"/>
                <w:szCs w:val="20"/>
              </w:rPr>
            </w:pPr>
            <w:r w:rsidRPr="008E6BE7">
              <w:rPr>
                <w:rFonts w:ascii="Times New Roman" w:hAnsi="Times New Roman"/>
                <w:b/>
                <w:bCs/>
                <w:color w:val="000000"/>
                <w:sz w:val="20"/>
                <w:szCs w:val="20"/>
              </w:rPr>
              <w:t>PIKC "Jelgavas tehnikums"</w:t>
            </w:r>
          </w:p>
        </w:tc>
        <w:tc>
          <w:tcPr>
            <w:tcW w:w="2126" w:type="dxa"/>
            <w:vAlign w:val="center"/>
          </w:tcPr>
          <w:p w:rsidR="00E51FA8" w:rsidRPr="008E6BE7" w:rsidRDefault="00E51FA8" w:rsidP="00E51FA8">
            <w:pPr>
              <w:spacing w:after="0" w:line="240" w:lineRule="auto"/>
              <w:rPr>
                <w:rFonts w:ascii="Times New Roman" w:hAnsi="Times New Roman"/>
                <w:sz w:val="20"/>
                <w:szCs w:val="20"/>
              </w:rPr>
            </w:pPr>
            <w:r w:rsidRPr="008E6BE7">
              <w:rPr>
                <w:rFonts w:ascii="Times New Roman" w:hAnsi="Times New Roman"/>
                <w:i/>
                <w:iCs/>
                <w:color w:val="000000"/>
                <w:sz w:val="20"/>
                <w:szCs w:val="20"/>
              </w:rPr>
              <w:t>Lietvedis</w:t>
            </w:r>
          </w:p>
        </w:tc>
        <w:tc>
          <w:tcPr>
            <w:tcW w:w="992" w:type="dxa"/>
            <w:vAlign w:val="center"/>
          </w:tcPr>
          <w:p w:rsidR="00E51FA8" w:rsidRPr="008E6BE7" w:rsidRDefault="00E51FA8" w:rsidP="00D6481B">
            <w:pPr>
              <w:spacing w:after="0" w:line="240" w:lineRule="auto"/>
              <w:jc w:val="center"/>
              <w:rPr>
                <w:rFonts w:ascii="Times New Roman" w:hAnsi="Times New Roman"/>
                <w:color w:val="000000"/>
                <w:sz w:val="20"/>
                <w:szCs w:val="20"/>
              </w:rPr>
            </w:pPr>
            <w:r w:rsidRPr="008E6BE7">
              <w:rPr>
                <w:rFonts w:ascii="Times New Roman" w:hAnsi="Times New Roman"/>
                <w:color w:val="000000"/>
                <w:sz w:val="20"/>
                <w:szCs w:val="20"/>
              </w:rPr>
              <w:t>640</w:t>
            </w:r>
          </w:p>
        </w:tc>
        <w:tc>
          <w:tcPr>
            <w:tcW w:w="1134" w:type="dxa"/>
            <w:vAlign w:val="center"/>
          </w:tcPr>
          <w:p w:rsidR="00E51FA8" w:rsidRPr="008E6BE7" w:rsidRDefault="00E51FA8" w:rsidP="00D6481B">
            <w:pPr>
              <w:spacing w:after="0" w:line="240" w:lineRule="auto"/>
              <w:jc w:val="center"/>
              <w:rPr>
                <w:rFonts w:ascii="Times New Roman" w:hAnsi="Times New Roman"/>
                <w:color w:val="000000"/>
                <w:sz w:val="20"/>
                <w:szCs w:val="20"/>
              </w:rPr>
            </w:pPr>
            <w:r w:rsidRPr="008E6BE7">
              <w:rPr>
                <w:rFonts w:ascii="Times New Roman" w:hAnsi="Times New Roman"/>
                <w:color w:val="000000"/>
                <w:sz w:val="20"/>
                <w:szCs w:val="20"/>
              </w:rPr>
              <w:t>12</w:t>
            </w:r>
          </w:p>
        </w:tc>
        <w:tc>
          <w:tcPr>
            <w:tcW w:w="1134" w:type="dxa"/>
          </w:tcPr>
          <w:p w:rsidR="00E51FA8" w:rsidRPr="008E6BE7" w:rsidRDefault="00887FD3" w:rsidP="003C24BF">
            <w:pPr>
              <w:spacing w:after="0" w:line="240" w:lineRule="auto"/>
              <w:jc w:val="center"/>
              <w:rPr>
                <w:rFonts w:ascii="Times New Roman" w:hAnsi="Times New Roman"/>
                <w:b/>
                <w:bCs/>
                <w:sz w:val="20"/>
                <w:szCs w:val="20"/>
              </w:rPr>
            </w:pPr>
            <w:r w:rsidRPr="008E6BE7">
              <w:rPr>
                <w:rFonts w:ascii="Times New Roman" w:hAnsi="Times New Roman"/>
                <w:b/>
                <w:bCs/>
                <w:sz w:val="20"/>
                <w:szCs w:val="20"/>
              </w:rPr>
              <w:t>17</w:t>
            </w:r>
          </w:p>
        </w:tc>
        <w:tc>
          <w:tcPr>
            <w:tcW w:w="1134" w:type="dxa"/>
          </w:tcPr>
          <w:p w:rsidR="00E51FA8" w:rsidRPr="00F8763B" w:rsidRDefault="00F8763B" w:rsidP="003C24BF">
            <w:pPr>
              <w:spacing w:after="0" w:line="240" w:lineRule="auto"/>
              <w:jc w:val="center"/>
              <w:rPr>
                <w:rFonts w:ascii="Times New Roman" w:hAnsi="Times New Roman"/>
                <w:b/>
                <w:bCs/>
                <w:sz w:val="20"/>
                <w:szCs w:val="20"/>
              </w:rPr>
            </w:pPr>
            <w:r w:rsidRPr="00F8763B">
              <w:rPr>
                <w:rFonts w:ascii="Times New Roman" w:hAnsi="Times New Roman"/>
                <w:b/>
                <w:bCs/>
                <w:sz w:val="20"/>
                <w:szCs w:val="20"/>
              </w:rPr>
              <w:t>14</w:t>
            </w:r>
          </w:p>
        </w:tc>
      </w:tr>
      <w:tr w:rsidR="00E51FA8" w:rsidRPr="008E6BE7" w:rsidTr="00615C4D">
        <w:trPr>
          <w:jc w:val="center"/>
        </w:trPr>
        <w:tc>
          <w:tcPr>
            <w:tcW w:w="3114" w:type="dxa"/>
            <w:vMerge/>
            <w:vAlign w:val="center"/>
          </w:tcPr>
          <w:p w:rsidR="00E51FA8" w:rsidRPr="008E6BE7" w:rsidRDefault="00E51FA8" w:rsidP="00E51FA8">
            <w:pPr>
              <w:spacing w:after="0" w:line="240" w:lineRule="auto"/>
              <w:rPr>
                <w:rFonts w:ascii="Times New Roman" w:hAnsi="Times New Roman"/>
                <w:sz w:val="20"/>
                <w:szCs w:val="20"/>
              </w:rPr>
            </w:pPr>
          </w:p>
        </w:tc>
        <w:tc>
          <w:tcPr>
            <w:tcW w:w="2126" w:type="dxa"/>
            <w:vAlign w:val="center"/>
          </w:tcPr>
          <w:p w:rsidR="00E51FA8" w:rsidRPr="008E6BE7" w:rsidRDefault="00E51FA8" w:rsidP="00E51FA8">
            <w:pPr>
              <w:spacing w:after="0" w:line="240" w:lineRule="auto"/>
              <w:rPr>
                <w:rFonts w:ascii="Times New Roman" w:hAnsi="Times New Roman"/>
                <w:sz w:val="20"/>
                <w:szCs w:val="20"/>
              </w:rPr>
            </w:pPr>
            <w:r w:rsidRPr="008E6BE7">
              <w:rPr>
                <w:rFonts w:ascii="Times New Roman" w:hAnsi="Times New Roman"/>
                <w:i/>
                <w:iCs/>
                <w:color w:val="000000"/>
                <w:sz w:val="20"/>
                <w:szCs w:val="20"/>
              </w:rPr>
              <w:t>Datorsistēmu tehniķis</w:t>
            </w:r>
          </w:p>
        </w:tc>
        <w:tc>
          <w:tcPr>
            <w:tcW w:w="992" w:type="dxa"/>
            <w:vAlign w:val="center"/>
          </w:tcPr>
          <w:p w:rsidR="00E51FA8" w:rsidRPr="008E6BE7" w:rsidRDefault="00E51FA8" w:rsidP="00D6481B">
            <w:pPr>
              <w:spacing w:after="0" w:line="240" w:lineRule="auto"/>
              <w:jc w:val="center"/>
              <w:rPr>
                <w:rFonts w:ascii="Times New Roman" w:hAnsi="Times New Roman"/>
                <w:color w:val="000000"/>
                <w:sz w:val="20"/>
                <w:szCs w:val="20"/>
              </w:rPr>
            </w:pPr>
            <w:r w:rsidRPr="008E6BE7">
              <w:rPr>
                <w:rFonts w:ascii="Times New Roman" w:hAnsi="Times New Roman"/>
                <w:color w:val="000000"/>
                <w:sz w:val="20"/>
                <w:szCs w:val="20"/>
              </w:rPr>
              <w:t>960</w:t>
            </w:r>
          </w:p>
        </w:tc>
        <w:tc>
          <w:tcPr>
            <w:tcW w:w="1134" w:type="dxa"/>
            <w:vAlign w:val="center"/>
          </w:tcPr>
          <w:p w:rsidR="00E51FA8" w:rsidRPr="008E6BE7" w:rsidRDefault="00E51FA8" w:rsidP="00D6481B">
            <w:pPr>
              <w:spacing w:after="0" w:line="240" w:lineRule="auto"/>
              <w:jc w:val="center"/>
              <w:rPr>
                <w:rFonts w:ascii="Times New Roman" w:hAnsi="Times New Roman"/>
                <w:color w:val="000000"/>
                <w:sz w:val="20"/>
                <w:szCs w:val="20"/>
              </w:rPr>
            </w:pPr>
            <w:r w:rsidRPr="008E6BE7">
              <w:rPr>
                <w:rFonts w:ascii="Times New Roman" w:hAnsi="Times New Roman"/>
                <w:color w:val="000000"/>
                <w:sz w:val="20"/>
                <w:szCs w:val="20"/>
              </w:rPr>
              <w:t>12</w:t>
            </w:r>
          </w:p>
        </w:tc>
        <w:tc>
          <w:tcPr>
            <w:tcW w:w="1134" w:type="dxa"/>
          </w:tcPr>
          <w:p w:rsidR="00E51FA8" w:rsidRPr="008E6BE7" w:rsidRDefault="00E51FA8" w:rsidP="00E51FA8">
            <w:pPr>
              <w:spacing w:after="0" w:line="240" w:lineRule="auto"/>
              <w:rPr>
                <w:rFonts w:ascii="Times New Roman" w:hAnsi="Times New Roman"/>
                <w:sz w:val="20"/>
                <w:szCs w:val="20"/>
              </w:rPr>
            </w:pPr>
          </w:p>
        </w:tc>
        <w:tc>
          <w:tcPr>
            <w:tcW w:w="1134" w:type="dxa"/>
          </w:tcPr>
          <w:p w:rsidR="00E51FA8" w:rsidRPr="00765874" w:rsidRDefault="00E51FA8" w:rsidP="00E51FA8">
            <w:pPr>
              <w:spacing w:after="0" w:line="240" w:lineRule="auto"/>
              <w:rPr>
                <w:rFonts w:ascii="Times New Roman" w:hAnsi="Times New Roman"/>
                <w:b/>
                <w:sz w:val="20"/>
                <w:szCs w:val="20"/>
              </w:rPr>
            </w:pPr>
          </w:p>
        </w:tc>
      </w:tr>
      <w:tr w:rsidR="00F578C9" w:rsidRPr="008E6BE7" w:rsidTr="00615C4D">
        <w:trPr>
          <w:jc w:val="center"/>
        </w:trPr>
        <w:tc>
          <w:tcPr>
            <w:tcW w:w="9634" w:type="dxa"/>
            <w:gridSpan w:val="6"/>
            <w:shd w:val="clear" w:color="auto" w:fill="D9D9D9" w:themeFill="background1" w:themeFillShade="D9"/>
          </w:tcPr>
          <w:p w:rsidR="00F578C9" w:rsidRPr="00765874" w:rsidRDefault="00F578C9">
            <w:pPr>
              <w:spacing w:after="0" w:line="240" w:lineRule="auto"/>
              <w:rPr>
                <w:rFonts w:ascii="Times New Roman" w:hAnsi="Times New Roman"/>
                <w:b/>
                <w:sz w:val="20"/>
                <w:szCs w:val="20"/>
              </w:rPr>
            </w:pPr>
          </w:p>
        </w:tc>
      </w:tr>
      <w:tr w:rsidR="00E51FA8" w:rsidRPr="008E6BE7" w:rsidTr="00615C4D">
        <w:trPr>
          <w:jc w:val="center"/>
        </w:trPr>
        <w:tc>
          <w:tcPr>
            <w:tcW w:w="3114" w:type="dxa"/>
            <w:vAlign w:val="center"/>
          </w:tcPr>
          <w:p w:rsidR="00E51FA8" w:rsidRPr="008E6BE7" w:rsidRDefault="00AD25D5" w:rsidP="00E51FA8">
            <w:pPr>
              <w:spacing w:after="0" w:line="240" w:lineRule="auto"/>
              <w:rPr>
                <w:rFonts w:ascii="Times New Roman" w:hAnsi="Times New Roman"/>
                <w:sz w:val="20"/>
                <w:szCs w:val="20"/>
              </w:rPr>
            </w:pPr>
            <w:r>
              <w:rPr>
                <w:rFonts w:ascii="Times New Roman" w:hAnsi="Times New Roman"/>
                <w:b/>
                <w:bCs/>
                <w:color w:val="000000"/>
                <w:sz w:val="20"/>
                <w:szCs w:val="20"/>
              </w:rPr>
              <w:t>Aizkraukles P</w:t>
            </w:r>
            <w:r w:rsidR="00E51FA8" w:rsidRPr="008E6BE7">
              <w:rPr>
                <w:rFonts w:ascii="Times New Roman" w:hAnsi="Times New Roman"/>
                <w:b/>
                <w:bCs/>
                <w:color w:val="000000"/>
                <w:sz w:val="20"/>
                <w:szCs w:val="20"/>
              </w:rPr>
              <w:t>rofesionālā vidusskola</w:t>
            </w:r>
          </w:p>
        </w:tc>
        <w:tc>
          <w:tcPr>
            <w:tcW w:w="2126" w:type="dxa"/>
            <w:vAlign w:val="center"/>
          </w:tcPr>
          <w:p w:rsidR="00E51FA8" w:rsidRPr="008E6BE7" w:rsidRDefault="00E51FA8" w:rsidP="00E51FA8">
            <w:pPr>
              <w:spacing w:after="0" w:line="240" w:lineRule="auto"/>
              <w:rPr>
                <w:rFonts w:ascii="Times New Roman" w:hAnsi="Times New Roman"/>
                <w:sz w:val="20"/>
                <w:szCs w:val="20"/>
              </w:rPr>
            </w:pPr>
            <w:r w:rsidRPr="008E6BE7">
              <w:rPr>
                <w:rFonts w:ascii="Times New Roman" w:hAnsi="Times New Roman"/>
                <w:i/>
                <w:iCs/>
                <w:color w:val="000000"/>
                <w:sz w:val="20"/>
                <w:szCs w:val="20"/>
              </w:rPr>
              <w:t>Galdnieks</w:t>
            </w:r>
          </w:p>
        </w:tc>
        <w:tc>
          <w:tcPr>
            <w:tcW w:w="992" w:type="dxa"/>
            <w:vAlign w:val="center"/>
          </w:tcPr>
          <w:p w:rsidR="00E51FA8" w:rsidRPr="008E6BE7" w:rsidRDefault="00E51FA8" w:rsidP="00D6481B">
            <w:pPr>
              <w:spacing w:after="0" w:line="240" w:lineRule="auto"/>
              <w:jc w:val="center"/>
              <w:rPr>
                <w:rFonts w:ascii="Times New Roman" w:hAnsi="Times New Roman"/>
                <w:color w:val="000000"/>
                <w:sz w:val="20"/>
                <w:szCs w:val="20"/>
              </w:rPr>
            </w:pPr>
            <w:r w:rsidRPr="008E6BE7">
              <w:rPr>
                <w:rFonts w:ascii="Times New Roman" w:hAnsi="Times New Roman"/>
                <w:color w:val="000000"/>
                <w:sz w:val="20"/>
                <w:szCs w:val="20"/>
              </w:rPr>
              <w:t>640</w:t>
            </w:r>
          </w:p>
        </w:tc>
        <w:tc>
          <w:tcPr>
            <w:tcW w:w="1134" w:type="dxa"/>
            <w:vAlign w:val="center"/>
          </w:tcPr>
          <w:p w:rsidR="00E51FA8" w:rsidRPr="008E6BE7" w:rsidRDefault="00E51FA8" w:rsidP="00D6481B">
            <w:pPr>
              <w:spacing w:after="0" w:line="240" w:lineRule="auto"/>
              <w:jc w:val="center"/>
              <w:rPr>
                <w:rFonts w:ascii="Times New Roman" w:hAnsi="Times New Roman"/>
                <w:color w:val="000000"/>
                <w:sz w:val="20"/>
                <w:szCs w:val="20"/>
              </w:rPr>
            </w:pPr>
            <w:r w:rsidRPr="008E6BE7">
              <w:rPr>
                <w:rFonts w:ascii="Times New Roman" w:hAnsi="Times New Roman"/>
                <w:color w:val="000000"/>
                <w:sz w:val="20"/>
                <w:szCs w:val="20"/>
              </w:rPr>
              <w:t>12</w:t>
            </w:r>
          </w:p>
        </w:tc>
        <w:tc>
          <w:tcPr>
            <w:tcW w:w="1134" w:type="dxa"/>
            <w:vAlign w:val="center"/>
          </w:tcPr>
          <w:p w:rsidR="00E51FA8" w:rsidRPr="008E6BE7" w:rsidRDefault="00031FF4" w:rsidP="00031FF4">
            <w:pPr>
              <w:spacing w:after="0" w:line="240" w:lineRule="auto"/>
              <w:jc w:val="center"/>
              <w:rPr>
                <w:rFonts w:ascii="Times New Roman" w:hAnsi="Times New Roman"/>
                <w:b/>
                <w:bCs/>
                <w:sz w:val="20"/>
                <w:szCs w:val="20"/>
              </w:rPr>
            </w:pPr>
            <w:r w:rsidRPr="008E6BE7">
              <w:rPr>
                <w:rFonts w:ascii="Times New Roman" w:hAnsi="Times New Roman"/>
                <w:b/>
                <w:bCs/>
                <w:color w:val="000000"/>
                <w:sz w:val="20"/>
                <w:szCs w:val="20"/>
              </w:rPr>
              <w:t>6</w:t>
            </w:r>
          </w:p>
        </w:tc>
        <w:tc>
          <w:tcPr>
            <w:tcW w:w="1134" w:type="dxa"/>
            <w:vAlign w:val="center"/>
          </w:tcPr>
          <w:p w:rsidR="00E51FA8" w:rsidRPr="00F8763B" w:rsidRDefault="00F8763B" w:rsidP="00765874">
            <w:pPr>
              <w:spacing w:after="0" w:line="240" w:lineRule="auto"/>
              <w:jc w:val="center"/>
              <w:rPr>
                <w:rFonts w:ascii="Times New Roman" w:hAnsi="Times New Roman"/>
                <w:b/>
                <w:bCs/>
                <w:sz w:val="20"/>
                <w:szCs w:val="20"/>
              </w:rPr>
            </w:pPr>
            <w:r w:rsidRPr="00F8763B">
              <w:rPr>
                <w:rFonts w:ascii="Times New Roman" w:hAnsi="Times New Roman"/>
                <w:b/>
                <w:bCs/>
                <w:sz w:val="20"/>
                <w:szCs w:val="20"/>
              </w:rPr>
              <w:t>4</w:t>
            </w:r>
          </w:p>
        </w:tc>
      </w:tr>
      <w:tr w:rsidR="00221A40" w:rsidRPr="008E6BE7" w:rsidTr="00615C4D">
        <w:trPr>
          <w:jc w:val="center"/>
        </w:trPr>
        <w:tc>
          <w:tcPr>
            <w:tcW w:w="8500" w:type="dxa"/>
            <w:gridSpan w:val="5"/>
            <w:shd w:val="clear" w:color="auto" w:fill="92D050"/>
            <w:vAlign w:val="center"/>
          </w:tcPr>
          <w:p w:rsidR="00221A40" w:rsidRPr="008E6BE7" w:rsidRDefault="00221A40" w:rsidP="00395E1C">
            <w:pPr>
              <w:spacing w:after="0" w:line="240" w:lineRule="auto"/>
              <w:jc w:val="right"/>
              <w:rPr>
                <w:rFonts w:ascii="Times New Roman" w:hAnsi="Times New Roman"/>
                <w:b/>
                <w:bCs/>
                <w:sz w:val="20"/>
                <w:szCs w:val="20"/>
              </w:rPr>
            </w:pPr>
            <w:r>
              <w:rPr>
                <w:rFonts w:ascii="Times New Roman" w:hAnsi="Times New Roman"/>
                <w:b/>
                <w:bCs/>
                <w:sz w:val="20"/>
                <w:szCs w:val="20"/>
              </w:rPr>
              <w:t>Iesaistīti</w:t>
            </w:r>
            <w:r w:rsidR="00C53066">
              <w:rPr>
                <w:rFonts w:ascii="Times New Roman" w:hAnsi="Times New Roman"/>
                <w:b/>
                <w:bCs/>
                <w:sz w:val="20"/>
                <w:szCs w:val="20"/>
              </w:rPr>
              <w:t xml:space="preserve"> 2015</w:t>
            </w:r>
            <w:r w:rsidR="00395E1C">
              <w:rPr>
                <w:rFonts w:ascii="Times New Roman" w:hAnsi="Times New Roman"/>
                <w:b/>
                <w:bCs/>
                <w:sz w:val="20"/>
                <w:szCs w:val="20"/>
              </w:rPr>
              <w:t>./</w:t>
            </w:r>
            <w:r>
              <w:rPr>
                <w:rFonts w:ascii="Times New Roman" w:hAnsi="Times New Roman"/>
                <w:b/>
                <w:bCs/>
                <w:sz w:val="20"/>
                <w:szCs w:val="20"/>
              </w:rPr>
              <w:t xml:space="preserve"> 2016.gadā</w:t>
            </w:r>
          </w:p>
        </w:tc>
        <w:tc>
          <w:tcPr>
            <w:tcW w:w="1134" w:type="dxa"/>
            <w:shd w:val="clear" w:color="auto" w:fill="92D050"/>
            <w:vAlign w:val="center"/>
          </w:tcPr>
          <w:p w:rsidR="00221A40" w:rsidRPr="008E6BE7" w:rsidRDefault="00C53066" w:rsidP="005A7674">
            <w:pPr>
              <w:spacing w:after="0" w:line="240" w:lineRule="auto"/>
              <w:jc w:val="center"/>
              <w:rPr>
                <w:rFonts w:ascii="Times New Roman" w:hAnsi="Times New Roman"/>
                <w:b/>
                <w:sz w:val="20"/>
                <w:szCs w:val="20"/>
              </w:rPr>
            </w:pPr>
            <w:r w:rsidRPr="00C53066">
              <w:rPr>
                <w:rFonts w:ascii="Times New Roman" w:hAnsi="Times New Roman"/>
                <w:b/>
                <w:sz w:val="20"/>
                <w:szCs w:val="20"/>
              </w:rPr>
              <w:t>77</w:t>
            </w:r>
            <w:r>
              <w:rPr>
                <w:rFonts w:ascii="Times New Roman" w:hAnsi="Times New Roman"/>
                <w:b/>
                <w:sz w:val="20"/>
                <w:szCs w:val="20"/>
              </w:rPr>
              <w:t>/</w:t>
            </w:r>
            <w:r w:rsidR="00221A40">
              <w:rPr>
                <w:rFonts w:ascii="Times New Roman" w:hAnsi="Times New Roman"/>
                <w:b/>
                <w:sz w:val="20"/>
                <w:szCs w:val="20"/>
              </w:rPr>
              <w:t>104</w:t>
            </w:r>
          </w:p>
        </w:tc>
      </w:tr>
      <w:tr w:rsidR="005A7674" w:rsidRPr="008E6BE7" w:rsidTr="00615C4D">
        <w:trPr>
          <w:jc w:val="center"/>
        </w:trPr>
        <w:tc>
          <w:tcPr>
            <w:tcW w:w="8500" w:type="dxa"/>
            <w:gridSpan w:val="5"/>
            <w:shd w:val="clear" w:color="auto" w:fill="92D050"/>
          </w:tcPr>
          <w:p w:rsidR="005A7674" w:rsidRPr="008E6BE7" w:rsidRDefault="005A7674" w:rsidP="00A10024">
            <w:pPr>
              <w:spacing w:after="0" w:line="240" w:lineRule="auto"/>
              <w:jc w:val="right"/>
              <w:rPr>
                <w:rFonts w:ascii="Times New Roman" w:hAnsi="Times New Roman"/>
                <w:b/>
                <w:bCs/>
                <w:sz w:val="20"/>
                <w:szCs w:val="20"/>
              </w:rPr>
            </w:pPr>
            <w:r w:rsidRPr="008E6BE7">
              <w:rPr>
                <w:rFonts w:ascii="Times New Roman" w:hAnsi="Times New Roman"/>
                <w:b/>
                <w:bCs/>
                <w:sz w:val="20"/>
                <w:szCs w:val="20"/>
              </w:rPr>
              <w:t>Ie</w:t>
            </w:r>
            <w:r w:rsidR="00B023E8" w:rsidRPr="008E6BE7">
              <w:rPr>
                <w:rFonts w:ascii="Times New Roman" w:hAnsi="Times New Roman"/>
                <w:b/>
                <w:bCs/>
                <w:sz w:val="20"/>
                <w:szCs w:val="20"/>
              </w:rPr>
              <w:t xml:space="preserve">saistīti </w:t>
            </w:r>
            <w:r w:rsidRPr="008E6BE7">
              <w:rPr>
                <w:rFonts w:ascii="Times New Roman" w:hAnsi="Times New Roman"/>
                <w:b/>
                <w:bCs/>
                <w:sz w:val="20"/>
                <w:szCs w:val="20"/>
              </w:rPr>
              <w:t>kopā</w:t>
            </w:r>
          </w:p>
        </w:tc>
        <w:tc>
          <w:tcPr>
            <w:tcW w:w="1134" w:type="dxa"/>
            <w:shd w:val="clear" w:color="auto" w:fill="92D050"/>
          </w:tcPr>
          <w:p w:rsidR="005A7674" w:rsidRPr="008E6BE7" w:rsidRDefault="005A7674" w:rsidP="005A7674">
            <w:pPr>
              <w:spacing w:after="0" w:line="240" w:lineRule="auto"/>
              <w:jc w:val="center"/>
              <w:rPr>
                <w:rFonts w:ascii="Times New Roman" w:hAnsi="Times New Roman"/>
                <w:b/>
                <w:sz w:val="20"/>
                <w:szCs w:val="20"/>
              </w:rPr>
            </w:pPr>
            <w:r w:rsidRPr="008E6BE7">
              <w:rPr>
                <w:rFonts w:ascii="Times New Roman" w:hAnsi="Times New Roman"/>
                <w:b/>
                <w:sz w:val="20"/>
                <w:szCs w:val="20"/>
              </w:rPr>
              <w:t>181</w:t>
            </w:r>
          </w:p>
        </w:tc>
      </w:tr>
      <w:tr w:rsidR="00BA5B01" w:rsidRPr="008E6BE7" w:rsidTr="00615C4D">
        <w:trPr>
          <w:jc w:val="center"/>
        </w:trPr>
        <w:tc>
          <w:tcPr>
            <w:tcW w:w="8500" w:type="dxa"/>
            <w:gridSpan w:val="5"/>
            <w:shd w:val="clear" w:color="auto" w:fill="92D050"/>
          </w:tcPr>
          <w:p w:rsidR="00BA5B01" w:rsidRPr="008E6BE7" w:rsidRDefault="00D02C33">
            <w:pPr>
              <w:spacing w:after="0" w:line="240" w:lineRule="auto"/>
              <w:jc w:val="right"/>
              <w:rPr>
                <w:rFonts w:ascii="Times New Roman" w:hAnsi="Times New Roman"/>
                <w:b/>
                <w:bCs/>
                <w:sz w:val="20"/>
                <w:szCs w:val="20"/>
              </w:rPr>
            </w:pPr>
            <w:r>
              <w:rPr>
                <w:rFonts w:ascii="Times New Roman" w:hAnsi="Times New Roman"/>
                <w:b/>
                <w:bCs/>
                <w:sz w:val="20"/>
                <w:szCs w:val="20"/>
              </w:rPr>
              <w:t>Izglītības apguvi</w:t>
            </w:r>
            <w:r w:rsidR="00BA5B01">
              <w:rPr>
                <w:rFonts w:ascii="Times New Roman" w:hAnsi="Times New Roman"/>
                <w:b/>
                <w:bCs/>
                <w:sz w:val="20"/>
                <w:szCs w:val="20"/>
              </w:rPr>
              <w:t xml:space="preserve"> pabeiguši kopā</w:t>
            </w:r>
          </w:p>
        </w:tc>
        <w:tc>
          <w:tcPr>
            <w:tcW w:w="1134" w:type="dxa"/>
            <w:shd w:val="clear" w:color="auto" w:fill="92D050"/>
          </w:tcPr>
          <w:p w:rsidR="00BA5B01" w:rsidRPr="008E6BE7" w:rsidRDefault="00BA5B01" w:rsidP="005A7674">
            <w:pPr>
              <w:spacing w:after="0" w:line="240" w:lineRule="auto"/>
              <w:jc w:val="center"/>
              <w:rPr>
                <w:rFonts w:ascii="Times New Roman" w:hAnsi="Times New Roman"/>
                <w:b/>
                <w:sz w:val="20"/>
                <w:szCs w:val="20"/>
              </w:rPr>
            </w:pPr>
            <w:r>
              <w:rPr>
                <w:rFonts w:ascii="Times New Roman" w:hAnsi="Times New Roman"/>
                <w:b/>
                <w:sz w:val="20"/>
                <w:szCs w:val="20"/>
              </w:rPr>
              <w:t>147</w:t>
            </w:r>
          </w:p>
        </w:tc>
      </w:tr>
    </w:tbl>
    <w:p w:rsidR="00953A65" w:rsidRPr="008E6BE7" w:rsidRDefault="00953A65">
      <w:pPr>
        <w:spacing w:after="0" w:line="240" w:lineRule="auto"/>
        <w:rPr>
          <w:rFonts w:ascii="Times New Roman" w:hAnsi="Times New Roman"/>
          <w:sz w:val="28"/>
          <w:szCs w:val="28"/>
        </w:rPr>
      </w:pPr>
    </w:p>
    <w:p w:rsidR="00A8140B" w:rsidRPr="008E6BE7" w:rsidRDefault="00DD1B42" w:rsidP="00DD1B42">
      <w:pPr>
        <w:spacing w:after="0" w:line="240" w:lineRule="auto"/>
        <w:jc w:val="both"/>
        <w:rPr>
          <w:rFonts w:ascii="Times New Roman" w:hAnsi="Times New Roman"/>
          <w:sz w:val="28"/>
          <w:szCs w:val="28"/>
        </w:rPr>
      </w:pPr>
      <w:r w:rsidRPr="008E6BE7">
        <w:rPr>
          <w:rFonts w:ascii="Times New Roman" w:hAnsi="Times New Roman"/>
          <w:sz w:val="28"/>
          <w:szCs w:val="28"/>
        </w:rPr>
        <w:tab/>
      </w:r>
      <w:proofErr w:type="spellStart"/>
      <w:r w:rsidR="00953A65" w:rsidRPr="00D94C91">
        <w:rPr>
          <w:rFonts w:ascii="Times New Roman" w:hAnsi="Times New Roman"/>
          <w:b/>
          <w:bCs/>
          <w:sz w:val="28"/>
          <w:szCs w:val="28"/>
        </w:rPr>
        <w:t>Izmēģinājumprojekta</w:t>
      </w:r>
      <w:proofErr w:type="spellEnd"/>
      <w:r w:rsidR="00953A65" w:rsidRPr="00D94C91">
        <w:rPr>
          <w:rFonts w:ascii="Times New Roman" w:hAnsi="Times New Roman"/>
          <w:b/>
          <w:bCs/>
          <w:sz w:val="28"/>
          <w:szCs w:val="28"/>
        </w:rPr>
        <w:t xml:space="preserve"> otrajā kārtā kopumā tika iesaistīts 181 bezdarbnieks, no tiem 2015. gadā tika iesaistīti 77 bezdarbnieki un 2016. gadā 104 bezdarbnieki</w:t>
      </w:r>
      <w:r w:rsidR="00F27C6F" w:rsidRPr="00D94C91">
        <w:rPr>
          <w:rFonts w:ascii="Times New Roman" w:hAnsi="Times New Roman"/>
          <w:b/>
          <w:bCs/>
          <w:sz w:val="28"/>
          <w:szCs w:val="28"/>
        </w:rPr>
        <w:t xml:space="preserve"> </w:t>
      </w:r>
      <w:r w:rsidR="00F27C6F" w:rsidRPr="00D94C91">
        <w:rPr>
          <w:rFonts w:ascii="Times New Roman" w:hAnsi="Times New Roman"/>
          <w:sz w:val="28"/>
          <w:szCs w:val="28"/>
        </w:rPr>
        <w:t>(</w:t>
      </w:r>
      <w:r w:rsidR="00F27C6F" w:rsidRPr="00D94C91">
        <w:rPr>
          <w:rFonts w:ascii="Times New Roman" w:hAnsi="Times New Roman"/>
          <w:i/>
          <w:sz w:val="28"/>
          <w:szCs w:val="28"/>
        </w:rPr>
        <w:t>ziņojuma 3.sadaļā ir sniegta informācija par konstatētajām problēmām, kas liedza sasniegt rezultatīvā rādītāja izpildi</w:t>
      </w:r>
      <w:r w:rsidR="00F27C6F" w:rsidRPr="00D94C91">
        <w:rPr>
          <w:rFonts w:ascii="Times New Roman" w:hAnsi="Times New Roman"/>
          <w:sz w:val="28"/>
          <w:szCs w:val="28"/>
        </w:rPr>
        <w:t>)</w:t>
      </w:r>
      <w:r w:rsidR="00953A65" w:rsidRPr="00D94C91">
        <w:rPr>
          <w:rFonts w:ascii="Times New Roman" w:hAnsi="Times New Roman"/>
          <w:sz w:val="28"/>
          <w:szCs w:val="28"/>
        </w:rPr>
        <w:t>.</w:t>
      </w:r>
      <w:r w:rsidR="00953A65" w:rsidRPr="008E6BE7">
        <w:rPr>
          <w:rFonts w:ascii="Times New Roman" w:hAnsi="Times New Roman"/>
          <w:sz w:val="28"/>
          <w:szCs w:val="28"/>
        </w:rPr>
        <w:t xml:space="preserve"> Sadarbība tika īstenota ar 14 izglītības iestādēm par 17 profesionālās tālākizglītības programmu īstenošanu. Jāpiebilst, ka </w:t>
      </w:r>
      <w:r w:rsidR="00CE5C1E" w:rsidRPr="008E6BE7">
        <w:rPr>
          <w:rFonts w:ascii="Times New Roman" w:hAnsi="Times New Roman"/>
          <w:sz w:val="28"/>
          <w:szCs w:val="28"/>
        </w:rPr>
        <w:t xml:space="preserve">ar </w:t>
      </w:r>
      <w:r w:rsidR="00953A65" w:rsidRPr="008E6BE7">
        <w:rPr>
          <w:rFonts w:ascii="Times New Roman" w:hAnsi="Times New Roman"/>
          <w:sz w:val="28"/>
          <w:szCs w:val="28"/>
        </w:rPr>
        <w:t>2015.</w:t>
      </w:r>
      <w:r w:rsidR="00BC5994" w:rsidRPr="008E6BE7">
        <w:rPr>
          <w:rFonts w:ascii="Times New Roman" w:hAnsi="Times New Roman"/>
          <w:sz w:val="28"/>
          <w:szCs w:val="28"/>
        </w:rPr>
        <w:t> </w:t>
      </w:r>
      <w:r w:rsidR="00953A65" w:rsidRPr="008E6BE7">
        <w:rPr>
          <w:rFonts w:ascii="Times New Roman" w:hAnsi="Times New Roman"/>
          <w:sz w:val="28"/>
          <w:szCs w:val="28"/>
        </w:rPr>
        <w:t xml:space="preserve">gada 3.decembra </w:t>
      </w:r>
      <w:r w:rsidR="00CE5C1E" w:rsidRPr="008E6BE7">
        <w:rPr>
          <w:rFonts w:ascii="Times New Roman" w:hAnsi="Times New Roman"/>
          <w:sz w:val="28"/>
          <w:szCs w:val="28"/>
        </w:rPr>
        <w:t>sēdes protokolu</w:t>
      </w:r>
      <w:r w:rsidR="00953A65" w:rsidRPr="008E6BE7">
        <w:rPr>
          <w:rFonts w:ascii="Times New Roman" w:hAnsi="Times New Roman"/>
          <w:sz w:val="28"/>
          <w:szCs w:val="28"/>
        </w:rPr>
        <w:t xml:space="preserve"> (Protokols Nr. 2/2015)</w:t>
      </w:r>
      <w:r w:rsidR="00CE5C1E" w:rsidRPr="008E6BE7">
        <w:rPr>
          <w:rFonts w:ascii="Times New Roman" w:hAnsi="Times New Roman"/>
          <w:sz w:val="28"/>
          <w:szCs w:val="28"/>
        </w:rPr>
        <w:t xml:space="preserve"> LM Apmācību komisija aktualizēja profesionālās tālākizglītības programmu sarakstu, kā rezultātā no </w:t>
      </w:r>
      <w:proofErr w:type="spellStart"/>
      <w:r w:rsidR="0002717C" w:rsidRPr="008E6BE7">
        <w:rPr>
          <w:rFonts w:ascii="Times New Roman" w:hAnsi="Times New Roman"/>
          <w:sz w:val="28"/>
          <w:szCs w:val="28"/>
        </w:rPr>
        <w:t>i</w:t>
      </w:r>
      <w:r w:rsidR="00CE5C1E" w:rsidRPr="008E6BE7">
        <w:rPr>
          <w:rFonts w:ascii="Times New Roman" w:hAnsi="Times New Roman"/>
          <w:sz w:val="28"/>
          <w:szCs w:val="28"/>
        </w:rPr>
        <w:t>zmēģinājumprojekta</w:t>
      </w:r>
      <w:proofErr w:type="spellEnd"/>
      <w:r w:rsidR="00CE5C1E" w:rsidRPr="008E6BE7">
        <w:rPr>
          <w:rFonts w:ascii="Times New Roman" w:hAnsi="Times New Roman"/>
          <w:sz w:val="28"/>
          <w:szCs w:val="28"/>
        </w:rPr>
        <w:t xml:space="preserve"> </w:t>
      </w:r>
      <w:r w:rsidR="0002717C" w:rsidRPr="008E6BE7">
        <w:rPr>
          <w:rFonts w:ascii="Times New Roman" w:hAnsi="Times New Roman"/>
          <w:sz w:val="28"/>
          <w:szCs w:val="28"/>
        </w:rPr>
        <w:t xml:space="preserve">otrās </w:t>
      </w:r>
      <w:r w:rsidR="00CE5C1E" w:rsidRPr="008E6BE7">
        <w:rPr>
          <w:rFonts w:ascii="Times New Roman" w:hAnsi="Times New Roman"/>
          <w:sz w:val="28"/>
          <w:szCs w:val="28"/>
        </w:rPr>
        <w:t>kārtas īstenojamajām izglītības programmām tika sv</w:t>
      </w:r>
      <w:r w:rsidR="00A8140B" w:rsidRPr="008E6BE7">
        <w:rPr>
          <w:rFonts w:ascii="Times New Roman" w:hAnsi="Times New Roman"/>
          <w:sz w:val="28"/>
          <w:szCs w:val="28"/>
        </w:rPr>
        <w:t>ītrota izglītības programma “Automehāniķis” (2.kval. līmenis, 960st.)</w:t>
      </w:r>
    </w:p>
    <w:p w:rsidR="00870892" w:rsidRPr="008E6BE7" w:rsidRDefault="008B3347" w:rsidP="0043610E">
      <w:pPr>
        <w:spacing w:after="0" w:line="240" w:lineRule="auto"/>
        <w:ind w:firstLine="720"/>
        <w:jc w:val="both"/>
        <w:rPr>
          <w:rFonts w:ascii="Times New Roman" w:hAnsi="Times New Roman"/>
          <w:sz w:val="28"/>
          <w:szCs w:val="28"/>
        </w:rPr>
      </w:pPr>
      <w:r w:rsidRPr="00C174D6">
        <w:rPr>
          <w:rFonts w:ascii="Times New Roman" w:hAnsi="Times New Roman"/>
          <w:sz w:val="28"/>
          <w:szCs w:val="28"/>
        </w:rPr>
        <w:t>Bezdarbnieki</w:t>
      </w:r>
      <w:r w:rsidR="00804B04" w:rsidRPr="00C174D6">
        <w:rPr>
          <w:rFonts w:ascii="Times New Roman" w:hAnsi="Times New Roman"/>
          <w:sz w:val="28"/>
          <w:szCs w:val="28"/>
        </w:rPr>
        <w:t xml:space="preserve"> v</w:t>
      </w:r>
      <w:r w:rsidR="0002755E" w:rsidRPr="00C174D6">
        <w:rPr>
          <w:rFonts w:ascii="Times New Roman" w:hAnsi="Times New Roman"/>
          <w:sz w:val="28"/>
          <w:szCs w:val="28"/>
        </w:rPr>
        <w:t>isvairāk izvēl</w:t>
      </w:r>
      <w:r w:rsidRPr="00C174D6">
        <w:rPr>
          <w:rFonts w:ascii="Times New Roman" w:hAnsi="Times New Roman"/>
          <w:sz w:val="28"/>
          <w:szCs w:val="28"/>
        </w:rPr>
        <w:t>ējās šādas profesijas</w:t>
      </w:r>
      <w:r w:rsidR="0002755E" w:rsidRPr="00C174D6">
        <w:rPr>
          <w:rFonts w:ascii="Times New Roman" w:hAnsi="Times New Roman"/>
          <w:sz w:val="28"/>
          <w:szCs w:val="28"/>
        </w:rPr>
        <w:t>:</w:t>
      </w:r>
      <w:r w:rsidR="007F7FEF" w:rsidRPr="00C174D6">
        <w:rPr>
          <w:rFonts w:ascii="Times New Roman" w:hAnsi="Times New Roman"/>
          <w:sz w:val="28"/>
          <w:szCs w:val="28"/>
        </w:rPr>
        <w:t xml:space="preserve"> </w:t>
      </w:r>
      <w:r w:rsidR="00031FF4" w:rsidRPr="00C174D6">
        <w:rPr>
          <w:rFonts w:ascii="Times New Roman" w:hAnsi="Times New Roman"/>
          <w:sz w:val="28"/>
          <w:szCs w:val="28"/>
        </w:rPr>
        <w:t>Inženierkomunikāciju montētājs – 60</w:t>
      </w:r>
      <w:r w:rsidR="007F7FEF" w:rsidRPr="00C174D6">
        <w:rPr>
          <w:rFonts w:ascii="Times New Roman" w:hAnsi="Times New Roman"/>
          <w:sz w:val="28"/>
          <w:szCs w:val="28"/>
        </w:rPr>
        <w:t xml:space="preserve"> bezdarbnieki; </w:t>
      </w:r>
      <w:r w:rsidR="00031FF4" w:rsidRPr="00C174D6">
        <w:rPr>
          <w:rFonts w:ascii="Times New Roman" w:hAnsi="Times New Roman"/>
          <w:sz w:val="28"/>
          <w:szCs w:val="28"/>
        </w:rPr>
        <w:t>Šuvējs – 34</w:t>
      </w:r>
      <w:r w:rsidR="007F7FEF" w:rsidRPr="00C174D6">
        <w:rPr>
          <w:rFonts w:ascii="Times New Roman" w:hAnsi="Times New Roman"/>
          <w:sz w:val="28"/>
          <w:szCs w:val="28"/>
        </w:rPr>
        <w:t xml:space="preserve">; </w:t>
      </w:r>
      <w:proofErr w:type="spellStart"/>
      <w:r w:rsidR="00031FF4" w:rsidRPr="00C174D6">
        <w:rPr>
          <w:rFonts w:ascii="Times New Roman" w:hAnsi="Times New Roman"/>
          <w:sz w:val="28"/>
          <w:szCs w:val="28"/>
        </w:rPr>
        <w:t>Lokmetinātājs</w:t>
      </w:r>
      <w:proofErr w:type="spellEnd"/>
      <w:r w:rsidR="00031FF4" w:rsidRPr="00C174D6">
        <w:rPr>
          <w:rFonts w:ascii="Times New Roman" w:hAnsi="Times New Roman"/>
          <w:sz w:val="28"/>
          <w:szCs w:val="28"/>
        </w:rPr>
        <w:t xml:space="preserve"> metināšanā ar mehanizēto iekārtu inertās gāzes vidē (MIG) - 29</w:t>
      </w:r>
      <w:r w:rsidR="00650071" w:rsidRPr="00C174D6">
        <w:rPr>
          <w:rFonts w:ascii="Times New Roman" w:hAnsi="Times New Roman"/>
          <w:sz w:val="28"/>
          <w:szCs w:val="28"/>
        </w:rPr>
        <w:t xml:space="preserve"> (</w:t>
      </w:r>
      <w:r w:rsidR="00AE7E4E" w:rsidRPr="00C174D6">
        <w:rPr>
          <w:rFonts w:ascii="Times New Roman" w:hAnsi="Times New Roman"/>
          <w:sz w:val="28"/>
          <w:szCs w:val="28"/>
        </w:rPr>
        <w:t xml:space="preserve"> sīkāk skat.</w:t>
      </w:r>
      <w:r w:rsidR="008D0B29" w:rsidRPr="00C174D6">
        <w:rPr>
          <w:rFonts w:ascii="Times New Roman" w:hAnsi="Times New Roman"/>
          <w:sz w:val="28"/>
          <w:szCs w:val="28"/>
        </w:rPr>
        <w:t xml:space="preserve"> tabul</w:t>
      </w:r>
      <w:r w:rsidR="00AE7E4E" w:rsidRPr="00C174D6">
        <w:rPr>
          <w:rFonts w:ascii="Times New Roman" w:hAnsi="Times New Roman"/>
          <w:sz w:val="28"/>
          <w:szCs w:val="28"/>
        </w:rPr>
        <w:t>ā</w:t>
      </w:r>
      <w:r w:rsidR="008D0B29" w:rsidRPr="00C174D6">
        <w:rPr>
          <w:rFonts w:ascii="Times New Roman" w:hAnsi="Times New Roman"/>
          <w:sz w:val="28"/>
          <w:szCs w:val="28"/>
        </w:rPr>
        <w:t xml:space="preserve"> Nr.1</w:t>
      </w:r>
      <w:r w:rsidR="00650071" w:rsidRPr="00C174D6">
        <w:rPr>
          <w:rFonts w:ascii="Times New Roman" w:hAnsi="Times New Roman"/>
          <w:sz w:val="28"/>
          <w:szCs w:val="28"/>
        </w:rPr>
        <w:t>).</w:t>
      </w:r>
      <w:r w:rsidR="003D33EA" w:rsidRPr="008E6BE7">
        <w:rPr>
          <w:rFonts w:ascii="Times New Roman" w:hAnsi="Times New Roman"/>
          <w:sz w:val="28"/>
          <w:szCs w:val="28"/>
        </w:rPr>
        <w:t xml:space="preserve"> </w:t>
      </w:r>
    </w:p>
    <w:p w:rsidR="00870892" w:rsidRPr="008E6BE7" w:rsidRDefault="00BC7ADA" w:rsidP="007408B3">
      <w:pPr>
        <w:spacing w:after="0" w:line="240" w:lineRule="auto"/>
        <w:jc w:val="both"/>
        <w:rPr>
          <w:rFonts w:ascii="Times New Roman" w:hAnsi="Times New Roman"/>
          <w:sz w:val="28"/>
          <w:szCs w:val="28"/>
        </w:rPr>
      </w:pPr>
      <w:r w:rsidRPr="008E6BE7">
        <w:rPr>
          <w:rFonts w:ascii="Times New Roman" w:hAnsi="Times New Roman"/>
          <w:sz w:val="28"/>
          <w:szCs w:val="28"/>
        </w:rPr>
        <w:lastRenderedPageBreak/>
        <w:tab/>
      </w:r>
      <w:proofErr w:type="spellStart"/>
      <w:r w:rsidR="004C1793" w:rsidRPr="008E6BE7">
        <w:rPr>
          <w:rFonts w:ascii="Times New Roman" w:hAnsi="Times New Roman"/>
          <w:sz w:val="28"/>
          <w:szCs w:val="28"/>
        </w:rPr>
        <w:t>Izmēģinājumprojekta</w:t>
      </w:r>
      <w:proofErr w:type="spellEnd"/>
      <w:r w:rsidR="00DD1B42" w:rsidRPr="008E6BE7">
        <w:rPr>
          <w:rFonts w:ascii="Times New Roman" w:hAnsi="Times New Roman"/>
          <w:sz w:val="28"/>
          <w:szCs w:val="28"/>
        </w:rPr>
        <w:t xml:space="preserve"> otrās kārtas ietvaros </w:t>
      </w:r>
      <w:r w:rsidR="004C1793" w:rsidRPr="008E6BE7">
        <w:rPr>
          <w:rFonts w:ascii="Times New Roman" w:hAnsi="Times New Roman"/>
          <w:sz w:val="28"/>
          <w:szCs w:val="28"/>
        </w:rPr>
        <w:t>sākotnēji tika paredzēts nodrošināt</w:t>
      </w:r>
      <w:r w:rsidR="00DD1B42" w:rsidRPr="008E6BE7">
        <w:rPr>
          <w:rFonts w:ascii="Times New Roman" w:hAnsi="Times New Roman"/>
          <w:sz w:val="28"/>
          <w:szCs w:val="28"/>
        </w:rPr>
        <w:t xml:space="preserve"> profesionālās tālā</w:t>
      </w:r>
      <w:r w:rsidR="004C1793" w:rsidRPr="008E6BE7">
        <w:rPr>
          <w:rFonts w:ascii="Times New Roman" w:hAnsi="Times New Roman"/>
          <w:sz w:val="28"/>
          <w:szCs w:val="28"/>
        </w:rPr>
        <w:t>kizglītības programmu pieejamību</w:t>
      </w:r>
      <w:r w:rsidR="00DD1B42" w:rsidRPr="008E6BE7">
        <w:rPr>
          <w:rFonts w:ascii="Times New Roman" w:hAnsi="Times New Roman"/>
          <w:sz w:val="28"/>
          <w:szCs w:val="28"/>
        </w:rPr>
        <w:t xml:space="preserve"> bezdarbniekiem visos valsts reģionos. </w:t>
      </w:r>
      <w:r w:rsidR="004C1793" w:rsidRPr="008E6BE7">
        <w:rPr>
          <w:rFonts w:ascii="Times New Roman" w:hAnsi="Times New Roman"/>
          <w:sz w:val="28"/>
          <w:szCs w:val="28"/>
        </w:rPr>
        <w:t xml:space="preserve">Tomēr </w:t>
      </w:r>
      <w:r w:rsidR="00DD1B42" w:rsidRPr="008E6BE7">
        <w:rPr>
          <w:rFonts w:ascii="Times New Roman" w:hAnsi="Times New Roman"/>
          <w:sz w:val="28"/>
          <w:szCs w:val="28"/>
        </w:rPr>
        <w:t xml:space="preserve">Rīgas reģionā bezdarbnieku pieteikumu trūkuma dēļ, </w:t>
      </w:r>
      <w:proofErr w:type="spellStart"/>
      <w:r w:rsidR="00DD1B42" w:rsidRPr="008E6BE7">
        <w:rPr>
          <w:rFonts w:ascii="Times New Roman" w:hAnsi="Times New Roman"/>
          <w:sz w:val="28"/>
          <w:szCs w:val="28"/>
        </w:rPr>
        <w:t>izmēģinājumprojekta</w:t>
      </w:r>
      <w:proofErr w:type="spellEnd"/>
      <w:r w:rsidR="00DD1B42" w:rsidRPr="008E6BE7">
        <w:rPr>
          <w:rFonts w:ascii="Times New Roman" w:hAnsi="Times New Roman"/>
          <w:sz w:val="28"/>
          <w:szCs w:val="28"/>
        </w:rPr>
        <w:t xml:space="preserve"> otrās kārtas ietvaros netika iesaistīts neviens bezdarbnieks. </w:t>
      </w:r>
    </w:p>
    <w:p w:rsidR="002047B7" w:rsidRPr="008E6BE7" w:rsidRDefault="00DB5C7F" w:rsidP="00870892">
      <w:pPr>
        <w:pStyle w:val="tv2131"/>
        <w:spacing w:line="240" w:lineRule="auto"/>
        <w:ind w:firstLine="720"/>
        <w:jc w:val="both"/>
        <w:rPr>
          <w:color w:val="auto"/>
          <w:sz w:val="28"/>
          <w:szCs w:val="28"/>
          <w:lang w:eastAsia="en-US"/>
        </w:rPr>
      </w:pPr>
      <w:r w:rsidRPr="008E6BE7">
        <w:rPr>
          <w:color w:val="auto"/>
          <w:sz w:val="28"/>
          <w:szCs w:val="28"/>
          <w:lang w:eastAsia="en-US"/>
        </w:rPr>
        <w:t xml:space="preserve">Vislielākā bezdarbnieku iesaiste </w:t>
      </w:r>
      <w:proofErr w:type="spellStart"/>
      <w:r w:rsidRPr="008E6BE7">
        <w:rPr>
          <w:color w:val="auto"/>
          <w:sz w:val="28"/>
          <w:szCs w:val="28"/>
          <w:lang w:eastAsia="en-US"/>
        </w:rPr>
        <w:t>izmēģinājumprojekta</w:t>
      </w:r>
      <w:proofErr w:type="spellEnd"/>
      <w:r w:rsidRPr="008E6BE7">
        <w:rPr>
          <w:color w:val="auto"/>
          <w:sz w:val="28"/>
          <w:szCs w:val="28"/>
          <w:lang w:eastAsia="en-US"/>
        </w:rPr>
        <w:t xml:space="preserve"> otrajā kārtā </w:t>
      </w:r>
      <w:r w:rsidR="00406475">
        <w:rPr>
          <w:color w:val="auto"/>
          <w:sz w:val="28"/>
          <w:szCs w:val="28"/>
          <w:lang w:eastAsia="en-US"/>
        </w:rPr>
        <w:t xml:space="preserve">bija </w:t>
      </w:r>
      <w:r w:rsidRPr="008E6BE7">
        <w:rPr>
          <w:color w:val="auto"/>
          <w:sz w:val="28"/>
          <w:szCs w:val="28"/>
          <w:lang w:eastAsia="en-US"/>
        </w:rPr>
        <w:t xml:space="preserve">Latgales reģiona izglītības iestādēs, kurā profesionālās tālākizglītības programmas uzsāka </w:t>
      </w:r>
      <w:r w:rsidR="00870892" w:rsidRPr="008E6BE7">
        <w:rPr>
          <w:color w:val="auto"/>
          <w:sz w:val="28"/>
          <w:szCs w:val="28"/>
          <w:lang w:eastAsia="en-US"/>
        </w:rPr>
        <w:t>111 bezdarbnieki jeb 61</w:t>
      </w:r>
      <w:r w:rsidR="000744B1" w:rsidRPr="008E6BE7">
        <w:rPr>
          <w:color w:val="auto"/>
          <w:sz w:val="28"/>
          <w:szCs w:val="28"/>
          <w:lang w:eastAsia="en-US"/>
        </w:rPr>
        <w:t> </w:t>
      </w:r>
      <w:r w:rsidR="00870892" w:rsidRPr="008E6BE7">
        <w:rPr>
          <w:color w:val="auto"/>
          <w:sz w:val="28"/>
          <w:szCs w:val="28"/>
          <w:lang w:eastAsia="en-US"/>
        </w:rPr>
        <w:t>%</w:t>
      </w:r>
      <w:r w:rsidRPr="008E6BE7">
        <w:rPr>
          <w:color w:val="auto"/>
          <w:sz w:val="28"/>
          <w:szCs w:val="28"/>
          <w:lang w:eastAsia="en-US"/>
        </w:rPr>
        <w:t xml:space="preserve"> </w:t>
      </w:r>
      <w:r w:rsidR="004C1793" w:rsidRPr="008E6BE7">
        <w:rPr>
          <w:color w:val="auto"/>
          <w:sz w:val="28"/>
          <w:szCs w:val="28"/>
          <w:lang w:eastAsia="en-US"/>
        </w:rPr>
        <w:t xml:space="preserve">no kopējā uzsākušo dalībnieku skaita </w:t>
      </w:r>
      <w:r w:rsidRPr="008E6BE7">
        <w:rPr>
          <w:color w:val="auto"/>
          <w:sz w:val="28"/>
          <w:szCs w:val="28"/>
          <w:lang w:eastAsia="en-US"/>
        </w:rPr>
        <w:t xml:space="preserve">(skat. attēlu Nr.1). </w:t>
      </w:r>
      <w:r w:rsidR="000744B1" w:rsidRPr="008E6BE7">
        <w:rPr>
          <w:color w:val="auto"/>
          <w:sz w:val="28"/>
          <w:szCs w:val="28"/>
          <w:lang w:eastAsia="en-US"/>
        </w:rPr>
        <w:t xml:space="preserve">Jāpiebilst, ka </w:t>
      </w:r>
      <w:r w:rsidR="00870892" w:rsidRPr="008E6BE7">
        <w:rPr>
          <w:color w:val="auto"/>
          <w:sz w:val="28"/>
          <w:szCs w:val="28"/>
          <w:lang w:eastAsia="en-US"/>
        </w:rPr>
        <w:t xml:space="preserve">Daugavpils </w:t>
      </w:r>
      <w:r w:rsidR="000744B1" w:rsidRPr="008E6BE7">
        <w:rPr>
          <w:color w:val="auto"/>
          <w:sz w:val="28"/>
          <w:szCs w:val="28"/>
          <w:lang w:eastAsia="en-US"/>
        </w:rPr>
        <w:t xml:space="preserve">NVA </w:t>
      </w:r>
      <w:r w:rsidR="00870892" w:rsidRPr="008E6BE7">
        <w:rPr>
          <w:color w:val="auto"/>
          <w:sz w:val="28"/>
          <w:szCs w:val="28"/>
          <w:lang w:eastAsia="en-US"/>
        </w:rPr>
        <w:t xml:space="preserve">filiālē </w:t>
      </w:r>
      <w:r w:rsidR="00406475">
        <w:rPr>
          <w:color w:val="auto"/>
          <w:sz w:val="28"/>
          <w:szCs w:val="28"/>
          <w:lang w:eastAsia="en-US"/>
        </w:rPr>
        <w:t>reģistrējas</w:t>
      </w:r>
      <w:r w:rsidR="000744B1" w:rsidRPr="008E6BE7">
        <w:rPr>
          <w:color w:val="auto"/>
          <w:sz w:val="28"/>
          <w:szCs w:val="28"/>
          <w:lang w:eastAsia="en-US"/>
        </w:rPr>
        <w:t xml:space="preserve"> salīdzinoši</w:t>
      </w:r>
      <w:r w:rsidR="00870892" w:rsidRPr="008E6BE7">
        <w:rPr>
          <w:color w:val="auto"/>
          <w:sz w:val="28"/>
          <w:szCs w:val="28"/>
          <w:lang w:eastAsia="en-US"/>
        </w:rPr>
        <w:t xml:space="preserve"> liels </w:t>
      </w:r>
      <w:r w:rsidRPr="008E6BE7">
        <w:rPr>
          <w:color w:val="auto"/>
          <w:sz w:val="28"/>
          <w:szCs w:val="28"/>
          <w:lang w:eastAsia="en-US"/>
        </w:rPr>
        <w:t xml:space="preserve">bezdarbnieku skaits, kā arī </w:t>
      </w:r>
      <w:r w:rsidR="00406475">
        <w:rPr>
          <w:color w:val="auto"/>
          <w:sz w:val="28"/>
          <w:szCs w:val="28"/>
          <w:lang w:eastAsia="en-US"/>
        </w:rPr>
        <w:t>ir</w:t>
      </w:r>
      <w:r w:rsidRPr="008E6BE7">
        <w:rPr>
          <w:color w:val="auto"/>
          <w:sz w:val="28"/>
          <w:szCs w:val="28"/>
          <w:lang w:eastAsia="en-US"/>
        </w:rPr>
        <w:t xml:space="preserve"> liels pieprasījums pēc piedāvāto izglītības programmu apguves.</w:t>
      </w:r>
    </w:p>
    <w:p w:rsidR="002047B7" w:rsidRPr="008E6BE7" w:rsidRDefault="002047B7" w:rsidP="0029333C">
      <w:pPr>
        <w:spacing w:before="120" w:after="0" w:line="240" w:lineRule="auto"/>
        <w:jc w:val="right"/>
        <w:rPr>
          <w:rFonts w:ascii="Times New Roman" w:hAnsi="Times New Roman"/>
          <w:i/>
          <w:iCs/>
          <w:sz w:val="24"/>
          <w:szCs w:val="24"/>
        </w:rPr>
      </w:pPr>
      <w:r w:rsidRPr="008E6BE7">
        <w:rPr>
          <w:rFonts w:ascii="Times New Roman" w:hAnsi="Times New Roman"/>
          <w:i/>
          <w:iCs/>
          <w:sz w:val="24"/>
          <w:szCs w:val="24"/>
        </w:rPr>
        <w:t>Attēls Nr.1</w:t>
      </w:r>
    </w:p>
    <w:p w:rsidR="002047B7" w:rsidRPr="008E6BE7" w:rsidRDefault="002047B7" w:rsidP="001266E7">
      <w:pPr>
        <w:pStyle w:val="tv2131"/>
        <w:spacing w:line="240" w:lineRule="auto"/>
        <w:ind w:firstLine="720"/>
        <w:jc w:val="center"/>
        <w:rPr>
          <w:i/>
          <w:iCs/>
          <w:color w:val="auto"/>
          <w:sz w:val="24"/>
          <w:szCs w:val="24"/>
          <w:lang w:eastAsia="en-US"/>
        </w:rPr>
      </w:pPr>
      <w:r w:rsidRPr="008E6BE7">
        <w:rPr>
          <w:i/>
          <w:iCs/>
          <w:color w:val="auto"/>
          <w:sz w:val="24"/>
          <w:szCs w:val="24"/>
          <w:lang w:eastAsia="en-US"/>
        </w:rPr>
        <w:t xml:space="preserve">Bezdarbnieku iesaiste </w:t>
      </w:r>
      <w:proofErr w:type="spellStart"/>
      <w:r w:rsidRPr="008E6BE7">
        <w:rPr>
          <w:i/>
          <w:iCs/>
          <w:color w:val="auto"/>
          <w:sz w:val="24"/>
          <w:szCs w:val="24"/>
          <w:lang w:eastAsia="en-US"/>
        </w:rPr>
        <w:t>izmēģinājumprojektā</w:t>
      </w:r>
      <w:proofErr w:type="spellEnd"/>
      <w:r w:rsidRPr="008E6BE7">
        <w:rPr>
          <w:i/>
          <w:iCs/>
          <w:color w:val="auto"/>
          <w:sz w:val="24"/>
          <w:szCs w:val="24"/>
          <w:lang w:eastAsia="en-US"/>
        </w:rPr>
        <w:t xml:space="preserve"> sadalījumā pa valsts reģioniem</w:t>
      </w:r>
    </w:p>
    <w:p w:rsidR="00870892" w:rsidRDefault="009C20D4" w:rsidP="002047B7">
      <w:pPr>
        <w:pStyle w:val="tv2131"/>
        <w:spacing w:line="240" w:lineRule="auto"/>
        <w:ind w:firstLine="0"/>
        <w:jc w:val="center"/>
        <w:rPr>
          <w:color w:val="auto"/>
          <w:sz w:val="28"/>
          <w:szCs w:val="28"/>
          <w:lang w:eastAsia="en-US"/>
        </w:rPr>
      </w:pPr>
      <w:r>
        <w:rPr>
          <w:noProof/>
          <w:color w:val="auto"/>
          <w:sz w:val="28"/>
          <w:szCs w:val="28"/>
          <w:lang w:bidi="lo-LA"/>
        </w:rPr>
        <w:drawing>
          <wp:inline distT="0" distB="0" distL="0" distR="0" wp14:anchorId="49C21CE3">
            <wp:extent cx="5600700" cy="2755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2755900"/>
                    </a:xfrm>
                    <a:prstGeom prst="rect">
                      <a:avLst/>
                    </a:prstGeom>
                    <a:noFill/>
                  </pic:spPr>
                </pic:pic>
              </a:graphicData>
            </a:graphic>
          </wp:inline>
        </w:drawing>
      </w:r>
    </w:p>
    <w:p w:rsidR="00870892" w:rsidRPr="008E6BE7" w:rsidRDefault="00870892" w:rsidP="007408B3">
      <w:pPr>
        <w:spacing w:after="0" w:line="240" w:lineRule="auto"/>
        <w:jc w:val="both"/>
        <w:rPr>
          <w:rFonts w:ascii="Times New Roman" w:hAnsi="Times New Roman"/>
          <w:sz w:val="28"/>
          <w:szCs w:val="28"/>
        </w:rPr>
      </w:pPr>
    </w:p>
    <w:p w:rsidR="00167166" w:rsidRPr="008E6BE7" w:rsidRDefault="00BC7ADA" w:rsidP="00CE7F2B">
      <w:pPr>
        <w:spacing w:after="0" w:line="240" w:lineRule="auto"/>
        <w:jc w:val="both"/>
        <w:rPr>
          <w:rFonts w:ascii="Times New Roman" w:hAnsi="Times New Roman"/>
          <w:bCs/>
          <w:sz w:val="28"/>
          <w:szCs w:val="28"/>
        </w:rPr>
      </w:pPr>
      <w:r w:rsidRPr="008E6BE7">
        <w:rPr>
          <w:rFonts w:ascii="Times New Roman" w:hAnsi="Times New Roman"/>
          <w:sz w:val="28"/>
          <w:szCs w:val="28"/>
        </w:rPr>
        <w:tab/>
      </w:r>
      <w:r w:rsidR="005060D7" w:rsidRPr="00765874">
        <w:rPr>
          <w:rFonts w:ascii="Times New Roman" w:hAnsi="Times New Roman"/>
          <w:sz w:val="28"/>
          <w:szCs w:val="28"/>
        </w:rPr>
        <w:t>Tālākizglītības apguvi</w:t>
      </w:r>
      <w:r w:rsidR="005060D7" w:rsidRPr="00765874">
        <w:rPr>
          <w:rFonts w:ascii="Times New Roman" w:hAnsi="Times New Roman"/>
          <w:bCs/>
          <w:sz w:val="28"/>
          <w:szCs w:val="28"/>
        </w:rPr>
        <w:t xml:space="preserve"> dažādu iemeslu dēļ </w:t>
      </w:r>
      <w:r w:rsidRPr="00765874">
        <w:rPr>
          <w:rFonts w:ascii="Times New Roman" w:hAnsi="Times New Roman"/>
          <w:bCs/>
          <w:sz w:val="28"/>
          <w:szCs w:val="28"/>
        </w:rPr>
        <w:t xml:space="preserve">līdz 2016. gada </w:t>
      </w:r>
      <w:r w:rsidR="00C174D6" w:rsidRPr="00765874">
        <w:rPr>
          <w:rFonts w:ascii="Times New Roman" w:hAnsi="Times New Roman"/>
          <w:bCs/>
          <w:sz w:val="28"/>
          <w:szCs w:val="28"/>
        </w:rPr>
        <w:t>16.</w:t>
      </w:r>
      <w:r w:rsidR="00067502">
        <w:rPr>
          <w:rFonts w:ascii="Times New Roman" w:hAnsi="Times New Roman"/>
          <w:bCs/>
          <w:sz w:val="28"/>
          <w:szCs w:val="28"/>
        </w:rPr>
        <w:t> </w:t>
      </w:r>
      <w:r w:rsidR="00C174D6" w:rsidRPr="00765874">
        <w:rPr>
          <w:rFonts w:ascii="Times New Roman" w:hAnsi="Times New Roman"/>
          <w:bCs/>
          <w:sz w:val="28"/>
          <w:szCs w:val="28"/>
        </w:rPr>
        <w:t xml:space="preserve">septembrim </w:t>
      </w:r>
      <w:r w:rsidR="005060D7" w:rsidRPr="00765874">
        <w:rPr>
          <w:rFonts w:ascii="Times New Roman" w:hAnsi="Times New Roman"/>
          <w:bCs/>
          <w:sz w:val="28"/>
          <w:szCs w:val="28"/>
        </w:rPr>
        <w:t>p</w:t>
      </w:r>
      <w:r w:rsidRPr="00765874">
        <w:rPr>
          <w:rFonts w:ascii="Times New Roman" w:hAnsi="Times New Roman"/>
          <w:bCs/>
          <w:sz w:val="28"/>
          <w:szCs w:val="28"/>
        </w:rPr>
        <w:t xml:space="preserve">ārtrauca </w:t>
      </w:r>
      <w:r w:rsidR="00C174D6" w:rsidRPr="00765874">
        <w:rPr>
          <w:rFonts w:ascii="Times New Roman" w:hAnsi="Times New Roman"/>
          <w:bCs/>
          <w:sz w:val="28"/>
          <w:szCs w:val="28"/>
        </w:rPr>
        <w:t xml:space="preserve">34 </w:t>
      </w:r>
      <w:r w:rsidRPr="00765874">
        <w:rPr>
          <w:rFonts w:ascii="Times New Roman" w:hAnsi="Times New Roman"/>
          <w:bCs/>
          <w:sz w:val="28"/>
          <w:szCs w:val="28"/>
        </w:rPr>
        <w:t xml:space="preserve">bezdarbnieki jeb </w:t>
      </w:r>
      <w:r w:rsidR="00067502">
        <w:rPr>
          <w:rFonts w:ascii="Times New Roman" w:hAnsi="Times New Roman"/>
          <w:bCs/>
          <w:sz w:val="28"/>
          <w:szCs w:val="28"/>
        </w:rPr>
        <w:t>18,</w:t>
      </w:r>
      <w:r w:rsidR="00C174D6" w:rsidRPr="00765874">
        <w:rPr>
          <w:rFonts w:ascii="Times New Roman" w:hAnsi="Times New Roman"/>
          <w:bCs/>
          <w:sz w:val="28"/>
          <w:szCs w:val="28"/>
        </w:rPr>
        <w:t>8</w:t>
      </w:r>
      <w:r w:rsidRPr="00765874">
        <w:rPr>
          <w:rFonts w:ascii="Times New Roman" w:hAnsi="Times New Roman"/>
          <w:bCs/>
          <w:sz w:val="28"/>
          <w:szCs w:val="28"/>
        </w:rPr>
        <w:t> % (4</w:t>
      </w:r>
      <w:r w:rsidR="005060D7" w:rsidRPr="00765874">
        <w:rPr>
          <w:rFonts w:ascii="Times New Roman" w:hAnsi="Times New Roman"/>
          <w:bCs/>
          <w:sz w:val="28"/>
          <w:szCs w:val="28"/>
        </w:rPr>
        <w:t xml:space="preserve"> bezdarbnieki pārtrauca</w:t>
      </w:r>
      <w:r w:rsidRPr="00765874">
        <w:rPr>
          <w:rFonts w:ascii="Times New Roman" w:hAnsi="Times New Roman"/>
          <w:bCs/>
          <w:sz w:val="28"/>
          <w:szCs w:val="28"/>
        </w:rPr>
        <w:t xml:space="preserve"> dalību, jo iekārtojās darbā; </w:t>
      </w:r>
      <w:r w:rsidR="00B05B21" w:rsidRPr="00765874">
        <w:rPr>
          <w:rFonts w:ascii="Times New Roman" w:hAnsi="Times New Roman"/>
          <w:bCs/>
          <w:sz w:val="28"/>
          <w:szCs w:val="28"/>
        </w:rPr>
        <w:t>18</w:t>
      </w:r>
      <w:r w:rsidR="00095A42">
        <w:rPr>
          <w:rFonts w:ascii="Times New Roman" w:hAnsi="Times New Roman"/>
          <w:bCs/>
          <w:sz w:val="28"/>
          <w:szCs w:val="28"/>
        </w:rPr>
        <w:t xml:space="preserve"> </w:t>
      </w:r>
      <w:r w:rsidR="005060D7" w:rsidRPr="00765874">
        <w:rPr>
          <w:rFonts w:ascii="Times New Roman" w:hAnsi="Times New Roman"/>
          <w:bCs/>
          <w:sz w:val="28"/>
          <w:szCs w:val="28"/>
        </w:rPr>
        <w:t>bezdarbni</w:t>
      </w:r>
      <w:r w:rsidRPr="00765874">
        <w:rPr>
          <w:rFonts w:ascii="Times New Roman" w:hAnsi="Times New Roman"/>
          <w:bCs/>
          <w:sz w:val="28"/>
          <w:szCs w:val="28"/>
        </w:rPr>
        <w:t xml:space="preserve">eki – veselības stāvokļa dēļ; </w:t>
      </w:r>
      <w:r w:rsidR="00B05B21" w:rsidRPr="00765874">
        <w:rPr>
          <w:rFonts w:ascii="Times New Roman" w:hAnsi="Times New Roman"/>
          <w:bCs/>
          <w:sz w:val="28"/>
          <w:szCs w:val="28"/>
        </w:rPr>
        <w:t xml:space="preserve">6 </w:t>
      </w:r>
      <w:r w:rsidR="005060D7" w:rsidRPr="00765874">
        <w:rPr>
          <w:rFonts w:ascii="Times New Roman" w:hAnsi="Times New Roman"/>
          <w:bCs/>
          <w:sz w:val="28"/>
          <w:szCs w:val="28"/>
        </w:rPr>
        <w:t>bezdarbnieki – līgumu pārkāpumu dēļ</w:t>
      </w:r>
      <w:r w:rsidRPr="00765874">
        <w:rPr>
          <w:rFonts w:ascii="Times New Roman" w:hAnsi="Times New Roman"/>
          <w:bCs/>
          <w:sz w:val="28"/>
          <w:szCs w:val="28"/>
        </w:rPr>
        <w:t>,</w:t>
      </w:r>
      <w:r w:rsidR="000F698D" w:rsidRPr="000F698D">
        <w:t xml:space="preserve"> </w:t>
      </w:r>
      <w:r w:rsidR="000F698D" w:rsidRPr="000F698D">
        <w:rPr>
          <w:rFonts w:ascii="Times New Roman" w:hAnsi="Times New Roman"/>
          <w:bCs/>
          <w:sz w:val="28"/>
          <w:szCs w:val="28"/>
        </w:rPr>
        <w:t>1 bezdarbnieks miris</w:t>
      </w:r>
      <w:r w:rsidR="000F698D">
        <w:rPr>
          <w:rFonts w:ascii="Times New Roman" w:hAnsi="Times New Roman"/>
          <w:bCs/>
          <w:sz w:val="28"/>
          <w:szCs w:val="28"/>
        </w:rPr>
        <w:t xml:space="preserve">, </w:t>
      </w:r>
      <w:r w:rsidR="00B05B21" w:rsidRPr="00765874">
        <w:rPr>
          <w:rFonts w:ascii="Times New Roman" w:hAnsi="Times New Roman"/>
          <w:bCs/>
          <w:sz w:val="28"/>
          <w:szCs w:val="28"/>
        </w:rPr>
        <w:t xml:space="preserve">5 </w:t>
      </w:r>
      <w:r w:rsidRPr="00765874">
        <w:rPr>
          <w:rFonts w:ascii="Times New Roman" w:hAnsi="Times New Roman"/>
          <w:bCs/>
          <w:sz w:val="28"/>
          <w:szCs w:val="28"/>
        </w:rPr>
        <w:t>bezdarbnieki – citu iemeslu dēļ</w:t>
      </w:r>
      <w:r w:rsidR="005060D7" w:rsidRPr="00765874">
        <w:rPr>
          <w:rFonts w:ascii="Times New Roman" w:hAnsi="Times New Roman"/>
          <w:bCs/>
          <w:sz w:val="28"/>
          <w:szCs w:val="28"/>
        </w:rPr>
        <w:t>).</w:t>
      </w:r>
      <w:r w:rsidR="00AE7E4E" w:rsidRPr="00765874">
        <w:rPr>
          <w:rFonts w:ascii="Times New Roman" w:hAnsi="Times New Roman"/>
          <w:bCs/>
          <w:sz w:val="28"/>
          <w:szCs w:val="28"/>
        </w:rPr>
        <w:t xml:space="preserve"> </w:t>
      </w:r>
      <w:proofErr w:type="spellStart"/>
      <w:r w:rsidR="00804B04" w:rsidRPr="00765874">
        <w:rPr>
          <w:rFonts w:ascii="Times New Roman" w:hAnsi="Times New Roman"/>
          <w:bCs/>
          <w:sz w:val="28"/>
          <w:szCs w:val="28"/>
        </w:rPr>
        <w:t>Izmēģinājumprojektā</w:t>
      </w:r>
      <w:proofErr w:type="spellEnd"/>
      <w:r w:rsidR="00804B04" w:rsidRPr="00765874">
        <w:rPr>
          <w:rFonts w:ascii="Times New Roman" w:hAnsi="Times New Roman"/>
          <w:bCs/>
          <w:sz w:val="28"/>
          <w:szCs w:val="28"/>
        </w:rPr>
        <w:t xml:space="preserve"> iesaistīto dalībnieku sastāvs, t.sk. </w:t>
      </w:r>
      <w:r w:rsidR="000634B6" w:rsidRPr="00765874">
        <w:rPr>
          <w:rFonts w:ascii="Times New Roman" w:hAnsi="Times New Roman"/>
          <w:bCs/>
          <w:sz w:val="28"/>
          <w:szCs w:val="28"/>
        </w:rPr>
        <w:t>sadalījumā</w:t>
      </w:r>
      <w:r w:rsidR="00804B04" w:rsidRPr="00765874">
        <w:rPr>
          <w:rFonts w:ascii="Times New Roman" w:hAnsi="Times New Roman"/>
          <w:bCs/>
          <w:sz w:val="28"/>
          <w:szCs w:val="28"/>
        </w:rPr>
        <w:t xml:space="preserve"> </w:t>
      </w:r>
      <w:r w:rsidR="00AE7E4E" w:rsidRPr="00765874">
        <w:rPr>
          <w:rFonts w:ascii="Times New Roman" w:hAnsi="Times New Roman"/>
          <w:bCs/>
          <w:sz w:val="28"/>
          <w:szCs w:val="28"/>
        </w:rPr>
        <w:t>pēc dzimuma, ir atspoguļots 2.tabulā.</w:t>
      </w:r>
      <w:r w:rsidR="00AE7E4E" w:rsidRPr="008E6BE7">
        <w:rPr>
          <w:rFonts w:ascii="Times New Roman" w:hAnsi="Times New Roman"/>
          <w:bCs/>
          <w:sz w:val="28"/>
          <w:szCs w:val="28"/>
        </w:rPr>
        <w:t xml:space="preserve"> </w:t>
      </w:r>
    </w:p>
    <w:p w:rsidR="00721EA7" w:rsidRPr="008E6BE7" w:rsidRDefault="00167166" w:rsidP="00721EA7">
      <w:pPr>
        <w:spacing w:after="0" w:line="240" w:lineRule="auto"/>
        <w:ind w:firstLine="720"/>
        <w:jc w:val="both"/>
        <w:rPr>
          <w:rFonts w:ascii="Times New Roman" w:hAnsi="Times New Roman"/>
          <w:sz w:val="28"/>
          <w:szCs w:val="28"/>
        </w:rPr>
      </w:pPr>
      <w:proofErr w:type="spellStart"/>
      <w:r w:rsidRPr="0039505B">
        <w:rPr>
          <w:rFonts w:ascii="Times New Roman" w:hAnsi="Times New Roman"/>
          <w:bCs/>
          <w:sz w:val="28"/>
          <w:szCs w:val="28"/>
        </w:rPr>
        <w:t>Izmēģinājumprojekta</w:t>
      </w:r>
      <w:proofErr w:type="spellEnd"/>
      <w:r w:rsidRPr="0039505B">
        <w:rPr>
          <w:rFonts w:ascii="Times New Roman" w:hAnsi="Times New Roman"/>
          <w:bCs/>
          <w:sz w:val="28"/>
          <w:szCs w:val="28"/>
        </w:rPr>
        <w:t xml:space="preserve"> visu bezdarbnieku grupu iesaiste tika finansēta Eiropas Sociālā fonda projekta </w:t>
      </w:r>
      <w:r w:rsidR="00265A89" w:rsidRPr="0039505B">
        <w:rPr>
          <w:rFonts w:ascii="Times New Roman" w:hAnsi="Times New Roman"/>
          <w:bCs/>
          <w:sz w:val="28"/>
          <w:szCs w:val="28"/>
        </w:rPr>
        <w:t xml:space="preserve">“Atbalsts bezdarbnieku izglītībai” </w:t>
      </w:r>
      <w:r w:rsidRPr="0039505B">
        <w:rPr>
          <w:rFonts w:ascii="Times New Roman" w:hAnsi="Times New Roman"/>
          <w:bCs/>
          <w:sz w:val="28"/>
          <w:szCs w:val="28"/>
        </w:rPr>
        <w:t>ietvaros</w:t>
      </w:r>
      <w:r w:rsidR="00251CBD" w:rsidRPr="0039505B">
        <w:rPr>
          <w:rFonts w:ascii="Times New Roman" w:hAnsi="Times New Roman"/>
          <w:bCs/>
          <w:sz w:val="28"/>
          <w:szCs w:val="28"/>
        </w:rPr>
        <w:t xml:space="preserve">. </w:t>
      </w:r>
      <w:proofErr w:type="spellStart"/>
      <w:r w:rsidR="00251CBD" w:rsidRPr="0039505B">
        <w:rPr>
          <w:rFonts w:ascii="Times New Roman" w:hAnsi="Times New Roman"/>
          <w:bCs/>
          <w:sz w:val="28"/>
          <w:szCs w:val="28"/>
        </w:rPr>
        <w:t>Izmēģinājumprojekta</w:t>
      </w:r>
      <w:proofErr w:type="spellEnd"/>
      <w:r w:rsidR="00251CBD" w:rsidRPr="0039505B">
        <w:rPr>
          <w:rFonts w:ascii="Times New Roman" w:hAnsi="Times New Roman"/>
          <w:bCs/>
          <w:sz w:val="28"/>
          <w:szCs w:val="28"/>
        </w:rPr>
        <w:t xml:space="preserve"> otrās kārtas īstenošanas kopējais finansējums ir </w:t>
      </w:r>
      <w:r w:rsidR="00251CBD" w:rsidRPr="0039505B">
        <w:rPr>
          <w:rFonts w:ascii="Times New Roman" w:hAnsi="Times New Roman"/>
          <w:b/>
          <w:sz w:val="28"/>
          <w:szCs w:val="28"/>
        </w:rPr>
        <w:t>228 904,31</w:t>
      </w:r>
      <w:r w:rsidR="00251CBD" w:rsidRPr="0039505B">
        <w:rPr>
          <w:rFonts w:ascii="Times New Roman" w:hAnsi="Times New Roman"/>
          <w:bCs/>
          <w:sz w:val="28"/>
          <w:szCs w:val="28"/>
        </w:rPr>
        <w:t xml:space="preserve"> </w:t>
      </w:r>
      <w:proofErr w:type="spellStart"/>
      <w:r w:rsidR="00251CBD" w:rsidRPr="0039505B">
        <w:rPr>
          <w:rFonts w:ascii="Times New Roman" w:hAnsi="Times New Roman"/>
          <w:bCs/>
          <w:i/>
          <w:iCs/>
          <w:sz w:val="28"/>
          <w:szCs w:val="28"/>
        </w:rPr>
        <w:t>euro</w:t>
      </w:r>
      <w:proofErr w:type="spellEnd"/>
      <w:r w:rsidR="00251CBD" w:rsidRPr="0039505B">
        <w:rPr>
          <w:rFonts w:ascii="Times New Roman" w:hAnsi="Times New Roman"/>
          <w:bCs/>
          <w:sz w:val="28"/>
          <w:szCs w:val="28"/>
        </w:rPr>
        <w:t xml:space="preserve">, t.sk. 2015. gadā 40 294,10 </w:t>
      </w:r>
      <w:proofErr w:type="spellStart"/>
      <w:r w:rsidR="00251CBD" w:rsidRPr="0039505B">
        <w:rPr>
          <w:rFonts w:ascii="Times New Roman" w:hAnsi="Times New Roman"/>
          <w:bCs/>
          <w:i/>
          <w:iCs/>
          <w:sz w:val="28"/>
          <w:szCs w:val="28"/>
        </w:rPr>
        <w:t>euro</w:t>
      </w:r>
      <w:proofErr w:type="spellEnd"/>
      <w:r w:rsidR="00B6571B">
        <w:rPr>
          <w:rFonts w:ascii="Times New Roman" w:hAnsi="Times New Roman"/>
          <w:bCs/>
          <w:sz w:val="28"/>
          <w:szCs w:val="28"/>
        </w:rPr>
        <w:t xml:space="preserve"> un 2016. gadā 188 </w:t>
      </w:r>
      <w:r w:rsidR="00251CBD" w:rsidRPr="0039505B">
        <w:rPr>
          <w:rFonts w:ascii="Times New Roman" w:hAnsi="Times New Roman"/>
          <w:bCs/>
          <w:sz w:val="28"/>
          <w:szCs w:val="28"/>
        </w:rPr>
        <w:t>610,21</w:t>
      </w:r>
      <w:r w:rsidR="00B6571B">
        <w:rPr>
          <w:rFonts w:ascii="Times New Roman" w:hAnsi="Times New Roman"/>
          <w:bCs/>
          <w:sz w:val="28"/>
          <w:szCs w:val="28"/>
        </w:rPr>
        <w:t> </w:t>
      </w:r>
      <w:proofErr w:type="spellStart"/>
      <w:r w:rsidR="00251CBD" w:rsidRPr="0039505B">
        <w:rPr>
          <w:rFonts w:ascii="Times New Roman" w:hAnsi="Times New Roman"/>
          <w:bCs/>
          <w:i/>
          <w:iCs/>
          <w:sz w:val="28"/>
          <w:szCs w:val="28"/>
        </w:rPr>
        <w:t>euro</w:t>
      </w:r>
      <w:proofErr w:type="spellEnd"/>
      <w:r w:rsidR="00251CBD" w:rsidRPr="0039505B">
        <w:rPr>
          <w:rFonts w:ascii="Times New Roman" w:hAnsi="Times New Roman"/>
          <w:bCs/>
          <w:sz w:val="28"/>
          <w:szCs w:val="28"/>
        </w:rPr>
        <w:t>.</w:t>
      </w:r>
      <w:r w:rsidR="00721EA7" w:rsidRPr="0039505B">
        <w:rPr>
          <w:rFonts w:ascii="Times New Roman" w:hAnsi="Times New Roman"/>
          <w:bCs/>
          <w:sz w:val="28"/>
          <w:szCs w:val="28"/>
        </w:rPr>
        <w:t xml:space="preserve"> </w:t>
      </w:r>
      <w:r w:rsidR="00721EA7" w:rsidRPr="0039505B">
        <w:rPr>
          <w:rFonts w:ascii="Times New Roman" w:hAnsi="Times New Roman"/>
          <w:sz w:val="28"/>
          <w:szCs w:val="28"/>
        </w:rPr>
        <w:t xml:space="preserve">Viena izglītojamā vidējās izmaksas dalībai profesionālās tālākizglītības programmās plānotas līdz 1 264,66 </w:t>
      </w:r>
      <w:proofErr w:type="spellStart"/>
      <w:r w:rsidR="00721EA7" w:rsidRPr="0039505B">
        <w:rPr>
          <w:rFonts w:ascii="Times New Roman" w:hAnsi="Times New Roman"/>
          <w:i/>
          <w:iCs/>
          <w:sz w:val="28"/>
          <w:szCs w:val="28"/>
        </w:rPr>
        <w:t>euro</w:t>
      </w:r>
      <w:proofErr w:type="spellEnd"/>
      <w:r w:rsidR="00721EA7" w:rsidRPr="0039505B">
        <w:rPr>
          <w:rFonts w:ascii="Times New Roman" w:hAnsi="Times New Roman"/>
          <w:sz w:val="28"/>
          <w:szCs w:val="28"/>
        </w:rPr>
        <w:t>.</w:t>
      </w:r>
    </w:p>
    <w:p w:rsidR="00167166" w:rsidRPr="008E6BE7" w:rsidRDefault="00167166" w:rsidP="00721EA7">
      <w:pPr>
        <w:spacing w:after="0" w:line="240" w:lineRule="auto"/>
        <w:ind w:firstLine="720"/>
        <w:jc w:val="both"/>
        <w:rPr>
          <w:rFonts w:ascii="Times New Roman" w:hAnsi="Times New Roman"/>
          <w:sz w:val="28"/>
          <w:szCs w:val="28"/>
        </w:rPr>
      </w:pPr>
      <w:r w:rsidRPr="008E6BE7">
        <w:rPr>
          <w:rFonts w:ascii="Times New Roman" w:hAnsi="Times New Roman"/>
          <w:bCs/>
          <w:sz w:val="28"/>
          <w:szCs w:val="28"/>
        </w:rPr>
        <w:lastRenderedPageBreak/>
        <w:t xml:space="preserve">Papildus ir nepieciešams minēt, ka </w:t>
      </w:r>
      <w:r w:rsidR="00265A89" w:rsidRPr="008E6BE7">
        <w:rPr>
          <w:rFonts w:ascii="Times New Roman" w:hAnsi="Times New Roman"/>
          <w:bCs/>
          <w:sz w:val="28"/>
          <w:szCs w:val="28"/>
        </w:rPr>
        <w:t>NVA</w:t>
      </w:r>
      <w:r w:rsidR="00C76BD0" w:rsidRPr="008E6BE7">
        <w:rPr>
          <w:rFonts w:ascii="Times New Roman" w:hAnsi="Times New Roman"/>
          <w:bCs/>
          <w:sz w:val="28"/>
          <w:szCs w:val="28"/>
        </w:rPr>
        <w:t xml:space="preserve">, veicot jauniešu reģistrāciju, nodrošināja, ka </w:t>
      </w:r>
      <w:r w:rsidRPr="008E6BE7">
        <w:rPr>
          <w:rFonts w:ascii="Times New Roman" w:hAnsi="Times New Roman"/>
          <w:bCs/>
          <w:sz w:val="28"/>
          <w:szCs w:val="28"/>
        </w:rPr>
        <w:t xml:space="preserve">vieni un tie paši </w:t>
      </w:r>
      <w:r w:rsidR="00C76BD0" w:rsidRPr="008E6BE7">
        <w:rPr>
          <w:rFonts w:ascii="Times New Roman" w:hAnsi="Times New Roman"/>
          <w:bCs/>
          <w:sz w:val="28"/>
          <w:szCs w:val="28"/>
        </w:rPr>
        <w:t xml:space="preserve">jaunieši </w:t>
      </w:r>
      <w:r w:rsidRPr="008E6BE7">
        <w:rPr>
          <w:rFonts w:ascii="Times New Roman" w:hAnsi="Times New Roman"/>
          <w:bCs/>
          <w:sz w:val="28"/>
          <w:szCs w:val="28"/>
        </w:rPr>
        <w:t xml:space="preserve">bezdarbnieki netika iesaistīti gan </w:t>
      </w:r>
      <w:proofErr w:type="spellStart"/>
      <w:r w:rsidRPr="008E6BE7">
        <w:rPr>
          <w:rFonts w:ascii="Times New Roman" w:hAnsi="Times New Roman"/>
          <w:bCs/>
          <w:sz w:val="28"/>
          <w:szCs w:val="28"/>
        </w:rPr>
        <w:t>izmēģinājumprojektā</w:t>
      </w:r>
      <w:proofErr w:type="spellEnd"/>
      <w:r w:rsidRPr="008E6BE7">
        <w:rPr>
          <w:rFonts w:ascii="Times New Roman" w:hAnsi="Times New Roman"/>
          <w:bCs/>
          <w:sz w:val="28"/>
          <w:szCs w:val="28"/>
        </w:rPr>
        <w:t>, gan Eiropas Savienības fondu darbības programmas „Izaugsme un nodarbinātība” 7.2.1.SAM “Palielināt nodarbinātībā, izglītībā vai apmācībās neiesaistītu jauniešu nodarbinātību un izglītības ieguvi Jauniešu garantijas ietvaros” aktivitātē</w:t>
      </w:r>
      <w:r w:rsidR="00C76BD0" w:rsidRPr="008E6BE7">
        <w:rPr>
          <w:rFonts w:ascii="Times New Roman" w:hAnsi="Times New Roman"/>
          <w:bCs/>
          <w:sz w:val="28"/>
          <w:szCs w:val="28"/>
        </w:rPr>
        <w:t xml:space="preserve">. </w:t>
      </w:r>
    </w:p>
    <w:p w:rsidR="005060D7" w:rsidRPr="008E6BE7" w:rsidRDefault="005060D7" w:rsidP="00615C4D">
      <w:pPr>
        <w:spacing w:after="0" w:line="240" w:lineRule="auto"/>
        <w:jc w:val="right"/>
        <w:rPr>
          <w:rFonts w:ascii="Times New Roman" w:hAnsi="Times New Roman"/>
          <w:bCs/>
          <w:i/>
          <w:sz w:val="24"/>
          <w:szCs w:val="24"/>
        </w:rPr>
      </w:pPr>
      <w:r w:rsidRPr="008E6BE7">
        <w:rPr>
          <w:rFonts w:ascii="Times New Roman" w:hAnsi="Times New Roman"/>
          <w:bCs/>
          <w:i/>
          <w:sz w:val="24"/>
          <w:szCs w:val="24"/>
        </w:rPr>
        <w:t xml:space="preserve">Tabula Nr.2 </w:t>
      </w:r>
    </w:p>
    <w:p w:rsidR="005060D7" w:rsidRPr="008E6BE7" w:rsidRDefault="005060D7" w:rsidP="00CE7F2B">
      <w:pPr>
        <w:pStyle w:val="tv2131"/>
        <w:spacing w:before="120" w:line="240" w:lineRule="auto"/>
        <w:ind w:firstLine="0"/>
        <w:jc w:val="center"/>
        <w:rPr>
          <w:bCs/>
          <w:i/>
          <w:color w:val="auto"/>
          <w:sz w:val="24"/>
          <w:szCs w:val="24"/>
        </w:rPr>
      </w:pPr>
      <w:r w:rsidRPr="008E6BE7">
        <w:rPr>
          <w:bCs/>
          <w:i/>
          <w:color w:val="auto"/>
          <w:sz w:val="24"/>
          <w:szCs w:val="24"/>
        </w:rPr>
        <w:t xml:space="preserve">Profesionālās tālākizglītības ieguvē </w:t>
      </w:r>
      <w:proofErr w:type="spellStart"/>
      <w:r w:rsidR="00FE502E" w:rsidRPr="008E6BE7">
        <w:rPr>
          <w:bCs/>
          <w:i/>
          <w:color w:val="auto"/>
          <w:sz w:val="24"/>
          <w:szCs w:val="24"/>
        </w:rPr>
        <w:t>i</w:t>
      </w:r>
      <w:r w:rsidRPr="008E6BE7">
        <w:rPr>
          <w:bCs/>
          <w:i/>
          <w:color w:val="auto"/>
          <w:sz w:val="24"/>
          <w:szCs w:val="24"/>
        </w:rPr>
        <w:t>zmēģinājumprojektā</w:t>
      </w:r>
      <w:proofErr w:type="spellEnd"/>
      <w:r w:rsidRPr="008E6BE7">
        <w:rPr>
          <w:bCs/>
          <w:i/>
          <w:color w:val="auto"/>
          <w:sz w:val="24"/>
          <w:szCs w:val="24"/>
        </w:rPr>
        <w:t xml:space="preserve"> iesaistītie bezdarbnieki sadalījumā pa vecuma grupām un dzimumiem.</w:t>
      </w:r>
    </w:p>
    <w:tbl>
      <w:tblPr>
        <w:tblW w:w="5000" w:type="pct"/>
        <w:jc w:val="center"/>
        <w:tblLook w:val="00A0" w:firstRow="1" w:lastRow="0" w:firstColumn="1" w:lastColumn="0" w:noHBand="0" w:noVBand="0"/>
      </w:tblPr>
      <w:tblGrid>
        <w:gridCol w:w="2175"/>
        <w:gridCol w:w="1297"/>
        <w:gridCol w:w="1037"/>
        <w:gridCol w:w="771"/>
        <w:gridCol w:w="1090"/>
        <w:gridCol w:w="1097"/>
        <w:gridCol w:w="1310"/>
      </w:tblGrid>
      <w:tr w:rsidR="007D675F" w:rsidRPr="008E6BE7" w:rsidTr="008E0A5B">
        <w:trPr>
          <w:trHeight w:val="1185"/>
          <w:jc w:val="center"/>
        </w:trPr>
        <w:tc>
          <w:tcPr>
            <w:tcW w:w="1239" w:type="pct"/>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5060D7" w:rsidRPr="008E6BE7" w:rsidRDefault="005060D7" w:rsidP="00CE7F2B">
            <w:pPr>
              <w:pStyle w:val="tv2131"/>
              <w:ind w:firstLine="301"/>
              <w:jc w:val="center"/>
              <w:rPr>
                <w:b/>
                <w:bCs/>
                <w:color w:val="auto"/>
                <w:sz w:val="18"/>
                <w:szCs w:val="18"/>
              </w:rPr>
            </w:pPr>
            <w:r w:rsidRPr="008E6BE7">
              <w:rPr>
                <w:b/>
                <w:bCs/>
                <w:color w:val="auto"/>
                <w:sz w:val="18"/>
                <w:szCs w:val="18"/>
              </w:rPr>
              <w:t>Mērķa grupa</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DC5AFB" w:rsidRPr="008E6BE7" w:rsidRDefault="005060D7" w:rsidP="00CE7F2B">
            <w:pPr>
              <w:pStyle w:val="tv2131"/>
              <w:spacing w:line="240" w:lineRule="auto"/>
              <w:ind w:firstLine="0"/>
              <w:jc w:val="center"/>
              <w:rPr>
                <w:b/>
                <w:bCs/>
                <w:color w:val="auto"/>
                <w:sz w:val="18"/>
                <w:szCs w:val="18"/>
              </w:rPr>
            </w:pPr>
            <w:r w:rsidRPr="008E6BE7">
              <w:rPr>
                <w:b/>
                <w:bCs/>
                <w:color w:val="auto"/>
                <w:sz w:val="18"/>
                <w:szCs w:val="18"/>
              </w:rPr>
              <w:t>Be</w:t>
            </w:r>
            <w:r w:rsidR="00DC5AFB" w:rsidRPr="008E6BE7">
              <w:rPr>
                <w:b/>
                <w:bCs/>
                <w:color w:val="auto"/>
                <w:sz w:val="18"/>
                <w:szCs w:val="18"/>
              </w:rPr>
              <w:t>zdarbnieku skaits, kuri iesaistījās</w:t>
            </w:r>
          </w:p>
          <w:p w:rsidR="005060D7" w:rsidRPr="008E6BE7" w:rsidRDefault="005060D7" w:rsidP="00CE7F2B">
            <w:pPr>
              <w:pStyle w:val="tv2131"/>
              <w:spacing w:line="240" w:lineRule="auto"/>
              <w:ind w:firstLine="0"/>
              <w:jc w:val="center"/>
              <w:rPr>
                <w:b/>
                <w:bCs/>
                <w:color w:val="auto"/>
                <w:sz w:val="18"/>
                <w:szCs w:val="18"/>
              </w:rPr>
            </w:pPr>
            <w:r w:rsidRPr="008E6BE7">
              <w:rPr>
                <w:b/>
                <w:bCs/>
                <w:color w:val="auto"/>
                <w:sz w:val="18"/>
                <w:szCs w:val="18"/>
              </w:rPr>
              <w:t>projektā (uzsāk</w:t>
            </w:r>
            <w:r w:rsidR="00DC5AFB" w:rsidRPr="008E6BE7">
              <w:rPr>
                <w:b/>
                <w:bCs/>
                <w:color w:val="auto"/>
                <w:sz w:val="18"/>
                <w:szCs w:val="18"/>
              </w:rPr>
              <w:t>a</w:t>
            </w:r>
            <w:r w:rsidRPr="008E6BE7">
              <w:rPr>
                <w:b/>
                <w:bCs/>
                <w:color w:val="auto"/>
                <w:sz w:val="18"/>
                <w:szCs w:val="18"/>
              </w:rPr>
              <w:t xml:space="preserve"> profesionālo izglītību) </w:t>
            </w:r>
            <w:r w:rsidRPr="008E6BE7">
              <w:rPr>
                <w:b/>
                <w:bCs/>
                <w:color w:val="auto"/>
                <w:sz w:val="18"/>
                <w:szCs w:val="18"/>
                <w:u w:val="single"/>
              </w:rPr>
              <w:t>faktiskā izpilde</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5060D7" w:rsidRPr="008E6BE7" w:rsidRDefault="005060D7" w:rsidP="00CE7F2B">
            <w:pPr>
              <w:pStyle w:val="tv2131"/>
              <w:spacing w:line="240" w:lineRule="auto"/>
              <w:ind w:firstLine="0"/>
              <w:jc w:val="center"/>
              <w:rPr>
                <w:b/>
                <w:bCs/>
                <w:color w:val="auto"/>
                <w:sz w:val="18"/>
                <w:szCs w:val="18"/>
              </w:rPr>
            </w:pPr>
            <w:r w:rsidRPr="008E6BE7">
              <w:rPr>
                <w:b/>
                <w:bCs/>
                <w:color w:val="auto"/>
                <w:sz w:val="18"/>
                <w:szCs w:val="18"/>
              </w:rPr>
              <w:t xml:space="preserve">Mērķa grupu dalībnieku īpatsvars no aktivitātē faktiski uzsākušo </w:t>
            </w:r>
            <w:r w:rsidRPr="008E6BE7">
              <w:rPr>
                <w:b/>
                <w:bCs/>
                <w:color w:val="auto"/>
                <w:sz w:val="18"/>
                <w:szCs w:val="18"/>
                <w:u w:val="single"/>
              </w:rPr>
              <w:t>kopējā skaita</w:t>
            </w:r>
            <w:r w:rsidRPr="008E6BE7">
              <w:rPr>
                <w:b/>
                <w:bCs/>
                <w:color w:val="auto"/>
                <w:sz w:val="18"/>
                <w:szCs w:val="18"/>
              </w:rPr>
              <w:t xml:space="preserve"> %</w:t>
            </w:r>
          </w:p>
        </w:tc>
        <w:tc>
          <w:tcPr>
            <w:tcW w:w="2431" w:type="pct"/>
            <w:gridSpan w:val="4"/>
            <w:tcBorders>
              <w:top w:val="single" w:sz="4" w:space="0" w:color="auto"/>
              <w:left w:val="single" w:sz="4" w:space="0" w:color="auto"/>
              <w:bottom w:val="single" w:sz="4" w:space="0" w:color="auto"/>
              <w:right w:val="single" w:sz="4" w:space="0" w:color="auto"/>
            </w:tcBorders>
            <w:shd w:val="clear" w:color="auto" w:fill="92D050"/>
            <w:vAlign w:val="center"/>
          </w:tcPr>
          <w:p w:rsidR="005060D7" w:rsidRPr="008E6BE7" w:rsidRDefault="00DC5AFB" w:rsidP="00CE7F2B">
            <w:pPr>
              <w:pStyle w:val="tv2131"/>
              <w:ind w:firstLine="301"/>
              <w:jc w:val="center"/>
              <w:rPr>
                <w:b/>
                <w:bCs/>
                <w:color w:val="auto"/>
                <w:sz w:val="18"/>
                <w:szCs w:val="18"/>
              </w:rPr>
            </w:pPr>
            <w:r w:rsidRPr="008E6BE7">
              <w:rPr>
                <w:b/>
                <w:bCs/>
                <w:color w:val="auto"/>
                <w:sz w:val="18"/>
                <w:szCs w:val="18"/>
              </w:rPr>
              <w:t>Iesaiste sadalījumā pēc</w:t>
            </w:r>
            <w:r w:rsidR="005060D7" w:rsidRPr="008E6BE7">
              <w:rPr>
                <w:b/>
                <w:bCs/>
                <w:color w:val="auto"/>
                <w:sz w:val="18"/>
                <w:szCs w:val="18"/>
              </w:rPr>
              <w:t xml:space="preserve"> dzimum</w:t>
            </w:r>
            <w:r w:rsidRPr="008E6BE7">
              <w:rPr>
                <w:b/>
                <w:bCs/>
                <w:color w:val="auto"/>
                <w:sz w:val="18"/>
                <w:szCs w:val="18"/>
              </w:rPr>
              <w:t>a</w:t>
            </w:r>
          </w:p>
        </w:tc>
      </w:tr>
      <w:tr w:rsidR="007D675F" w:rsidRPr="008E6BE7" w:rsidTr="008E0A5B">
        <w:trPr>
          <w:trHeight w:val="452"/>
          <w:jc w:val="center"/>
        </w:trPr>
        <w:tc>
          <w:tcPr>
            <w:tcW w:w="1239" w:type="pct"/>
            <w:vMerge/>
            <w:tcBorders>
              <w:top w:val="single" w:sz="4" w:space="0" w:color="auto"/>
              <w:left w:val="single" w:sz="4" w:space="0" w:color="auto"/>
              <w:bottom w:val="single" w:sz="4" w:space="0" w:color="auto"/>
              <w:right w:val="single" w:sz="4" w:space="0" w:color="auto"/>
            </w:tcBorders>
            <w:shd w:val="clear" w:color="auto" w:fill="92D050"/>
            <w:vAlign w:val="center"/>
          </w:tcPr>
          <w:p w:rsidR="005060D7" w:rsidRPr="008E6BE7" w:rsidRDefault="005060D7" w:rsidP="00CE7F2B">
            <w:pPr>
              <w:pStyle w:val="tv2131"/>
              <w:ind w:firstLine="301"/>
              <w:jc w:val="center"/>
              <w:rPr>
                <w:b/>
                <w:bCs/>
                <w:color w:val="auto"/>
                <w:sz w:val="18"/>
                <w:szCs w:val="18"/>
              </w:rPr>
            </w:pPr>
          </w:p>
        </w:tc>
        <w:tc>
          <w:tcPr>
            <w:tcW w:w="739" w:type="pct"/>
            <w:vMerge/>
            <w:tcBorders>
              <w:top w:val="single" w:sz="4" w:space="0" w:color="auto"/>
              <w:left w:val="single" w:sz="4" w:space="0" w:color="auto"/>
              <w:bottom w:val="single" w:sz="4" w:space="0" w:color="auto"/>
              <w:right w:val="single" w:sz="4" w:space="0" w:color="auto"/>
            </w:tcBorders>
            <w:shd w:val="clear" w:color="auto" w:fill="92D050"/>
            <w:vAlign w:val="center"/>
          </w:tcPr>
          <w:p w:rsidR="005060D7" w:rsidRPr="008E6BE7" w:rsidRDefault="005060D7" w:rsidP="00CE7F2B">
            <w:pPr>
              <w:pStyle w:val="tv2131"/>
              <w:ind w:firstLine="301"/>
              <w:jc w:val="center"/>
              <w:rPr>
                <w:b/>
                <w:bCs/>
                <w:color w:val="auto"/>
                <w:sz w:val="18"/>
                <w:szCs w:val="18"/>
              </w:rPr>
            </w:pPr>
          </w:p>
        </w:tc>
        <w:tc>
          <w:tcPr>
            <w:tcW w:w="591" w:type="pct"/>
            <w:vMerge/>
            <w:tcBorders>
              <w:top w:val="single" w:sz="4" w:space="0" w:color="auto"/>
              <w:left w:val="single" w:sz="4" w:space="0" w:color="auto"/>
              <w:bottom w:val="single" w:sz="4" w:space="0" w:color="auto"/>
              <w:right w:val="single" w:sz="4" w:space="0" w:color="auto"/>
            </w:tcBorders>
            <w:shd w:val="clear" w:color="auto" w:fill="92D050"/>
            <w:vAlign w:val="center"/>
          </w:tcPr>
          <w:p w:rsidR="005060D7" w:rsidRPr="008E6BE7" w:rsidRDefault="005060D7" w:rsidP="00CE7F2B">
            <w:pPr>
              <w:pStyle w:val="tv2131"/>
              <w:ind w:firstLine="301"/>
              <w:jc w:val="center"/>
              <w:rPr>
                <w:b/>
                <w:bCs/>
                <w:color w:val="auto"/>
                <w:sz w:val="18"/>
                <w:szCs w:val="18"/>
              </w:rPr>
            </w:pPr>
          </w:p>
        </w:tc>
        <w:tc>
          <w:tcPr>
            <w:tcW w:w="1060" w:type="pct"/>
            <w:gridSpan w:val="2"/>
            <w:tcBorders>
              <w:top w:val="single" w:sz="4" w:space="0" w:color="auto"/>
              <w:left w:val="single" w:sz="4" w:space="0" w:color="auto"/>
              <w:bottom w:val="single" w:sz="4" w:space="0" w:color="auto"/>
              <w:right w:val="single" w:sz="4" w:space="0" w:color="auto"/>
            </w:tcBorders>
            <w:shd w:val="clear" w:color="auto" w:fill="92D050"/>
            <w:noWrap/>
            <w:vAlign w:val="center"/>
          </w:tcPr>
          <w:p w:rsidR="005060D7" w:rsidRPr="008E6BE7" w:rsidRDefault="005060D7" w:rsidP="00CE7F2B">
            <w:pPr>
              <w:pStyle w:val="tv2131"/>
              <w:ind w:firstLine="301"/>
              <w:jc w:val="center"/>
              <w:rPr>
                <w:b/>
                <w:bCs/>
                <w:color w:val="auto"/>
                <w:sz w:val="18"/>
                <w:szCs w:val="18"/>
              </w:rPr>
            </w:pPr>
            <w:r w:rsidRPr="008E6BE7">
              <w:rPr>
                <w:b/>
                <w:bCs/>
                <w:color w:val="auto"/>
                <w:sz w:val="18"/>
                <w:szCs w:val="18"/>
              </w:rPr>
              <w:t>sievietes</w:t>
            </w:r>
          </w:p>
        </w:tc>
        <w:tc>
          <w:tcPr>
            <w:tcW w:w="1371" w:type="pct"/>
            <w:gridSpan w:val="2"/>
            <w:tcBorders>
              <w:top w:val="single" w:sz="4" w:space="0" w:color="auto"/>
              <w:left w:val="single" w:sz="4" w:space="0" w:color="auto"/>
              <w:bottom w:val="single" w:sz="4" w:space="0" w:color="auto"/>
              <w:right w:val="single" w:sz="4" w:space="0" w:color="auto"/>
            </w:tcBorders>
            <w:shd w:val="clear" w:color="auto" w:fill="92D050"/>
            <w:noWrap/>
            <w:vAlign w:val="center"/>
          </w:tcPr>
          <w:p w:rsidR="005060D7" w:rsidRPr="008E6BE7" w:rsidRDefault="005060D7" w:rsidP="00CE7F2B">
            <w:pPr>
              <w:pStyle w:val="tv2131"/>
              <w:ind w:firstLine="301"/>
              <w:jc w:val="center"/>
              <w:rPr>
                <w:b/>
                <w:bCs/>
                <w:color w:val="auto"/>
                <w:sz w:val="18"/>
                <w:szCs w:val="18"/>
              </w:rPr>
            </w:pPr>
            <w:r w:rsidRPr="008E6BE7">
              <w:rPr>
                <w:b/>
                <w:bCs/>
                <w:color w:val="auto"/>
                <w:sz w:val="18"/>
                <w:szCs w:val="18"/>
              </w:rPr>
              <w:t>vīrieši</w:t>
            </w:r>
          </w:p>
        </w:tc>
      </w:tr>
      <w:tr w:rsidR="007D675F" w:rsidRPr="008E6BE7" w:rsidTr="008E0A5B">
        <w:trPr>
          <w:trHeight w:val="900"/>
          <w:jc w:val="center"/>
        </w:trPr>
        <w:tc>
          <w:tcPr>
            <w:tcW w:w="1239" w:type="pct"/>
            <w:vMerge/>
            <w:tcBorders>
              <w:top w:val="single" w:sz="4" w:space="0" w:color="auto"/>
              <w:left w:val="single" w:sz="4" w:space="0" w:color="auto"/>
              <w:bottom w:val="single" w:sz="4" w:space="0" w:color="auto"/>
              <w:right w:val="single" w:sz="4" w:space="0" w:color="auto"/>
            </w:tcBorders>
            <w:shd w:val="clear" w:color="auto" w:fill="92D050"/>
            <w:vAlign w:val="center"/>
          </w:tcPr>
          <w:p w:rsidR="005060D7" w:rsidRPr="008E6BE7" w:rsidRDefault="005060D7" w:rsidP="00CE7F2B">
            <w:pPr>
              <w:pStyle w:val="tv2131"/>
              <w:ind w:firstLine="301"/>
              <w:jc w:val="center"/>
              <w:rPr>
                <w:b/>
                <w:bCs/>
                <w:color w:val="auto"/>
                <w:sz w:val="18"/>
                <w:szCs w:val="18"/>
              </w:rPr>
            </w:pPr>
          </w:p>
        </w:tc>
        <w:tc>
          <w:tcPr>
            <w:tcW w:w="739" w:type="pct"/>
            <w:vMerge/>
            <w:tcBorders>
              <w:top w:val="single" w:sz="4" w:space="0" w:color="auto"/>
              <w:left w:val="single" w:sz="4" w:space="0" w:color="auto"/>
              <w:bottom w:val="single" w:sz="4" w:space="0" w:color="auto"/>
              <w:right w:val="single" w:sz="4" w:space="0" w:color="auto"/>
            </w:tcBorders>
            <w:shd w:val="clear" w:color="auto" w:fill="92D050"/>
            <w:vAlign w:val="center"/>
          </w:tcPr>
          <w:p w:rsidR="005060D7" w:rsidRPr="008E6BE7" w:rsidRDefault="005060D7" w:rsidP="00CE7F2B">
            <w:pPr>
              <w:pStyle w:val="tv2131"/>
              <w:ind w:firstLine="301"/>
              <w:jc w:val="center"/>
              <w:rPr>
                <w:b/>
                <w:bCs/>
                <w:color w:val="auto"/>
                <w:sz w:val="18"/>
                <w:szCs w:val="18"/>
              </w:rPr>
            </w:pPr>
          </w:p>
        </w:tc>
        <w:tc>
          <w:tcPr>
            <w:tcW w:w="591" w:type="pct"/>
            <w:vMerge/>
            <w:tcBorders>
              <w:top w:val="single" w:sz="4" w:space="0" w:color="auto"/>
              <w:left w:val="single" w:sz="4" w:space="0" w:color="auto"/>
              <w:bottom w:val="single" w:sz="4" w:space="0" w:color="auto"/>
              <w:right w:val="single" w:sz="4" w:space="0" w:color="auto"/>
            </w:tcBorders>
            <w:shd w:val="clear" w:color="auto" w:fill="92D050"/>
            <w:vAlign w:val="center"/>
          </w:tcPr>
          <w:p w:rsidR="005060D7" w:rsidRPr="008E6BE7" w:rsidRDefault="005060D7" w:rsidP="00CE7F2B">
            <w:pPr>
              <w:pStyle w:val="tv2131"/>
              <w:ind w:firstLine="301"/>
              <w:jc w:val="center"/>
              <w:rPr>
                <w:b/>
                <w:bCs/>
                <w:color w:val="auto"/>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92D050"/>
            <w:textDirection w:val="btLr"/>
            <w:vAlign w:val="center"/>
          </w:tcPr>
          <w:p w:rsidR="005060D7" w:rsidRPr="008E6BE7" w:rsidRDefault="005060D7" w:rsidP="00CE7F2B">
            <w:pPr>
              <w:pStyle w:val="tv2131"/>
              <w:ind w:firstLine="301"/>
              <w:jc w:val="center"/>
              <w:rPr>
                <w:b/>
                <w:bCs/>
                <w:color w:val="auto"/>
                <w:sz w:val="18"/>
                <w:szCs w:val="18"/>
              </w:rPr>
            </w:pPr>
            <w:r w:rsidRPr="008E6BE7">
              <w:rPr>
                <w:b/>
                <w:bCs/>
                <w:color w:val="auto"/>
                <w:sz w:val="18"/>
                <w:szCs w:val="18"/>
              </w:rPr>
              <w:t>skaits</w:t>
            </w:r>
          </w:p>
        </w:tc>
        <w:tc>
          <w:tcPr>
            <w:tcW w:w="621" w:type="pct"/>
            <w:tcBorders>
              <w:top w:val="single" w:sz="4" w:space="0" w:color="auto"/>
              <w:left w:val="single" w:sz="4" w:space="0" w:color="auto"/>
              <w:bottom w:val="single" w:sz="4" w:space="0" w:color="auto"/>
              <w:right w:val="single" w:sz="4" w:space="0" w:color="auto"/>
            </w:tcBorders>
            <w:shd w:val="clear" w:color="auto" w:fill="92D050"/>
            <w:vAlign w:val="center"/>
          </w:tcPr>
          <w:p w:rsidR="005060D7" w:rsidRPr="008E6BE7" w:rsidRDefault="005060D7" w:rsidP="007F5C72">
            <w:pPr>
              <w:pStyle w:val="tv2131"/>
              <w:spacing w:line="240" w:lineRule="auto"/>
              <w:ind w:firstLine="0"/>
              <w:jc w:val="center"/>
              <w:rPr>
                <w:b/>
                <w:bCs/>
                <w:color w:val="auto"/>
                <w:sz w:val="18"/>
                <w:szCs w:val="18"/>
              </w:rPr>
            </w:pPr>
            <w:r w:rsidRPr="008E6BE7">
              <w:rPr>
                <w:b/>
                <w:bCs/>
                <w:color w:val="auto"/>
                <w:sz w:val="18"/>
                <w:szCs w:val="18"/>
              </w:rPr>
              <w:t>% no faktiski uzsākušo skaita</w:t>
            </w:r>
          </w:p>
        </w:tc>
        <w:tc>
          <w:tcPr>
            <w:tcW w:w="625" w:type="pct"/>
            <w:tcBorders>
              <w:top w:val="single" w:sz="4" w:space="0" w:color="auto"/>
              <w:left w:val="single" w:sz="4" w:space="0" w:color="auto"/>
              <w:bottom w:val="single" w:sz="4" w:space="0" w:color="auto"/>
              <w:right w:val="single" w:sz="4" w:space="0" w:color="auto"/>
            </w:tcBorders>
            <w:shd w:val="clear" w:color="auto" w:fill="92D050"/>
            <w:textDirection w:val="btLr"/>
            <w:vAlign w:val="center"/>
          </w:tcPr>
          <w:p w:rsidR="005060D7" w:rsidRPr="008E6BE7" w:rsidRDefault="005060D7" w:rsidP="00CE7F2B">
            <w:pPr>
              <w:pStyle w:val="tv2131"/>
              <w:ind w:firstLine="301"/>
              <w:jc w:val="center"/>
              <w:rPr>
                <w:b/>
                <w:bCs/>
                <w:color w:val="auto"/>
                <w:sz w:val="18"/>
                <w:szCs w:val="18"/>
              </w:rPr>
            </w:pPr>
            <w:r w:rsidRPr="008E6BE7">
              <w:rPr>
                <w:b/>
                <w:bCs/>
                <w:color w:val="auto"/>
                <w:sz w:val="18"/>
                <w:szCs w:val="18"/>
              </w:rPr>
              <w:t>skaits</w:t>
            </w:r>
          </w:p>
        </w:tc>
        <w:tc>
          <w:tcPr>
            <w:tcW w:w="746" w:type="pct"/>
            <w:tcBorders>
              <w:top w:val="single" w:sz="4" w:space="0" w:color="auto"/>
              <w:left w:val="single" w:sz="4" w:space="0" w:color="auto"/>
              <w:bottom w:val="single" w:sz="4" w:space="0" w:color="auto"/>
              <w:right w:val="single" w:sz="4" w:space="0" w:color="auto"/>
            </w:tcBorders>
            <w:shd w:val="clear" w:color="auto" w:fill="92D050"/>
            <w:vAlign w:val="center"/>
          </w:tcPr>
          <w:p w:rsidR="005060D7" w:rsidRPr="008E6BE7" w:rsidRDefault="005060D7" w:rsidP="007F5C72">
            <w:pPr>
              <w:pStyle w:val="tv2131"/>
              <w:spacing w:line="240" w:lineRule="auto"/>
              <w:ind w:firstLine="0"/>
              <w:jc w:val="center"/>
              <w:rPr>
                <w:b/>
                <w:bCs/>
                <w:color w:val="auto"/>
                <w:sz w:val="18"/>
                <w:szCs w:val="18"/>
              </w:rPr>
            </w:pPr>
            <w:r w:rsidRPr="008E6BE7">
              <w:rPr>
                <w:b/>
                <w:bCs/>
                <w:color w:val="auto"/>
                <w:sz w:val="18"/>
                <w:szCs w:val="18"/>
              </w:rPr>
              <w:t>% no faktiski uzsākušo skaita</w:t>
            </w:r>
          </w:p>
        </w:tc>
      </w:tr>
      <w:tr w:rsidR="007F5C72" w:rsidRPr="008E6BE7" w:rsidTr="00FC54A4">
        <w:trPr>
          <w:trHeight w:val="465"/>
          <w:jc w:val="center"/>
        </w:trPr>
        <w:tc>
          <w:tcPr>
            <w:tcW w:w="1239" w:type="pct"/>
            <w:tcBorders>
              <w:top w:val="single" w:sz="4" w:space="0" w:color="auto"/>
              <w:left w:val="single" w:sz="4" w:space="0" w:color="auto"/>
              <w:bottom w:val="single" w:sz="8" w:space="0" w:color="auto"/>
              <w:right w:val="single" w:sz="4" w:space="0" w:color="auto"/>
            </w:tcBorders>
            <w:shd w:val="clear" w:color="auto" w:fill="auto"/>
          </w:tcPr>
          <w:p w:rsidR="007F5C72" w:rsidRPr="008E6BE7" w:rsidRDefault="007F5C72" w:rsidP="007F5C72">
            <w:pPr>
              <w:pStyle w:val="tv2131"/>
              <w:spacing w:line="240" w:lineRule="auto"/>
              <w:ind w:firstLine="301"/>
              <w:rPr>
                <w:b/>
                <w:bCs/>
                <w:color w:val="auto"/>
                <w:sz w:val="18"/>
                <w:szCs w:val="18"/>
              </w:rPr>
            </w:pPr>
            <w:r w:rsidRPr="008E6BE7">
              <w:rPr>
                <w:b/>
                <w:bCs/>
                <w:color w:val="auto"/>
                <w:sz w:val="18"/>
                <w:szCs w:val="18"/>
              </w:rPr>
              <w:t>Jaunieši</w:t>
            </w:r>
            <w:r w:rsidRPr="008E6BE7">
              <w:rPr>
                <w:b/>
                <w:color w:val="auto"/>
                <w:sz w:val="18"/>
                <w:szCs w:val="18"/>
              </w:rPr>
              <w:t xml:space="preserve"> bezdarbnieki un darba meklētāji (15 - 24)</w:t>
            </w:r>
          </w:p>
        </w:tc>
        <w:tc>
          <w:tcPr>
            <w:tcW w:w="739" w:type="pct"/>
            <w:tcBorders>
              <w:top w:val="single" w:sz="4" w:space="0" w:color="auto"/>
              <w:left w:val="nil"/>
              <w:bottom w:val="single" w:sz="8" w:space="0" w:color="auto"/>
              <w:right w:val="single" w:sz="4" w:space="0" w:color="auto"/>
            </w:tcBorders>
            <w:vAlign w:val="bottom"/>
          </w:tcPr>
          <w:p w:rsidR="007F5C72" w:rsidRPr="008E6BE7" w:rsidRDefault="007F5C72" w:rsidP="007F5C72">
            <w:pPr>
              <w:pStyle w:val="tv2131"/>
              <w:ind w:firstLine="301"/>
              <w:jc w:val="center"/>
              <w:rPr>
                <w:color w:val="auto"/>
                <w:sz w:val="18"/>
                <w:szCs w:val="18"/>
              </w:rPr>
            </w:pPr>
            <w:r w:rsidRPr="008E6BE7">
              <w:rPr>
                <w:color w:val="auto"/>
                <w:sz w:val="18"/>
                <w:szCs w:val="18"/>
              </w:rPr>
              <w:t>4</w:t>
            </w:r>
          </w:p>
        </w:tc>
        <w:tc>
          <w:tcPr>
            <w:tcW w:w="591" w:type="pct"/>
            <w:tcBorders>
              <w:top w:val="single" w:sz="4" w:space="0" w:color="auto"/>
              <w:left w:val="nil"/>
              <w:bottom w:val="single" w:sz="8" w:space="0" w:color="auto"/>
              <w:right w:val="single" w:sz="4" w:space="0" w:color="auto"/>
            </w:tcBorders>
            <w:vAlign w:val="bottom"/>
          </w:tcPr>
          <w:p w:rsidR="007F5C72" w:rsidRPr="008E6BE7" w:rsidRDefault="007F5C72" w:rsidP="007F5C72">
            <w:pPr>
              <w:pStyle w:val="tv2131"/>
              <w:ind w:firstLine="301"/>
              <w:jc w:val="center"/>
              <w:rPr>
                <w:color w:val="auto"/>
                <w:sz w:val="18"/>
                <w:szCs w:val="18"/>
              </w:rPr>
            </w:pPr>
            <w:r w:rsidRPr="008E6BE7">
              <w:rPr>
                <w:color w:val="auto"/>
                <w:sz w:val="18"/>
                <w:szCs w:val="18"/>
              </w:rPr>
              <w:t>2</w:t>
            </w:r>
          </w:p>
        </w:tc>
        <w:tc>
          <w:tcPr>
            <w:tcW w:w="439" w:type="pct"/>
            <w:tcBorders>
              <w:top w:val="single" w:sz="4" w:space="0" w:color="auto"/>
              <w:left w:val="single" w:sz="8" w:space="0" w:color="auto"/>
              <w:bottom w:val="single" w:sz="8" w:space="0" w:color="auto"/>
              <w:right w:val="single" w:sz="4" w:space="0" w:color="auto"/>
            </w:tcBorders>
            <w:vAlign w:val="bottom"/>
          </w:tcPr>
          <w:p w:rsidR="007F5C72" w:rsidRPr="008E6BE7" w:rsidRDefault="007F5C72" w:rsidP="007F5C72">
            <w:pPr>
              <w:pStyle w:val="tv2131"/>
              <w:ind w:firstLine="301"/>
              <w:jc w:val="center"/>
              <w:rPr>
                <w:color w:val="auto"/>
                <w:sz w:val="18"/>
                <w:szCs w:val="18"/>
              </w:rPr>
            </w:pPr>
            <w:r w:rsidRPr="008E6BE7">
              <w:rPr>
                <w:color w:val="auto"/>
                <w:sz w:val="18"/>
                <w:szCs w:val="18"/>
              </w:rPr>
              <w:t>2</w:t>
            </w:r>
          </w:p>
        </w:tc>
        <w:tc>
          <w:tcPr>
            <w:tcW w:w="621" w:type="pct"/>
            <w:tcBorders>
              <w:top w:val="single" w:sz="4" w:space="0" w:color="auto"/>
              <w:left w:val="nil"/>
              <w:bottom w:val="single" w:sz="8" w:space="0" w:color="auto"/>
              <w:right w:val="single" w:sz="4" w:space="0" w:color="auto"/>
            </w:tcBorders>
            <w:vAlign w:val="bottom"/>
          </w:tcPr>
          <w:p w:rsidR="007F5C72" w:rsidRPr="008E6BE7" w:rsidRDefault="007F5C72" w:rsidP="007F5C72">
            <w:pPr>
              <w:pStyle w:val="tv2131"/>
              <w:ind w:firstLine="301"/>
              <w:jc w:val="center"/>
              <w:rPr>
                <w:color w:val="auto"/>
                <w:sz w:val="18"/>
                <w:szCs w:val="18"/>
              </w:rPr>
            </w:pPr>
            <w:r w:rsidRPr="008E6BE7">
              <w:rPr>
                <w:color w:val="auto"/>
                <w:sz w:val="18"/>
                <w:szCs w:val="18"/>
              </w:rPr>
              <w:t>1</w:t>
            </w:r>
          </w:p>
        </w:tc>
        <w:tc>
          <w:tcPr>
            <w:tcW w:w="625" w:type="pct"/>
            <w:tcBorders>
              <w:top w:val="single" w:sz="4" w:space="0" w:color="auto"/>
              <w:left w:val="nil"/>
              <w:bottom w:val="single" w:sz="8" w:space="0" w:color="auto"/>
              <w:right w:val="single" w:sz="4" w:space="0" w:color="auto"/>
            </w:tcBorders>
            <w:vAlign w:val="bottom"/>
          </w:tcPr>
          <w:p w:rsidR="007F5C72" w:rsidRPr="008E6BE7" w:rsidRDefault="007F5C72" w:rsidP="007F5C72">
            <w:pPr>
              <w:pStyle w:val="tv2131"/>
              <w:ind w:firstLine="301"/>
              <w:jc w:val="center"/>
              <w:rPr>
                <w:color w:val="auto"/>
                <w:sz w:val="18"/>
                <w:szCs w:val="18"/>
              </w:rPr>
            </w:pPr>
            <w:r w:rsidRPr="008E6BE7">
              <w:rPr>
                <w:color w:val="auto"/>
                <w:sz w:val="18"/>
                <w:szCs w:val="18"/>
              </w:rPr>
              <w:t>2</w:t>
            </w:r>
          </w:p>
        </w:tc>
        <w:tc>
          <w:tcPr>
            <w:tcW w:w="746" w:type="pct"/>
            <w:tcBorders>
              <w:top w:val="single" w:sz="4" w:space="0" w:color="auto"/>
              <w:left w:val="nil"/>
              <w:bottom w:val="single" w:sz="8" w:space="0" w:color="auto"/>
              <w:right w:val="single" w:sz="8" w:space="0" w:color="auto"/>
            </w:tcBorders>
            <w:vAlign w:val="bottom"/>
          </w:tcPr>
          <w:p w:rsidR="007F5C72" w:rsidRPr="008E6BE7" w:rsidRDefault="007F5C72" w:rsidP="007F5C72">
            <w:pPr>
              <w:pStyle w:val="tv2131"/>
              <w:ind w:firstLine="301"/>
              <w:jc w:val="center"/>
              <w:rPr>
                <w:color w:val="auto"/>
                <w:sz w:val="18"/>
                <w:szCs w:val="18"/>
              </w:rPr>
            </w:pPr>
            <w:r w:rsidRPr="008E6BE7">
              <w:rPr>
                <w:color w:val="auto"/>
                <w:sz w:val="18"/>
                <w:szCs w:val="18"/>
              </w:rPr>
              <w:t>1</w:t>
            </w:r>
          </w:p>
        </w:tc>
      </w:tr>
      <w:tr w:rsidR="007F5C72" w:rsidRPr="008E6BE7" w:rsidTr="007F5C72">
        <w:trPr>
          <w:trHeight w:val="465"/>
          <w:jc w:val="center"/>
        </w:trPr>
        <w:tc>
          <w:tcPr>
            <w:tcW w:w="1239" w:type="pct"/>
            <w:tcBorders>
              <w:top w:val="nil"/>
              <w:left w:val="single" w:sz="4" w:space="0" w:color="auto"/>
              <w:bottom w:val="single" w:sz="8" w:space="0" w:color="auto"/>
              <w:right w:val="single" w:sz="4" w:space="0" w:color="auto"/>
            </w:tcBorders>
            <w:shd w:val="clear" w:color="auto" w:fill="auto"/>
          </w:tcPr>
          <w:p w:rsidR="007F5C72" w:rsidRPr="008E6BE7" w:rsidRDefault="007F5C72" w:rsidP="007F5C72">
            <w:pPr>
              <w:pStyle w:val="tv2131"/>
              <w:spacing w:line="240" w:lineRule="auto"/>
              <w:ind w:firstLine="301"/>
              <w:rPr>
                <w:b/>
                <w:bCs/>
                <w:color w:val="auto"/>
                <w:sz w:val="18"/>
                <w:szCs w:val="18"/>
              </w:rPr>
            </w:pPr>
            <w:r w:rsidRPr="008E6BE7">
              <w:rPr>
                <w:b/>
                <w:bCs/>
                <w:color w:val="auto"/>
                <w:sz w:val="18"/>
                <w:szCs w:val="18"/>
              </w:rPr>
              <w:t>Pieaugušie</w:t>
            </w:r>
            <w:r w:rsidRPr="008E6BE7">
              <w:rPr>
                <w:b/>
                <w:color w:val="auto"/>
                <w:sz w:val="18"/>
                <w:szCs w:val="18"/>
              </w:rPr>
              <w:t xml:space="preserve"> bezdarbnieki un darba meklētāji (25-54)</w:t>
            </w:r>
          </w:p>
        </w:tc>
        <w:tc>
          <w:tcPr>
            <w:tcW w:w="739" w:type="pct"/>
            <w:tcBorders>
              <w:top w:val="single" w:sz="4" w:space="0" w:color="auto"/>
              <w:left w:val="nil"/>
              <w:bottom w:val="single" w:sz="8" w:space="0" w:color="auto"/>
              <w:right w:val="single" w:sz="4" w:space="0" w:color="auto"/>
            </w:tcBorders>
            <w:vAlign w:val="bottom"/>
          </w:tcPr>
          <w:p w:rsidR="007F5C72" w:rsidRPr="008E6BE7" w:rsidRDefault="007F5C72" w:rsidP="007F5C72">
            <w:pPr>
              <w:pStyle w:val="tv2131"/>
              <w:ind w:firstLine="301"/>
              <w:jc w:val="center"/>
              <w:rPr>
                <w:color w:val="auto"/>
                <w:sz w:val="18"/>
                <w:szCs w:val="18"/>
              </w:rPr>
            </w:pPr>
            <w:r w:rsidRPr="008E6BE7">
              <w:rPr>
                <w:color w:val="auto"/>
                <w:sz w:val="18"/>
                <w:szCs w:val="18"/>
              </w:rPr>
              <w:t>128</w:t>
            </w:r>
          </w:p>
        </w:tc>
        <w:tc>
          <w:tcPr>
            <w:tcW w:w="591" w:type="pct"/>
            <w:tcBorders>
              <w:top w:val="single" w:sz="4" w:space="0" w:color="auto"/>
              <w:left w:val="nil"/>
              <w:bottom w:val="single" w:sz="8" w:space="0" w:color="auto"/>
              <w:right w:val="single" w:sz="4" w:space="0" w:color="auto"/>
            </w:tcBorders>
            <w:vAlign w:val="bottom"/>
          </w:tcPr>
          <w:p w:rsidR="007F5C72" w:rsidRPr="008E6BE7" w:rsidRDefault="007F5C72" w:rsidP="007F5C72">
            <w:pPr>
              <w:pStyle w:val="tv2131"/>
              <w:ind w:firstLine="301"/>
              <w:jc w:val="center"/>
              <w:rPr>
                <w:color w:val="auto"/>
                <w:sz w:val="18"/>
                <w:szCs w:val="18"/>
              </w:rPr>
            </w:pPr>
            <w:r w:rsidRPr="008E6BE7">
              <w:rPr>
                <w:color w:val="auto"/>
                <w:sz w:val="18"/>
                <w:szCs w:val="18"/>
              </w:rPr>
              <w:t>71</w:t>
            </w:r>
          </w:p>
        </w:tc>
        <w:tc>
          <w:tcPr>
            <w:tcW w:w="439" w:type="pct"/>
            <w:tcBorders>
              <w:top w:val="nil"/>
              <w:left w:val="single" w:sz="8" w:space="0" w:color="auto"/>
              <w:bottom w:val="single" w:sz="8" w:space="0" w:color="auto"/>
              <w:right w:val="single" w:sz="4" w:space="0" w:color="auto"/>
            </w:tcBorders>
            <w:vAlign w:val="bottom"/>
          </w:tcPr>
          <w:p w:rsidR="007F5C72" w:rsidRPr="008E6BE7" w:rsidRDefault="007F5C72" w:rsidP="007F5C72">
            <w:pPr>
              <w:pStyle w:val="tv2131"/>
              <w:ind w:firstLine="301"/>
              <w:jc w:val="center"/>
              <w:rPr>
                <w:color w:val="auto"/>
                <w:sz w:val="18"/>
                <w:szCs w:val="18"/>
              </w:rPr>
            </w:pPr>
            <w:r w:rsidRPr="008E6BE7">
              <w:rPr>
                <w:color w:val="auto"/>
                <w:sz w:val="18"/>
                <w:szCs w:val="18"/>
              </w:rPr>
              <w:t>61</w:t>
            </w:r>
          </w:p>
        </w:tc>
        <w:tc>
          <w:tcPr>
            <w:tcW w:w="621" w:type="pct"/>
            <w:tcBorders>
              <w:top w:val="single" w:sz="4" w:space="0" w:color="auto"/>
              <w:left w:val="nil"/>
              <w:bottom w:val="single" w:sz="8" w:space="0" w:color="auto"/>
              <w:right w:val="single" w:sz="4" w:space="0" w:color="auto"/>
            </w:tcBorders>
            <w:vAlign w:val="bottom"/>
          </w:tcPr>
          <w:p w:rsidR="007F5C72" w:rsidRPr="008E6BE7" w:rsidRDefault="007F5C72" w:rsidP="007F5C72">
            <w:pPr>
              <w:pStyle w:val="tv2131"/>
              <w:ind w:firstLine="301"/>
              <w:jc w:val="center"/>
              <w:rPr>
                <w:color w:val="auto"/>
                <w:sz w:val="18"/>
                <w:szCs w:val="18"/>
              </w:rPr>
            </w:pPr>
            <w:r w:rsidRPr="008E6BE7">
              <w:rPr>
                <w:color w:val="auto"/>
                <w:sz w:val="18"/>
                <w:szCs w:val="18"/>
              </w:rPr>
              <w:t>34</w:t>
            </w:r>
          </w:p>
        </w:tc>
        <w:tc>
          <w:tcPr>
            <w:tcW w:w="625" w:type="pct"/>
            <w:tcBorders>
              <w:top w:val="nil"/>
              <w:left w:val="nil"/>
              <w:bottom w:val="single" w:sz="8" w:space="0" w:color="auto"/>
              <w:right w:val="single" w:sz="4" w:space="0" w:color="auto"/>
            </w:tcBorders>
            <w:vAlign w:val="bottom"/>
          </w:tcPr>
          <w:p w:rsidR="007F5C72" w:rsidRPr="008E6BE7" w:rsidRDefault="007F5C72" w:rsidP="007F5C72">
            <w:pPr>
              <w:pStyle w:val="tv2131"/>
              <w:ind w:firstLine="301"/>
              <w:jc w:val="center"/>
              <w:rPr>
                <w:color w:val="auto"/>
                <w:sz w:val="18"/>
                <w:szCs w:val="18"/>
              </w:rPr>
            </w:pPr>
            <w:r w:rsidRPr="008E6BE7">
              <w:rPr>
                <w:color w:val="auto"/>
                <w:sz w:val="18"/>
                <w:szCs w:val="18"/>
              </w:rPr>
              <w:t>67</w:t>
            </w:r>
          </w:p>
        </w:tc>
        <w:tc>
          <w:tcPr>
            <w:tcW w:w="746" w:type="pct"/>
            <w:tcBorders>
              <w:top w:val="single" w:sz="4" w:space="0" w:color="auto"/>
              <w:left w:val="nil"/>
              <w:bottom w:val="single" w:sz="8" w:space="0" w:color="auto"/>
              <w:right w:val="single" w:sz="8" w:space="0" w:color="auto"/>
            </w:tcBorders>
            <w:vAlign w:val="bottom"/>
          </w:tcPr>
          <w:p w:rsidR="007F5C72" w:rsidRPr="008E6BE7" w:rsidRDefault="007F5C72" w:rsidP="007F5C72">
            <w:pPr>
              <w:pStyle w:val="tv2131"/>
              <w:ind w:firstLine="301"/>
              <w:jc w:val="center"/>
              <w:rPr>
                <w:color w:val="auto"/>
                <w:sz w:val="18"/>
                <w:szCs w:val="18"/>
              </w:rPr>
            </w:pPr>
            <w:r w:rsidRPr="008E6BE7">
              <w:rPr>
                <w:color w:val="auto"/>
                <w:sz w:val="18"/>
                <w:szCs w:val="18"/>
              </w:rPr>
              <w:t>37</w:t>
            </w:r>
          </w:p>
        </w:tc>
      </w:tr>
      <w:tr w:rsidR="007F5C72" w:rsidRPr="008E6BE7" w:rsidTr="007F5C72">
        <w:trPr>
          <w:trHeight w:val="465"/>
          <w:jc w:val="center"/>
        </w:trPr>
        <w:tc>
          <w:tcPr>
            <w:tcW w:w="1239" w:type="pct"/>
            <w:tcBorders>
              <w:top w:val="nil"/>
              <w:left w:val="single" w:sz="4" w:space="0" w:color="auto"/>
              <w:bottom w:val="single" w:sz="8" w:space="0" w:color="auto"/>
              <w:right w:val="single" w:sz="4" w:space="0" w:color="auto"/>
            </w:tcBorders>
            <w:shd w:val="clear" w:color="auto" w:fill="auto"/>
          </w:tcPr>
          <w:p w:rsidR="007F5C72" w:rsidRPr="008E6BE7" w:rsidRDefault="007F5C72" w:rsidP="007F5C72">
            <w:pPr>
              <w:pStyle w:val="tv2131"/>
              <w:spacing w:line="240" w:lineRule="auto"/>
              <w:ind w:firstLine="301"/>
              <w:rPr>
                <w:b/>
                <w:color w:val="auto"/>
                <w:sz w:val="18"/>
                <w:szCs w:val="18"/>
              </w:rPr>
            </w:pPr>
            <w:r w:rsidRPr="008E6BE7">
              <w:rPr>
                <w:b/>
                <w:color w:val="auto"/>
                <w:sz w:val="18"/>
                <w:szCs w:val="18"/>
              </w:rPr>
              <w:t>Bezdarbnieki un darba meklētāji (55+)</w:t>
            </w:r>
          </w:p>
        </w:tc>
        <w:tc>
          <w:tcPr>
            <w:tcW w:w="739" w:type="pct"/>
            <w:tcBorders>
              <w:top w:val="single" w:sz="4" w:space="0" w:color="auto"/>
              <w:left w:val="nil"/>
              <w:bottom w:val="single" w:sz="8" w:space="0" w:color="auto"/>
              <w:right w:val="single" w:sz="4" w:space="0" w:color="auto"/>
            </w:tcBorders>
            <w:vAlign w:val="bottom"/>
          </w:tcPr>
          <w:p w:rsidR="007F5C72" w:rsidRPr="008E6BE7" w:rsidRDefault="007F5C72" w:rsidP="007F5C72">
            <w:pPr>
              <w:pStyle w:val="tv2131"/>
              <w:ind w:firstLine="301"/>
              <w:jc w:val="center"/>
              <w:rPr>
                <w:color w:val="auto"/>
                <w:sz w:val="18"/>
                <w:szCs w:val="18"/>
              </w:rPr>
            </w:pPr>
            <w:r w:rsidRPr="008E6BE7">
              <w:rPr>
                <w:color w:val="auto"/>
                <w:sz w:val="18"/>
                <w:szCs w:val="18"/>
              </w:rPr>
              <w:t>49</w:t>
            </w:r>
          </w:p>
        </w:tc>
        <w:tc>
          <w:tcPr>
            <w:tcW w:w="591" w:type="pct"/>
            <w:tcBorders>
              <w:top w:val="single" w:sz="4" w:space="0" w:color="auto"/>
              <w:left w:val="nil"/>
              <w:bottom w:val="single" w:sz="8" w:space="0" w:color="auto"/>
              <w:right w:val="single" w:sz="4" w:space="0" w:color="auto"/>
            </w:tcBorders>
            <w:vAlign w:val="bottom"/>
          </w:tcPr>
          <w:p w:rsidR="007F5C72" w:rsidRPr="008E6BE7" w:rsidRDefault="007F5C72" w:rsidP="007F5C72">
            <w:pPr>
              <w:pStyle w:val="tv2131"/>
              <w:ind w:firstLine="301"/>
              <w:jc w:val="center"/>
              <w:rPr>
                <w:color w:val="auto"/>
                <w:sz w:val="18"/>
                <w:szCs w:val="18"/>
              </w:rPr>
            </w:pPr>
            <w:r w:rsidRPr="008E6BE7">
              <w:rPr>
                <w:color w:val="auto"/>
                <w:sz w:val="18"/>
                <w:szCs w:val="18"/>
              </w:rPr>
              <w:t>27</w:t>
            </w:r>
          </w:p>
        </w:tc>
        <w:tc>
          <w:tcPr>
            <w:tcW w:w="439" w:type="pct"/>
            <w:tcBorders>
              <w:top w:val="nil"/>
              <w:left w:val="single" w:sz="8" w:space="0" w:color="auto"/>
              <w:bottom w:val="single" w:sz="8" w:space="0" w:color="auto"/>
              <w:right w:val="single" w:sz="4" w:space="0" w:color="auto"/>
            </w:tcBorders>
            <w:vAlign w:val="bottom"/>
          </w:tcPr>
          <w:p w:rsidR="007F5C72" w:rsidRPr="008E6BE7" w:rsidRDefault="007F5C72" w:rsidP="007F5C72">
            <w:pPr>
              <w:pStyle w:val="tv2131"/>
              <w:ind w:firstLine="301"/>
              <w:jc w:val="center"/>
              <w:rPr>
                <w:color w:val="auto"/>
                <w:sz w:val="18"/>
                <w:szCs w:val="18"/>
              </w:rPr>
            </w:pPr>
            <w:r w:rsidRPr="008E6BE7">
              <w:rPr>
                <w:color w:val="auto"/>
                <w:sz w:val="18"/>
                <w:szCs w:val="18"/>
              </w:rPr>
              <w:t>12</w:t>
            </w:r>
          </w:p>
        </w:tc>
        <w:tc>
          <w:tcPr>
            <w:tcW w:w="621" w:type="pct"/>
            <w:tcBorders>
              <w:top w:val="single" w:sz="4" w:space="0" w:color="auto"/>
              <w:left w:val="nil"/>
              <w:bottom w:val="single" w:sz="8" w:space="0" w:color="auto"/>
              <w:right w:val="single" w:sz="4" w:space="0" w:color="auto"/>
            </w:tcBorders>
            <w:vAlign w:val="bottom"/>
          </w:tcPr>
          <w:p w:rsidR="007F5C72" w:rsidRPr="008E6BE7" w:rsidRDefault="007F5C72" w:rsidP="007F5C72">
            <w:pPr>
              <w:pStyle w:val="tv2131"/>
              <w:ind w:firstLine="301"/>
              <w:jc w:val="center"/>
              <w:rPr>
                <w:color w:val="auto"/>
                <w:sz w:val="18"/>
                <w:szCs w:val="18"/>
              </w:rPr>
            </w:pPr>
            <w:r w:rsidRPr="008E6BE7">
              <w:rPr>
                <w:color w:val="auto"/>
                <w:sz w:val="18"/>
                <w:szCs w:val="18"/>
              </w:rPr>
              <w:t>7</w:t>
            </w:r>
          </w:p>
        </w:tc>
        <w:tc>
          <w:tcPr>
            <w:tcW w:w="625" w:type="pct"/>
            <w:tcBorders>
              <w:top w:val="nil"/>
              <w:left w:val="nil"/>
              <w:bottom w:val="single" w:sz="8" w:space="0" w:color="auto"/>
              <w:right w:val="single" w:sz="4" w:space="0" w:color="auto"/>
            </w:tcBorders>
            <w:vAlign w:val="bottom"/>
          </w:tcPr>
          <w:p w:rsidR="007F5C72" w:rsidRPr="008E6BE7" w:rsidRDefault="007F5C72" w:rsidP="007F5C72">
            <w:pPr>
              <w:pStyle w:val="tv2131"/>
              <w:ind w:firstLine="301"/>
              <w:jc w:val="center"/>
              <w:rPr>
                <w:color w:val="auto"/>
                <w:sz w:val="18"/>
                <w:szCs w:val="18"/>
              </w:rPr>
            </w:pPr>
            <w:r w:rsidRPr="008E6BE7">
              <w:rPr>
                <w:color w:val="auto"/>
                <w:sz w:val="18"/>
                <w:szCs w:val="18"/>
              </w:rPr>
              <w:t>37</w:t>
            </w:r>
          </w:p>
        </w:tc>
        <w:tc>
          <w:tcPr>
            <w:tcW w:w="746" w:type="pct"/>
            <w:tcBorders>
              <w:top w:val="single" w:sz="4" w:space="0" w:color="auto"/>
              <w:left w:val="nil"/>
              <w:bottom w:val="single" w:sz="8" w:space="0" w:color="auto"/>
              <w:right w:val="single" w:sz="8" w:space="0" w:color="auto"/>
            </w:tcBorders>
            <w:vAlign w:val="bottom"/>
          </w:tcPr>
          <w:p w:rsidR="007F5C72" w:rsidRPr="008E6BE7" w:rsidRDefault="007F5C72" w:rsidP="007F5C72">
            <w:pPr>
              <w:pStyle w:val="tv2131"/>
              <w:ind w:firstLine="301"/>
              <w:jc w:val="center"/>
              <w:rPr>
                <w:color w:val="auto"/>
                <w:sz w:val="18"/>
                <w:szCs w:val="18"/>
              </w:rPr>
            </w:pPr>
            <w:r w:rsidRPr="008E6BE7">
              <w:rPr>
                <w:color w:val="auto"/>
                <w:sz w:val="18"/>
                <w:szCs w:val="18"/>
              </w:rPr>
              <w:t>20</w:t>
            </w:r>
          </w:p>
        </w:tc>
      </w:tr>
      <w:tr w:rsidR="007F5C72" w:rsidRPr="008E6BE7" w:rsidTr="00FC54A4">
        <w:trPr>
          <w:trHeight w:val="354"/>
          <w:jc w:val="center"/>
        </w:trPr>
        <w:tc>
          <w:tcPr>
            <w:tcW w:w="1239" w:type="pct"/>
            <w:tcBorders>
              <w:top w:val="nil"/>
              <w:left w:val="single" w:sz="4" w:space="0" w:color="auto"/>
              <w:bottom w:val="single" w:sz="4" w:space="0" w:color="auto"/>
              <w:right w:val="single" w:sz="4" w:space="0" w:color="auto"/>
            </w:tcBorders>
            <w:shd w:val="clear" w:color="auto" w:fill="C2D69B" w:themeFill="accent3" w:themeFillTint="99"/>
            <w:noWrap/>
          </w:tcPr>
          <w:p w:rsidR="007F5C72" w:rsidRPr="008E6BE7" w:rsidRDefault="007F5C72" w:rsidP="007F5C72">
            <w:pPr>
              <w:pStyle w:val="tv2131"/>
              <w:ind w:firstLine="301"/>
              <w:rPr>
                <w:b/>
                <w:bCs/>
                <w:color w:val="auto"/>
                <w:sz w:val="18"/>
                <w:szCs w:val="18"/>
              </w:rPr>
            </w:pPr>
            <w:r w:rsidRPr="008E6BE7">
              <w:rPr>
                <w:b/>
                <w:bCs/>
                <w:color w:val="auto"/>
                <w:sz w:val="18"/>
                <w:szCs w:val="18"/>
              </w:rPr>
              <w:t>KOPĀ</w:t>
            </w:r>
          </w:p>
        </w:tc>
        <w:tc>
          <w:tcPr>
            <w:tcW w:w="739" w:type="pct"/>
            <w:tcBorders>
              <w:top w:val="nil"/>
              <w:left w:val="nil"/>
              <w:bottom w:val="single" w:sz="4" w:space="0" w:color="auto"/>
              <w:right w:val="single" w:sz="4" w:space="0" w:color="auto"/>
            </w:tcBorders>
            <w:shd w:val="clear" w:color="auto" w:fill="C2D69B" w:themeFill="accent3" w:themeFillTint="99"/>
            <w:vAlign w:val="bottom"/>
          </w:tcPr>
          <w:p w:rsidR="007F5C72" w:rsidRPr="008E6BE7" w:rsidRDefault="007F5C72" w:rsidP="007F5C72">
            <w:pPr>
              <w:pStyle w:val="tv2131"/>
              <w:ind w:firstLine="301"/>
              <w:jc w:val="center"/>
              <w:rPr>
                <w:bCs/>
                <w:color w:val="auto"/>
                <w:sz w:val="18"/>
                <w:szCs w:val="18"/>
              </w:rPr>
            </w:pPr>
            <w:r w:rsidRPr="008E6BE7">
              <w:rPr>
                <w:bCs/>
                <w:color w:val="auto"/>
                <w:sz w:val="18"/>
                <w:szCs w:val="18"/>
              </w:rPr>
              <w:t>181</w:t>
            </w:r>
          </w:p>
        </w:tc>
        <w:tc>
          <w:tcPr>
            <w:tcW w:w="591" w:type="pct"/>
            <w:tcBorders>
              <w:top w:val="nil"/>
              <w:left w:val="nil"/>
              <w:bottom w:val="single" w:sz="4" w:space="0" w:color="auto"/>
              <w:right w:val="single" w:sz="4" w:space="0" w:color="auto"/>
            </w:tcBorders>
            <w:shd w:val="clear" w:color="auto" w:fill="C2D69B" w:themeFill="accent3" w:themeFillTint="99"/>
            <w:vAlign w:val="bottom"/>
          </w:tcPr>
          <w:p w:rsidR="007F5C72" w:rsidRPr="008E6BE7" w:rsidRDefault="007F5C72" w:rsidP="007F5C72">
            <w:pPr>
              <w:pStyle w:val="tv2131"/>
              <w:ind w:firstLine="301"/>
              <w:jc w:val="center"/>
              <w:rPr>
                <w:bCs/>
                <w:color w:val="auto"/>
                <w:sz w:val="18"/>
                <w:szCs w:val="18"/>
              </w:rPr>
            </w:pPr>
            <w:r w:rsidRPr="008E6BE7">
              <w:rPr>
                <w:bCs/>
                <w:color w:val="auto"/>
                <w:sz w:val="18"/>
                <w:szCs w:val="18"/>
              </w:rPr>
              <w:t> </w:t>
            </w:r>
            <w:r w:rsidR="00265A89" w:rsidRPr="008E6BE7">
              <w:rPr>
                <w:bCs/>
                <w:color w:val="auto"/>
                <w:sz w:val="18"/>
                <w:szCs w:val="18"/>
              </w:rPr>
              <w:t>100</w:t>
            </w:r>
          </w:p>
        </w:tc>
        <w:tc>
          <w:tcPr>
            <w:tcW w:w="439" w:type="pct"/>
            <w:tcBorders>
              <w:top w:val="nil"/>
              <w:left w:val="single" w:sz="8" w:space="0" w:color="auto"/>
              <w:bottom w:val="single" w:sz="4" w:space="0" w:color="auto"/>
              <w:right w:val="single" w:sz="4" w:space="0" w:color="auto"/>
            </w:tcBorders>
            <w:shd w:val="clear" w:color="auto" w:fill="C2D69B" w:themeFill="accent3" w:themeFillTint="99"/>
            <w:vAlign w:val="bottom"/>
          </w:tcPr>
          <w:p w:rsidR="007F5C72" w:rsidRPr="008E6BE7" w:rsidRDefault="007F5C72" w:rsidP="007F5C72">
            <w:pPr>
              <w:pStyle w:val="tv2131"/>
              <w:ind w:firstLine="301"/>
              <w:jc w:val="center"/>
              <w:rPr>
                <w:color w:val="auto"/>
                <w:sz w:val="18"/>
                <w:szCs w:val="18"/>
              </w:rPr>
            </w:pPr>
            <w:r w:rsidRPr="008E6BE7">
              <w:rPr>
                <w:color w:val="auto"/>
                <w:sz w:val="18"/>
                <w:szCs w:val="18"/>
              </w:rPr>
              <w:t>75</w:t>
            </w:r>
          </w:p>
        </w:tc>
        <w:tc>
          <w:tcPr>
            <w:tcW w:w="621" w:type="pct"/>
            <w:tcBorders>
              <w:top w:val="nil"/>
              <w:left w:val="nil"/>
              <w:bottom w:val="single" w:sz="4" w:space="0" w:color="auto"/>
              <w:right w:val="single" w:sz="4" w:space="0" w:color="auto"/>
            </w:tcBorders>
            <w:shd w:val="clear" w:color="auto" w:fill="C2D69B" w:themeFill="accent3" w:themeFillTint="99"/>
            <w:vAlign w:val="bottom"/>
          </w:tcPr>
          <w:p w:rsidR="007F5C72" w:rsidRPr="008E6BE7" w:rsidRDefault="007F5C72" w:rsidP="007F5C72">
            <w:pPr>
              <w:pStyle w:val="tv2131"/>
              <w:ind w:firstLine="301"/>
              <w:jc w:val="center"/>
              <w:rPr>
                <w:color w:val="auto"/>
                <w:sz w:val="18"/>
                <w:szCs w:val="18"/>
              </w:rPr>
            </w:pPr>
            <w:r w:rsidRPr="008E6BE7">
              <w:rPr>
                <w:color w:val="auto"/>
                <w:sz w:val="18"/>
                <w:szCs w:val="18"/>
              </w:rPr>
              <w:t>4</w:t>
            </w:r>
            <w:r w:rsidR="00265A89" w:rsidRPr="008E6BE7">
              <w:rPr>
                <w:color w:val="auto"/>
                <w:sz w:val="18"/>
                <w:szCs w:val="18"/>
              </w:rPr>
              <w:t>2</w:t>
            </w:r>
          </w:p>
        </w:tc>
        <w:tc>
          <w:tcPr>
            <w:tcW w:w="625" w:type="pct"/>
            <w:tcBorders>
              <w:top w:val="nil"/>
              <w:left w:val="nil"/>
              <w:bottom w:val="single" w:sz="4" w:space="0" w:color="auto"/>
              <w:right w:val="single" w:sz="4" w:space="0" w:color="auto"/>
            </w:tcBorders>
            <w:shd w:val="clear" w:color="auto" w:fill="C2D69B" w:themeFill="accent3" w:themeFillTint="99"/>
            <w:vAlign w:val="bottom"/>
          </w:tcPr>
          <w:p w:rsidR="007F5C72" w:rsidRPr="008E6BE7" w:rsidRDefault="007F5C72" w:rsidP="007F5C72">
            <w:pPr>
              <w:pStyle w:val="tv2131"/>
              <w:ind w:firstLine="301"/>
              <w:jc w:val="center"/>
              <w:rPr>
                <w:color w:val="auto"/>
                <w:sz w:val="18"/>
                <w:szCs w:val="18"/>
              </w:rPr>
            </w:pPr>
            <w:r w:rsidRPr="008E6BE7">
              <w:rPr>
                <w:color w:val="auto"/>
                <w:sz w:val="18"/>
                <w:szCs w:val="18"/>
              </w:rPr>
              <w:t>106</w:t>
            </w:r>
          </w:p>
        </w:tc>
        <w:tc>
          <w:tcPr>
            <w:tcW w:w="746" w:type="pct"/>
            <w:tcBorders>
              <w:top w:val="nil"/>
              <w:left w:val="nil"/>
              <w:bottom w:val="single" w:sz="4" w:space="0" w:color="auto"/>
              <w:right w:val="single" w:sz="8" w:space="0" w:color="auto"/>
            </w:tcBorders>
            <w:shd w:val="clear" w:color="auto" w:fill="C2D69B" w:themeFill="accent3" w:themeFillTint="99"/>
            <w:vAlign w:val="bottom"/>
          </w:tcPr>
          <w:p w:rsidR="007F5C72" w:rsidRPr="008E6BE7" w:rsidRDefault="007F5C72" w:rsidP="007F5C72">
            <w:pPr>
              <w:pStyle w:val="tv2131"/>
              <w:ind w:firstLine="301"/>
              <w:jc w:val="center"/>
              <w:rPr>
                <w:color w:val="auto"/>
                <w:sz w:val="18"/>
                <w:szCs w:val="18"/>
              </w:rPr>
            </w:pPr>
            <w:r w:rsidRPr="008E6BE7">
              <w:rPr>
                <w:color w:val="auto"/>
                <w:sz w:val="18"/>
                <w:szCs w:val="18"/>
              </w:rPr>
              <w:t>58</w:t>
            </w:r>
          </w:p>
        </w:tc>
      </w:tr>
    </w:tbl>
    <w:p w:rsidR="005060D7" w:rsidRPr="008E6BE7" w:rsidRDefault="005060D7" w:rsidP="00CE7F2B">
      <w:pPr>
        <w:pStyle w:val="tv2131"/>
        <w:spacing w:line="240" w:lineRule="auto"/>
        <w:ind w:firstLine="0"/>
        <w:jc w:val="both"/>
        <w:rPr>
          <w:bCs/>
          <w:color w:val="auto"/>
        </w:rPr>
      </w:pPr>
    </w:p>
    <w:p w:rsidR="00101485" w:rsidRDefault="00251CBD" w:rsidP="00251CBD">
      <w:pPr>
        <w:spacing w:after="0" w:line="240" w:lineRule="auto"/>
        <w:jc w:val="both"/>
        <w:rPr>
          <w:rFonts w:ascii="Times New Roman" w:hAnsi="Times New Roman"/>
          <w:sz w:val="28"/>
          <w:szCs w:val="28"/>
        </w:rPr>
      </w:pPr>
      <w:r w:rsidRPr="008E6BE7">
        <w:rPr>
          <w:rFonts w:ascii="Times New Roman" w:hAnsi="Times New Roman"/>
          <w:sz w:val="28"/>
          <w:szCs w:val="28"/>
        </w:rPr>
        <w:tab/>
      </w:r>
      <w:r w:rsidR="005060D7" w:rsidRPr="008E6BE7">
        <w:rPr>
          <w:rFonts w:ascii="Times New Roman" w:hAnsi="Times New Roman"/>
          <w:sz w:val="28"/>
          <w:szCs w:val="28"/>
        </w:rPr>
        <w:t>No profesionālās tālākizglītības programmas apguvē iesai</w:t>
      </w:r>
      <w:r w:rsidR="0002717C" w:rsidRPr="008E6BE7">
        <w:rPr>
          <w:rFonts w:ascii="Times New Roman" w:hAnsi="Times New Roman"/>
          <w:sz w:val="28"/>
          <w:szCs w:val="28"/>
        </w:rPr>
        <w:t>stītajiem bezdarbniekiem</w:t>
      </w:r>
      <w:r w:rsidR="00765874">
        <w:rPr>
          <w:rFonts w:ascii="Times New Roman" w:hAnsi="Times New Roman"/>
          <w:sz w:val="28"/>
          <w:szCs w:val="28"/>
        </w:rPr>
        <w:t xml:space="preserve"> 64,</w:t>
      </w:r>
      <w:r w:rsidR="00574D61">
        <w:rPr>
          <w:rFonts w:ascii="Times New Roman" w:hAnsi="Times New Roman"/>
          <w:sz w:val="28"/>
          <w:szCs w:val="28"/>
        </w:rPr>
        <w:t>6</w:t>
      </w:r>
      <w:r w:rsidR="0002717C" w:rsidRPr="008E6BE7">
        <w:rPr>
          <w:rFonts w:ascii="Times New Roman" w:hAnsi="Times New Roman"/>
          <w:sz w:val="28"/>
          <w:szCs w:val="28"/>
        </w:rPr>
        <w:t> </w:t>
      </w:r>
      <w:r w:rsidR="00E7030D" w:rsidRPr="008E6BE7">
        <w:rPr>
          <w:rFonts w:ascii="Times New Roman" w:hAnsi="Times New Roman"/>
          <w:sz w:val="28"/>
          <w:szCs w:val="28"/>
        </w:rPr>
        <w:t>% bija</w:t>
      </w:r>
      <w:r w:rsidR="0002717C" w:rsidRPr="008E6BE7">
        <w:rPr>
          <w:rFonts w:ascii="Times New Roman" w:hAnsi="Times New Roman"/>
          <w:sz w:val="28"/>
          <w:szCs w:val="28"/>
        </w:rPr>
        <w:t xml:space="preserve"> ar iegūtu vidējo</w:t>
      </w:r>
      <w:r w:rsidR="00380D12">
        <w:rPr>
          <w:rFonts w:ascii="Times New Roman" w:hAnsi="Times New Roman"/>
          <w:sz w:val="28"/>
          <w:szCs w:val="28"/>
        </w:rPr>
        <w:t>,</w:t>
      </w:r>
      <w:r w:rsidR="00380D12" w:rsidRPr="00380D12">
        <w:t xml:space="preserve"> </w:t>
      </w:r>
      <w:r w:rsidR="00380D12" w:rsidRPr="00380D12">
        <w:rPr>
          <w:rFonts w:ascii="Times New Roman" w:hAnsi="Times New Roman"/>
          <w:sz w:val="28"/>
          <w:szCs w:val="28"/>
        </w:rPr>
        <w:t>vispārēj</w:t>
      </w:r>
      <w:r w:rsidR="00380D12">
        <w:rPr>
          <w:rFonts w:ascii="Times New Roman" w:hAnsi="Times New Roman"/>
          <w:sz w:val="28"/>
          <w:szCs w:val="28"/>
        </w:rPr>
        <w:t>o</w:t>
      </w:r>
      <w:r w:rsidR="00380D12" w:rsidRPr="00380D12">
        <w:rPr>
          <w:rFonts w:ascii="Times New Roman" w:hAnsi="Times New Roman"/>
          <w:sz w:val="28"/>
          <w:szCs w:val="28"/>
        </w:rPr>
        <w:t xml:space="preserve"> vidēj</w:t>
      </w:r>
      <w:r w:rsidR="00380D12">
        <w:rPr>
          <w:rFonts w:ascii="Times New Roman" w:hAnsi="Times New Roman"/>
          <w:sz w:val="28"/>
          <w:szCs w:val="28"/>
        </w:rPr>
        <w:t>o</w:t>
      </w:r>
      <w:r w:rsidR="00380D12" w:rsidRPr="00380D12">
        <w:rPr>
          <w:rFonts w:ascii="Times New Roman" w:hAnsi="Times New Roman"/>
          <w:sz w:val="28"/>
          <w:szCs w:val="28"/>
        </w:rPr>
        <w:t xml:space="preserve"> pēc arodizglītības</w:t>
      </w:r>
      <w:r w:rsidR="00380D12">
        <w:rPr>
          <w:rFonts w:ascii="Times New Roman" w:hAnsi="Times New Roman"/>
          <w:sz w:val="28"/>
          <w:szCs w:val="28"/>
        </w:rPr>
        <w:t xml:space="preserve">, </w:t>
      </w:r>
      <w:r w:rsidR="00380D12" w:rsidRPr="00380D12">
        <w:rPr>
          <w:rFonts w:ascii="Times New Roman" w:hAnsi="Times New Roman"/>
          <w:sz w:val="28"/>
          <w:szCs w:val="28"/>
        </w:rPr>
        <w:t>arodizglītīb</w:t>
      </w:r>
      <w:r w:rsidR="00765874">
        <w:rPr>
          <w:rFonts w:ascii="Times New Roman" w:hAnsi="Times New Roman"/>
          <w:sz w:val="28"/>
          <w:szCs w:val="28"/>
        </w:rPr>
        <w:t>u</w:t>
      </w:r>
      <w:r w:rsidR="0002717C" w:rsidRPr="00380D12">
        <w:rPr>
          <w:rFonts w:ascii="Times New Roman" w:hAnsi="Times New Roman"/>
          <w:sz w:val="28"/>
          <w:szCs w:val="28"/>
        </w:rPr>
        <w:t xml:space="preserve"> </w:t>
      </w:r>
      <w:r w:rsidR="0002717C" w:rsidRPr="008E6BE7">
        <w:rPr>
          <w:rFonts w:ascii="Times New Roman" w:hAnsi="Times New Roman"/>
          <w:sz w:val="28"/>
          <w:szCs w:val="28"/>
        </w:rPr>
        <w:t xml:space="preserve">un vidējo profesionālo izglītību. Tāpat </w:t>
      </w:r>
      <w:r w:rsidR="00574D61" w:rsidRPr="008E6BE7">
        <w:rPr>
          <w:rFonts w:ascii="Times New Roman" w:hAnsi="Times New Roman"/>
          <w:sz w:val="28"/>
          <w:szCs w:val="28"/>
        </w:rPr>
        <w:t>2</w:t>
      </w:r>
      <w:r w:rsidR="00765874">
        <w:rPr>
          <w:rFonts w:ascii="Times New Roman" w:hAnsi="Times New Roman"/>
          <w:sz w:val="28"/>
          <w:szCs w:val="28"/>
        </w:rPr>
        <w:t>5,</w:t>
      </w:r>
      <w:r w:rsidR="00574D61">
        <w:rPr>
          <w:rFonts w:ascii="Times New Roman" w:hAnsi="Times New Roman"/>
          <w:sz w:val="28"/>
          <w:szCs w:val="28"/>
        </w:rPr>
        <w:t>4</w:t>
      </w:r>
      <w:r w:rsidR="00574D61" w:rsidRPr="008E6BE7">
        <w:rPr>
          <w:rFonts w:ascii="Times New Roman" w:hAnsi="Times New Roman"/>
          <w:sz w:val="28"/>
          <w:szCs w:val="28"/>
        </w:rPr>
        <w:t xml:space="preserve"> </w:t>
      </w:r>
      <w:r w:rsidR="00E7030D" w:rsidRPr="008E6BE7">
        <w:rPr>
          <w:rFonts w:ascii="Times New Roman" w:hAnsi="Times New Roman"/>
          <w:sz w:val="28"/>
          <w:szCs w:val="28"/>
        </w:rPr>
        <w:t>%</w:t>
      </w:r>
      <w:r w:rsidR="005060D7" w:rsidRPr="008E6BE7">
        <w:rPr>
          <w:rFonts w:ascii="Times New Roman" w:hAnsi="Times New Roman"/>
          <w:sz w:val="28"/>
          <w:szCs w:val="28"/>
        </w:rPr>
        <w:t xml:space="preserve"> </w:t>
      </w:r>
      <w:r w:rsidR="00E7030D" w:rsidRPr="008E6BE7">
        <w:rPr>
          <w:rFonts w:ascii="Times New Roman" w:hAnsi="Times New Roman"/>
          <w:sz w:val="28"/>
          <w:szCs w:val="28"/>
        </w:rPr>
        <w:t xml:space="preserve">no iesaistītajiem bezdarbniekiem bija ar iegūtu </w:t>
      </w:r>
      <w:r w:rsidR="0002717C" w:rsidRPr="008E6BE7">
        <w:rPr>
          <w:rFonts w:ascii="Times New Roman" w:hAnsi="Times New Roman"/>
          <w:sz w:val="28"/>
          <w:szCs w:val="28"/>
        </w:rPr>
        <w:t>pamata</w:t>
      </w:r>
      <w:r w:rsidR="00E7030D" w:rsidRPr="008E6BE7">
        <w:rPr>
          <w:rFonts w:ascii="Times New Roman" w:hAnsi="Times New Roman"/>
          <w:sz w:val="28"/>
          <w:szCs w:val="28"/>
        </w:rPr>
        <w:t xml:space="preserve"> izglītību</w:t>
      </w:r>
      <w:r w:rsidR="0002717C" w:rsidRPr="008E6BE7">
        <w:rPr>
          <w:rFonts w:ascii="Times New Roman" w:hAnsi="Times New Roman"/>
          <w:sz w:val="28"/>
          <w:szCs w:val="28"/>
        </w:rPr>
        <w:t xml:space="preserve"> </w:t>
      </w:r>
      <w:r w:rsidR="00574D61">
        <w:rPr>
          <w:rFonts w:ascii="Times New Roman" w:hAnsi="Times New Roman"/>
          <w:sz w:val="28"/>
          <w:szCs w:val="28"/>
        </w:rPr>
        <w:t xml:space="preserve">vai </w:t>
      </w:r>
      <w:r w:rsidR="00574D61" w:rsidRPr="00574D61">
        <w:rPr>
          <w:rFonts w:ascii="Times New Roman" w:hAnsi="Times New Roman"/>
          <w:sz w:val="28"/>
          <w:szCs w:val="28"/>
        </w:rPr>
        <w:t>profesionāl</w:t>
      </w:r>
      <w:r w:rsidR="00574D61">
        <w:rPr>
          <w:rFonts w:ascii="Times New Roman" w:hAnsi="Times New Roman"/>
          <w:sz w:val="28"/>
          <w:szCs w:val="28"/>
        </w:rPr>
        <w:t>o</w:t>
      </w:r>
      <w:r w:rsidR="00574D61" w:rsidRPr="00574D61">
        <w:rPr>
          <w:rFonts w:ascii="Times New Roman" w:hAnsi="Times New Roman"/>
          <w:sz w:val="28"/>
          <w:szCs w:val="28"/>
        </w:rPr>
        <w:t xml:space="preserve"> pamatizglītīb</w:t>
      </w:r>
      <w:r w:rsidR="00574D61">
        <w:rPr>
          <w:rFonts w:ascii="Times New Roman" w:hAnsi="Times New Roman"/>
          <w:sz w:val="28"/>
          <w:szCs w:val="28"/>
        </w:rPr>
        <w:t>u</w:t>
      </w:r>
      <w:r w:rsidR="00574D61" w:rsidRPr="00574D61">
        <w:rPr>
          <w:rFonts w:ascii="Times New Roman" w:hAnsi="Times New Roman"/>
          <w:sz w:val="28"/>
          <w:szCs w:val="28"/>
        </w:rPr>
        <w:t xml:space="preserve"> </w:t>
      </w:r>
      <w:r w:rsidR="0002717C" w:rsidRPr="008E6BE7">
        <w:rPr>
          <w:rFonts w:ascii="Times New Roman" w:hAnsi="Times New Roman"/>
          <w:sz w:val="28"/>
          <w:szCs w:val="28"/>
        </w:rPr>
        <w:t>un 1</w:t>
      </w:r>
      <w:r w:rsidR="009E0E5B">
        <w:rPr>
          <w:rFonts w:ascii="Times New Roman" w:hAnsi="Times New Roman"/>
          <w:sz w:val="28"/>
          <w:szCs w:val="28"/>
        </w:rPr>
        <w:t>0</w:t>
      </w:r>
      <w:r w:rsidR="00E7030D" w:rsidRPr="008E6BE7">
        <w:rPr>
          <w:rFonts w:ascii="Times New Roman" w:hAnsi="Times New Roman"/>
          <w:sz w:val="28"/>
          <w:szCs w:val="28"/>
        </w:rPr>
        <w:t> % ar augstāko izglītību</w:t>
      </w:r>
      <w:r w:rsidR="00721EA7" w:rsidRPr="008E6BE7">
        <w:rPr>
          <w:rFonts w:ascii="Times New Roman" w:hAnsi="Times New Roman"/>
          <w:sz w:val="28"/>
          <w:szCs w:val="28"/>
        </w:rPr>
        <w:t xml:space="preserve"> (skat. 3.tabulu)</w:t>
      </w:r>
      <w:r w:rsidR="00E7030D" w:rsidRPr="008E6BE7">
        <w:rPr>
          <w:rFonts w:ascii="Times New Roman" w:hAnsi="Times New Roman"/>
          <w:sz w:val="28"/>
          <w:szCs w:val="28"/>
        </w:rPr>
        <w:t xml:space="preserve">. </w:t>
      </w:r>
    </w:p>
    <w:p w:rsidR="00101485" w:rsidRDefault="00101485" w:rsidP="00251CBD">
      <w:pPr>
        <w:spacing w:after="0" w:line="240" w:lineRule="auto"/>
        <w:jc w:val="both"/>
        <w:rPr>
          <w:rFonts w:ascii="Times New Roman" w:hAnsi="Times New Roman"/>
          <w:sz w:val="28"/>
          <w:szCs w:val="28"/>
        </w:rPr>
      </w:pPr>
    </w:p>
    <w:p w:rsidR="008A4F88" w:rsidRPr="008E6BE7" w:rsidRDefault="008A4F88" w:rsidP="00FC54A4">
      <w:pPr>
        <w:spacing w:after="0" w:line="240" w:lineRule="auto"/>
        <w:jc w:val="right"/>
        <w:rPr>
          <w:rFonts w:ascii="Times New Roman" w:hAnsi="Times New Roman"/>
          <w:b/>
          <w:bCs/>
          <w:sz w:val="20"/>
          <w:szCs w:val="20"/>
          <w:lang w:eastAsia="lv-LV"/>
        </w:rPr>
      </w:pPr>
      <w:r w:rsidRPr="008E6BE7">
        <w:rPr>
          <w:rFonts w:ascii="Times New Roman" w:hAnsi="Times New Roman"/>
          <w:bCs/>
          <w:i/>
          <w:sz w:val="24"/>
          <w:szCs w:val="24"/>
        </w:rPr>
        <w:t>Tabula Nr.3</w:t>
      </w:r>
    </w:p>
    <w:p w:rsidR="0002717C" w:rsidRPr="008E6BE7" w:rsidRDefault="008A4F88" w:rsidP="008A4F88">
      <w:pPr>
        <w:pStyle w:val="tv2131"/>
        <w:spacing w:line="240" w:lineRule="auto"/>
        <w:ind w:firstLine="0"/>
        <w:jc w:val="center"/>
        <w:rPr>
          <w:bCs/>
          <w:color w:val="auto"/>
        </w:rPr>
      </w:pPr>
      <w:r w:rsidRPr="008E6BE7">
        <w:rPr>
          <w:bCs/>
          <w:i/>
          <w:color w:val="auto"/>
          <w:sz w:val="24"/>
          <w:szCs w:val="24"/>
        </w:rPr>
        <w:t>Bezdarbnieku sadalījums pa izglītības līmeņiem</w:t>
      </w:r>
    </w:p>
    <w:tbl>
      <w:tblPr>
        <w:tblW w:w="0" w:type="auto"/>
        <w:jc w:val="center"/>
        <w:tblLook w:val="04A0" w:firstRow="1" w:lastRow="0" w:firstColumn="1" w:lastColumn="0" w:noHBand="0" w:noVBand="1"/>
      </w:tblPr>
      <w:tblGrid>
        <w:gridCol w:w="799"/>
        <w:gridCol w:w="429"/>
        <w:gridCol w:w="919"/>
        <w:gridCol w:w="1540"/>
        <w:gridCol w:w="850"/>
        <w:gridCol w:w="2111"/>
        <w:gridCol w:w="850"/>
        <w:gridCol w:w="429"/>
        <w:gridCol w:w="850"/>
      </w:tblGrid>
      <w:tr w:rsidR="0002717C" w:rsidRPr="008E6BE7" w:rsidTr="001A4F23">
        <w:trPr>
          <w:trHeight w:val="19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1A4F23" w:rsidRPr="001A4F23" w:rsidRDefault="001A4F23" w:rsidP="001A4F23">
            <w:pPr>
              <w:spacing w:after="0" w:line="240" w:lineRule="auto"/>
              <w:jc w:val="center"/>
              <w:rPr>
                <w:rFonts w:ascii="Times New Roman" w:hAnsi="Times New Roman"/>
                <w:b/>
                <w:bCs/>
                <w:sz w:val="18"/>
                <w:szCs w:val="18"/>
              </w:rPr>
            </w:pPr>
            <w:r w:rsidRPr="001A4F23">
              <w:rPr>
                <w:rFonts w:ascii="Times New Roman" w:hAnsi="Times New Roman"/>
                <w:b/>
                <w:bCs/>
                <w:sz w:val="18"/>
                <w:szCs w:val="18"/>
              </w:rPr>
              <w:t xml:space="preserve">Mērķa </w:t>
            </w:r>
          </w:p>
          <w:p w:rsidR="001A4F23" w:rsidRPr="001A4F23" w:rsidRDefault="001A4F23" w:rsidP="001A4F23">
            <w:pPr>
              <w:spacing w:after="0" w:line="240" w:lineRule="auto"/>
              <w:jc w:val="center"/>
              <w:rPr>
                <w:rFonts w:ascii="Times New Roman" w:hAnsi="Times New Roman"/>
                <w:b/>
                <w:bCs/>
                <w:sz w:val="18"/>
                <w:szCs w:val="18"/>
              </w:rPr>
            </w:pPr>
            <w:r w:rsidRPr="001A4F23">
              <w:rPr>
                <w:rFonts w:ascii="Times New Roman" w:hAnsi="Times New Roman"/>
                <w:b/>
                <w:bCs/>
                <w:sz w:val="18"/>
                <w:szCs w:val="18"/>
              </w:rPr>
              <w:t>grupa</w:t>
            </w:r>
          </w:p>
          <w:p w:rsidR="0002717C" w:rsidRPr="008E6BE7" w:rsidRDefault="0002717C" w:rsidP="008A4F88">
            <w:pPr>
              <w:pStyle w:val="tv2131"/>
              <w:ind w:firstLine="0"/>
              <w:jc w:val="center"/>
              <w:rPr>
                <w:b/>
                <w:bCs/>
                <w:color w:val="auto"/>
                <w:sz w:val="18"/>
                <w:szCs w:val="18"/>
              </w:rPr>
            </w:pPr>
          </w:p>
        </w:tc>
        <w:tc>
          <w:tcPr>
            <w:tcW w:w="0" w:type="auto"/>
            <w:gridSpan w:val="8"/>
            <w:tcBorders>
              <w:top w:val="single" w:sz="4" w:space="0" w:color="auto"/>
              <w:left w:val="nil"/>
              <w:bottom w:val="single" w:sz="4" w:space="0" w:color="auto"/>
              <w:right w:val="single" w:sz="4" w:space="0" w:color="auto"/>
            </w:tcBorders>
            <w:shd w:val="clear" w:color="auto" w:fill="92D050"/>
            <w:noWrap/>
            <w:vAlign w:val="center"/>
            <w:hideMark/>
          </w:tcPr>
          <w:p w:rsidR="00101485" w:rsidRPr="008E6BE7" w:rsidRDefault="00101485" w:rsidP="00101485">
            <w:pPr>
              <w:pStyle w:val="tv2131"/>
              <w:ind w:firstLine="0"/>
              <w:jc w:val="center"/>
              <w:rPr>
                <w:b/>
                <w:bCs/>
                <w:color w:val="auto"/>
                <w:sz w:val="18"/>
                <w:szCs w:val="18"/>
              </w:rPr>
            </w:pPr>
            <w:r w:rsidRPr="008E6BE7">
              <w:rPr>
                <w:b/>
                <w:bCs/>
                <w:color w:val="auto"/>
                <w:sz w:val="18"/>
                <w:szCs w:val="18"/>
              </w:rPr>
              <w:t>Bezdarbnieku, kuri iestājas projektā, izglītības līmenis</w:t>
            </w:r>
          </w:p>
        </w:tc>
      </w:tr>
      <w:tr w:rsidR="005A0A2C" w:rsidRPr="008E6BE7" w:rsidTr="001A4F23">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2717C" w:rsidRPr="008E6BE7" w:rsidRDefault="0002717C" w:rsidP="008A4F88">
            <w:pPr>
              <w:pStyle w:val="tv2131"/>
              <w:ind w:firstLine="0"/>
              <w:jc w:val="center"/>
              <w:rPr>
                <w:b/>
                <w:bCs/>
                <w:color w:val="auto"/>
                <w:sz w:val="18"/>
                <w:szCs w:val="18"/>
              </w:rPr>
            </w:pPr>
          </w:p>
        </w:tc>
        <w:tc>
          <w:tcPr>
            <w:tcW w:w="0" w:type="auto"/>
            <w:gridSpan w:val="2"/>
            <w:tcBorders>
              <w:top w:val="single" w:sz="4" w:space="0" w:color="auto"/>
              <w:left w:val="nil"/>
              <w:bottom w:val="single" w:sz="4" w:space="0" w:color="auto"/>
              <w:right w:val="single" w:sz="4" w:space="0" w:color="auto"/>
            </w:tcBorders>
            <w:shd w:val="clear" w:color="auto" w:fill="92D050"/>
            <w:vAlign w:val="center"/>
            <w:hideMark/>
          </w:tcPr>
          <w:p w:rsidR="00101485" w:rsidRPr="00101485" w:rsidRDefault="00101485" w:rsidP="00101485">
            <w:pPr>
              <w:spacing w:after="0" w:line="240" w:lineRule="auto"/>
              <w:jc w:val="center"/>
              <w:rPr>
                <w:rFonts w:ascii="Times New Roman" w:hAnsi="Times New Roman"/>
                <w:b/>
                <w:bCs/>
                <w:sz w:val="18"/>
                <w:szCs w:val="18"/>
              </w:rPr>
            </w:pPr>
            <w:r w:rsidRPr="00101485">
              <w:rPr>
                <w:rFonts w:ascii="Times New Roman" w:hAnsi="Times New Roman"/>
                <w:b/>
                <w:bCs/>
                <w:sz w:val="18"/>
                <w:szCs w:val="18"/>
              </w:rPr>
              <w:t>Nav dokumentāri</w:t>
            </w:r>
          </w:p>
          <w:p w:rsidR="0002717C" w:rsidRPr="00101485" w:rsidRDefault="00101485" w:rsidP="00101485">
            <w:pPr>
              <w:spacing w:after="0" w:line="240" w:lineRule="auto"/>
              <w:jc w:val="center"/>
              <w:rPr>
                <w:rFonts w:ascii="Times New Roman" w:hAnsi="Times New Roman"/>
                <w:sz w:val="28"/>
                <w:szCs w:val="28"/>
              </w:rPr>
            </w:pPr>
            <w:r w:rsidRPr="00101485">
              <w:rPr>
                <w:rFonts w:ascii="Times New Roman" w:hAnsi="Times New Roman"/>
                <w:b/>
                <w:bCs/>
                <w:sz w:val="18"/>
                <w:szCs w:val="18"/>
              </w:rPr>
              <w:t>apliecināta</w:t>
            </w:r>
          </w:p>
        </w:tc>
        <w:tc>
          <w:tcPr>
            <w:tcW w:w="0" w:type="auto"/>
            <w:gridSpan w:val="2"/>
            <w:tcBorders>
              <w:top w:val="single" w:sz="4" w:space="0" w:color="auto"/>
              <w:left w:val="nil"/>
              <w:bottom w:val="single" w:sz="4" w:space="0" w:color="auto"/>
              <w:right w:val="single" w:sz="4" w:space="0" w:color="auto"/>
            </w:tcBorders>
            <w:shd w:val="clear" w:color="auto" w:fill="92D050"/>
            <w:vAlign w:val="center"/>
            <w:hideMark/>
          </w:tcPr>
          <w:p w:rsidR="00101485" w:rsidRPr="00101485" w:rsidRDefault="00101485" w:rsidP="00101485">
            <w:pPr>
              <w:spacing w:after="0" w:line="240" w:lineRule="auto"/>
              <w:jc w:val="center"/>
              <w:rPr>
                <w:rFonts w:ascii="Times New Roman" w:hAnsi="Times New Roman"/>
                <w:b/>
                <w:bCs/>
                <w:sz w:val="18"/>
                <w:szCs w:val="18"/>
              </w:rPr>
            </w:pPr>
            <w:r w:rsidRPr="00101485">
              <w:rPr>
                <w:rFonts w:ascii="Times New Roman" w:hAnsi="Times New Roman"/>
                <w:b/>
                <w:bCs/>
                <w:sz w:val="18"/>
                <w:szCs w:val="18"/>
              </w:rPr>
              <w:t>Sākumskolas vai pamata</w:t>
            </w:r>
          </w:p>
          <w:p w:rsidR="0002717C" w:rsidRPr="00101485" w:rsidRDefault="00101485" w:rsidP="00101485">
            <w:pPr>
              <w:spacing w:after="0" w:line="240" w:lineRule="auto"/>
              <w:jc w:val="center"/>
              <w:rPr>
                <w:rFonts w:ascii="Times New Roman" w:hAnsi="Times New Roman"/>
                <w:b/>
                <w:bCs/>
                <w:sz w:val="18"/>
                <w:szCs w:val="18"/>
              </w:rPr>
            </w:pPr>
            <w:r w:rsidRPr="00101485">
              <w:rPr>
                <w:rFonts w:ascii="Times New Roman" w:hAnsi="Times New Roman"/>
                <w:b/>
                <w:bCs/>
                <w:sz w:val="18"/>
                <w:szCs w:val="18"/>
              </w:rPr>
              <w:t xml:space="preserve"> (ISCED1un ISCED2)</w:t>
            </w:r>
          </w:p>
        </w:tc>
        <w:tc>
          <w:tcPr>
            <w:tcW w:w="0" w:type="auto"/>
            <w:gridSpan w:val="2"/>
            <w:tcBorders>
              <w:top w:val="single" w:sz="4" w:space="0" w:color="auto"/>
              <w:left w:val="nil"/>
              <w:bottom w:val="single" w:sz="4" w:space="0" w:color="auto"/>
              <w:right w:val="single" w:sz="4" w:space="0" w:color="auto"/>
            </w:tcBorders>
            <w:shd w:val="clear" w:color="auto" w:fill="92D050"/>
            <w:vAlign w:val="center"/>
            <w:hideMark/>
          </w:tcPr>
          <w:p w:rsidR="0002717C" w:rsidRPr="00101485" w:rsidRDefault="00101485" w:rsidP="00101485">
            <w:pPr>
              <w:spacing w:after="0" w:line="240" w:lineRule="auto"/>
              <w:jc w:val="center"/>
              <w:rPr>
                <w:rFonts w:ascii="Times New Roman" w:hAnsi="Times New Roman"/>
                <w:b/>
                <w:bCs/>
                <w:sz w:val="18"/>
                <w:szCs w:val="18"/>
              </w:rPr>
            </w:pPr>
            <w:r w:rsidRPr="00101485">
              <w:rPr>
                <w:rFonts w:ascii="Times New Roman" w:hAnsi="Times New Roman"/>
                <w:b/>
                <w:bCs/>
                <w:sz w:val="18"/>
                <w:szCs w:val="18"/>
              </w:rPr>
              <w:t xml:space="preserve">Vidējā, vidējā profesionālā (ISCED3) </w:t>
            </w:r>
            <w:r>
              <w:rPr>
                <w:rFonts w:ascii="Times New Roman" w:hAnsi="Times New Roman"/>
                <w:b/>
                <w:bCs/>
                <w:sz w:val="18"/>
                <w:szCs w:val="18"/>
              </w:rPr>
              <w:t xml:space="preserve"> </w:t>
            </w:r>
            <w:r w:rsidRPr="00101485">
              <w:rPr>
                <w:rFonts w:ascii="Times New Roman" w:hAnsi="Times New Roman"/>
                <w:b/>
                <w:bCs/>
                <w:sz w:val="18"/>
                <w:szCs w:val="18"/>
              </w:rPr>
              <w:t xml:space="preserve">un </w:t>
            </w:r>
            <w:r w:rsidR="009D1269" w:rsidRPr="00101485">
              <w:rPr>
                <w:rFonts w:ascii="Times New Roman" w:hAnsi="Times New Roman"/>
                <w:b/>
                <w:bCs/>
                <w:sz w:val="18"/>
                <w:szCs w:val="18"/>
              </w:rPr>
              <w:t>pēc vidējā</w:t>
            </w:r>
            <w:r w:rsidRPr="00101485">
              <w:rPr>
                <w:rFonts w:ascii="Times New Roman" w:hAnsi="Times New Roman"/>
                <w:b/>
                <w:bCs/>
                <w:sz w:val="18"/>
                <w:szCs w:val="18"/>
              </w:rPr>
              <w:t xml:space="preserve"> (ISCED4)</w:t>
            </w:r>
          </w:p>
        </w:tc>
        <w:tc>
          <w:tcPr>
            <w:tcW w:w="0" w:type="auto"/>
            <w:gridSpan w:val="2"/>
            <w:tcBorders>
              <w:top w:val="single" w:sz="4" w:space="0" w:color="auto"/>
              <w:left w:val="nil"/>
              <w:bottom w:val="single" w:sz="4" w:space="0" w:color="auto"/>
              <w:right w:val="single" w:sz="4" w:space="0" w:color="auto"/>
            </w:tcBorders>
            <w:shd w:val="clear" w:color="auto" w:fill="92D050"/>
            <w:vAlign w:val="center"/>
            <w:hideMark/>
          </w:tcPr>
          <w:p w:rsidR="00101485" w:rsidRPr="00101485" w:rsidRDefault="00101485" w:rsidP="00101485">
            <w:pPr>
              <w:spacing w:after="0" w:line="240" w:lineRule="auto"/>
              <w:jc w:val="center"/>
              <w:rPr>
                <w:rFonts w:ascii="Times New Roman" w:hAnsi="Times New Roman"/>
                <w:b/>
                <w:bCs/>
                <w:sz w:val="18"/>
                <w:szCs w:val="18"/>
              </w:rPr>
            </w:pPr>
            <w:r w:rsidRPr="00101485">
              <w:rPr>
                <w:rFonts w:ascii="Times New Roman" w:hAnsi="Times New Roman"/>
                <w:b/>
                <w:bCs/>
                <w:sz w:val="18"/>
                <w:szCs w:val="18"/>
              </w:rPr>
              <w:t>Augstākā</w:t>
            </w:r>
          </w:p>
          <w:p w:rsidR="0002717C" w:rsidRPr="00101485" w:rsidRDefault="00101485" w:rsidP="00101485">
            <w:pPr>
              <w:spacing w:after="0" w:line="240" w:lineRule="auto"/>
              <w:jc w:val="center"/>
              <w:rPr>
                <w:rFonts w:ascii="Times New Roman" w:hAnsi="Times New Roman"/>
                <w:b/>
                <w:bCs/>
                <w:sz w:val="18"/>
                <w:szCs w:val="18"/>
              </w:rPr>
            </w:pPr>
            <w:r w:rsidRPr="00101485">
              <w:rPr>
                <w:rFonts w:ascii="Times New Roman" w:hAnsi="Times New Roman"/>
                <w:b/>
                <w:bCs/>
                <w:sz w:val="18"/>
                <w:szCs w:val="18"/>
              </w:rPr>
              <w:t>(ISCED5 un ISCED6)</w:t>
            </w:r>
          </w:p>
        </w:tc>
      </w:tr>
      <w:tr w:rsidR="005A0A2C" w:rsidRPr="008E6BE7" w:rsidTr="00101485">
        <w:trPr>
          <w:trHeight w:val="960"/>
          <w:jc w:val="center"/>
        </w:trPr>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2717C" w:rsidRPr="008E6BE7" w:rsidRDefault="0002717C" w:rsidP="001D6804">
            <w:pP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92D050"/>
            <w:textDirection w:val="btLr"/>
            <w:vAlign w:val="center"/>
            <w:hideMark/>
          </w:tcPr>
          <w:p w:rsidR="0002717C" w:rsidRPr="008E6BE7" w:rsidRDefault="0002717C" w:rsidP="008A4F88">
            <w:pPr>
              <w:pStyle w:val="tv2131"/>
              <w:spacing w:line="240" w:lineRule="auto"/>
              <w:ind w:firstLine="301"/>
              <w:jc w:val="center"/>
              <w:rPr>
                <w:bCs/>
                <w:color w:val="auto"/>
                <w:sz w:val="18"/>
                <w:szCs w:val="18"/>
              </w:rPr>
            </w:pPr>
            <w:r w:rsidRPr="008E6BE7">
              <w:rPr>
                <w:bCs/>
                <w:color w:val="auto"/>
                <w:sz w:val="18"/>
                <w:szCs w:val="18"/>
              </w:rPr>
              <w:t>skaits</w:t>
            </w:r>
          </w:p>
        </w:tc>
        <w:tc>
          <w:tcPr>
            <w:tcW w:w="0" w:type="auto"/>
            <w:tcBorders>
              <w:top w:val="nil"/>
              <w:left w:val="nil"/>
              <w:bottom w:val="single" w:sz="4" w:space="0" w:color="auto"/>
              <w:right w:val="single" w:sz="4" w:space="0" w:color="auto"/>
            </w:tcBorders>
            <w:shd w:val="clear" w:color="auto" w:fill="92D050"/>
            <w:vAlign w:val="center"/>
            <w:hideMark/>
          </w:tcPr>
          <w:p w:rsidR="0002717C" w:rsidRPr="008E6BE7" w:rsidRDefault="0002717C" w:rsidP="008A4F88">
            <w:pPr>
              <w:pStyle w:val="tv2131"/>
              <w:spacing w:line="240" w:lineRule="auto"/>
              <w:ind w:left="-164" w:firstLine="0"/>
              <w:jc w:val="center"/>
              <w:rPr>
                <w:bCs/>
                <w:color w:val="auto"/>
                <w:sz w:val="18"/>
                <w:szCs w:val="18"/>
              </w:rPr>
            </w:pPr>
            <w:r w:rsidRPr="008E6BE7">
              <w:rPr>
                <w:bCs/>
                <w:color w:val="auto"/>
                <w:sz w:val="18"/>
                <w:szCs w:val="18"/>
              </w:rPr>
              <w:t>% no faktiski uzsākušo skaita</w:t>
            </w:r>
          </w:p>
        </w:tc>
        <w:tc>
          <w:tcPr>
            <w:tcW w:w="0" w:type="auto"/>
            <w:tcBorders>
              <w:top w:val="nil"/>
              <w:left w:val="nil"/>
              <w:bottom w:val="single" w:sz="4" w:space="0" w:color="auto"/>
              <w:right w:val="single" w:sz="4" w:space="0" w:color="auto"/>
            </w:tcBorders>
            <w:shd w:val="clear" w:color="auto" w:fill="92D050"/>
            <w:textDirection w:val="btLr"/>
            <w:vAlign w:val="center"/>
            <w:hideMark/>
          </w:tcPr>
          <w:p w:rsidR="0002717C" w:rsidRPr="008E6BE7" w:rsidRDefault="0002717C" w:rsidP="008A4F88">
            <w:pPr>
              <w:pStyle w:val="tv2131"/>
              <w:spacing w:line="240" w:lineRule="auto"/>
              <w:ind w:firstLine="301"/>
              <w:jc w:val="center"/>
              <w:rPr>
                <w:bCs/>
                <w:color w:val="auto"/>
                <w:sz w:val="18"/>
                <w:szCs w:val="18"/>
              </w:rPr>
            </w:pPr>
            <w:r w:rsidRPr="008E6BE7">
              <w:rPr>
                <w:bCs/>
                <w:color w:val="auto"/>
                <w:sz w:val="18"/>
                <w:szCs w:val="18"/>
              </w:rPr>
              <w:t>skaits</w:t>
            </w:r>
          </w:p>
        </w:tc>
        <w:tc>
          <w:tcPr>
            <w:tcW w:w="0" w:type="auto"/>
            <w:tcBorders>
              <w:top w:val="nil"/>
              <w:left w:val="nil"/>
              <w:bottom w:val="single" w:sz="4" w:space="0" w:color="auto"/>
              <w:right w:val="single" w:sz="4" w:space="0" w:color="auto"/>
            </w:tcBorders>
            <w:shd w:val="clear" w:color="auto" w:fill="92D050"/>
            <w:vAlign w:val="center"/>
            <w:hideMark/>
          </w:tcPr>
          <w:p w:rsidR="0002717C" w:rsidRPr="008E6BE7" w:rsidRDefault="0002717C" w:rsidP="008A4F88">
            <w:pPr>
              <w:pStyle w:val="tv2131"/>
              <w:spacing w:line="240" w:lineRule="auto"/>
              <w:ind w:left="-164" w:firstLine="0"/>
              <w:jc w:val="center"/>
              <w:rPr>
                <w:bCs/>
                <w:color w:val="auto"/>
                <w:sz w:val="18"/>
                <w:szCs w:val="18"/>
              </w:rPr>
            </w:pPr>
            <w:r w:rsidRPr="008E6BE7">
              <w:rPr>
                <w:bCs/>
                <w:color w:val="auto"/>
                <w:sz w:val="18"/>
                <w:szCs w:val="18"/>
              </w:rPr>
              <w:t>% no faktiski uzsākušo skaita</w:t>
            </w:r>
          </w:p>
        </w:tc>
        <w:tc>
          <w:tcPr>
            <w:tcW w:w="0" w:type="auto"/>
            <w:tcBorders>
              <w:top w:val="nil"/>
              <w:left w:val="nil"/>
              <w:bottom w:val="single" w:sz="4" w:space="0" w:color="auto"/>
              <w:right w:val="single" w:sz="4" w:space="0" w:color="auto"/>
            </w:tcBorders>
            <w:shd w:val="clear" w:color="auto" w:fill="92D050"/>
            <w:textDirection w:val="btLr"/>
            <w:vAlign w:val="center"/>
            <w:hideMark/>
          </w:tcPr>
          <w:p w:rsidR="0002717C" w:rsidRPr="008E6BE7" w:rsidRDefault="0002717C" w:rsidP="008A4F88">
            <w:pPr>
              <w:pStyle w:val="tv2131"/>
              <w:spacing w:line="240" w:lineRule="auto"/>
              <w:ind w:firstLine="301"/>
              <w:jc w:val="center"/>
              <w:rPr>
                <w:bCs/>
                <w:color w:val="auto"/>
                <w:sz w:val="18"/>
                <w:szCs w:val="18"/>
              </w:rPr>
            </w:pPr>
            <w:r w:rsidRPr="008E6BE7">
              <w:rPr>
                <w:bCs/>
                <w:color w:val="auto"/>
                <w:sz w:val="18"/>
                <w:szCs w:val="18"/>
              </w:rPr>
              <w:t>skaits</w:t>
            </w:r>
          </w:p>
        </w:tc>
        <w:tc>
          <w:tcPr>
            <w:tcW w:w="0" w:type="auto"/>
            <w:tcBorders>
              <w:top w:val="nil"/>
              <w:left w:val="nil"/>
              <w:bottom w:val="single" w:sz="4" w:space="0" w:color="auto"/>
              <w:right w:val="single" w:sz="4" w:space="0" w:color="auto"/>
            </w:tcBorders>
            <w:shd w:val="clear" w:color="auto" w:fill="92D050"/>
            <w:vAlign w:val="center"/>
            <w:hideMark/>
          </w:tcPr>
          <w:p w:rsidR="0002717C" w:rsidRPr="008E6BE7" w:rsidRDefault="0002717C" w:rsidP="008A4F88">
            <w:pPr>
              <w:pStyle w:val="tv2131"/>
              <w:spacing w:line="240" w:lineRule="auto"/>
              <w:ind w:left="-164" w:firstLine="0"/>
              <w:jc w:val="center"/>
              <w:rPr>
                <w:bCs/>
                <w:color w:val="auto"/>
                <w:sz w:val="18"/>
                <w:szCs w:val="18"/>
              </w:rPr>
            </w:pPr>
            <w:r w:rsidRPr="008E6BE7">
              <w:rPr>
                <w:bCs/>
                <w:color w:val="auto"/>
                <w:sz w:val="18"/>
                <w:szCs w:val="18"/>
              </w:rPr>
              <w:t>% no faktiski uzsākušo skaita</w:t>
            </w:r>
          </w:p>
        </w:tc>
        <w:tc>
          <w:tcPr>
            <w:tcW w:w="0" w:type="auto"/>
            <w:tcBorders>
              <w:top w:val="nil"/>
              <w:left w:val="nil"/>
              <w:bottom w:val="single" w:sz="4" w:space="0" w:color="auto"/>
              <w:right w:val="single" w:sz="4" w:space="0" w:color="auto"/>
            </w:tcBorders>
            <w:shd w:val="clear" w:color="auto" w:fill="92D050"/>
            <w:textDirection w:val="btLr"/>
            <w:vAlign w:val="center"/>
            <w:hideMark/>
          </w:tcPr>
          <w:p w:rsidR="0002717C" w:rsidRPr="008E6BE7" w:rsidRDefault="0002717C" w:rsidP="008A4F88">
            <w:pPr>
              <w:pStyle w:val="tv2131"/>
              <w:spacing w:line="240" w:lineRule="auto"/>
              <w:ind w:firstLine="301"/>
              <w:jc w:val="center"/>
              <w:rPr>
                <w:bCs/>
                <w:color w:val="auto"/>
                <w:sz w:val="18"/>
                <w:szCs w:val="18"/>
              </w:rPr>
            </w:pPr>
            <w:r w:rsidRPr="008E6BE7">
              <w:rPr>
                <w:bCs/>
                <w:color w:val="auto"/>
                <w:sz w:val="18"/>
                <w:szCs w:val="18"/>
              </w:rPr>
              <w:t>skaits</w:t>
            </w:r>
          </w:p>
        </w:tc>
        <w:tc>
          <w:tcPr>
            <w:tcW w:w="0" w:type="auto"/>
            <w:tcBorders>
              <w:top w:val="nil"/>
              <w:left w:val="nil"/>
              <w:bottom w:val="single" w:sz="4" w:space="0" w:color="auto"/>
              <w:right w:val="single" w:sz="4" w:space="0" w:color="auto"/>
            </w:tcBorders>
            <w:shd w:val="clear" w:color="auto" w:fill="92D050"/>
            <w:vAlign w:val="center"/>
            <w:hideMark/>
          </w:tcPr>
          <w:p w:rsidR="0002717C" w:rsidRPr="008E6BE7" w:rsidRDefault="0002717C" w:rsidP="008A4F88">
            <w:pPr>
              <w:pStyle w:val="tv2131"/>
              <w:spacing w:line="240" w:lineRule="auto"/>
              <w:ind w:left="-164" w:firstLine="0"/>
              <w:jc w:val="center"/>
              <w:rPr>
                <w:bCs/>
                <w:color w:val="auto"/>
                <w:sz w:val="18"/>
                <w:szCs w:val="18"/>
              </w:rPr>
            </w:pPr>
            <w:r w:rsidRPr="008E6BE7">
              <w:rPr>
                <w:bCs/>
                <w:color w:val="auto"/>
                <w:sz w:val="18"/>
                <w:szCs w:val="18"/>
              </w:rPr>
              <w:t>% no faktiski uzsākušo skaita</w:t>
            </w:r>
          </w:p>
        </w:tc>
      </w:tr>
      <w:tr w:rsidR="005A0A2C" w:rsidRPr="008E6BE7" w:rsidTr="00101485">
        <w:trPr>
          <w:trHeight w:val="48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717C" w:rsidRPr="008E6BE7" w:rsidRDefault="008A4F88" w:rsidP="005A0A2C">
            <w:pPr>
              <w:pStyle w:val="tv2131"/>
              <w:ind w:firstLine="63"/>
              <w:jc w:val="center"/>
              <w:rPr>
                <w:b/>
                <w:bCs/>
                <w:color w:val="auto"/>
                <w:sz w:val="18"/>
                <w:szCs w:val="18"/>
              </w:rPr>
            </w:pPr>
            <w:r w:rsidRPr="008E6BE7">
              <w:rPr>
                <w:b/>
                <w:bCs/>
                <w:color w:val="auto"/>
                <w:sz w:val="18"/>
                <w:szCs w:val="18"/>
              </w:rPr>
              <w:t>KOPĀ</w:t>
            </w:r>
          </w:p>
        </w:tc>
        <w:tc>
          <w:tcPr>
            <w:tcW w:w="0" w:type="auto"/>
            <w:tcBorders>
              <w:top w:val="nil"/>
              <w:left w:val="nil"/>
              <w:bottom w:val="single" w:sz="4" w:space="0" w:color="auto"/>
              <w:right w:val="single" w:sz="4" w:space="0" w:color="auto"/>
            </w:tcBorders>
            <w:shd w:val="clear" w:color="auto" w:fill="auto"/>
            <w:vAlign w:val="center"/>
            <w:hideMark/>
          </w:tcPr>
          <w:p w:rsidR="0002717C" w:rsidRPr="008E6BE7" w:rsidRDefault="0002717C" w:rsidP="005A0A2C">
            <w:pPr>
              <w:pStyle w:val="tv2131"/>
              <w:ind w:firstLine="6"/>
              <w:jc w:val="center"/>
              <w:rPr>
                <w:b/>
                <w:bCs/>
                <w:color w:val="auto"/>
                <w:sz w:val="18"/>
                <w:szCs w:val="18"/>
              </w:rPr>
            </w:pPr>
            <w:r w:rsidRPr="008E6BE7">
              <w:rPr>
                <w:b/>
                <w:bCs/>
                <w:color w:val="auto"/>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02717C" w:rsidRPr="008E6BE7" w:rsidRDefault="0002717C" w:rsidP="00426C3B">
            <w:pPr>
              <w:pStyle w:val="tv2131"/>
              <w:ind w:firstLine="0"/>
              <w:jc w:val="center"/>
              <w:rPr>
                <w:b/>
                <w:bCs/>
                <w:color w:val="auto"/>
                <w:sz w:val="18"/>
                <w:szCs w:val="18"/>
              </w:rPr>
            </w:pPr>
            <w:r w:rsidRPr="008E6BE7">
              <w:rPr>
                <w:b/>
                <w:bCs/>
                <w:color w:val="auto"/>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5A0A2C" w:rsidRPr="005A0A2C" w:rsidRDefault="005A0A2C" w:rsidP="005A0A2C">
            <w:pPr>
              <w:pStyle w:val="tv2131"/>
              <w:spacing w:line="240" w:lineRule="auto"/>
              <w:ind w:firstLine="0"/>
              <w:jc w:val="center"/>
              <w:rPr>
                <w:b/>
                <w:color w:val="auto"/>
                <w:sz w:val="18"/>
                <w:szCs w:val="18"/>
              </w:rPr>
            </w:pPr>
            <w:r w:rsidRPr="005A0A2C">
              <w:rPr>
                <w:b/>
                <w:color w:val="auto"/>
                <w:sz w:val="18"/>
                <w:szCs w:val="18"/>
              </w:rPr>
              <w:t xml:space="preserve">46 </w:t>
            </w:r>
            <w:r w:rsidRPr="00067502">
              <w:rPr>
                <w:bCs/>
                <w:color w:val="auto"/>
                <w:sz w:val="18"/>
                <w:szCs w:val="18"/>
              </w:rPr>
              <w:t xml:space="preserve">(t.sk. pamatizglītība - 41; profesionālā </w:t>
            </w:r>
            <w:r w:rsidRPr="00067502">
              <w:rPr>
                <w:bCs/>
                <w:color w:val="auto"/>
                <w:sz w:val="18"/>
                <w:szCs w:val="18"/>
              </w:rPr>
              <w:lastRenderedPageBreak/>
              <w:t>pamatizglītība - 5)</w:t>
            </w:r>
          </w:p>
          <w:p w:rsidR="00574D61" w:rsidRPr="008E6BE7" w:rsidRDefault="00574D61" w:rsidP="005A0A2C">
            <w:pPr>
              <w:pStyle w:val="tv2131"/>
              <w:ind w:firstLine="301"/>
              <w:jc w:val="center"/>
              <w:rPr>
                <w:b/>
                <w:bCs/>
                <w:color w:val="auto"/>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2717C" w:rsidRPr="008E6BE7" w:rsidRDefault="005A0A2C" w:rsidP="005A0A2C">
            <w:pPr>
              <w:pStyle w:val="tv2131"/>
              <w:ind w:firstLine="0"/>
              <w:jc w:val="center"/>
              <w:rPr>
                <w:b/>
                <w:bCs/>
                <w:color w:val="auto"/>
                <w:sz w:val="18"/>
                <w:szCs w:val="18"/>
              </w:rPr>
            </w:pPr>
            <w:r>
              <w:rPr>
                <w:b/>
                <w:bCs/>
                <w:color w:val="auto"/>
                <w:sz w:val="18"/>
                <w:szCs w:val="18"/>
              </w:rPr>
              <w:lastRenderedPageBreak/>
              <w:t>25,</w:t>
            </w:r>
            <w:r w:rsidR="00574D61">
              <w:rPr>
                <w:b/>
                <w:bCs/>
                <w:color w:val="auto"/>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02717C" w:rsidRPr="005A0A2C" w:rsidRDefault="00574D61" w:rsidP="005A0A2C">
            <w:pPr>
              <w:pStyle w:val="tv2131"/>
              <w:spacing w:line="240" w:lineRule="auto"/>
              <w:ind w:firstLine="0"/>
              <w:jc w:val="center"/>
              <w:rPr>
                <w:b/>
                <w:color w:val="auto"/>
                <w:sz w:val="18"/>
                <w:szCs w:val="18"/>
              </w:rPr>
            </w:pPr>
            <w:r w:rsidRPr="005A0A2C">
              <w:rPr>
                <w:b/>
                <w:color w:val="auto"/>
                <w:sz w:val="18"/>
                <w:szCs w:val="18"/>
              </w:rPr>
              <w:t>117</w:t>
            </w:r>
          </w:p>
          <w:p w:rsidR="00574D61" w:rsidRPr="00067502" w:rsidRDefault="00574D61" w:rsidP="005A0A2C">
            <w:pPr>
              <w:pStyle w:val="tv2131"/>
              <w:spacing w:line="240" w:lineRule="auto"/>
              <w:ind w:firstLine="0"/>
              <w:jc w:val="center"/>
              <w:rPr>
                <w:bCs/>
                <w:color w:val="auto"/>
                <w:sz w:val="18"/>
                <w:szCs w:val="18"/>
              </w:rPr>
            </w:pPr>
            <w:r w:rsidRPr="00067502">
              <w:rPr>
                <w:bCs/>
                <w:color w:val="auto"/>
                <w:sz w:val="18"/>
                <w:szCs w:val="18"/>
              </w:rPr>
              <w:t>(t.sk.</w:t>
            </w:r>
            <w:r w:rsidR="005A0A2C" w:rsidRPr="00067502">
              <w:rPr>
                <w:bCs/>
                <w:color w:val="auto"/>
                <w:sz w:val="18"/>
                <w:szCs w:val="18"/>
              </w:rPr>
              <w:t xml:space="preserve"> </w:t>
            </w:r>
            <w:r w:rsidRPr="00067502">
              <w:rPr>
                <w:bCs/>
                <w:color w:val="auto"/>
                <w:sz w:val="18"/>
                <w:szCs w:val="18"/>
              </w:rPr>
              <w:t xml:space="preserve">vispārējā vidējā </w:t>
            </w:r>
            <w:r w:rsidR="005A0A2C" w:rsidRPr="00067502">
              <w:rPr>
                <w:bCs/>
                <w:color w:val="auto"/>
                <w:sz w:val="18"/>
                <w:szCs w:val="18"/>
              </w:rPr>
              <w:t xml:space="preserve">- </w:t>
            </w:r>
            <w:r w:rsidRPr="00067502">
              <w:rPr>
                <w:bCs/>
                <w:color w:val="auto"/>
                <w:sz w:val="18"/>
                <w:szCs w:val="18"/>
              </w:rPr>
              <w:t xml:space="preserve">47; vispārējā vidējā pēc </w:t>
            </w:r>
            <w:r w:rsidRPr="00067502">
              <w:rPr>
                <w:bCs/>
                <w:color w:val="auto"/>
                <w:sz w:val="18"/>
                <w:szCs w:val="18"/>
              </w:rPr>
              <w:lastRenderedPageBreak/>
              <w:t xml:space="preserve">arodizglītības </w:t>
            </w:r>
            <w:r w:rsidR="005A0A2C" w:rsidRPr="00067502">
              <w:rPr>
                <w:bCs/>
                <w:color w:val="auto"/>
                <w:sz w:val="18"/>
                <w:szCs w:val="18"/>
              </w:rPr>
              <w:t xml:space="preserve">- 2; arodizglītība - </w:t>
            </w:r>
            <w:r w:rsidRPr="00067502">
              <w:rPr>
                <w:bCs/>
                <w:color w:val="auto"/>
                <w:sz w:val="18"/>
                <w:szCs w:val="18"/>
              </w:rPr>
              <w:t>8; profesionālā vidējā</w:t>
            </w:r>
            <w:r w:rsidR="005A0A2C" w:rsidRPr="00067502">
              <w:rPr>
                <w:bCs/>
                <w:color w:val="auto"/>
                <w:sz w:val="18"/>
                <w:szCs w:val="18"/>
              </w:rPr>
              <w:t xml:space="preserve"> -</w:t>
            </w:r>
            <w:r w:rsidRPr="00067502">
              <w:rPr>
                <w:bCs/>
                <w:color w:val="auto"/>
                <w:sz w:val="18"/>
                <w:szCs w:val="18"/>
              </w:rPr>
              <w:t xml:space="preserve"> 48; profesionālā izglītība pēc vispārējās vidējās </w:t>
            </w:r>
            <w:r w:rsidR="005A0A2C" w:rsidRPr="00067502">
              <w:rPr>
                <w:bCs/>
                <w:color w:val="auto"/>
                <w:sz w:val="18"/>
                <w:szCs w:val="18"/>
              </w:rPr>
              <w:t xml:space="preserve">- </w:t>
            </w:r>
            <w:r w:rsidRPr="00067502">
              <w:rPr>
                <w:bCs/>
                <w:color w:val="auto"/>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02717C" w:rsidRPr="008E6BE7" w:rsidRDefault="005A0A2C" w:rsidP="005A0A2C">
            <w:pPr>
              <w:pStyle w:val="tv2131"/>
              <w:ind w:hanging="55"/>
              <w:jc w:val="center"/>
              <w:rPr>
                <w:b/>
                <w:bCs/>
                <w:color w:val="auto"/>
                <w:sz w:val="18"/>
                <w:szCs w:val="18"/>
              </w:rPr>
            </w:pPr>
            <w:r>
              <w:rPr>
                <w:b/>
                <w:bCs/>
                <w:color w:val="auto"/>
                <w:sz w:val="18"/>
                <w:szCs w:val="18"/>
              </w:rPr>
              <w:lastRenderedPageBreak/>
              <w:t>64,</w:t>
            </w:r>
            <w:r w:rsidR="00574D61">
              <w:rPr>
                <w:b/>
                <w:bCs/>
                <w:color w:val="auto"/>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02717C" w:rsidRPr="008E6BE7" w:rsidRDefault="0002717C" w:rsidP="005A0A2C">
            <w:pPr>
              <w:pStyle w:val="tv2131"/>
              <w:ind w:hanging="97"/>
              <w:jc w:val="center"/>
              <w:rPr>
                <w:b/>
                <w:bCs/>
                <w:color w:val="auto"/>
                <w:sz w:val="18"/>
                <w:szCs w:val="18"/>
              </w:rPr>
            </w:pPr>
            <w:r w:rsidRPr="008E6BE7">
              <w:rPr>
                <w:b/>
                <w:bCs/>
                <w:color w:val="auto"/>
                <w:sz w:val="18"/>
                <w:szCs w:val="18"/>
              </w:rPr>
              <w:t>18</w:t>
            </w:r>
          </w:p>
        </w:tc>
        <w:tc>
          <w:tcPr>
            <w:tcW w:w="0" w:type="auto"/>
            <w:tcBorders>
              <w:top w:val="nil"/>
              <w:left w:val="nil"/>
              <w:bottom w:val="single" w:sz="4" w:space="0" w:color="auto"/>
              <w:right w:val="single" w:sz="4" w:space="0" w:color="auto"/>
            </w:tcBorders>
            <w:shd w:val="clear" w:color="auto" w:fill="auto"/>
            <w:vAlign w:val="center"/>
            <w:hideMark/>
          </w:tcPr>
          <w:p w:rsidR="0002717C" w:rsidRPr="008E6BE7" w:rsidRDefault="0002717C" w:rsidP="005A0A2C">
            <w:pPr>
              <w:pStyle w:val="tv2131"/>
              <w:ind w:hanging="12"/>
              <w:jc w:val="center"/>
              <w:rPr>
                <w:b/>
                <w:bCs/>
                <w:color w:val="auto"/>
                <w:sz w:val="18"/>
                <w:szCs w:val="18"/>
              </w:rPr>
            </w:pPr>
            <w:r w:rsidRPr="008E6BE7">
              <w:rPr>
                <w:b/>
                <w:bCs/>
                <w:color w:val="auto"/>
                <w:sz w:val="18"/>
                <w:szCs w:val="18"/>
              </w:rPr>
              <w:t>10</w:t>
            </w:r>
          </w:p>
        </w:tc>
      </w:tr>
    </w:tbl>
    <w:p w:rsidR="00C4245D" w:rsidRPr="008E6BE7" w:rsidRDefault="00C4245D" w:rsidP="00CE7F2B">
      <w:pPr>
        <w:tabs>
          <w:tab w:val="left" w:pos="709"/>
        </w:tabs>
        <w:spacing w:after="0" w:line="240" w:lineRule="auto"/>
        <w:ind w:left="720"/>
        <w:jc w:val="both"/>
        <w:rPr>
          <w:rFonts w:ascii="Times New Roman" w:hAnsi="Times New Roman"/>
          <w:sz w:val="28"/>
          <w:szCs w:val="28"/>
          <w:lang w:eastAsia="ar-SA"/>
        </w:rPr>
      </w:pPr>
    </w:p>
    <w:p w:rsidR="00C4245D" w:rsidRPr="008E6BE7" w:rsidRDefault="005060D7" w:rsidP="00CE7F2B">
      <w:pPr>
        <w:spacing w:after="0" w:line="240" w:lineRule="auto"/>
        <w:ind w:left="142" w:firstLine="578"/>
        <w:jc w:val="both"/>
        <w:rPr>
          <w:rFonts w:ascii="Times New Roman" w:hAnsi="Times New Roman"/>
          <w:sz w:val="28"/>
          <w:szCs w:val="28"/>
        </w:rPr>
      </w:pPr>
      <w:r w:rsidRPr="008E6BE7">
        <w:rPr>
          <w:rFonts w:ascii="Times New Roman" w:hAnsi="Times New Roman"/>
          <w:sz w:val="28"/>
          <w:szCs w:val="28"/>
        </w:rPr>
        <w:t xml:space="preserve">Lai nodrošinātu sabiedrību ar aktuālu informāciju par </w:t>
      </w:r>
      <w:proofErr w:type="spellStart"/>
      <w:r w:rsidR="00FE502E" w:rsidRPr="008E6BE7">
        <w:rPr>
          <w:rFonts w:ascii="Times New Roman" w:hAnsi="Times New Roman"/>
          <w:sz w:val="28"/>
          <w:szCs w:val="28"/>
        </w:rPr>
        <w:t>i</w:t>
      </w:r>
      <w:r w:rsidRPr="008E6BE7">
        <w:rPr>
          <w:rFonts w:ascii="Times New Roman" w:hAnsi="Times New Roman"/>
          <w:sz w:val="28"/>
          <w:szCs w:val="28"/>
        </w:rPr>
        <w:t>zmēģinājumproj</w:t>
      </w:r>
      <w:r w:rsidR="007C20D9" w:rsidRPr="008E6BE7">
        <w:rPr>
          <w:rFonts w:ascii="Times New Roman" w:hAnsi="Times New Roman"/>
          <w:sz w:val="28"/>
          <w:szCs w:val="28"/>
        </w:rPr>
        <w:t>ekta</w:t>
      </w:r>
      <w:proofErr w:type="spellEnd"/>
      <w:r w:rsidR="007C20D9" w:rsidRPr="008E6BE7">
        <w:rPr>
          <w:rFonts w:ascii="Times New Roman" w:hAnsi="Times New Roman"/>
          <w:sz w:val="28"/>
          <w:szCs w:val="28"/>
        </w:rPr>
        <w:t xml:space="preserve"> īstenošanas uzsākšanu, 2015. gada 20. oktobrī</w:t>
      </w:r>
      <w:r w:rsidRPr="008E6BE7">
        <w:rPr>
          <w:rFonts w:ascii="Times New Roman" w:hAnsi="Times New Roman"/>
          <w:sz w:val="28"/>
          <w:szCs w:val="28"/>
        </w:rPr>
        <w:t xml:space="preserve"> </w:t>
      </w:r>
      <w:r w:rsidR="007C20D9" w:rsidRPr="008E6BE7">
        <w:rPr>
          <w:rFonts w:ascii="Times New Roman" w:hAnsi="Times New Roman"/>
          <w:sz w:val="28"/>
          <w:szCs w:val="28"/>
        </w:rPr>
        <w:t>NVA</w:t>
      </w:r>
      <w:r w:rsidRPr="008E6BE7">
        <w:rPr>
          <w:rFonts w:ascii="Times New Roman" w:hAnsi="Times New Roman"/>
          <w:sz w:val="28"/>
          <w:szCs w:val="28"/>
        </w:rPr>
        <w:t xml:space="preserve"> </w:t>
      </w:r>
      <w:r w:rsidR="00406475">
        <w:rPr>
          <w:rFonts w:ascii="Times New Roman" w:hAnsi="Times New Roman"/>
          <w:sz w:val="28"/>
          <w:szCs w:val="28"/>
        </w:rPr>
        <w:t xml:space="preserve">savā </w:t>
      </w:r>
      <w:r w:rsidRPr="008E6BE7">
        <w:rPr>
          <w:rFonts w:ascii="Times New Roman" w:hAnsi="Times New Roman"/>
          <w:sz w:val="28"/>
          <w:szCs w:val="28"/>
        </w:rPr>
        <w:t xml:space="preserve">mājaslapā </w:t>
      </w:r>
      <w:r w:rsidR="00406475">
        <w:rPr>
          <w:rFonts w:ascii="Times New Roman" w:hAnsi="Times New Roman"/>
          <w:sz w:val="28"/>
          <w:szCs w:val="28"/>
        </w:rPr>
        <w:t>publicēja</w:t>
      </w:r>
      <w:r w:rsidRPr="008E6BE7">
        <w:rPr>
          <w:rFonts w:ascii="Times New Roman" w:hAnsi="Times New Roman"/>
          <w:sz w:val="28"/>
          <w:szCs w:val="28"/>
        </w:rPr>
        <w:t xml:space="preserve"> ar </w:t>
      </w:r>
      <w:proofErr w:type="spellStart"/>
      <w:r w:rsidR="00FE502E" w:rsidRPr="008E6BE7">
        <w:rPr>
          <w:rFonts w:ascii="Times New Roman" w:hAnsi="Times New Roman"/>
          <w:sz w:val="28"/>
          <w:szCs w:val="28"/>
        </w:rPr>
        <w:t>i</w:t>
      </w:r>
      <w:r w:rsidR="00406475">
        <w:rPr>
          <w:rFonts w:ascii="Times New Roman" w:hAnsi="Times New Roman"/>
          <w:sz w:val="28"/>
          <w:szCs w:val="28"/>
        </w:rPr>
        <w:t>zmēģinājumprojektu</w:t>
      </w:r>
      <w:proofErr w:type="spellEnd"/>
      <w:r w:rsidR="00406475">
        <w:rPr>
          <w:rFonts w:ascii="Times New Roman" w:hAnsi="Times New Roman"/>
          <w:sz w:val="28"/>
          <w:szCs w:val="28"/>
        </w:rPr>
        <w:t xml:space="preserve"> saistītu informāciju. Bezdarbniekus informēja</w:t>
      </w:r>
      <w:r w:rsidRPr="008E6BE7">
        <w:rPr>
          <w:rFonts w:ascii="Times New Roman" w:hAnsi="Times New Roman"/>
          <w:sz w:val="28"/>
          <w:szCs w:val="28"/>
        </w:rPr>
        <w:t xml:space="preserve">, ka atšķirībā no bezdarbnieku profesionālajā un neformālajā izglītībā izmantotās </w:t>
      </w:r>
      <w:r w:rsidR="004C1793" w:rsidRPr="008E6BE7">
        <w:rPr>
          <w:rFonts w:ascii="Times New Roman" w:hAnsi="Times New Roman"/>
          <w:sz w:val="28"/>
          <w:szCs w:val="28"/>
        </w:rPr>
        <w:t xml:space="preserve">apmācību </w:t>
      </w:r>
      <w:r w:rsidRPr="008E6BE7">
        <w:rPr>
          <w:rFonts w:ascii="Times New Roman" w:hAnsi="Times New Roman"/>
          <w:sz w:val="28"/>
          <w:szCs w:val="28"/>
        </w:rPr>
        <w:t xml:space="preserve">kuponu metodes, </w:t>
      </w:r>
      <w:proofErr w:type="spellStart"/>
      <w:r w:rsidR="00FE502E" w:rsidRPr="008E6BE7">
        <w:rPr>
          <w:rFonts w:ascii="Times New Roman" w:hAnsi="Times New Roman"/>
          <w:sz w:val="28"/>
          <w:szCs w:val="28"/>
        </w:rPr>
        <w:t>i</w:t>
      </w:r>
      <w:r w:rsidRPr="008E6BE7">
        <w:rPr>
          <w:rFonts w:ascii="Times New Roman" w:hAnsi="Times New Roman"/>
          <w:sz w:val="28"/>
          <w:szCs w:val="28"/>
        </w:rPr>
        <w:t>zmēģinājumprojektā</w:t>
      </w:r>
      <w:proofErr w:type="spellEnd"/>
      <w:r w:rsidRPr="008E6BE7">
        <w:rPr>
          <w:rFonts w:ascii="Times New Roman" w:hAnsi="Times New Roman"/>
          <w:sz w:val="28"/>
          <w:szCs w:val="28"/>
        </w:rPr>
        <w:t xml:space="preserve"> grupu komplektēšanu veiks </w:t>
      </w:r>
      <w:r w:rsidR="007C20D9" w:rsidRPr="008E6BE7">
        <w:rPr>
          <w:rFonts w:ascii="Times New Roman" w:hAnsi="Times New Roman"/>
          <w:sz w:val="28"/>
          <w:szCs w:val="28"/>
        </w:rPr>
        <w:t xml:space="preserve">NVA </w:t>
      </w:r>
      <w:r w:rsidRPr="008E6BE7">
        <w:rPr>
          <w:rFonts w:ascii="Times New Roman" w:hAnsi="Times New Roman"/>
          <w:sz w:val="28"/>
          <w:szCs w:val="28"/>
        </w:rPr>
        <w:t xml:space="preserve">sadarbībā ar izglītības iestādēm. </w:t>
      </w:r>
      <w:r w:rsidR="00406475">
        <w:rPr>
          <w:rFonts w:ascii="Times New Roman" w:hAnsi="Times New Roman"/>
          <w:sz w:val="28"/>
          <w:szCs w:val="28"/>
        </w:rPr>
        <w:t>Tāpat NVA darbinieki b</w:t>
      </w:r>
      <w:r w:rsidRPr="008E6BE7">
        <w:rPr>
          <w:rFonts w:ascii="Times New Roman" w:hAnsi="Times New Roman"/>
          <w:sz w:val="28"/>
          <w:szCs w:val="28"/>
        </w:rPr>
        <w:t xml:space="preserve">ezdarbniekiem </w:t>
      </w:r>
      <w:r w:rsidR="00406475">
        <w:rPr>
          <w:rFonts w:ascii="Times New Roman" w:hAnsi="Times New Roman"/>
          <w:sz w:val="28"/>
          <w:szCs w:val="28"/>
        </w:rPr>
        <w:t>sniedza informāciju</w:t>
      </w:r>
      <w:r w:rsidRPr="008E6BE7">
        <w:rPr>
          <w:rFonts w:ascii="Times New Roman" w:hAnsi="Times New Roman"/>
          <w:sz w:val="28"/>
          <w:szCs w:val="28"/>
        </w:rPr>
        <w:t xml:space="preserve"> par </w:t>
      </w:r>
      <w:r w:rsidR="0055076B" w:rsidRPr="008E6BE7">
        <w:rPr>
          <w:rFonts w:ascii="Times New Roman" w:hAnsi="Times New Roman"/>
          <w:sz w:val="28"/>
          <w:szCs w:val="28"/>
        </w:rPr>
        <w:t>izglītības iestādēm</w:t>
      </w:r>
      <w:r w:rsidR="00406475">
        <w:rPr>
          <w:rFonts w:ascii="Times New Roman" w:hAnsi="Times New Roman"/>
          <w:sz w:val="28"/>
          <w:szCs w:val="28"/>
        </w:rPr>
        <w:t>, kuras iesaistījās</w:t>
      </w:r>
      <w:r w:rsidR="006E436C">
        <w:rPr>
          <w:rFonts w:ascii="Times New Roman" w:hAnsi="Times New Roman"/>
          <w:sz w:val="28"/>
          <w:szCs w:val="28"/>
        </w:rPr>
        <w:t xml:space="preserve"> </w:t>
      </w:r>
      <w:proofErr w:type="spellStart"/>
      <w:r w:rsidR="006E436C" w:rsidRPr="008E6BE7">
        <w:rPr>
          <w:rFonts w:ascii="Times New Roman" w:hAnsi="Times New Roman"/>
          <w:sz w:val="28"/>
          <w:szCs w:val="28"/>
        </w:rPr>
        <w:t>izmēģinājumprojekta</w:t>
      </w:r>
      <w:proofErr w:type="spellEnd"/>
      <w:r w:rsidR="006E436C">
        <w:rPr>
          <w:rFonts w:ascii="Times New Roman" w:hAnsi="Times New Roman"/>
          <w:sz w:val="28"/>
          <w:szCs w:val="28"/>
        </w:rPr>
        <w:t xml:space="preserve"> īstenošanā</w:t>
      </w:r>
      <w:r w:rsidR="0055076B" w:rsidRPr="008E6BE7">
        <w:rPr>
          <w:rFonts w:ascii="Times New Roman" w:hAnsi="Times New Roman"/>
          <w:sz w:val="28"/>
          <w:szCs w:val="28"/>
        </w:rPr>
        <w:t xml:space="preserve">. </w:t>
      </w:r>
    </w:p>
    <w:p w:rsidR="005060D7" w:rsidRPr="008E6BE7" w:rsidRDefault="005060D7" w:rsidP="00CE7F2B">
      <w:pPr>
        <w:spacing w:after="0" w:line="240" w:lineRule="auto"/>
        <w:ind w:left="142" w:firstLine="578"/>
        <w:jc w:val="both"/>
        <w:rPr>
          <w:rFonts w:ascii="Times New Roman" w:hAnsi="Times New Roman"/>
          <w:sz w:val="28"/>
          <w:szCs w:val="28"/>
        </w:rPr>
      </w:pPr>
      <w:r w:rsidRPr="008E6BE7">
        <w:rPr>
          <w:rFonts w:ascii="Times New Roman" w:hAnsi="Times New Roman"/>
          <w:sz w:val="28"/>
          <w:szCs w:val="28"/>
        </w:rPr>
        <w:t xml:space="preserve">Papildus </w:t>
      </w:r>
      <w:r w:rsidR="00220F1A">
        <w:rPr>
          <w:rFonts w:ascii="Times New Roman" w:hAnsi="Times New Roman"/>
          <w:sz w:val="28"/>
          <w:szCs w:val="28"/>
        </w:rPr>
        <w:t xml:space="preserve">NVA </w:t>
      </w:r>
      <w:r w:rsidRPr="008E6BE7">
        <w:rPr>
          <w:rFonts w:ascii="Times New Roman" w:hAnsi="Times New Roman"/>
          <w:sz w:val="28"/>
          <w:szCs w:val="28"/>
        </w:rPr>
        <w:t xml:space="preserve">izglītības iestādēs </w:t>
      </w:r>
      <w:r w:rsidR="00220F1A">
        <w:rPr>
          <w:rFonts w:ascii="Times New Roman" w:hAnsi="Times New Roman"/>
          <w:sz w:val="28"/>
          <w:szCs w:val="28"/>
        </w:rPr>
        <w:t>izvietoja informatīvos materiālus</w:t>
      </w:r>
      <w:r w:rsidRPr="008E6BE7">
        <w:rPr>
          <w:rFonts w:ascii="Times New Roman" w:hAnsi="Times New Roman"/>
          <w:sz w:val="28"/>
          <w:szCs w:val="28"/>
        </w:rPr>
        <w:t xml:space="preserve">, lai informētu sabiedrību par to, ka </w:t>
      </w:r>
      <w:proofErr w:type="spellStart"/>
      <w:r w:rsidR="00FE502E" w:rsidRPr="008E6BE7">
        <w:rPr>
          <w:rFonts w:ascii="Times New Roman" w:hAnsi="Times New Roman"/>
          <w:sz w:val="28"/>
          <w:szCs w:val="28"/>
        </w:rPr>
        <w:t>i</w:t>
      </w:r>
      <w:r w:rsidRPr="008E6BE7">
        <w:rPr>
          <w:rFonts w:ascii="Times New Roman" w:hAnsi="Times New Roman"/>
          <w:sz w:val="28"/>
          <w:szCs w:val="28"/>
        </w:rPr>
        <w:t>zmēģinājumprojekts</w:t>
      </w:r>
      <w:proofErr w:type="spellEnd"/>
      <w:r w:rsidRPr="008E6BE7">
        <w:rPr>
          <w:rFonts w:ascii="Times New Roman" w:hAnsi="Times New Roman"/>
          <w:sz w:val="28"/>
          <w:szCs w:val="28"/>
        </w:rPr>
        <w:t xml:space="preserve"> </w:t>
      </w:r>
      <w:r w:rsidR="00220F1A">
        <w:rPr>
          <w:rFonts w:ascii="Times New Roman" w:hAnsi="Times New Roman"/>
          <w:sz w:val="28"/>
          <w:szCs w:val="28"/>
        </w:rPr>
        <w:t>noritēja</w:t>
      </w:r>
      <w:r w:rsidRPr="008E6BE7">
        <w:rPr>
          <w:rFonts w:ascii="Times New Roman" w:hAnsi="Times New Roman"/>
          <w:sz w:val="28"/>
          <w:szCs w:val="28"/>
        </w:rPr>
        <w:t xml:space="preserve"> ar ESF atbalstu. Aktuālā informācija tika izvietota un uzturēta </w:t>
      </w:r>
      <w:r w:rsidR="00220F1A">
        <w:rPr>
          <w:rFonts w:ascii="Times New Roman" w:hAnsi="Times New Roman"/>
          <w:sz w:val="28"/>
          <w:szCs w:val="28"/>
        </w:rPr>
        <w:t xml:space="preserve">arī </w:t>
      </w:r>
      <w:r w:rsidR="007C20D9" w:rsidRPr="008E6BE7">
        <w:rPr>
          <w:rFonts w:ascii="Times New Roman" w:hAnsi="Times New Roman"/>
          <w:sz w:val="28"/>
          <w:szCs w:val="28"/>
        </w:rPr>
        <w:t>NVA</w:t>
      </w:r>
      <w:r w:rsidR="00220F1A">
        <w:rPr>
          <w:rFonts w:ascii="Times New Roman" w:hAnsi="Times New Roman"/>
          <w:sz w:val="28"/>
          <w:szCs w:val="28"/>
        </w:rPr>
        <w:t xml:space="preserve"> mājaslapā. Līdzīgi </w:t>
      </w:r>
      <w:r w:rsidR="004039C5" w:rsidRPr="008E6BE7">
        <w:rPr>
          <w:rFonts w:ascii="Times New Roman" w:hAnsi="Times New Roman"/>
          <w:sz w:val="28"/>
          <w:szCs w:val="28"/>
        </w:rPr>
        <w:t xml:space="preserve">NVA </w:t>
      </w:r>
      <w:r w:rsidRPr="008E6BE7">
        <w:rPr>
          <w:rFonts w:ascii="Times New Roman" w:hAnsi="Times New Roman"/>
          <w:sz w:val="28"/>
          <w:szCs w:val="28"/>
        </w:rPr>
        <w:t>kl</w:t>
      </w:r>
      <w:r w:rsidR="00220F1A">
        <w:rPr>
          <w:rFonts w:ascii="Times New Roman" w:hAnsi="Times New Roman"/>
          <w:sz w:val="28"/>
          <w:szCs w:val="28"/>
        </w:rPr>
        <w:t xml:space="preserve">ientus par </w:t>
      </w:r>
      <w:proofErr w:type="spellStart"/>
      <w:r w:rsidR="00220F1A">
        <w:rPr>
          <w:rFonts w:ascii="Times New Roman" w:hAnsi="Times New Roman"/>
          <w:sz w:val="28"/>
          <w:szCs w:val="28"/>
        </w:rPr>
        <w:t>izmēģinājumprojektu</w:t>
      </w:r>
      <w:proofErr w:type="spellEnd"/>
      <w:r w:rsidR="004039C5" w:rsidRPr="008E6BE7">
        <w:rPr>
          <w:rFonts w:ascii="Times New Roman" w:hAnsi="Times New Roman"/>
          <w:sz w:val="28"/>
          <w:szCs w:val="28"/>
        </w:rPr>
        <w:t xml:space="preserve"> </w:t>
      </w:r>
      <w:r w:rsidR="00220F1A">
        <w:rPr>
          <w:rFonts w:ascii="Times New Roman" w:hAnsi="Times New Roman"/>
          <w:sz w:val="28"/>
          <w:szCs w:val="28"/>
        </w:rPr>
        <w:t>informēja arī</w:t>
      </w:r>
      <w:r w:rsidRPr="008E6BE7">
        <w:rPr>
          <w:rFonts w:ascii="Times New Roman" w:hAnsi="Times New Roman"/>
          <w:sz w:val="28"/>
          <w:szCs w:val="28"/>
        </w:rPr>
        <w:t xml:space="preserve"> individuālajās konsultācijās un informatīvajās dienās.</w:t>
      </w:r>
    </w:p>
    <w:p w:rsidR="005060D7" w:rsidRPr="00164673" w:rsidRDefault="005060D7" w:rsidP="00CE7F2B">
      <w:pPr>
        <w:spacing w:after="0" w:line="240" w:lineRule="auto"/>
        <w:ind w:firstLine="709"/>
        <w:jc w:val="both"/>
        <w:rPr>
          <w:rFonts w:ascii="Times New Roman" w:hAnsi="Times New Roman"/>
          <w:bCs/>
          <w:iCs/>
          <w:spacing w:val="-4"/>
          <w:sz w:val="28"/>
          <w:szCs w:val="28"/>
        </w:rPr>
      </w:pPr>
      <w:r w:rsidRPr="008E6BE7">
        <w:rPr>
          <w:rFonts w:ascii="Times New Roman" w:hAnsi="Times New Roman"/>
          <w:bCs/>
          <w:iCs/>
          <w:spacing w:val="-4"/>
          <w:sz w:val="28"/>
          <w:szCs w:val="28"/>
        </w:rPr>
        <w:t xml:space="preserve">Tālākizglītības kvalitātes izvērtēšanas un apmierinātības noteikšanas nolūkos, izlases veidā </w:t>
      </w:r>
      <w:r w:rsidR="00220F1A">
        <w:rPr>
          <w:rFonts w:ascii="Times New Roman" w:hAnsi="Times New Roman"/>
          <w:bCs/>
          <w:iCs/>
          <w:spacing w:val="-4"/>
          <w:sz w:val="28"/>
          <w:szCs w:val="28"/>
        </w:rPr>
        <w:t>NVA veica</w:t>
      </w:r>
      <w:r w:rsidRPr="008E6BE7">
        <w:rPr>
          <w:rFonts w:ascii="Times New Roman" w:hAnsi="Times New Roman"/>
          <w:bCs/>
          <w:iCs/>
          <w:spacing w:val="-4"/>
          <w:sz w:val="28"/>
          <w:szCs w:val="28"/>
        </w:rPr>
        <w:t xml:space="preserve"> </w:t>
      </w:r>
      <w:proofErr w:type="spellStart"/>
      <w:r w:rsidR="00FE502E" w:rsidRPr="008E6BE7">
        <w:rPr>
          <w:rFonts w:ascii="Times New Roman" w:hAnsi="Times New Roman"/>
          <w:sz w:val="28"/>
          <w:szCs w:val="28"/>
        </w:rPr>
        <w:t>i</w:t>
      </w:r>
      <w:r w:rsidRPr="008E6BE7">
        <w:rPr>
          <w:rFonts w:ascii="Times New Roman" w:hAnsi="Times New Roman"/>
          <w:sz w:val="28"/>
          <w:szCs w:val="28"/>
        </w:rPr>
        <w:t>zmēģinājumprojektā</w:t>
      </w:r>
      <w:proofErr w:type="spellEnd"/>
      <w:r w:rsidRPr="008E6BE7">
        <w:rPr>
          <w:rFonts w:ascii="Times New Roman" w:hAnsi="Times New Roman"/>
          <w:bCs/>
          <w:iCs/>
          <w:spacing w:val="-4"/>
          <w:sz w:val="28"/>
          <w:szCs w:val="28"/>
        </w:rPr>
        <w:t xml:space="preserve"> iesaistīto personu apmierinātības viedokļa noska</w:t>
      </w:r>
      <w:r w:rsidR="00220F1A">
        <w:rPr>
          <w:rFonts w:ascii="Times New Roman" w:hAnsi="Times New Roman"/>
          <w:bCs/>
          <w:iCs/>
          <w:spacing w:val="-4"/>
          <w:sz w:val="28"/>
          <w:szCs w:val="28"/>
        </w:rPr>
        <w:t>idrošanu</w:t>
      </w:r>
      <w:r w:rsidRPr="008E6BE7">
        <w:rPr>
          <w:rFonts w:ascii="Times New Roman" w:hAnsi="Times New Roman"/>
          <w:bCs/>
          <w:iCs/>
          <w:spacing w:val="-4"/>
          <w:sz w:val="28"/>
          <w:szCs w:val="28"/>
        </w:rPr>
        <w:t xml:space="preserve">. Bezdarbnieku anonīmās aptaujas tika nodrošinātas brīdī, kad </w:t>
      </w:r>
      <w:proofErr w:type="spellStart"/>
      <w:r w:rsidR="00FE502E" w:rsidRPr="008E6BE7">
        <w:rPr>
          <w:rFonts w:ascii="Times New Roman" w:hAnsi="Times New Roman"/>
          <w:bCs/>
          <w:iCs/>
          <w:spacing w:val="-4"/>
          <w:sz w:val="28"/>
          <w:szCs w:val="28"/>
        </w:rPr>
        <w:t>i</w:t>
      </w:r>
      <w:r w:rsidRPr="008E6BE7">
        <w:rPr>
          <w:rFonts w:ascii="Times New Roman" w:hAnsi="Times New Roman"/>
          <w:bCs/>
          <w:iCs/>
          <w:spacing w:val="-4"/>
          <w:sz w:val="28"/>
          <w:szCs w:val="28"/>
        </w:rPr>
        <w:t>zmēģinājumprojekta</w:t>
      </w:r>
      <w:proofErr w:type="spellEnd"/>
      <w:r w:rsidRPr="008E6BE7">
        <w:rPr>
          <w:rFonts w:ascii="Times New Roman" w:hAnsi="Times New Roman"/>
          <w:bCs/>
          <w:iCs/>
          <w:spacing w:val="-4"/>
          <w:sz w:val="28"/>
          <w:szCs w:val="28"/>
        </w:rPr>
        <w:t xml:space="preserve"> īstenošanas personāls pārraudzīja tālākizglītības procesa īstenošanu izglītības iestādēs. </w:t>
      </w:r>
      <w:r w:rsidR="009822C6" w:rsidRPr="00164673">
        <w:rPr>
          <w:rFonts w:ascii="Times New Roman" w:hAnsi="Times New Roman"/>
          <w:bCs/>
          <w:iCs/>
          <w:spacing w:val="-4"/>
          <w:sz w:val="28"/>
          <w:szCs w:val="28"/>
        </w:rPr>
        <w:t>Līdz 201</w:t>
      </w:r>
      <w:r w:rsidR="009E0E5B" w:rsidRPr="00164673">
        <w:rPr>
          <w:rFonts w:ascii="Times New Roman" w:hAnsi="Times New Roman"/>
          <w:bCs/>
          <w:iCs/>
          <w:spacing w:val="-4"/>
          <w:sz w:val="28"/>
          <w:szCs w:val="28"/>
        </w:rPr>
        <w:t>6</w:t>
      </w:r>
      <w:r w:rsidR="009822C6" w:rsidRPr="00164673">
        <w:rPr>
          <w:rFonts w:ascii="Times New Roman" w:hAnsi="Times New Roman"/>
          <w:bCs/>
          <w:iCs/>
          <w:spacing w:val="-4"/>
          <w:sz w:val="28"/>
          <w:szCs w:val="28"/>
        </w:rPr>
        <w:t>.</w:t>
      </w:r>
      <w:r w:rsidR="008E0A5B" w:rsidRPr="00164673">
        <w:rPr>
          <w:rFonts w:ascii="Times New Roman" w:hAnsi="Times New Roman"/>
          <w:bCs/>
          <w:iCs/>
          <w:spacing w:val="-4"/>
          <w:sz w:val="28"/>
          <w:szCs w:val="28"/>
        </w:rPr>
        <w:t> </w:t>
      </w:r>
      <w:r w:rsidR="009822C6" w:rsidRPr="00164673">
        <w:rPr>
          <w:rFonts w:ascii="Times New Roman" w:hAnsi="Times New Roman"/>
          <w:bCs/>
          <w:iCs/>
          <w:spacing w:val="-4"/>
          <w:sz w:val="28"/>
          <w:szCs w:val="28"/>
        </w:rPr>
        <w:t xml:space="preserve">gada 1.aprīlim </w:t>
      </w:r>
      <w:proofErr w:type="spellStart"/>
      <w:r w:rsidR="009822C6" w:rsidRPr="00164673">
        <w:rPr>
          <w:rFonts w:ascii="Times New Roman" w:hAnsi="Times New Roman"/>
          <w:bCs/>
          <w:iCs/>
          <w:spacing w:val="-4"/>
          <w:sz w:val="28"/>
          <w:szCs w:val="28"/>
        </w:rPr>
        <w:t>izmēģinājumprojekta</w:t>
      </w:r>
      <w:proofErr w:type="spellEnd"/>
      <w:r w:rsidR="009822C6" w:rsidRPr="00164673">
        <w:rPr>
          <w:rFonts w:ascii="Times New Roman" w:hAnsi="Times New Roman"/>
          <w:bCs/>
          <w:iCs/>
          <w:spacing w:val="-4"/>
          <w:sz w:val="28"/>
          <w:szCs w:val="28"/>
        </w:rPr>
        <w:t xml:space="preserve"> dalībnieku</w:t>
      </w:r>
      <w:r w:rsidRPr="00164673">
        <w:rPr>
          <w:rFonts w:ascii="Times New Roman" w:hAnsi="Times New Roman"/>
          <w:bCs/>
          <w:iCs/>
          <w:spacing w:val="-4"/>
          <w:sz w:val="28"/>
          <w:szCs w:val="28"/>
        </w:rPr>
        <w:t xml:space="preserve"> aptaujas veikta</w:t>
      </w:r>
      <w:r w:rsidR="00D81083" w:rsidRPr="00164673">
        <w:rPr>
          <w:rFonts w:ascii="Times New Roman" w:hAnsi="Times New Roman"/>
          <w:bCs/>
          <w:iCs/>
          <w:spacing w:val="-4"/>
          <w:sz w:val="28"/>
          <w:szCs w:val="28"/>
        </w:rPr>
        <w:t>s 4</w:t>
      </w:r>
      <w:r w:rsidR="00353525" w:rsidRPr="00164673">
        <w:rPr>
          <w:rFonts w:ascii="Times New Roman" w:hAnsi="Times New Roman"/>
          <w:bCs/>
          <w:iCs/>
          <w:spacing w:val="-4"/>
          <w:sz w:val="28"/>
          <w:szCs w:val="28"/>
        </w:rPr>
        <w:t xml:space="preserve"> izglītības</w:t>
      </w:r>
      <w:r w:rsidRPr="00164673">
        <w:rPr>
          <w:rFonts w:ascii="Times New Roman" w:hAnsi="Times New Roman"/>
          <w:bCs/>
          <w:iCs/>
          <w:spacing w:val="-4"/>
          <w:sz w:val="28"/>
          <w:szCs w:val="28"/>
        </w:rPr>
        <w:t xml:space="preserve"> iestādēs, k</w:t>
      </w:r>
      <w:r w:rsidR="00D81083" w:rsidRPr="00164673">
        <w:rPr>
          <w:rFonts w:ascii="Times New Roman" w:hAnsi="Times New Roman"/>
          <w:bCs/>
          <w:iCs/>
          <w:spacing w:val="-4"/>
          <w:sz w:val="28"/>
          <w:szCs w:val="28"/>
        </w:rPr>
        <w:t>opā aptaujāti 27 bezdarbnieki</w:t>
      </w:r>
      <w:r w:rsidRPr="00164673">
        <w:rPr>
          <w:rFonts w:ascii="Times New Roman" w:hAnsi="Times New Roman"/>
          <w:bCs/>
          <w:iCs/>
          <w:spacing w:val="-4"/>
          <w:sz w:val="28"/>
          <w:szCs w:val="28"/>
        </w:rPr>
        <w:t xml:space="preserve">, kuri bija </w:t>
      </w:r>
      <w:r w:rsidR="00D81083" w:rsidRPr="00164673">
        <w:rPr>
          <w:rFonts w:ascii="Times New Roman" w:hAnsi="Times New Roman"/>
          <w:bCs/>
          <w:iCs/>
          <w:spacing w:val="-4"/>
          <w:sz w:val="28"/>
          <w:szCs w:val="28"/>
        </w:rPr>
        <w:t>iesaistīti 4</w:t>
      </w:r>
      <w:r w:rsidRPr="00164673">
        <w:rPr>
          <w:rFonts w:ascii="Times New Roman" w:hAnsi="Times New Roman"/>
          <w:bCs/>
          <w:iCs/>
          <w:spacing w:val="-4"/>
          <w:sz w:val="28"/>
          <w:szCs w:val="28"/>
        </w:rPr>
        <w:t xml:space="preserve"> izglītības programmu apguvē.</w:t>
      </w:r>
    </w:p>
    <w:p w:rsidR="005060D7" w:rsidRPr="00164673" w:rsidRDefault="005060D7" w:rsidP="00CE7F2B">
      <w:pPr>
        <w:spacing w:after="0" w:line="240" w:lineRule="auto"/>
        <w:ind w:left="280" w:firstLine="440"/>
        <w:jc w:val="both"/>
        <w:rPr>
          <w:rFonts w:ascii="Times New Roman" w:hAnsi="Times New Roman"/>
          <w:bCs/>
          <w:iCs/>
          <w:spacing w:val="-4"/>
          <w:sz w:val="28"/>
          <w:szCs w:val="28"/>
        </w:rPr>
      </w:pPr>
      <w:r w:rsidRPr="00164673">
        <w:rPr>
          <w:rFonts w:ascii="Times New Roman" w:hAnsi="Times New Roman"/>
          <w:bCs/>
          <w:iCs/>
          <w:spacing w:val="-4"/>
          <w:sz w:val="28"/>
          <w:szCs w:val="28"/>
        </w:rPr>
        <w:t>Bezdarbnieku vērtējums:</w:t>
      </w:r>
    </w:p>
    <w:p w:rsidR="005060D7" w:rsidRPr="00164673" w:rsidRDefault="005060D7" w:rsidP="00127D19">
      <w:pPr>
        <w:numPr>
          <w:ilvl w:val="0"/>
          <w:numId w:val="4"/>
        </w:numPr>
        <w:spacing w:after="0" w:line="240" w:lineRule="auto"/>
        <w:ind w:hanging="440"/>
        <w:jc w:val="both"/>
        <w:rPr>
          <w:rFonts w:ascii="Times New Roman" w:hAnsi="Times New Roman"/>
          <w:bCs/>
          <w:iCs/>
          <w:spacing w:val="-4"/>
          <w:sz w:val="28"/>
          <w:szCs w:val="28"/>
        </w:rPr>
      </w:pPr>
      <w:r w:rsidRPr="00164673">
        <w:rPr>
          <w:rFonts w:ascii="Times New Roman" w:hAnsi="Times New Roman"/>
          <w:sz w:val="28"/>
          <w:szCs w:val="28"/>
        </w:rPr>
        <w:t>Tālākizglītības programmu</w:t>
      </w:r>
      <w:r w:rsidRPr="00164673">
        <w:rPr>
          <w:rFonts w:ascii="Times New Roman" w:hAnsi="Times New Roman"/>
          <w:bCs/>
          <w:iCs/>
          <w:spacing w:val="-4"/>
          <w:sz w:val="28"/>
          <w:szCs w:val="28"/>
        </w:rPr>
        <w:t xml:space="preserve"> </w:t>
      </w:r>
      <w:r w:rsidR="0097398E" w:rsidRPr="00164673">
        <w:rPr>
          <w:rFonts w:ascii="Times New Roman" w:hAnsi="Times New Roman"/>
          <w:bCs/>
          <w:iCs/>
          <w:spacing w:val="-4"/>
          <w:sz w:val="28"/>
          <w:szCs w:val="28"/>
        </w:rPr>
        <w:t xml:space="preserve">satura </w:t>
      </w:r>
      <w:r w:rsidRPr="00164673">
        <w:rPr>
          <w:rFonts w:ascii="Times New Roman" w:hAnsi="Times New Roman"/>
          <w:bCs/>
          <w:iCs/>
          <w:spacing w:val="-4"/>
          <w:sz w:val="28"/>
          <w:szCs w:val="28"/>
        </w:rPr>
        <w:t xml:space="preserve">novērtējums: </w:t>
      </w:r>
      <w:r w:rsidR="00D81083" w:rsidRPr="00164673">
        <w:rPr>
          <w:rFonts w:ascii="Times New Roman" w:hAnsi="Times New Roman"/>
          <w:bCs/>
          <w:iCs/>
          <w:spacing w:val="-4"/>
          <w:sz w:val="28"/>
          <w:szCs w:val="28"/>
        </w:rPr>
        <w:t>ļoti labu vai labu novērtējuši 93 </w:t>
      </w:r>
      <w:r w:rsidRPr="00164673">
        <w:rPr>
          <w:rFonts w:ascii="Times New Roman" w:hAnsi="Times New Roman"/>
          <w:bCs/>
          <w:iCs/>
          <w:spacing w:val="-4"/>
          <w:sz w:val="28"/>
          <w:szCs w:val="28"/>
        </w:rPr>
        <w:t>% bezdarbnieku.</w:t>
      </w:r>
    </w:p>
    <w:p w:rsidR="005060D7" w:rsidRPr="00164673" w:rsidRDefault="005060D7" w:rsidP="00127D19">
      <w:pPr>
        <w:numPr>
          <w:ilvl w:val="0"/>
          <w:numId w:val="4"/>
        </w:numPr>
        <w:spacing w:after="0" w:line="240" w:lineRule="auto"/>
        <w:ind w:hanging="440"/>
        <w:jc w:val="both"/>
        <w:rPr>
          <w:rFonts w:ascii="Times New Roman" w:hAnsi="Times New Roman"/>
          <w:bCs/>
          <w:iCs/>
          <w:spacing w:val="-4"/>
          <w:sz w:val="28"/>
          <w:szCs w:val="28"/>
        </w:rPr>
      </w:pPr>
      <w:r w:rsidRPr="00164673">
        <w:rPr>
          <w:rFonts w:ascii="Times New Roman" w:hAnsi="Times New Roman"/>
          <w:bCs/>
          <w:iCs/>
          <w:spacing w:val="-4"/>
          <w:sz w:val="28"/>
          <w:szCs w:val="28"/>
        </w:rPr>
        <w:t>Iegūto zināšanu/ prasmju novērtējums konkurētspējai darba tirgū - k</w:t>
      </w:r>
      <w:r w:rsidR="00D81083" w:rsidRPr="00164673">
        <w:rPr>
          <w:rFonts w:ascii="Times New Roman" w:hAnsi="Times New Roman"/>
          <w:bCs/>
          <w:iCs/>
          <w:spacing w:val="-4"/>
          <w:sz w:val="28"/>
          <w:szCs w:val="28"/>
        </w:rPr>
        <w:t xml:space="preserve">ā ļoti labi un labi vērtējuši 96 </w:t>
      </w:r>
      <w:r w:rsidRPr="00164673">
        <w:rPr>
          <w:rFonts w:ascii="Times New Roman" w:hAnsi="Times New Roman"/>
          <w:bCs/>
          <w:iCs/>
          <w:spacing w:val="-4"/>
          <w:sz w:val="28"/>
          <w:szCs w:val="28"/>
        </w:rPr>
        <w:t>% aptaujāto bezdarbnieku.</w:t>
      </w:r>
    </w:p>
    <w:p w:rsidR="00BC19D2" w:rsidRPr="00164673" w:rsidRDefault="005060D7" w:rsidP="00127D19">
      <w:pPr>
        <w:numPr>
          <w:ilvl w:val="0"/>
          <w:numId w:val="4"/>
        </w:numPr>
        <w:spacing w:after="0" w:line="240" w:lineRule="auto"/>
        <w:ind w:hanging="440"/>
        <w:jc w:val="both"/>
        <w:rPr>
          <w:rFonts w:ascii="Times New Roman" w:hAnsi="Times New Roman"/>
          <w:bCs/>
          <w:iCs/>
          <w:spacing w:val="-4"/>
          <w:sz w:val="28"/>
          <w:szCs w:val="28"/>
        </w:rPr>
      </w:pPr>
      <w:r w:rsidRPr="00164673">
        <w:rPr>
          <w:rFonts w:ascii="Times New Roman" w:hAnsi="Times New Roman"/>
          <w:bCs/>
          <w:iCs/>
          <w:spacing w:val="-4"/>
          <w:sz w:val="28"/>
          <w:szCs w:val="28"/>
        </w:rPr>
        <w:t>Pedagogu un mācību vielas pasniegšanas prasmi k</w:t>
      </w:r>
      <w:r w:rsidR="00BC19D2" w:rsidRPr="00164673">
        <w:rPr>
          <w:rFonts w:ascii="Times New Roman" w:hAnsi="Times New Roman"/>
          <w:bCs/>
          <w:iCs/>
          <w:spacing w:val="-4"/>
          <w:sz w:val="28"/>
          <w:szCs w:val="28"/>
        </w:rPr>
        <w:t>ā ļoti labu un labu vērtējuši 100 </w:t>
      </w:r>
      <w:r w:rsidRPr="00164673">
        <w:rPr>
          <w:rFonts w:ascii="Times New Roman" w:hAnsi="Times New Roman"/>
          <w:bCs/>
          <w:iCs/>
          <w:spacing w:val="-4"/>
          <w:sz w:val="28"/>
          <w:szCs w:val="28"/>
        </w:rPr>
        <w:t xml:space="preserve">% aptaujāto. </w:t>
      </w:r>
    </w:p>
    <w:p w:rsidR="005060D7" w:rsidRPr="00164673" w:rsidRDefault="005060D7" w:rsidP="00127D19">
      <w:pPr>
        <w:numPr>
          <w:ilvl w:val="0"/>
          <w:numId w:val="4"/>
        </w:numPr>
        <w:spacing w:after="0" w:line="240" w:lineRule="auto"/>
        <w:ind w:hanging="440"/>
        <w:jc w:val="both"/>
        <w:rPr>
          <w:rFonts w:ascii="Times New Roman" w:hAnsi="Times New Roman"/>
          <w:bCs/>
          <w:iCs/>
          <w:spacing w:val="-4"/>
          <w:sz w:val="28"/>
          <w:szCs w:val="28"/>
        </w:rPr>
      </w:pPr>
      <w:r w:rsidRPr="00164673">
        <w:rPr>
          <w:rFonts w:ascii="Times New Roman" w:hAnsi="Times New Roman"/>
          <w:bCs/>
          <w:iCs/>
          <w:spacing w:val="-4"/>
          <w:sz w:val="28"/>
          <w:szCs w:val="28"/>
        </w:rPr>
        <w:t>Praktisko nodarbību (prakses) v</w:t>
      </w:r>
      <w:r w:rsidR="00BC19D2" w:rsidRPr="00164673">
        <w:rPr>
          <w:rFonts w:ascii="Times New Roman" w:hAnsi="Times New Roman"/>
          <w:bCs/>
          <w:iCs/>
          <w:spacing w:val="-4"/>
          <w:sz w:val="28"/>
          <w:szCs w:val="28"/>
        </w:rPr>
        <w:t>ērtējums: ļoti labi un labi – 96</w:t>
      </w:r>
      <w:r w:rsidRPr="00164673">
        <w:rPr>
          <w:rFonts w:ascii="Times New Roman" w:hAnsi="Times New Roman"/>
          <w:bCs/>
          <w:iCs/>
          <w:spacing w:val="-4"/>
          <w:sz w:val="28"/>
          <w:szCs w:val="28"/>
        </w:rPr>
        <w:t> % aptaujāto.</w:t>
      </w:r>
    </w:p>
    <w:p w:rsidR="005060D7" w:rsidRPr="00164673" w:rsidRDefault="005060D7" w:rsidP="00127D19">
      <w:pPr>
        <w:numPr>
          <w:ilvl w:val="0"/>
          <w:numId w:val="4"/>
        </w:numPr>
        <w:spacing w:after="0" w:line="240" w:lineRule="auto"/>
        <w:ind w:hanging="440"/>
        <w:jc w:val="both"/>
        <w:rPr>
          <w:rFonts w:ascii="Times New Roman" w:hAnsi="Times New Roman"/>
          <w:bCs/>
          <w:iCs/>
          <w:spacing w:val="-4"/>
          <w:sz w:val="28"/>
          <w:szCs w:val="28"/>
        </w:rPr>
      </w:pPr>
      <w:r w:rsidRPr="00164673">
        <w:rPr>
          <w:rFonts w:ascii="Times New Roman" w:hAnsi="Times New Roman"/>
          <w:bCs/>
          <w:iCs/>
          <w:spacing w:val="-4"/>
          <w:sz w:val="28"/>
          <w:szCs w:val="28"/>
        </w:rPr>
        <w:t>Mācību aprīk</w:t>
      </w:r>
      <w:r w:rsidR="00BC19D2" w:rsidRPr="00164673">
        <w:rPr>
          <w:rFonts w:ascii="Times New Roman" w:hAnsi="Times New Roman"/>
          <w:bCs/>
          <w:iCs/>
          <w:spacing w:val="-4"/>
          <w:sz w:val="28"/>
          <w:szCs w:val="28"/>
        </w:rPr>
        <w:t>ojumu kā ļoti labu vai labu – 96</w:t>
      </w:r>
      <w:r w:rsidRPr="00164673">
        <w:rPr>
          <w:rFonts w:ascii="Times New Roman" w:hAnsi="Times New Roman"/>
          <w:bCs/>
          <w:iCs/>
          <w:spacing w:val="-4"/>
          <w:sz w:val="28"/>
          <w:szCs w:val="28"/>
        </w:rPr>
        <w:t> % novērtējuši aptaujātie bezdarbnieki.</w:t>
      </w:r>
    </w:p>
    <w:p w:rsidR="004039C5" w:rsidRPr="00220F1A" w:rsidRDefault="00BC19D2" w:rsidP="004039C5">
      <w:pPr>
        <w:numPr>
          <w:ilvl w:val="0"/>
          <w:numId w:val="4"/>
        </w:numPr>
        <w:spacing w:after="0" w:line="240" w:lineRule="auto"/>
        <w:jc w:val="both"/>
        <w:rPr>
          <w:rFonts w:ascii="Times New Roman" w:hAnsi="Times New Roman"/>
          <w:bCs/>
          <w:iCs/>
          <w:spacing w:val="-4"/>
          <w:sz w:val="28"/>
          <w:szCs w:val="28"/>
        </w:rPr>
      </w:pPr>
      <w:r w:rsidRPr="00164673">
        <w:rPr>
          <w:rFonts w:ascii="Times New Roman" w:hAnsi="Times New Roman"/>
          <w:bCs/>
          <w:iCs/>
          <w:spacing w:val="-4"/>
          <w:sz w:val="28"/>
          <w:szCs w:val="28"/>
        </w:rPr>
        <w:t xml:space="preserve">Sadzīves </w:t>
      </w:r>
      <w:r w:rsidR="007F409B" w:rsidRPr="00164673">
        <w:rPr>
          <w:rFonts w:ascii="Times New Roman" w:hAnsi="Times New Roman"/>
          <w:bCs/>
          <w:iCs/>
          <w:spacing w:val="-4"/>
          <w:sz w:val="28"/>
          <w:szCs w:val="28"/>
        </w:rPr>
        <w:t>apstākļu vērtējums: ļoti labi un labi – 100 % aptaujāto</w:t>
      </w:r>
      <w:r w:rsidRPr="00164673">
        <w:rPr>
          <w:rFonts w:ascii="Times New Roman" w:hAnsi="Times New Roman"/>
          <w:bCs/>
          <w:iCs/>
          <w:spacing w:val="-4"/>
          <w:sz w:val="28"/>
          <w:szCs w:val="28"/>
        </w:rPr>
        <w:t>.</w:t>
      </w:r>
    </w:p>
    <w:p w:rsidR="00D30695" w:rsidRPr="008E6BE7" w:rsidRDefault="009822C6" w:rsidP="00220F1A">
      <w:pPr>
        <w:spacing w:before="120" w:after="0" w:line="240" w:lineRule="auto"/>
        <w:ind w:firstLine="357"/>
        <w:jc w:val="both"/>
        <w:rPr>
          <w:rFonts w:ascii="Times New Roman" w:hAnsi="Times New Roman"/>
          <w:bCs/>
          <w:iCs/>
          <w:spacing w:val="-4"/>
        </w:rPr>
      </w:pPr>
      <w:r w:rsidRPr="008E6BE7">
        <w:rPr>
          <w:rFonts w:ascii="Times New Roman" w:hAnsi="Times New Roman"/>
          <w:bCs/>
          <w:iCs/>
          <w:spacing w:val="-4"/>
          <w:sz w:val="28"/>
          <w:szCs w:val="28"/>
        </w:rPr>
        <w:tab/>
      </w:r>
      <w:r w:rsidR="006B6A4A" w:rsidRPr="008E6BE7">
        <w:rPr>
          <w:rFonts w:ascii="Times New Roman" w:hAnsi="Times New Roman"/>
          <w:bCs/>
          <w:iCs/>
          <w:spacing w:val="-4"/>
          <w:sz w:val="28"/>
          <w:szCs w:val="28"/>
        </w:rPr>
        <w:t>Papildus septiņas izglītības iestādes</w:t>
      </w:r>
      <w:r w:rsidR="007034C5" w:rsidRPr="008E6BE7">
        <w:rPr>
          <w:rFonts w:ascii="Times New Roman" w:hAnsi="Times New Roman"/>
          <w:bCs/>
          <w:iCs/>
          <w:spacing w:val="-4"/>
          <w:sz w:val="28"/>
          <w:szCs w:val="28"/>
        </w:rPr>
        <w:t xml:space="preserve"> atsaucās</w:t>
      </w:r>
      <w:r w:rsidR="00D30695" w:rsidRPr="008E6BE7">
        <w:rPr>
          <w:rFonts w:ascii="Times New Roman" w:hAnsi="Times New Roman"/>
          <w:bCs/>
          <w:iCs/>
          <w:spacing w:val="-4"/>
          <w:sz w:val="28"/>
          <w:szCs w:val="28"/>
        </w:rPr>
        <w:t xml:space="preserve"> uz NVA izsūtīto izglītības iestāžu</w:t>
      </w:r>
      <w:r w:rsidR="006B6A4A" w:rsidRPr="008E6BE7">
        <w:rPr>
          <w:rFonts w:ascii="Times New Roman" w:hAnsi="Times New Roman"/>
          <w:bCs/>
          <w:iCs/>
          <w:spacing w:val="-4"/>
          <w:sz w:val="28"/>
          <w:szCs w:val="28"/>
        </w:rPr>
        <w:t xml:space="preserve"> aptaujas anketu, kuras mērķis bija noskaidrot </w:t>
      </w:r>
      <w:r w:rsidR="00D30695" w:rsidRPr="008E6BE7">
        <w:rPr>
          <w:rFonts w:ascii="Times New Roman" w:hAnsi="Times New Roman"/>
          <w:bCs/>
          <w:iCs/>
          <w:spacing w:val="-4"/>
          <w:sz w:val="28"/>
          <w:szCs w:val="28"/>
        </w:rPr>
        <w:t>skolu</w:t>
      </w:r>
      <w:r w:rsidR="006B6A4A" w:rsidRPr="008E6BE7">
        <w:rPr>
          <w:rFonts w:ascii="Times New Roman" w:hAnsi="Times New Roman"/>
          <w:bCs/>
          <w:iCs/>
          <w:spacing w:val="-4"/>
          <w:sz w:val="28"/>
          <w:szCs w:val="28"/>
        </w:rPr>
        <w:t xml:space="preserve"> </w:t>
      </w:r>
      <w:r w:rsidR="00D30695" w:rsidRPr="008E6BE7">
        <w:rPr>
          <w:rFonts w:ascii="Times New Roman" w:hAnsi="Times New Roman"/>
          <w:bCs/>
          <w:iCs/>
          <w:spacing w:val="-4"/>
          <w:sz w:val="28"/>
          <w:szCs w:val="28"/>
        </w:rPr>
        <w:t xml:space="preserve">novērtējumu par </w:t>
      </w:r>
      <w:proofErr w:type="spellStart"/>
      <w:r w:rsidR="00D30695" w:rsidRPr="008E6BE7">
        <w:rPr>
          <w:rFonts w:ascii="Times New Roman" w:hAnsi="Times New Roman"/>
          <w:bCs/>
          <w:iCs/>
          <w:spacing w:val="-4"/>
          <w:sz w:val="28"/>
          <w:szCs w:val="28"/>
        </w:rPr>
        <w:t>izmēģinājumprojekta</w:t>
      </w:r>
      <w:proofErr w:type="spellEnd"/>
      <w:r w:rsidR="00D30695" w:rsidRPr="008E6BE7">
        <w:rPr>
          <w:rFonts w:ascii="Times New Roman" w:hAnsi="Times New Roman"/>
          <w:bCs/>
          <w:iCs/>
          <w:spacing w:val="-4"/>
          <w:sz w:val="28"/>
          <w:szCs w:val="28"/>
        </w:rPr>
        <w:t xml:space="preserve"> otro kārtu. Kā būtiskākie ieguvumi izglītības iestādēm</w:t>
      </w:r>
      <w:r w:rsidR="009656E0" w:rsidRPr="008E6BE7">
        <w:rPr>
          <w:rFonts w:ascii="Times New Roman" w:hAnsi="Times New Roman"/>
          <w:bCs/>
          <w:iCs/>
          <w:spacing w:val="-4"/>
          <w:sz w:val="28"/>
          <w:szCs w:val="28"/>
        </w:rPr>
        <w:t>,</w:t>
      </w:r>
      <w:r w:rsidR="00D30695" w:rsidRPr="008E6BE7">
        <w:rPr>
          <w:rFonts w:ascii="Times New Roman" w:hAnsi="Times New Roman"/>
          <w:bCs/>
          <w:iCs/>
          <w:spacing w:val="-4"/>
          <w:sz w:val="28"/>
          <w:szCs w:val="28"/>
        </w:rPr>
        <w:t xml:space="preserve"> iesaistoties </w:t>
      </w:r>
      <w:proofErr w:type="spellStart"/>
      <w:r w:rsidR="00D30695" w:rsidRPr="008E6BE7">
        <w:rPr>
          <w:rFonts w:ascii="Times New Roman" w:hAnsi="Times New Roman"/>
          <w:bCs/>
          <w:iCs/>
          <w:spacing w:val="-4"/>
          <w:sz w:val="28"/>
          <w:szCs w:val="28"/>
        </w:rPr>
        <w:t>izmēģinājumprojekt</w:t>
      </w:r>
      <w:r w:rsidR="009656E0" w:rsidRPr="008E6BE7">
        <w:rPr>
          <w:rFonts w:ascii="Times New Roman" w:hAnsi="Times New Roman"/>
          <w:bCs/>
          <w:iCs/>
          <w:spacing w:val="-4"/>
          <w:sz w:val="28"/>
          <w:szCs w:val="28"/>
        </w:rPr>
        <w:t>ā</w:t>
      </w:r>
      <w:proofErr w:type="spellEnd"/>
      <w:r w:rsidR="009656E0" w:rsidRPr="008E6BE7">
        <w:rPr>
          <w:rFonts w:ascii="Times New Roman" w:hAnsi="Times New Roman"/>
          <w:bCs/>
          <w:iCs/>
          <w:spacing w:val="-4"/>
          <w:sz w:val="28"/>
          <w:szCs w:val="28"/>
        </w:rPr>
        <w:t xml:space="preserve">, </w:t>
      </w:r>
      <w:r w:rsidR="00D30695" w:rsidRPr="008E6BE7">
        <w:rPr>
          <w:rFonts w:ascii="Times New Roman" w:hAnsi="Times New Roman"/>
          <w:bCs/>
          <w:iCs/>
          <w:spacing w:val="-4"/>
          <w:sz w:val="28"/>
          <w:szCs w:val="28"/>
        </w:rPr>
        <w:t xml:space="preserve">tika </w:t>
      </w:r>
      <w:r w:rsidR="009656E0" w:rsidRPr="008E6BE7">
        <w:rPr>
          <w:rFonts w:ascii="Times New Roman" w:hAnsi="Times New Roman"/>
          <w:bCs/>
          <w:iCs/>
          <w:spacing w:val="-4"/>
          <w:sz w:val="28"/>
          <w:szCs w:val="28"/>
        </w:rPr>
        <w:t xml:space="preserve">akcentēti: </w:t>
      </w:r>
    </w:p>
    <w:p w:rsidR="004039C5" w:rsidRPr="008E6BE7" w:rsidRDefault="007034C5" w:rsidP="00127D19">
      <w:pPr>
        <w:numPr>
          <w:ilvl w:val="0"/>
          <w:numId w:val="4"/>
        </w:numPr>
        <w:spacing w:after="0" w:line="240" w:lineRule="auto"/>
        <w:ind w:hanging="440"/>
        <w:jc w:val="both"/>
        <w:rPr>
          <w:rFonts w:ascii="Times New Roman" w:hAnsi="Times New Roman"/>
          <w:sz w:val="28"/>
          <w:szCs w:val="28"/>
        </w:rPr>
      </w:pPr>
      <w:r w:rsidRPr="008E6BE7">
        <w:rPr>
          <w:rFonts w:ascii="Times New Roman" w:hAnsi="Times New Roman"/>
          <w:sz w:val="28"/>
          <w:szCs w:val="28"/>
        </w:rPr>
        <w:lastRenderedPageBreak/>
        <w:t>i</w:t>
      </w:r>
      <w:r w:rsidR="009656E0" w:rsidRPr="008E6BE7">
        <w:rPr>
          <w:rFonts w:ascii="Times New Roman" w:hAnsi="Times New Roman"/>
          <w:sz w:val="28"/>
          <w:szCs w:val="28"/>
        </w:rPr>
        <w:t>egūt</w:t>
      </w:r>
      <w:r w:rsidRPr="008E6BE7">
        <w:rPr>
          <w:rFonts w:ascii="Times New Roman" w:hAnsi="Times New Roman"/>
          <w:sz w:val="28"/>
          <w:szCs w:val="28"/>
        </w:rPr>
        <w:t>a pieredze</w:t>
      </w:r>
      <w:r w:rsidR="009822C6" w:rsidRPr="008E6BE7">
        <w:rPr>
          <w:rFonts w:ascii="Times New Roman" w:hAnsi="Times New Roman"/>
          <w:sz w:val="28"/>
          <w:szCs w:val="28"/>
        </w:rPr>
        <w:t xml:space="preserve"> pieaugušo izglītībā</w:t>
      </w:r>
      <w:r w:rsidRPr="008E6BE7">
        <w:rPr>
          <w:rFonts w:ascii="Times New Roman" w:hAnsi="Times New Roman"/>
          <w:sz w:val="28"/>
          <w:szCs w:val="28"/>
        </w:rPr>
        <w:t>;</w:t>
      </w:r>
    </w:p>
    <w:p w:rsidR="004039C5" w:rsidRPr="008E6BE7" w:rsidRDefault="007034C5" w:rsidP="00127D19">
      <w:pPr>
        <w:numPr>
          <w:ilvl w:val="0"/>
          <w:numId w:val="4"/>
        </w:numPr>
        <w:spacing w:after="0" w:line="240" w:lineRule="auto"/>
        <w:ind w:hanging="440"/>
        <w:jc w:val="both"/>
        <w:rPr>
          <w:rFonts w:ascii="Times New Roman" w:hAnsi="Times New Roman"/>
          <w:sz w:val="28"/>
          <w:szCs w:val="28"/>
        </w:rPr>
      </w:pPr>
      <w:r w:rsidRPr="008E6BE7">
        <w:rPr>
          <w:rFonts w:ascii="Times New Roman" w:hAnsi="Times New Roman"/>
          <w:sz w:val="28"/>
          <w:szCs w:val="28"/>
        </w:rPr>
        <w:t>izglītojamo interese apgūt</w:t>
      </w:r>
      <w:r w:rsidR="004039C5" w:rsidRPr="008E6BE7">
        <w:rPr>
          <w:rFonts w:ascii="Times New Roman" w:hAnsi="Times New Roman"/>
          <w:sz w:val="28"/>
          <w:szCs w:val="28"/>
        </w:rPr>
        <w:t xml:space="preserve"> profesiju, modernas un darba tirgus prasībām atbilstošas materiāltehniskas bāzes izmantošana;</w:t>
      </w:r>
    </w:p>
    <w:p w:rsidR="004039C5" w:rsidRPr="008E6BE7" w:rsidRDefault="004039C5" w:rsidP="00127D19">
      <w:pPr>
        <w:numPr>
          <w:ilvl w:val="0"/>
          <w:numId w:val="4"/>
        </w:numPr>
        <w:spacing w:after="0" w:line="240" w:lineRule="auto"/>
        <w:ind w:hanging="440"/>
        <w:jc w:val="both"/>
        <w:rPr>
          <w:rFonts w:ascii="Times New Roman" w:hAnsi="Times New Roman"/>
          <w:sz w:val="28"/>
          <w:szCs w:val="28"/>
        </w:rPr>
      </w:pPr>
      <w:r w:rsidRPr="008E6BE7">
        <w:rPr>
          <w:rFonts w:ascii="Times New Roman" w:hAnsi="Times New Roman"/>
          <w:sz w:val="28"/>
          <w:szCs w:val="28"/>
        </w:rPr>
        <w:t>pieaugusi izglītojamo motivācija, veicināta skolas atpazīstamība;</w:t>
      </w:r>
    </w:p>
    <w:p w:rsidR="004039C5" w:rsidRPr="008E6BE7" w:rsidRDefault="004039C5" w:rsidP="00127D19">
      <w:pPr>
        <w:numPr>
          <w:ilvl w:val="0"/>
          <w:numId w:val="4"/>
        </w:numPr>
        <w:spacing w:after="0" w:line="240" w:lineRule="auto"/>
        <w:ind w:hanging="440"/>
        <w:jc w:val="both"/>
        <w:rPr>
          <w:rFonts w:ascii="Times New Roman" w:hAnsi="Times New Roman"/>
          <w:sz w:val="28"/>
          <w:szCs w:val="28"/>
        </w:rPr>
      </w:pPr>
      <w:r w:rsidRPr="008E6BE7">
        <w:rPr>
          <w:rFonts w:ascii="Times New Roman" w:hAnsi="Times New Roman"/>
          <w:sz w:val="28"/>
          <w:szCs w:val="28"/>
        </w:rPr>
        <w:t>pozitīvas sadarbības izveidošanās ar kvalifikācijas prakses vadītājiem uzņēmumos;</w:t>
      </w:r>
    </w:p>
    <w:p w:rsidR="004039C5" w:rsidRPr="008E6BE7" w:rsidRDefault="009822C6" w:rsidP="00127D19">
      <w:pPr>
        <w:numPr>
          <w:ilvl w:val="0"/>
          <w:numId w:val="4"/>
        </w:numPr>
        <w:spacing w:after="0" w:line="240" w:lineRule="auto"/>
        <w:ind w:hanging="440"/>
        <w:jc w:val="both"/>
        <w:rPr>
          <w:rFonts w:ascii="Times New Roman" w:hAnsi="Times New Roman"/>
          <w:sz w:val="28"/>
          <w:szCs w:val="28"/>
        </w:rPr>
      </w:pPr>
      <w:r w:rsidRPr="008E6BE7">
        <w:rPr>
          <w:rFonts w:ascii="Times New Roman" w:hAnsi="Times New Roman"/>
          <w:sz w:val="28"/>
          <w:szCs w:val="28"/>
        </w:rPr>
        <w:t xml:space="preserve">iespēja </w:t>
      </w:r>
      <w:r w:rsidR="004039C5" w:rsidRPr="008E6BE7">
        <w:rPr>
          <w:rFonts w:ascii="Times New Roman" w:hAnsi="Times New Roman"/>
          <w:sz w:val="28"/>
          <w:szCs w:val="28"/>
        </w:rPr>
        <w:t>realizēt pieaugušo izglītību;</w:t>
      </w:r>
    </w:p>
    <w:p w:rsidR="007F409B" w:rsidRPr="00220F1A" w:rsidRDefault="009822C6" w:rsidP="00220F1A">
      <w:pPr>
        <w:numPr>
          <w:ilvl w:val="0"/>
          <w:numId w:val="4"/>
        </w:numPr>
        <w:spacing w:after="0" w:line="240" w:lineRule="auto"/>
        <w:ind w:hanging="440"/>
        <w:jc w:val="both"/>
        <w:rPr>
          <w:rFonts w:ascii="Times New Roman" w:hAnsi="Times New Roman"/>
          <w:sz w:val="28"/>
          <w:szCs w:val="28"/>
        </w:rPr>
      </w:pPr>
      <w:r w:rsidRPr="008E6BE7">
        <w:rPr>
          <w:rFonts w:ascii="Times New Roman" w:hAnsi="Times New Roman"/>
          <w:sz w:val="28"/>
          <w:szCs w:val="28"/>
        </w:rPr>
        <w:t xml:space="preserve">iespēja </w:t>
      </w:r>
      <w:r w:rsidR="004039C5" w:rsidRPr="008E6BE7">
        <w:rPr>
          <w:rFonts w:ascii="Times New Roman" w:hAnsi="Times New Roman"/>
          <w:sz w:val="28"/>
          <w:szCs w:val="28"/>
        </w:rPr>
        <w:t>pilnveidot pedagoģisko meistarību, strādājot ar dažādu vecuma kategoriju izglītojamajiem.</w:t>
      </w:r>
    </w:p>
    <w:p w:rsidR="004039C5" w:rsidRPr="008E6BE7" w:rsidRDefault="007034C5" w:rsidP="00220F1A">
      <w:pPr>
        <w:spacing w:before="120" w:after="0" w:line="240" w:lineRule="auto"/>
        <w:jc w:val="both"/>
        <w:rPr>
          <w:rFonts w:ascii="Times New Roman" w:hAnsi="Times New Roman"/>
          <w:bCs/>
          <w:iCs/>
          <w:spacing w:val="-4"/>
          <w:sz w:val="28"/>
          <w:szCs w:val="28"/>
        </w:rPr>
      </w:pPr>
      <w:r w:rsidRPr="008E6BE7">
        <w:rPr>
          <w:rFonts w:ascii="Times New Roman" w:hAnsi="Times New Roman"/>
          <w:bCs/>
          <w:iCs/>
          <w:spacing w:val="-4"/>
          <w:sz w:val="28"/>
          <w:szCs w:val="28"/>
        </w:rPr>
        <w:t>Savukārt kā būtiskākie trūkumi tika norādīti:</w:t>
      </w:r>
    </w:p>
    <w:p w:rsidR="004039C5" w:rsidRPr="008E6BE7" w:rsidRDefault="004039C5" w:rsidP="00127D19">
      <w:pPr>
        <w:numPr>
          <w:ilvl w:val="0"/>
          <w:numId w:val="4"/>
        </w:numPr>
        <w:spacing w:after="0" w:line="240" w:lineRule="auto"/>
        <w:ind w:hanging="440"/>
        <w:jc w:val="both"/>
        <w:rPr>
          <w:rFonts w:ascii="Times New Roman" w:hAnsi="Times New Roman"/>
          <w:sz w:val="28"/>
          <w:szCs w:val="28"/>
        </w:rPr>
      </w:pPr>
      <w:r w:rsidRPr="008E6BE7">
        <w:rPr>
          <w:rFonts w:ascii="Times New Roman" w:hAnsi="Times New Roman"/>
          <w:sz w:val="28"/>
          <w:szCs w:val="28"/>
        </w:rPr>
        <w:t>bezdarbnieku motivācijas trūkums;</w:t>
      </w:r>
    </w:p>
    <w:p w:rsidR="00BC19D2" w:rsidRPr="008E6BE7" w:rsidRDefault="004039C5" w:rsidP="00127D19">
      <w:pPr>
        <w:numPr>
          <w:ilvl w:val="0"/>
          <w:numId w:val="4"/>
        </w:numPr>
        <w:spacing w:after="0" w:line="240" w:lineRule="auto"/>
        <w:ind w:hanging="440"/>
        <w:jc w:val="both"/>
        <w:rPr>
          <w:rFonts w:ascii="Times New Roman" w:hAnsi="Times New Roman"/>
          <w:sz w:val="28"/>
          <w:szCs w:val="28"/>
        </w:rPr>
      </w:pPr>
      <w:r w:rsidRPr="008E6BE7">
        <w:rPr>
          <w:rFonts w:ascii="Times New Roman" w:hAnsi="Times New Roman"/>
          <w:sz w:val="28"/>
          <w:szCs w:val="28"/>
        </w:rPr>
        <w:t>ierobežojoši mērķa grupas iesaistes nosacījumi, bezdarbnieku atlašu laikā grūtības novērtēt bezdarbnieku atbilstību vai derīgumu izvēlēt</w:t>
      </w:r>
      <w:r w:rsidR="00C7196E" w:rsidRPr="008E6BE7">
        <w:rPr>
          <w:rFonts w:ascii="Times New Roman" w:hAnsi="Times New Roman"/>
          <w:sz w:val="28"/>
          <w:szCs w:val="28"/>
        </w:rPr>
        <w:t xml:space="preserve">ajai </w:t>
      </w:r>
      <w:r w:rsidRPr="008E6BE7">
        <w:rPr>
          <w:rFonts w:ascii="Times New Roman" w:hAnsi="Times New Roman"/>
          <w:sz w:val="28"/>
          <w:szCs w:val="28"/>
        </w:rPr>
        <w:t>profesijai.</w:t>
      </w:r>
    </w:p>
    <w:p w:rsidR="00615C4D" w:rsidRPr="008E6BE7" w:rsidRDefault="00615C4D" w:rsidP="00615C4D">
      <w:pPr>
        <w:spacing w:after="0" w:line="240" w:lineRule="auto"/>
        <w:ind w:left="720"/>
        <w:jc w:val="both"/>
        <w:rPr>
          <w:rFonts w:ascii="Times New Roman" w:hAnsi="Times New Roman"/>
          <w:sz w:val="28"/>
          <w:szCs w:val="28"/>
        </w:rPr>
      </w:pPr>
    </w:p>
    <w:p w:rsidR="005060D7" w:rsidRPr="008E6BE7" w:rsidRDefault="00DC2DB3" w:rsidP="00CE7F2B">
      <w:pPr>
        <w:pStyle w:val="Heading1"/>
        <w:jc w:val="center"/>
        <w:rPr>
          <w:rFonts w:ascii="Times New Roman" w:hAnsi="Times New Roman"/>
          <w:sz w:val="28"/>
          <w:szCs w:val="28"/>
        </w:rPr>
      </w:pPr>
      <w:bookmarkStart w:id="2" w:name="_Toc411246700"/>
      <w:r w:rsidRPr="008E6BE7">
        <w:rPr>
          <w:rFonts w:ascii="Times New Roman" w:hAnsi="Times New Roman"/>
          <w:sz w:val="28"/>
          <w:szCs w:val="28"/>
        </w:rPr>
        <w:t>3</w:t>
      </w:r>
      <w:r w:rsidR="005060D7" w:rsidRPr="008E6BE7">
        <w:rPr>
          <w:rFonts w:ascii="Times New Roman" w:hAnsi="Times New Roman"/>
          <w:sz w:val="28"/>
          <w:szCs w:val="28"/>
        </w:rPr>
        <w:t xml:space="preserve">. </w:t>
      </w:r>
      <w:proofErr w:type="spellStart"/>
      <w:r w:rsidR="005060D7" w:rsidRPr="008E6BE7">
        <w:rPr>
          <w:rFonts w:ascii="Times New Roman" w:hAnsi="Times New Roman"/>
          <w:sz w:val="28"/>
          <w:szCs w:val="28"/>
        </w:rPr>
        <w:t>Izmēģinājumprojekt</w:t>
      </w:r>
      <w:r w:rsidR="00DB3FC1" w:rsidRPr="008E6BE7">
        <w:rPr>
          <w:rFonts w:ascii="Times New Roman" w:hAnsi="Times New Roman"/>
          <w:sz w:val="28"/>
          <w:szCs w:val="28"/>
        </w:rPr>
        <w:t>ā</w:t>
      </w:r>
      <w:proofErr w:type="spellEnd"/>
      <w:r w:rsidR="00DB3FC1" w:rsidRPr="008E6BE7">
        <w:rPr>
          <w:rFonts w:ascii="Times New Roman" w:hAnsi="Times New Roman"/>
          <w:sz w:val="28"/>
          <w:szCs w:val="28"/>
        </w:rPr>
        <w:t xml:space="preserve"> konstatētās problēmas</w:t>
      </w:r>
      <w:bookmarkEnd w:id="2"/>
    </w:p>
    <w:p w:rsidR="005060D7" w:rsidRPr="008E6BE7" w:rsidRDefault="005060D7" w:rsidP="00CE7F2B">
      <w:pPr>
        <w:spacing w:after="0" w:line="240" w:lineRule="auto"/>
        <w:rPr>
          <w:rFonts w:ascii="Times New Roman" w:hAnsi="Times New Roman"/>
        </w:rPr>
      </w:pPr>
    </w:p>
    <w:p w:rsidR="005060D7" w:rsidRPr="008E6BE7" w:rsidRDefault="005060D7" w:rsidP="00CE7F2B">
      <w:pPr>
        <w:spacing w:after="0" w:line="240" w:lineRule="auto"/>
        <w:ind w:firstLine="720"/>
        <w:jc w:val="both"/>
        <w:rPr>
          <w:rFonts w:ascii="Times New Roman" w:hAnsi="Times New Roman"/>
          <w:sz w:val="28"/>
          <w:szCs w:val="28"/>
        </w:rPr>
      </w:pPr>
      <w:r w:rsidRPr="008E6BE7">
        <w:rPr>
          <w:rFonts w:ascii="Times New Roman" w:hAnsi="Times New Roman"/>
          <w:sz w:val="28"/>
          <w:szCs w:val="28"/>
        </w:rPr>
        <w:t xml:space="preserve">Analizējot </w:t>
      </w:r>
      <w:proofErr w:type="spellStart"/>
      <w:r w:rsidR="00FE502E" w:rsidRPr="008E6BE7">
        <w:rPr>
          <w:rFonts w:ascii="Times New Roman" w:hAnsi="Times New Roman"/>
          <w:sz w:val="28"/>
          <w:szCs w:val="28"/>
        </w:rPr>
        <w:t>i</w:t>
      </w:r>
      <w:r w:rsidR="002B5B06" w:rsidRPr="008E6BE7">
        <w:rPr>
          <w:rFonts w:ascii="Times New Roman" w:hAnsi="Times New Roman"/>
          <w:sz w:val="28"/>
          <w:szCs w:val="28"/>
        </w:rPr>
        <w:t>zmēģinājumprojekta</w:t>
      </w:r>
      <w:proofErr w:type="spellEnd"/>
      <w:r w:rsidR="002B5B06" w:rsidRPr="008E6BE7">
        <w:rPr>
          <w:rFonts w:ascii="Times New Roman" w:hAnsi="Times New Roman"/>
          <w:sz w:val="28"/>
          <w:szCs w:val="28"/>
        </w:rPr>
        <w:t xml:space="preserve"> otro kārtu</w:t>
      </w:r>
      <w:r w:rsidR="003F2E49" w:rsidRPr="008E6BE7">
        <w:rPr>
          <w:rFonts w:ascii="Times New Roman" w:hAnsi="Times New Roman"/>
          <w:sz w:val="28"/>
          <w:szCs w:val="28"/>
        </w:rPr>
        <w:t xml:space="preserve">, tika konstatētas atsevišķas problēmas attiecībā uz </w:t>
      </w:r>
      <w:r w:rsidRPr="008E6BE7">
        <w:rPr>
          <w:rFonts w:ascii="Times New Roman" w:hAnsi="Times New Roman"/>
          <w:sz w:val="28"/>
          <w:szCs w:val="28"/>
        </w:rPr>
        <w:t>bezdarbnieku iesaist</w:t>
      </w:r>
      <w:r w:rsidR="00DC589A" w:rsidRPr="008E6BE7">
        <w:rPr>
          <w:rFonts w:ascii="Times New Roman" w:hAnsi="Times New Roman"/>
          <w:sz w:val="28"/>
          <w:szCs w:val="28"/>
        </w:rPr>
        <w:t>i</w:t>
      </w:r>
      <w:r w:rsidR="008B3347" w:rsidRPr="008E6BE7">
        <w:rPr>
          <w:rFonts w:ascii="Times New Roman" w:hAnsi="Times New Roman"/>
          <w:sz w:val="28"/>
          <w:szCs w:val="28"/>
        </w:rPr>
        <w:t xml:space="preserve">, kā arī </w:t>
      </w:r>
      <w:r w:rsidRPr="008E6BE7">
        <w:rPr>
          <w:rFonts w:ascii="Times New Roman" w:hAnsi="Times New Roman"/>
          <w:sz w:val="28"/>
          <w:szCs w:val="28"/>
        </w:rPr>
        <w:t>izglītības iestāžu iespēj</w:t>
      </w:r>
      <w:r w:rsidR="003F2E49" w:rsidRPr="008E6BE7">
        <w:rPr>
          <w:rFonts w:ascii="Times New Roman" w:hAnsi="Times New Roman"/>
          <w:sz w:val="28"/>
          <w:szCs w:val="28"/>
        </w:rPr>
        <w:t>ām</w:t>
      </w:r>
      <w:r w:rsidR="00AE7E4E" w:rsidRPr="008E6BE7">
        <w:rPr>
          <w:rFonts w:ascii="Times New Roman" w:hAnsi="Times New Roman"/>
          <w:sz w:val="28"/>
          <w:szCs w:val="28"/>
        </w:rPr>
        <w:t xml:space="preserve"> un </w:t>
      </w:r>
      <w:r w:rsidRPr="008E6BE7">
        <w:rPr>
          <w:rFonts w:ascii="Times New Roman" w:hAnsi="Times New Roman"/>
          <w:sz w:val="28"/>
          <w:szCs w:val="28"/>
        </w:rPr>
        <w:t xml:space="preserve">ieinteresētību piedalīties </w:t>
      </w:r>
      <w:proofErr w:type="spellStart"/>
      <w:r w:rsidR="00FE502E" w:rsidRPr="008E6BE7">
        <w:rPr>
          <w:rFonts w:ascii="Times New Roman" w:hAnsi="Times New Roman"/>
          <w:sz w:val="28"/>
          <w:szCs w:val="28"/>
        </w:rPr>
        <w:t>i</w:t>
      </w:r>
      <w:r w:rsidRPr="008E6BE7">
        <w:rPr>
          <w:rFonts w:ascii="Times New Roman" w:hAnsi="Times New Roman"/>
          <w:sz w:val="28"/>
          <w:szCs w:val="28"/>
        </w:rPr>
        <w:t>zmēģinājumpro</w:t>
      </w:r>
      <w:r w:rsidR="00DB3FC1" w:rsidRPr="008E6BE7">
        <w:rPr>
          <w:rFonts w:ascii="Times New Roman" w:hAnsi="Times New Roman"/>
          <w:sz w:val="28"/>
          <w:szCs w:val="28"/>
        </w:rPr>
        <w:t>jektā</w:t>
      </w:r>
      <w:proofErr w:type="spellEnd"/>
      <w:r w:rsidR="00DB3FC1" w:rsidRPr="008E6BE7">
        <w:rPr>
          <w:rFonts w:ascii="Times New Roman" w:hAnsi="Times New Roman"/>
          <w:sz w:val="28"/>
          <w:szCs w:val="28"/>
        </w:rPr>
        <w:t xml:space="preserve">, </w:t>
      </w:r>
      <w:r w:rsidR="00220F1A">
        <w:rPr>
          <w:rFonts w:ascii="Times New Roman" w:hAnsi="Times New Roman"/>
          <w:sz w:val="28"/>
          <w:szCs w:val="28"/>
        </w:rPr>
        <w:t>netiekot sasniegtam plānotajam rezultatīvajam rādītājam</w:t>
      </w:r>
      <w:r w:rsidR="009C537D" w:rsidRPr="008E6BE7">
        <w:rPr>
          <w:rFonts w:ascii="Times New Roman" w:hAnsi="Times New Roman"/>
          <w:sz w:val="28"/>
          <w:szCs w:val="28"/>
        </w:rPr>
        <w:t xml:space="preserve"> (200 personas)</w:t>
      </w:r>
      <w:r w:rsidR="003F2E49" w:rsidRPr="008E6BE7">
        <w:rPr>
          <w:rFonts w:ascii="Times New Roman" w:hAnsi="Times New Roman"/>
          <w:sz w:val="28"/>
          <w:szCs w:val="28"/>
        </w:rPr>
        <w:t xml:space="preserve"> bezdarbnieku iesaistē.</w:t>
      </w:r>
      <w:r w:rsidRPr="008E6BE7">
        <w:rPr>
          <w:rFonts w:ascii="Times New Roman" w:hAnsi="Times New Roman"/>
          <w:sz w:val="28"/>
          <w:szCs w:val="28"/>
        </w:rPr>
        <w:t xml:space="preserve"> </w:t>
      </w:r>
    </w:p>
    <w:p w:rsidR="00F54485" w:rsidRPr="008E6BE7" w:rsidRDefault="003F2E49" w:rsidP="00CE7F2B">
      <w:pPr>
        <w:spacing w:after="0" w:line="240" w:lineRule="auto"/>
        <w:ind w:firstLine="720"/>
        <w:jc w:val="both"/>
        <w:rPr>
          <w:rFonts w:ascii="Times New Roman" w:hAnsi="Times New Roman"/>
          <w:sz w:val="28"/>
          <w:szCs w:val="28"/>
        </w:rPr>
      </w:pPr>
      <w:r w:rsidRPr="008E6BE7">
        <w:rPr>
          <w:rFonts w:ascii="Times New Roman" w:hAnsi="Times New Roman"/>
          <w:sz w:val="28"/>
          <w:szCs w:val="28"/>
        </w:rPr>
        <w:t xml:space="preserve">Atšķirībā no privātajām izglītības iestādēm </w:t>
      </w:r>
      <w:r w:rsidR="00966B1B" w:rsidRPr="008E6BE7">
        <w:rPr>
          <w:rFonts w:ascii="Times New Roman" w:hAnsi="Times New Roman"/>
          <w:sz w:val="28"/>
          <w:szCs w:val="28"/>
        </w:rPr>
        <w:t xml:space="preserve">PIKC un </w:t>
      </w:r>
      <w:r w:rsidR="008D7BBD" w:rsidRPr="008E6BE7">
        <w:rPr>
          <w:rFonts w:ascii="Times New Roman" w:hAnsi="Times New Roman"/>
          <w:sz w:val="28"/>
          <w:szCs w:val="28"/>
        </w:rPr>
        <w:t>PII</w:t>
      </w:r>
      <w:r w:rsidR="005060D7" w:rsidRPr="008E6BE7">
        <w:rPr>
          <w:rFonts w:ascii="Times New Roman" w:hAnsi="Times New Roman"/>
          <w:sz w:val="28"/>
          <w:szCs w:val="28"/>
        </w:rPr>
        <w:t xml:space="preserve"> nevar nodrošināt nepārtrauktu tālākizglītības programmu apguvi visa gada garumā, jo mācību darbs tiek organizēts semestros un vasaras sezona tiek atvēlēta atvaļinājumiem. </w:t>
      </w:r>
    </w:p>
    <w:p w:rsidR="00F44785" w:rsidRPr="008E6BE7" w:rsidRDefault="00E80B72" w:rsidP="003C36D7">
      <w:pPr>
        <w:spacing w:after="0" w:line="240" w:lineRule="auto"/>
        <w:ind w:firstLine="720"/>
        <w:jc w:val="both"/>
        <w:rPr>
          <w:rFonts w:ascii="Times New Roman" w:hAnsi="Times New Roman"/>
          <w:sz w:val="28"/>
          <w:szCs w:val="28"/>
        </w:rPr>
      </w:pPr>
      <w:r w:rsidRPr="008E6BE7">
        <w:rPr>
          <w:rFonts w:ascii="Times New Roman" w:hAnsi="Times New Roman"/>
          <w:sz w:val="28"/>
          <w:szCs w:val="28"/>
        </w:rPr>
        <w:t>Tāpat</w:t>
      </w:r>
      <w:r w:rsidR="00256211" w:rsidRPr="008E6BE7">
        <w:rPr>
          <w:rFonts w:ascii="Times New Roman" w:hAnsi="Times New Roman"/>
          <w:sz w:val="28"/>
          <w:szCs w:val="28"/>
        </w:rPr>
        <w:t xml:space="preserve"> ir vērojama </w:t>
      </w:r>
      <w:r w:rsidR="002C1C80" w:rsidRPr="008E6BE7">
        <w:rPr>
          <w:rFonts w:ascii="Times New Roman" w:hAnsi="Times New Roman"/>
          <w:sz w:val="28"/>
          <w:szCs w:val="28"/>
        </w:rPr>
        <w:t>PIKC un PII</w:t>
      </w:r>
      <w:r w:rsidR="00256211" w:rsidRPr="008E6BE7">
        <w:rPr>
          <w:rFonts w:ascii="Times New Roman" w:hAnsi="Times New Roman"/>
          <w:sz w:val="28"/>
          <w:szCs w:val="28"/>
        </w:rPr>
        <w:t xml:space="preserve"> pasniedzēju noslogotība saistībā ar mācību gada pamatslodzēm.</w:t>
      </w:r>
      <w:r w:rsidR="003C36D7" w:rsidRPr="008E6BE7">
        <w:rPr>
          <w:rFonts w:ascii="Times New Roman" w:hAnsi="Times New Roman"/>
          <w:sz w:val="28"/>
          <w:szCs w:val="28"/>
        </w:rPr>
        <w:t xml:space="preserve"> I</w:t>
      </w:r>
      <w:r w:rsidR="001D6804" w:rsidRPr="008E6BE7">
        <w:rPr>
          <w:rFonts w:ascii="Times New Roman" w:hAnsi="Times New Roman"/>
          <w:sz w:val="28"/>
          <w:szCs w:val="28"/>
        </w:rPr>
        <w:t>erobežotā pasniedzēju skaita dēļ, i</w:t>
      </w:r>
      <w:r w:rsidR="00256211" w:rsidRPr="008E6BE7">
        <w:rPr>
          <w:rFonts w:ascii="Times New Roman" w:hAnsi="Times New Roman"/>
          <w:sz w:val="28"/>
          <w:szCs w:val="28"/>
        </w:rPr>
        <w:t>zglītības iestādes nevar nodrošināt</w:t>
      </w:r>
      <w:r w:rsidR="003C36D7" w:rsidRPr="008E6BE7">
        <w:rPr>
          <w:rFonts w:ascii="Times New Roman" w:hAnsi="Times New Roman"/>
          <w:sz w:val="28"/>
          <w:szCs w:val="28"/>
        </w:rPr>
        <w:t xml:space="preserve"> vienlaicīgu</w:t>
      </w:r>
      <w:r w:rsidR="00256211" w:rsidRPr="008E6BE7">
        <w:rPr>
          <w:rFonts w:ascii="Times New Roman" w:hAnsi="Times New Roman"/>
          <w:sz w:val="28"/>
          <w:szCs w:val="28"/>
        </w:rPr>
        <w:t xml:space="preserve"> bezdarbnieku </w:t>
      </w:r>
      <w:r w:rsidR="003C36D7" w:rsidRPr="008E6BE7">
        <w:rPr>
          <w:rFonts w:ascii="Times New Roman" w:hAnsi="Times New Roman"/>
          <w:sz w:val="28"/>
          <w:szCs w:val="28"/>
        </w:rPr>
        <w:t xml:space="preserve">izglītības apguvi </w:t>
      </w:r>
      <w:r w:rsidR="001D6804" w:rsidRPr="008E6BE7">
        <w:rPr>
          <w:rFonts w:ascii="Times New Roman" w:hAnsi="Times New Roman"/>
          <w:sz w:val="28"/>
          <w:szCs w:val="28"/>
        </w:rPr>
        <w:t xml:space="preserve">vairāk par divām vai trijām </w:t>
      </w:r>
      <w:r w:rsidR="002B5B06" w:rsidRPr="008E6BE7">
        <w:rPr>
          <w:rFonts w:ascii="Times New Roman" w:hAnsi="Times New Roman"/>
          <w:sz w:val="28"/>
          <w:szCs w:val="28"/>
        </w:rPr>
        <w:t>mācību</w:t>
      </w:r>
      <w:r w:rsidR="001D6804" w:rsidRPr="008E6BE7">
        <w:rPr>
          <w:rFonts w:ascii="Times New Roman" w:hAnsi="Times New Roman"/>
          <w:sz w:val="28"/>
          <w:szCs w:val="28"/>
        </w:rPr>
        <w:t xml:space="preserve"> grupām vienā profesionālās tālākizglītības programmā. P</w:t>
      </w:r>
      <w:r w:rsidR="00256211" w:rsidRPr="008E6BE7">
        <w:rPr>
          <w:rFonts w:ascii="Times New Roman" w:hAnsi="Times New Roman"/>
          <w:sz w:val="28"/>
          <w:szCs w:val="28"/>
        </w:rPr>
        <w:t>iemēram, PIKC “Dau</w:t>
      </w:r>
      <w:r w:rsidR="00AD25D5">
        <w:rPr>
          <w:rFonts w:ascii="Times New Roman" w:hAnsi="Times New Roman"/>
          <w:sz w:val="28"/>
          <w:szCs w:val="28"/>
        </w:rPr>
        <w:t>gavpils B</w:t>
      </w:r>
      <w:r w:rsidR="009760F1" w:rsidRPr="008E6BE7">
        <w:rPr>
          <w:rFonts w:ascii="Times New Roman" w:hAnsi="Times New Roman"/>
          <w:sz w:val="28"/>
          <w:szCs w:val="28"/>
        </w:rPr>
        <w:t xml:space="preserve">ūvniecības tehnikums”, </w:t>
      </w:r>
      <w:r w:rsidR="00256211" w:rsidRPr="008E6BE7">
        <w:rPr>
          <w:rFonts w:ascii="Times New Roman" w:hAnsi="Times New Roman"/>
          <w:sz w:val="28"/>
          <w:szCs w:val="28"/>
        </w:rPr>
        <w:t xml:space="preserve">īstenojot profesionālās tālākizglītības programmu “Inženierkomunikāciju montētājs” </w:t>
      </w:r>
      <w:r w:rsidR="001D6804" w:rsidRPr="008E6BE7">
        <w:rPr>
          <w:rFonts w:ascii="Times New Roman" w:hAnsi="Times New Roman"/>
          <w:sz w:val="28"/>
          <w:szCs w:val="28"/>
        </w:rPr>
        <w:t>(640st.)</w:t>
      </w:r>
      <w:r w:rsidR="00256211" w:rsidRPr="008E6BE7">
        <w:rPr>
          <w:rFonts w:ascii="Times New Roman" w:hAnsi="Times New Roman"/>
          <w:sz w:val="28"/>
          <w:szCs w:val="28"/>
        </w:rPr>
        <w:t>, 2015.</w:t>
      </w:r>
      <w:r w:rsidR="001D6804" w:rsidRPr="008E6BE7">
        <w:rPr>
          <w:rFonts w:ascii="Times New Roman" w:hAnsi="Times New Roman"/>
          <w:sz w:val="28"/>
          <w:szCs w:val="28"/>
        </w:rPr>
        <w:t> gadā organizēja izglītības apguvi</w:t>
      </w:r>
      <w:r w:rsidR="00F44785" w:rsidRPr="008E6BE7">
        <w:rPr>
          <w:rFonts w:ascii="Times New Roman" w:hAnsi="Times New Roman"/>
          <w:sz w:val="28"/>
          <w:szCs w:val="28"/>
        </w:rPr>
        <w:t xml:space="preserve"> </w:t>
      </w:r>
      <w:r w:rsidR="00256211" w:rsidRPr="008E6BE7">
        <w:rPr>
          <w:rFonts w:ascii="Times New Roman" w:hAnsi="Times New Roman"/>
          <w:sz w:val="28"/>
          <w:szCs w:val="28"/>
        </w:rPr>
        <w:t>paralēli trīs grupās, bet 2016.</w:t>
      </w:r>
      <w:r w:rsidR="00F44785" w:rsidRPr="008E6BE7">
        <w:rPr>
          <w:rFonts w:ascii="Times New Roman" w:hAnsi="Times New Roman"/>
          <w:sz w:val="28"/>
          <w:szCs w:val="28"/>
        </w:rPr>
        <w:t> </w:t>
      </w:r>
      <w:r w:rsidR="00256211" w:rsidRPr="008E6BE7">
        <w:rPr>
          <w:rFonts w:ascii="Times New Roman" w:hAnsi="Times New Roman"/>
          <w:sz w:val="28"/>
          <w:szCs w:val="28"/>
        </w:rPr>
        <w:t xml:space="preserve">gadā izglītības iestāde </w:t>
      </w:r>
      <w:r w:rsidR="00F44785" w:rsidRPr="008E6BE7">
        <w:rPr>
          <w:rFonts w:ascii="Times New Roman" w:hAnsi="Times New Roman"/>
          <w:sz w:val="28"/>
          <w:szCs w:val="28"/>
        </w:rPr>
        <w:t xml:space="preserve">neorganizēja jaunu grupu izglītošanu </w:t>
      </w:r>
      <w:r w:rsidR="00256211" w:rsidRPr="008E6BE7">
        <w:rPr>
          <w:rFonts w:ascii="Times New Roman" w:hAnsi="Times New Roman"/>
          <w:sz w:val="28"/>
          <w:szCs w:val="28"/>
        </w:rPr>
        <w:t xml:space="preserve">līdz brīdim, kamēr </w:t>
      </w:r>
      <w:r w:rsidR="00F44785" w:rsidRPr="008E6BE7">
        <w:rPr>
          <w:rFonts w:ascii="Times New Roman" w:hAnsi="Times New Roman"/>
          <w:sz w:val="28"/>
          <w:szCs w:val="28"/>
        </w:rPr>
        <w:t>iepriekšēj</w:t>
      </w:r>
      <w:r w:rsidR="009C537D" w:rsidRPr="008E6BE7">
        <w:rPr>
          <w:rFonts w:ascii="Times New Roman" w:hAnsi="Times New Roman"/>
          <w:sz w:val="28"/>
          <w:szCs w:val="28"/>
        </w:rPr>
        <w:t>o</w:t>
      </w:r>
      <w:r w:rsidR="00F44785" w:rsidRPr="008E6BE7">
        <w:rPr>
          <w:rFonts w:ascii="Times New Roman" w:hAnsi="Times New Roman"/>
          <w:sz w:val="28"/>
          <w:szCs w:val="28"/>
        </w:rPr>
        <w:t xml:space="preserve"> grupu izglītošana netika pabeigta.</w:t>
      </w:r>
    </w:p>
    <w:p w:rsidR="001E22FB" w:rsidRPr="008E6BE7" w:rsidRDefault="00FD18FF" w:rsidP="001E22FB">
      <w:pPr>
        <w:spacing w:after="0" w:line="240" w:lineRule="auto"/>
        <w:ind w:firstLine="720"/>
        <w:jc w:val="both"/>
        <w:rPr>
          <w:rFonts w:ascii="Times New Roman" w:hAnsi="Times New Roman"/>
          <w:sz w:val="28"/>
          <w:szCs w:val="28"/>
        </w:rPr>
      </w:pPr>
      <w:r w:rsidRPr="008E6BE7">
        <w:rPr>
          <w:rFonts w:ascii="Times New Roman" w:hAnsi="Times New Roman"/>
          <w:sz w:val="28"/>
          <w:szCs w:val="28"/>
        </w:rPr>
        <w:t>Tika konstatēti sarežģījumi ar</w:t>
      </w:r>
      <w:r w:rsidR="002B5B06" w:rsidRPr="008E6BE7">
        <w:rPr>
          <w:rFonts w:ascii="Times New Roman" w:hAnsi="Times New Roman"/>
          <w:sz w:val="28"/>
          <w:szCs w:val="28"/>
        </w:rPr>
        <w:t xml:space="preserve"> mācību</w:t>
      </w:r>
      <w:r w:rsidRPr="008E6BE7">
        <w:rPr>
          <w:rFonts w:ascii="Times New Roman" w:hAnsi="Times New Roman"/>
          <w:sz w:val="28"/>
          <w:szCs w:val="28"/>
        </w:rPr>
        <w:t xml:space="preserve"> grupu komplektēšanu</w:t>
      </w:r>
      <w:r w:rsidR="00387963" w:rsidRPr="008E6BE7">
        <w:rPr>
          <w:rFonts w:ascii="Times New Roman" w:hAnsi="Times New Roman"/>
          <w:sz w:val="28"/>
          <w:szCs w:val="28"/>
        </w:rPr>
        <w:t xml:space="preserve">, kā rezultātā </w:t>
      </w:r>
      <w:r w:rsidRPr="008E6BE7">
        <w:rPr>
          <w:rFonts w:ascii="Times New Roman" w:hAnsi="Times New Roman"/>
          <w:sz w:val="28"/>
          <w:szCs w:val="28"/>
        </w:rPr>
        <w:t xml:space="preserve">izglītības iestādes atteicās uzsākt bezdarbnieku izglītošanu </w:t>
      </w:r>
      <w:r w:rsidR="002B5B06" w:rsidRPr="008E6BE7">
        <w:rPr>
          <w:rFonts w:ascii="Times New Roman" w:hAnsi="Times New Roman"/>
          <w:sz w:val="28"/>
          <w:szCs w:val="28"/>
        </w:rPr>
        <w:t>ar nepietiekamu</w:t>
      </w:r>
      <w:r w:rsidRPr="008E6BE7">
        <w:rPr>
          <w:rFonts w:ascii="Times New Roman" w:hAnsi="Times New Roman"/>
          <w:sz w:val="28"/>
          <w:szCs w:val="28"/>
        </w:rPr>
        <w:t xml:space="preserve"> izglītojamo skaita grupā. </w:t>
      </w:r>
      <w:r w:rsidR="00387963" w:rsidRPr="008E6BE7">
        <w:rPr>
          <w:rFonts w:ascii="Times New Roman" w:hAnsi="Times New Roman"/>
          <w:b/>
          <w:bCs/>
          <w:sz w:val="28"/>
          <w:szCs w:val="28"/>
        </w:rPr>
        <w:t xml:space="preserve">Bezdarbnieki atteicās gaidīt, </w:t>
      </w:r>
      <w:r w:rsidR="009760F1" w:rsidRPr="008E6BE7">
        <w:rPr>
          <w:rFonts w:ascii="Times New Roman" w:hAnsi="Times New Roman"/>
          <w:b/>
          <w:bCs/>
          <w:sz w:val="28"/>
          <w:szCs w:val="28"/>
        </w:rPr>
        <w:t>līdz tiks veikta grupu komplektēšana</w:t>
      </w:r>
      <w:r w:rsidR="00387963" w:rsidRPr="008E6BE7">
        <w:rPr>
          <w:rFonts w:ascii="Times New Roman" w:hAnsi="Times New Roman"/>
          <w:b/>
          <w:bCs/>
          <w:sz w:val="28"/>
          <w:szCs w:val="28"/>
        </w:rPr>
        <w:t xml:space="preserve">, izvēloties citu izglītības iestādi un neiesaistoties </w:t>
      </w:r>
      <w:proofErr w:type="spellStart"/>
      <w:r w:rsidR="00387963" w:rsidRPr="008E6BE7">
        <w:rPr>
          <w:rFonts w:ascii="Times New Roman" w:hAnsi="Times New Roman"/>
          <w:b/>
          <w:bCs/>
          <w:sz w:val="28"/>
          <w:szCs w:val="28"/>
        </w:rPr>
        <w:t>izmēģinājumprojektā</w:t>
      </w:r>
      <w:proofErr w:type="spellEnd"/>
      <w:r w:rsidR="00387963" w:rsidRPr="008E6BE7">
        <w:rPr>
          <w:rFonts w:ascii="Times New Roman" w:hAnsi="Times New Roman"/>
          <w:sz w:val="28"/>
          <w:szCs w:val="28"/>
        </w:rPr>
        <w:t xml:space="preserve">. </w:t>
      </w:r>
      <w:r w:rsidR="001E22FB" w:rsidRPr="008E6BE7">
        <w:rPr>
          <w:rFonts w:ascii="Times New Roman" w:hAnsi="Times New Roman"/>
          <w:sz w:val="28"/>
          <w:szCs w:val="28"/>
        </w:rPr>
        <w:t xml:space="preserve">Papildus bija arī citi iemesli, uz ko norādīja </w:t>
      </w:r>
      <w:r w:rsidR="001E22FB" w:rsidRPr="008E6BE7">
        <w:rPr>
          <w:rFonts w:ascii="Times New Roman" w:hAnsi="Times New Roman"/>
          <w:sz w:val="28"/>
          <w:szCs w:val="28"/>
        </w:rPr>
        <w:lastRenderedPageBreak/>
        <w:t xml:space="preserve">bezdarbnieki, kas neveicināja </w:t>
      </w:r>
      <w:proofErr w:type="spellStart"/>
      <w:r w:rsidR="001E22FB" w:rsidRPr="008E6BE7">
        <w:rPr>
          <w:rFonts w:ascii="Times New Roman" w:hAnsi="Times New Roman"/>
          <w:sz w:val="28"/>
          <w:szCs w:val="28"/>
        </w:rPr>
        <w:t>izmēģinājumprojekta</w:t>
      </w:r>
      <w:proofErr w:type="spellEnd"/>
      <w:r w:rsidR="001E22FB" w:rsidRPr="008E6BE7">
        <w:rPr>
          <w:rFonts w:ascii="Times New Roman" w:hAnsi="Times New Roman"/>
          <w:sz w:val="28"/>
          <w:szCs w:val="28"/>
        </w:rPr>
        <w:t xml:space="preserve"> </w:t>
      </w:r>
      <w:r w:rsidR="002B5B06" w:rsidRPr="008E6BE7">
        <w:rPr>
          <w:rFonts w:ascii="Times New Roman" w:hAnsi="Times New Roman"/>
          <w:sz w:val="28"/>
          <w:szCs w:val="28"/>
        </w:rPr>
        <w:t xml:space="preserve">mācību </w:t>
      </w:r>
      <w:r w:rsidR="001E22FB" w:rsidRPr="008E6BE7">
        <w:rPr>
          <w:rFonts w:ascii="Times New Roman" w:hAnsi="Times New Roman"/>
          <w:sz w:val="28"/>
          <w:szCs w:val="28"/>
        </w:rPr>
        <w:t>grupu komplektēšanu:</w:t>
      </w:r>
    </w:p>
    <w:p w:rsidR="00387963" w:rsidRPr="008E6BE7" w:rsidRDefault="009C537D" w:rsidP="00127D19">
      <w:pPr>
        <w:pStyle w:val="ListParagraph"/>
        <w:numPr>
          <w:ilvl w:val="0"/>
          <w:numId w:val="8"/>
        </w:numPr>
        <w:jc w:val="both"/>
        <w:rPr>
          <w:rFonts w:ascii="Times New Roman" w:hAnsi="Times New Roman" w:cs="Times New Roman"/>
          <w:sz w:val="28"/>
          <w:szCs w:val="28"/>
        </w:rPr>
      </w:pPr>
      <w:r w:rsidRPr="008E6BE7">
        <w:rPr>
          <w:rFonts w:ascii="Times New Roman" w:hAnsi="Times New Roman" w:cs="Times New Roman"/>
          <w:sz w:val="28"/>
          <w:szCs w:val="28"/>
        </w:rPr>
        <w:t>s</w:t>
      </w:r>
      <w:r w:rsidR="00387963" w:rsidRPr="008E6BE7">
        <w:rPr>
          <w:rFonts w:ascii="Times New Roman" w:hAnsi="Times New Roman" w:cs="Times New Roman"/>
          <w:sz w:val="28"/>
          <w:szCs w:val="28"/>
        </w:rPr>
        <w:t>tipendijas nepietiekam</w:t>
      </w:r>
      <w:r w:rsidR="002B5B06" w:rsidRPr="008E6BE7">
        <w:rPr>
          <w:rFonts w:ascii="Times New Roman" w:hAnsi="Times New Roman" w:cs="Times New Roman"/>
          <w:sz w:val="28"/>
          <w:szCs w:val="28"/>
        </w:rPr>
        <w:t>ību jeb finanšu līdzekļu trūkums</w:t>
      </w:r>
      <w:r w:rsidR="00387963" w:rsidRPr="008E6BE7">
        <w:rPr>
          <w:rFonts w:ascii="Times New Roman" w:hAnsi="Times New Roman" w:cs="Times New Roman"/>
          <w:sz w:val="28"/>
          <w:szCs w:val="28"/>
        </w:rPr>
        <w:t xml:space="preserve">, piemēram, izdevumu segšanai pusdienām vai nokļūšanai </w:t>
      </w:r>
      <w:r w:rsidR="00FE5A08">
        <w:rPr>
          <w:rFonts w:ascii="Times New Roman" w:hAnsi="Times New Roman" w:cs="Times New Roman"/>
          <w:sz w:val="28"/>
          <w:szCs w:val="28"/>
        </w:rPr>
        <w:t>izglītības apguves</w:t>
      </w:r>
      <w:r w:rsidR="00387963" w:rsidRPr="008E6BE7">
        <w:rPr>
          <w:rFonts w:ascii="Times New Roman" w:hAnsi="Times New Roman" w:cs="Times New Roman"/>
          <w:sz w:val="28"/>
          <w:szCs w:val="28"/>
        </w:rPr>
        <w:t xml:space="preserve"> vietās, proti, grūtībām segt transporta izdevumus, ja uz mācību vietām dienā ir </w:t>
      </w:r>
      <w:r w:rsidRPr="008E6BE7">
        <w:rPr>
          <w:rFonts w:ascii="Times New Roman" w:hAnsi="Times New Roman" w:cs="Times New Roman"/>
          <w:sz w:val="28"/>
          <w:szCs w:val="28"/>
        </w:rPr>
        <w:t>jāizmanto vairākus sabiedriskos transportus;</w:t>
      </w:r>
    </w:p>
    <w:p w:rsidR="00387963" w:rsidRPr="008E6BE7" w:rsidRDefault="009C537D" w:rsidP="00127D19">
      <w:pPr>
        <w:pStyle w:val="ListParagraph"/>
        <w:numPr>
          <w:ilvl w:val="0"/>
          <w:numId w:val="8"/>
        </w:numPr>
        <w:jc w:val="both"/>
        <w:rPr>
          <w:rFonts w:ascii="Times New Roman" w:hAnsi="Times New Roman" w:cs="Times New Roman"/>
          <w:sz w:val="28"/>
          <w:szCs w:val="28"/>
        </w:rPr>
      </w:pPr>
      <w:r w:rsidRPr="008E6BE7">
        <w:rPr>
          <w:rFonts w:ascii="Times New Roman" w:hAnsi="Times New Roman" w:cs="Times New Roman"/>
          <w:sz w:val="28"/>
          <w:szCs w:val="28"/>
        </w:rPr>
        <w:t>s</w:t>
      </w:r>
      <w:r w:rsidR="00387963" w:rsidRPr="008E6BE7">
        <w:rPr>
          <w:rFonts w:ascii="Times New Roman" w:hAnsi="Times New Roman" w:cs="Times New Roman"/>
          <w:sz w:val="28"/>
          <w:szCs w:val="28"/>
        </w:rPr>
        <w:t>tarppilsētu sabiedriskā tran</w:t>
      </w:r>
      <w:r w:rsidR="00C73242" w:rsidRPr="008E6BE7">
        <w:rPr>
          <w:rFonts w:ascii="Times New Roman" w:hAnsi="Times New Roman" w:cs="Times New Roman"/>
          <w:sz w:val="28"/>
          <w:szCs w:val="28"/>
        </w:rPr>
        <w:t>sporta autobusu reisu ierobežots skaits vai neērtie</w:t>
      </w:r>
      <w:r w:rsidR="00387963" w:rsidRPr="008E6BE7">
        <w:rPr>
          <w:rFonts w:ascii="Times New Roman" w:hAnsi="Times New Roman" w:cs="Times New Roman"/>
          <w:sz w:val="28"/>
          <w:szCs w:val="28"/>
        </w:rPr>
        <w:t xml:space="preserve"> transporta kustības </w:t>
      </w:r>
      <w:r w:rsidR="00C73242" w:rsidRPr="008E6BE7">
        <w:rPr>
          <w:rFonts w:ascii="Times New Roman" w:hAnsi="Times New Roman" w:cs="Times New Roman"/>
          <w:sz w:val="28"/>
          <w:szCs w:val="28"/>
        </w:rPr>
        <w:t>saraksti</w:t>
      </w:r>
      <w:r w:rsidRPr="008E6BE7">
        <w:rPr>
          <w:rFonts w:ascii="Times New Roman" w:hAnsi="Times New Roman" w:cs="Times New Roman"/>
          <w:sz w:val="28"/>
          <w:szCs w:val="28"/>
        </w:rPr>
        <w:t>;</w:t>
      </w:r>
    </w:p>
    <w:p w:rsidR="00387963" w:rsidRPr="008E6BE7" w:rsidRDefault="009C537D" w:rsidP="00127D19">
      <w:pPr>
        <w:pStyle w:val="ListParagraph"/>
        <w:numPr>
          <w:ilvl w:val="0"/>
          <w:numId w:val="8"/>
        </w:numPr>
        <w:jc w:val="both"/>
        <w:rPr>
          <w:rFonts w:ascii="Times New Roman" w:hAnsi="Times New Roman" w:cs="Times New Roman"/>
          <w:sz w:val="28"/>
          <w:szCs w:val="28"/>
        </w:rPr>
      </w:pPr>
      <w:r w:rsidRPr="008E6BE7">
        <w:rPr>
          <w:rFonts w:ascii="Times New Roman" w:hAnsi="Times New Roman" w:cs="Times New Roman"/>
          <w:sz w:val="28"/>
          <w:szCs w:val="28"/>
        </w:rPr>
        <w:t>g</w:t>
      </w:r>
      <w:r w:rsidR="00C73242" w:rsidRPr="008E6BE7">
        <w:rPr>
          <w:rFonts w:ascii="Times New Roman" w:hAnsi="Times New Roman" w:cs="Times New Roman"/>
          <w:sz w:val="28"/>
          <w:szCs w:val="28"/>
        </w:rPr>
        <w:t>rūtībām</w:t>
      </w:r>
      <w:r w:rsidR="00387963" w:rsidRPr="008E6BE7">
        <w:rPr>
          <w:rFonts w:ascii="Times New Roman" w:hAnsi="Times New Roman" w:cs="Times New Roman"/>
          <w:sz w:val="28"/>
          <w:szCs w:val="28"/>
        </w:rPr>
        <w:t xml:space="preserve"> iesaistīties izglītības apguvē un vienlaikus pieskatīt bērnus.</w:t>
      </w:r>
    </w:p>
    <w:p w:rsidR="00E80B72" w:rsidRPr="008E6BE7" w:rsidRDefault="00046318" w:rsidP="00CE7F2B">
      <w:pPr>
        <w:spacing w:after="0" w:line="240" w:lineRule="auto"/>
        <w:ind w:firstLine="720"/>
        <w:jc w:val="both"/>
        <w:rPr>
          <w:rFonts w:ascii="Times New Roman" w:hAnsi="Times New Roman"/>
          <w:sz w:val="28"/>
          <w:szCs w:val="28"/>
        </w:rPr>
      </w:pPr>
      <w:r w:rsidRPr="008E6BE7">
        <w:rPr>
          <w:rFonts w:ascii="Times New Roman" w:hAnsi="Times New Roman"/>
          <w:sz w:val="28"/>
          <w:szCs w:val="28"/>
        </w:rPr>
        <w:t>Rīgas reģionā</w:t>
      </w:r>
      <w:r w:rsidR="009A6F59" w:rsidRPr="008E6BE7">
        <w:rPr>
          <w:rFonts w:ascii="Times New Roman" w:hAnsi="Times New Roman"/>
          <w:sz w:val="28"/>
          <w:szCs w:val="28"/>
        </w:rPr>
        <w:t xml:space="preserve">lajā </w:t>
      </w:r>
      <w:r w:rsidRPr="008E6BE7">
        <w:rPr>
          <w:rFonts w:ascii="Times New Roman" w:hAnsi="Times New Roman"/>
          <w:sz w:val="28"/>
          <w:szCs w:val="28"/>
        </w:rPr>
        <w:t>filiālē bezdarbnieku pietei</w:t>
      </w:r>
      <w:r w:rsidR="009A6F59" w:rsidRPr="008E6BE7">
        <w:rPr>
          <w:rFonts w:ascii="Times New Roman" w:hAnsi="Times New Roman"/>
          <w:sz w:val="28"/>
          <w:szCs w:val="28"/>
        </w:rPr>
        <w:t xml:space="preserve">kumu trūkuma dēļ, </w:t>
      </w:r>
      <w:r w:rsidR="001E22FB" w:rsidRPr="008E6BE7">
        <w:rPr>
          <w:rFonts w:ascii="Times New Roman" w:hAnsi="Times New Roman"/>
          <w:sz w:val="28"/>
          <w:szCs w:val="28"/>
        </w:rPr>
        <w:t xml:space="preserve">netika nokomplektēta neviena mācību grupa, tādējādi </w:t>
      </w:r>
      <w:proofErr w:type="spellStart"/>
      <w:r w:rsidR="009A6F59" w:rsidRPr="008E6BE7">
        <w:rPr>
          <w:rFonts w:ascii="Times New Roman" w:hAnsi="Times New Roman"/>
          <w:sz w:val="28"/>
          <w:szCs w:val="28"/>
        </w:rPr>
        <w:t>izmēģinājumprojekta</w:t>
      </w:r>
      <w:proofErr w:type="spellEnd"/>
      <w:r w:rsidR="009A6F59" w:rsidRPr="008E6BE7">
        <w:rPr>
          <w:rFonts w:ascii="Times New Roman" w:hAnsi="Times New Roman"/>
          <w:sz w:val="28"/>
          <w:szCs w:val="28"/>
        </w:rPr>
        <w:t xml:space="preserve"> </w:t>
      </w:r>
      <w:r w:rsidRPr="008E6BE7">
        <w:rPr>
          <w:rFonts w:ascii="Times New Roman" w:hAnsi="Times New Roman"/>
          <w:sz w:val="28"/>
          <w:szCs w:val="28"/>
        </w:rPr>
        <w:t>otrās kārtas ietvaros</w:t>
      </w:r>
      <w:r w:rsidR="001E22FB" w:rsidRPr="008E6BE7">
        <w:rPr>
          <w:rFonts w:ascii="Times New Roman" w:hAnsi="Times New Roman"/>
          <w:sz w:val="28"/>
          <w:szCs w:val="28"/>
        </w:rPr>
        <w:t>, neiesaistot</w:t>
      </w:r>
      <w:r w:rsidRPr="008E6BE7">
        <w:rPr>
          <w:rFonts w:ascii="Times New Roman" w:hAnsi="Times New Roman"/>
          <w:sz w:val="28"/>
          <w:szCs w:val="28"/>
        </w:rPr>
        <w:t xml:space="preserve"> </w:t>
      </w:r>
      <w:r w:rsidR="001E22FB" w:rsidRPr="008E6BE7">
        <w:rPr>
          <w:rFonts w:ascii="Times New Roman" w:hAnsi="Times New Roman"/>
          <w:sz w:val="28"/>
          <w:szCs w:val="28"/>
        </w:rPr>
        <w:t>nevienu bezdarbnieku</w:t>
      </w:r>
      <w:r w:rsidRPr="008E6BE7">
        <w:rPr>
          <w:rFonts w:ascii="Times New Roman" w:hAnsi="Times New Roman"/>
          <w:sz w:val="28"/>
          <w:szCs w:val="28"/>
        </w:rPr>
        <w:t xml:space="preserve">. </w:t>
      </w:r>
      <w:r w:rsidR="009C537D" w:rsidRPr="008E6BE7">
        <w:rPr>
          <w:rFonts w:ascii="Times New Roman" w:hAnsi="Times New Roman"/>
          <w:sz w:val="28"/>
          <w:szCs w:val="28"/>
        </w:rPr>
        <w:t>Iemesli</w:t>
      </w:r>
      <w:r w:rsidR="009921AA" w:rsidRPr="008E6BE7">
        <w:rPr>
          <w:rFonts w:ascii="Times New Roman" w:hAnsi="Times New Roman"/>
          <w:sz w:val="28"/>
          <w:szCs w:val="28"/>
        </w:rPr>
        <w:t>, papildus jau iepriekš uzskaitītajiem, bija bezdarbnieku</w:t>
      </w:r>
      <w:r w:rsidRPr="008E6BE7">
        <w:rPr>
          <w:rFonts w:ascii="Times New Roman" w:hAnsi="Times New Roman"/>
          <w:sz w:val="28"/>
          <w:szCs w:val="28"/>
        </w:rPr>
        <w:t xml:space="preserve"> </w:t>
      </w:r>
      <w:r w:rsidR="000C13AE" w:rsidRPr="008E6BE7">
        <w:rPr>
          <w:rFonts w:ascii="Times New Roman" w:hAnsi="Times New Roman"/>
          <w:sz w:val="28"/>
          <w:szCs w:val="28"/>
        </w:rPr>
        <w:t>n</w:t>
      </w:r>
      <w:r w:rsidR="009921AA" w:rsidRPr="008E6BE7">
        <w:rPr>
          <w:rFonts w:ascii="Times New Roman" w:hAnsi="Times New Roman"/>
          <w:sz w:val="28"/>
          <w:szCs w:val="28"/>
        </w:rPr>
        <w:t xml:space="preserve">eatbilstība </w:t>
      </w:r>
      <w:r w:rsidRPr="008E6BE7">
        <w:rPr>
          <w:rFonts w:ascii="Times New Roman" w:hAnsi="Times New Roman"/>
          <w:sz w:val="28"/>
          <w:szCs w:val="28"/>
        </w:rPr>
        <w:t>mērķa grupai</w:t>
      </w:r>
      <w:r w:rsidR="000C13AE" w:rsidRPr="008E6BE7">
        <w:rPr>
          <w:rFonts w:ascii="Times New Roman" w:hAnsi="Times New Roman"/>
          <w:sz w:val="28"/>
          <w:szCs w:val="28"/>
        </w:rPr>
        <w:t xml:space="preserve"> (neatbilstība noteiktajam vecuma ierobežojumam, t.i., vecāki par 45 gadiem</w:t>
      </w:r>
      <w:r w:rsidR="009C537D" w:rsidRPr="008E6BE7">
        <w:rPr>
          <w:rFonts w:ascii="Times New Roman" w:hAnsi="Times New Roman"/>
          <w:sz w:val="28"/>
          <w:szCs w:val="28"/>
        </w:rPr>
        <w:t>,</w:t>
      </w:r>
      <w:r w:rsidR="000C13AE" w:rsidRPr="008E6BE7">
        <w:rPr>
          <w:rFonts w:ascii="Times New Roman" w:hAnsi="Times New Roman"/>
          <w:sz w:val="28"/>
          <w:szCs w:val="28"/>
        </w:rPr>
        <w:t xml:space="preserve"> </w:t>
      </w:r>
      <w:r w:rsidR="002513F0">
        <w:rPr>
          <w:rFonts w:ascii="Times New Roman" w:hAnsi="Times New Roman"/>
          <w:sz w:val="28"/>
          <w:szCs w:val="28"/>
        </w:rPr>
        <w:t>vai</w:t>
      </w:r>
      <w:r w:rsidR="002513F0" w:rsidRPr="008E6BE7">
        <w:rPr>
          <w:rFonts w:ascii="Times New Roman" w:hAnsi="Times New Roman"/>
          <w:sz w:val="28"/>
          <w:szCs w:val="28"/>
        </w:rPr>
        <w:t xml:space="preserve"> </w:t>
      </w:r>
      <w:r w:rsidR="000C13AE" w:rsidRPr="008E6BE7">
        <w:rPr>
          <w:rFonts w:ascii="Times New Roman" w:hAnsi="Times New Roman"/>
          <w:sz w:val="28"/>
          <w:szCs w:val="28"/>
        </w:rPr>
        <w:t xml:space="preserve">ir bez darba </w:t>
      </w:r>
      <w:r w:rsidR="002513F0">
        <w:rPr>
          <w:rFonts w:ascii="Times New Roman" w:hAnsi="Times New Roman"/>
          <w:sz w:val="28"/>
          <w:szCs w:val="28"/>
        </w:rPr>
        <w:t>ilgāk</w:t>
      </w:r>
      <w:r w:rsidR="002513F0" w:rsidRPr="008E6BE7">
        <w:rPr>
          <w:rFonts w:ascii="Times New Roman" w:hAnsi="Times New Roman"/>
          <w:sz w:val="28"/>
          <w:szCs w:val="28"/>
        </w:rPr>
        <w:t xml:space="preserve"> </w:t>
      </w:r>
      <w:r w:rsidR="000C13AE" w:rsidRPr="008E6BE7">
        <w:rPr>
          <w:rFonts w:ascii="Times New Roman" w:hAnsi="Times New Roman"/>
          <w:sz w:val="28"/>
          <w:szCs w:val="28"/>
        </w:rPr>
        <w:t xml:space="preserve">par </w:t>
      </w:r>
      <w:r w:rsidR="006B288E" w:rsidRPr="008E6BE7">
        <w:rPr>
          <w:rFonts w:ascii="Times New Roman" w:hAnsi="Times New Roman"/>
          <w:sz w:val="28"/>
          <w:szCs w:val="28"/>
        </w:rPr>
        <w:t>12 mēnešiem)</w:t>
      </w:r>
      <w:r w:rsidR="000C13AE" w:rsidRPr="008E6BE7">
        <w:rPr>
          <w:rFonts w:ascii="Times New Roman" w:hAnsi="Times New Roman"/>
          <w:sz w:val="28"/>
          <w:szCs w:val="28"/>
        </w:rPr>
        <w:t>.</w:t>
      </w:r>
      <w:r w:rsidR="00E82BE2" w:rsidRPr="008E6BE7">
        <w:rPr>
          <w:rFonts w:ascii="Times New Roman" w:hAnsi="Times New Roman"/>
          <w:sz w:val="28"/>
          <w:szCs w:val="28"/>
        </w:rPr>
        <w:t xml:space="preserve"> </w:t>
      </w:r>
      <w:r w:rsidR="00EA0BB4" w:rsidRPr="008E6BE7">
        <w:rPr>
          <w:rFonts w:ascii="Times New Roman" w:hAnsi="Times New Roman"/>
          <w:sz w:val="28"/>
          <w:szCs w:val="28"/>
        </w:rPr>
        <w:t>Tāpat</w:t>
      </w:r>
      <w:r w:rsidR="00E82BE2" w:rsidRPr="008E6BE7">
        <w:rPr>
          <w:rFonts w:ascii="Times New Roman" w:hAnsi="Times New Roman"/>
          <w:sz w:val="28"/>
          <w:szCs w:val="28"/>
        </w:rPr>
        <w:t xml:space="preserve"> </w:t>
      </w:r>
      <w:r w:rsidRPr="008E6BE7">
        <w:rPr>
          <w:rFonts w:ascii="Times New Roman" w:hAnsi="Times New Roman"/>
          <w:sz w:val="28"/>
          <w:szCs w:val="28"/>
        </w:rPr>
        <w:t xml:space="preserve">Rīgas reģionālā filiāle sniedza informāciju, ka </w:t>
      </w:r>
      <w:r w:rsidR="00E82BE2" w:rsidRPr="008E6BE7">
        <w:rPr>
          <w:rFonts w:ascii="Times New Roman" w:hAnsi="Times New Roman"/>
          <w:sz w:val="28"/>
          <w:szCs w:val="28"/>
        </w:rPr>
        <w:t>klienti nevēlas mācīties salīdzinoši apjomīgākajās tālākizglītības</w:t>
      </w:r>
      <w:r w:rsidRPr="008E6BE7">
        <w:rPr>
          <w:rFonts w:ascii="Times New Roman" w:hAnsi="Times New Roman"/>
          <w:sz w:val="28"/>
          <w:szCs w:val="28"/>
        </w:rPr>
        <w:t xml:space="preserve"> programmās un pārsvarā ir grūti pārliecināmi par </w:t>
      </w:r>
      <w:r w:rsidR="00E82BE2" w:rsidRPr="008E6BE7">
        <w:rPr>
          <w:rFonts w:ascii="Times New Roman" w:hAnsi="Times New Roman"/>
          <w:sz w:val="28"/>
          <w:szCs w:val="28"/>
        </w:rPr>
        <w:t>iesaistes</w:t>
      </w:r>
      <w:r w:rsidRPr="008E6BE7">
        <w:rPr>
          <w:rFonts w:ascii="Times New Roman" w:hAnsi="Times New Roman"/>
          <w:sz w:val="28"/>
          <w:szCs w:val="28"/>
        </w:rPr>
        <w:t xml:space="preserve"> </w:t>
      </w:r>
      <w:r w:rsidR="00C73242" w:rsidRPr="008E6BE7">
        <w:rPr>
          <w:rFonts w:ascii="Times New Roman" w:hAnsi="Times New Roman"/>
          <w:sz w:val="28"/>
          <w:szCs w:val="28"/>
        </w:rPr>
        <w:t>lietderīgumu</w:t>
      </w:r>
      <w:r w:rsidR="00870892" w:rsidRPr="008E6BE7">
        <w:rPr>
          <w:rFonts w:ascii="Times New Roman" w:hAnsi="Times New Roman"/>
          <w:sz w:val="28"/>
          <w:szCs w:val="28"/>
        </w:rPr>
        <w:t xml:space="preserve"> jeb citiem vārdiem sakot, ir vērojams motivācijas trūkums</w:t>
      </w:r>
      <w:r w:rsidR="00E82BE2" w:rsidRPr="008E6BE7">
        <w:rPr>
          <w:rFonts w:ascii="Times New Roman" w:hAnsi="Times New Roman"/>
          <w:sz w:val="28"/>
          <w:szCs w:val="28"/>
        </w:rPr>
        <w:t>.</w:t>
      </w:r>
    </w:p>
    <w:p w:rsidR="009623A8" w:rsidRPr="008E6BE7" w:rsidRDefault="009623A8" w:rsidP="00CE7F2B">
      <w:pPr>
        <w:spacing w:after="0" w:line="240" w:lineRule="auto"/>
        <w:ind w:firstLine="720"/>
        <w:jc w:val="both"/>
        <w:rPr>
          <w:rFonts w:ascii="Times New Roman" w:hAnsi="Times New Roman"/>
          <w:sz w:val="28"/>
          <w:szCs w:val="28"/>
        </w:rPr>
      </w:pPr>
      <w:r w:rsidRPr="008E6BE7">
        <w:rPr>
          <w:rFonts w:ascii="Times New Roman" w:hAnsi="Times New Roman"/>
          <w:sz w:val="28"/>
          <w:szCs w:val="28"/>
        </w:rPr>
        <w:t>Vairāku izglītības iestāžu</w:t>
      </w:r>
      <w:r w:rsidR="001A03F5" w:rsidRPr="008E6BE7">
        <w:rPr>
          <w:rFonts w:ascii="Times New Roman" w:hAnsi="Times New Roman"/>
          <w:sz w:val="28"/>
          <w:szCs w:val="28"/>
        </w:rPr>
        <w:t xml:space="preserve"> iesaisti</w:t>
      </w:r>
      <w:r w:rsidRPr="008E6BE7">
        <w:rPr>
          <w:rFonts w:ascii="Times New Roman" w:hAnsi="Times New Roman"/>
          <w:sz w:val="28"/>
          <w:szCs w:val="28"/>
        </w:rPr>
        <w:t xml:space="preserve"> </w:t>
      </w:r>
      <w:r w:rsidR="001A03F5" w:rsidRPr="008E6BE7">
        <w:rPr>
          <w:rFonts w:ascii="Times New Roman" w:hAnsi="Times New Roman"/>
          <w:sz w:val="28"/>
          <w:szCs w:val="28"/>
        </w:rPr>
        <w:t xml:space="preserve">un to izglītības programmu īstenošanu </w:t>
      </w:r>
      <w:proofErr w:type="spellStart"/>
      <w:r w:rsidRPr="008E6BE7">
        <w:rPr>
          <w:rFonts w:ascii="Times New Roman" w:hAnsi="Times New Roman"/>
          <w:sz w:val="28"/>
          <w:szCs w:val="28"/>
        </w:rPr>
        <w:t>izmēģinājumprojekt</w:t>
      </w:r>
      <w:r w:rsidR="00C73242" w:rsidRPr="008E6BE7">
        <w:rPr>
          <w:rFonts w:ascii="Times New Roman" w:hAnsi="Times New Roman"/>
          <w:sz w:val="28"/>
          <w:szCs w:val="28"/>
        </w:rPr>
        <w:t>a</w:t>
      </w:r>
      <w:proofErr w:type="spellEnd"/>
      <w:r w:rsidR="00C73242" w:rsidRPr="008E6BE7">
        <w:rPr>
          <w:rFonts w:ascii="Times New Roman" w:hAnsi="Times New Roman"/>
          <w:sz w:val="28"/>
          <w:szCs w:val="28"/>
        </w:rPr>
        <w:t xml:space="preserve"> otrajā kārtā</w:t>
      </w:r>
      <w:r w:rsidR="001A03F5" w:rsidRPr="008E6BE7">
        <w:rPr>
          <w:rFonts w:ascii="Times New Roman" w:hAnsi="Times New Roman"/>
          <w:sz w:val="28"/>
          <w:szCs w:val="28"/>
        </w:rPr>
        <w:t xml:space="preserve"> </w:t>
      </w:r>
      <w:r w:rsidRPr="008E6BE7">
        <w:rPr>
          <w:rFonts w:ascii="Times New Roman" w:hAnsi="Times New Roman"/>
          <w:sz w:val="28"/>
          <w:szCs w:val="28"/>
        </w:rPr>
        <w:t xml:space="preserve">ierobežoja skolu </w:t>
      </w:r>
      <w:r w:rsidR="001A03F5" w:rsidRPr="008E6BE7">
        <w:rPr>
          <w:rFonts w:ascii="Times New Roman" w:hAnsi="Times New Roman"/>
          <w:sz w:val="28"/>
          <w:szCs w:val="28"/>
        </w:rPr>
        <w:t>tālāk</w:t>
      </w:r>
      <w:r w:rsidRPr="008E6BE7">
        <w:rPr>
          <w:rFonts w:ascii="Times New Roman" w:hAnsi="Times New Roman"/>
          <w:sz w:val="28"/>
          <w:szCs w:val="28"/>
        </w:rPr>
        <w:t xml:space="preserve">izglītības programmu neatbilstība NVA sadarbības līgumu nosacījumiem saistībā ar programmu </w:t>
      </w:r>
      <w:r w:rsidR="00BF7CCB">
        <w:rPr>
          <w:rFonts w:ascii="Times New Roman" w:hAnsi="Times New Roman"/>
          <w:sz w:val="28"/>
          <w:szCs w:val="28"/>
        </w:rPr>
        <w:t>licenzēšanas un</w:t>
      </w:r>
      <w:r w:rsidRPr="008E6BE7">
        <w:rPr>
          <w:rFonts w:ascii="Times New Roman" w:hAnsi="Times New Roman"/>
          <w:sz w:val="28"/>
          <w:szCs w:val="28"/>
        </w:rPr>
        <w:t xml:space="preserve"> akreditēšanas noteikto kārtību. </w:t>
      </w:r>
    </w:p>
    <w:p w:rsidR="00E80B72" w:rsidRPr="008E6BE7" w:rsidRDefault="005060D7" w:rsidP="00CE7F2B">
      <w:pPr>
        <w:spacing w:after="0" w:line="240" w:lineRule="auto"/>
        <w:ind w:firstLine="720"/>
        <w:jc w:val="both"/>
        <w:rPr>
          <w:rFonts w:ascii="Times New Roman" w:hAnsi="Times New Roman"/>
          <w:sz w:val="28"/>
          <w:szCs w:val="28"/>
        </w:rPr>
      </w:pPr>
      <w:r w:rsidRPr="008E6BE7">
        <w:rPr>
          <w:rFonts w:ascii="Times New Roman" w:hAnsi="Times New Roman"/>
          <w:sz w:val="28"/>
          <w:szCs w:val="28"/>
        </w:rPr>
        <w:t xml:space="preserve">Filiālēm </w:t>
      </w:r>
      <w:r w:rsidR="003F2E49" w:rsidRPr="008E6BE7">
        <w:rPr>
          <w:rFonts w:ascii="Times New Roman" w:hAnsi="Times New Roman"/>
          <w:sz w:val="28"/>
          <w:szCs w:val="28"/>
        </w:rPr>
        <w:t>b</w:t>
      </w:r>
      <w:r w:rsidRPr="008E6BE7">
        <w:rPr>
          <w:rFonts w:ascii="Times New Roman" w:hAnsi="Times New Roman"/>
          <w:sz w:val="28"/>
          <w:szCs w:val="28"/>
        </w:rPr>
        <w:t>i</w:t>
      </w:r>
      <w:r w:rsidR="003F2E49" w:rsidRPr="008E6BE7">
        <w:rPr>
          <w:rFonts w:ascii="Times New Roman" w:hAnsi="Times New Roman"/>
          <w:sz w:val="28"/>
          <w:szCs w:val="28"/>
        </w:rPr>
        <w:t>ja</w:t>
      </w:r>
      <w:r w:rsidRPr="008E6BE7">
        <w:rPr>
          <w:rFonts w:ascii="Times New Roman" w:hAnsi="Times New Roman"/>
          <w:sz w:val="28"/>
          <w:szCs w:val="28"/>
        </w:rPr>
        <w:t xml:space="preserve"> grūtības atrast bezdarbniekus, kuri būtu ar mieru uzsākt mācības</w:t>
      </w:r>
      <w:r w:rsidR="003F2E49" w:rsidRPr="008E6BE7">
        <w:rPr>
          <w:rFonts w:ascii="Times New Roman" w:hAnsi="Times New Roman"/>
          <w:sz w:val="28"/>
          <w:szCs w:val="28"/>
        </w:rPr>
        <w:t xml:space="preserve"> ārpus viņu apdzīvotajām administratīvajām teritorijām</w:t>
      </w:r>
      <w:r w:rsidRPr="008E6BE7">
        <w:rPr>
          <w:rFonts w:ascii="Times New Roman" w:hAnsi="Times New Roman"/>
          <w:sz w:val="28"/>
          <w:szCs w:val="28"/>
        </w:rPr>
        <w:t>.</w:t>
      </w:r>
      <w:r w:rsidR="00A708B2" w:rsidRPr="008E6BE7">
        <w:rPr>
          <w:rFonts w:ascii="Times New Roman" w:hAnsi="Times New Roman"/>
          <w:sz w:val="28"/>
          <w:szCs w:val="28"/>
        </w:rPr>
        <w:t xml:space="preserve"> </w:t>
      </w:r>
      <w:r w:rsidR="00635798" w:rsidRPr="008E6BE7">
        <w:rPr>
          <w:rFonts w:ascii="Times New Roman" w:hAnsi="Times New Roman"/>
          <w:sz w:val="28"/>
          <w:szCs w:val="28"/>
        </w:rPr>
        <w:t xml:space="preserve">Atšķirībā no </w:t>
      </w:r>
      <w:proofErr w:type="spellStart"/>
      <w:r w:rsidR="00635798" w:rsidRPr="008E6BE7">
        <w:rPr>
          <w:rFonts w:ascii="Times New Roman" w:hAnsi="Times New Roman"/>
          <w:sz w:val="28"/>
          <w:szCs w:val="28"/>
        </w:rPr>
        <w:t>izmēģinājumprojekta</w:t>
      </w:r>
      <w:proofErr w:type="spellEnd"/>
      <w:r w:rsidR="00635798" w:rsidRPr="008E6BE7">
        <w:rPr>
          <w:rFonts w:ascii="Times New Roman" w:hAnsi="Times New Roman"/>
          <w:sz w:val="28"/>
          <w:szCs w:val="28"/>
        </w:rPr>
        <w:t xml:space="preserve"> pirmās kārtas, otrajā kārtā, ņemot vērā to, ka izglītības iestādes varētu atrasties attālināti no bezdarbnieku atrašanās vietām, bezdarbniekiem tika piedāvāta iespēja izmantot </w:t>
      </w:r>
      <w:r w:rsidR="00C73242" w:rsidRPr="008E6BE7">
        <w:rPr>
          <w:rFonts w:ascii="Times New Roman" w:hAnsi="Times New Roman"/>
          <w:sz w:val="28"/>
          <w:szCs w:val="28"/>
        </w:rPr>
        <w:t xml:space="preserve">atbalstu reģionālai mobilitātei </w:t>
      </w:r>
      <w:r w:rsidR="00A708B2" w:rsidRPr="008E6BE7">
        <w:rPr>
          <w:rFonts w:ascii="Times New Roman" w:hAnsi="Times New Roman"/>
          <w:sz w:val="28"/>
          <w:szCs w:val="28"/>
        </w:rPr>
        <w:t>(</w:t>
      </w:r>
      <w:r w:rsidR="00A708B2" w:rsidRPr="008E6BE7">
        <w:rPr>
          <w:rFonts w:ascii="Times New Roman" w:hAnsi="Times New Roman"/>
          <w:i/>
          <w:iCs/>
          <w:sz w:val="28"/>
          <w:szCs w:val="28"/>
        </w:rPr>
        <w:t>detalizēts mobilitātes pasākuma apraksts sniegts ziņojuma pielikumā</w:t>
      </w:r>
      <w:r w:rsidR="00A708B2" w:rsidRPr="008E6BE7">
        <w:rPr>
          <w:rFonts w:ascii="Times New Roman" w:hAnsi="Times New Roman"/>
          <w:sz w:val="28"/>
          <w:szCs w:val="28"/>
        </w:rPr>
        <w:t>).</w:t>
      </w:r>
      <w:r w:rsidR="002D6A10" w:rsidRPr="008E6BE7">
        <w:rPr>
          <w:rFonts w:ascii="Times New Roman" w:hAnsi="Times New Roman"/>
          <w:sz w:val="28"/>
          <w:szCs w:val="28"/>
        </w:rPr>
        <w:t xml:space="preserve"> </w:t>
      </w:r>
      <w:r w:rsidR="00A708B2" w:rsidRPr="00765874">
        <w:rPr>
          <w:rFonts w:ascii="Times New Roman" w:hAnsi="Times New Roman"/>
          <w:sz w:val="28"/>
          <w:szCs w:val="28"/>
        </w:rPr>
        <w:t xml:space="preserve">Tomēr </w:t>
      </w:r>
      <w:proofErr w:type="spellStart"/>
      <w:r w:rsidR="00A708B2" w:rsidRPr="00765874">
        <w:rPr>
          <w:rFonts w:ascii="Times New Roman" w:hAnsi="Times New Roman"/>
          <w:sz w:val="28"/>
          <w:szCs w:val="28"/>
        </w:rPr>
        <w:t>izmēģinājumprojekta</w:t>
      </w:r>
      <w:proofErr w:type="spellEnd"/>
      <w:r w:rsidR="00A708B2" w:rsidRPr="00765874">
        <w:rPr>
          <w:rFonts w:ascii="Times New Roman" w:hAnsi="Times New Roman"/>
          <w:sz w:val="28"/>
          <w:szCs w:val="28"/>
        </w:rPr>
        <w:t xml:space="preserve"> otrās kārtas ietvaros mobilitātes pasākuma iespējas izmantoja </w:t>
      </w:r>
      <w:r w:rsidR="002D6A10" w:rsidRPr="00765874">
        <w:rPr>
          <w:rFonts w:ascii="Times New Roman" w:hAnsi="Times New Roman"/>
          <w:sz w:val="28"/>
          <w:szCs w:val="28"/>
        </w:rPr>
        <w:t xml:space="preserve">tikai </w:t>
      </w:r>
      <w:r w:rsidR="0028088A" w:rsidRPr="00765874">
        <w:rPr>
          <w:rFonts w:ascii="Times New Roman" w:hAnsi="Times New Roman"/>
          <w:sz w:val="28"/>
          <w:szCs w:val="28"/>
        </w:rPr>
        <w:t xml:space="preserve">14 </w:t>
      </w:r>
      <w:r w:rsidR="00A708B2" w:rsidRPr="00765874">
        <w:rPr>
          <w:rFonts w:ascii="Times New Roman" w:hAnsi="Times New Roman"/>
          <w:sz w:val="28"/>
          <w:szCs w:val="28"/>
        </w:rPr>
        <w:t xml:space="preserve">bezdarbnieki, no tiem </w:t>
      </w:r>
      <w:r w:rsidR="0028088A" w:rsidRPr="00765874">
        <w:rPr>
          <w:rFonts w:ascii="Times New Roman" w:hAnsi="Times New Roman"/>
          <w:sz w:val="28"/>
          <w:szCs w:val="28"/>
        </w:rPr>
        <w:t xml:space="preserve">3 </w:t>
      </w:r>
      <w:r w:rsidR="00A708B2" w:rsidRPr="00765874">
        <w:rPr>
          <w:rFonts w:ascii="Times New Roman" w:hAnsi="Times New Roman"/>
          <w:sz w:val="28"/>
          <w:szCs w:val="28"/>
        </w:rPr>
        <w:t xml:space="preserve">bezdarbniekiem tika </w:t>
      </w:r>
      <w:r w:rsidR="00C73242" w:rsidRPr="00765874">
        <w:rPr>
          <w:rFonts w:ascii="Times New Roman" w:hAnsi="Times New Roman"/>
          <w:sz w:val="28"/>
          <w:szCs w:val="28"/>
        </w:rPr>
        <w:t>segti izdevumi</w:t>
      </w:r>
      <w:r w:rsidR="005946E3" w:rsidRPr="00765874">
        <w:rPr>
          <w:rFonts w:ascii="Times New Roman" w:hAnsi="Times New Roman"/>
          <w:sz w:val="28"/>
          <w:szCs w:val="28"/>
        </w:rPr>
        <w:t xml:space="preserve"> par dzīvojamās telpas īri, </w:t>
      </w:r>
      <w:r w:rsidR="00A708B2" w:rsidRPr="00765874">
        <w:rPr>
          <w:rFonts w:ascii="Times New Roman" w:hAnsi="Times New Roman"/>
          <w:sz w:val="28"/>
          <w:szCs w:val="28"/>
        </w:rPr>
        <w:t xml:space="preserve">un </w:t>
      </w:r>
      <w:r w:rsidR="0028088A" w:rsidRPr="00765874">
        <w:rPr>
          <w:rFonts w:ascii="Times New Roman" w:hAnsi="Times New Roman"/>
          <w:sz w:val="28"/>
          <w:szCs w:val="28"/>
        </w:rPr>
        <w:t xml:space="preserve">11 </w:t>
      </w:r>
      <w:r w:rsidR="00A708B2" w:rsidRPr="00765874">
        <w:rPr>
          <w:rFonts w:ascii="Times New Roman" w:hAnsi="Times New Roman"/>
          <w:sz w:val="28"/>
          <w:szCs w:val="28"/>
        </w:rPr>
        <w:t>bezdarbnieki</w:t>
      </w:r>
      <w:r w:rsidR="00C73242" w:rsidRPr="00765874">
        <w:rPr>
          <w:rFonts w:ascii="Times New Roman" w:hAnsi="Times New Roman"/>
          <w:sz w:val="28"/>
          <w:szCs w:val="28"/>
        </w:rPr>
        <w:t>em piemērota finanšu atlīdzība</w:t>
      </w:r>
      <w:r w:rsidR="005946E3" w:rsidRPr="00765874">
        <w:rPr>
          <w:rFonts w:ascii="Times New Roman" w:hAnsi="Times New Roman"/>
          <w:sz w:val="28"/>
          <w:szCs w:val="28"/>
        </w:rPr>
        <w:t xml:space="preserve"> par transporta izdevumiem</w:t>
      </w:r>
      <w:r w:rsidR="00A708B2" w:rsidRPr="00765874">
        <w:rPr>
          <w:rFonts w:ascii="Times New Roman" w:hAnsi="Times New Roman"/>
          <w:sz w:val="28"/>
          <w:szCs w:val="28"/>
        </w:rPr>
        <w:t>.</w:t>
      </w:r>
      <w:r w:rsidR="00D02C33">
        <w:rPr>
          <w:rFonts w:ascii="Times New Roman" w:hAnsi="Times New Roman"/>
          <w:sz w:val="28"/>
          <w:szCs w:val="28"/>
        </w:rPr>
        <w:t xml:space="preserve"> Secināms, ka izglītojamie</w:t>
      </w:r>
      <w:r w:rsidRPr="00765874">
        <w:rPr>
          <w:rFonts w:ascii="Times New Roman" w:hAnsi="Times New Roman"/>
          <w:sz w:val="28"/>
          <w:szCs w:val="28"/>
        </w:rPr>
        <w:t xml:space="preserve"> nevēlējās dzīvot šķirti no savām ģimenēm</w:t>
      </w:r>
      <w:r w:rsidR="002D6A10" w:rsidRPr="00765874">
        <w:rPr>
          <w:rFonts w:ascii="Times New Roman" w:hAnsi="Times New Roman"/>
          <w:sz w:val="28"/>
          <w:szCs w:val="28"/>
        </w:rPr>
        <w:t>, reti izmantojot izglītības iestāžu dienesta viesnīcas</w:t>
      </w:r>
      <w:r w:rsidRPr="00765874">
        <w:rPr>
          <w:rFonts w:ascii="Times New Roman" w:hAnsi="Times New Roman"/>
          <w:sz w:val="28"/>
          <w:szCs w:val="28"/>
        </w:rPr>
        <w:t>.</w:t>
      </w:r>
      <w:r w:rsidRPr="008E6BE7">
        <w:rPr>
          <w:rFonts w:ascii="Times New Roman" w:hAnsi="Times New Roman"/>
          <w:sz w:val="28"/>
          <w:szCs w:val="28"/>
        </w:rPr>
        <w:t xml:space="preserve"> </w:t>
      </w:r>
    </w:p>
    <w:p w:rsidR="001A4F23" w:rsidRDefault="005060D7" w:rsidP="00CE7F2B">
      <w:pPr>
        <w:spacing w:after="0" w:line="240" w:lineRule="auto"/>
        <w:ind w:firstLine="720"/>
        <w:jc w:val="both"/>
        <w:rPr>
          <w:rFonts w:ascii="Times New Roman" w:hAnsi="Times New Roman"/>
          <w:sz w:val="28"/>
          <w:szCs w:val="28"/>
        </w:rPr>
      </w:pPr>
      <w:r w:rsidRPr="008E6BE7">
        <w:rPr>
          <w:rFonts w:ascii="Times New Roman" w:hAnsi="Times New Roman"/>
          <w:sz w:val="28"/>
          <w:szCs w:val="28"/>
        </w:rPr>
        <w:t>Visbeidzot</w:t>
      </w:r>
      <w:r w:rsidR="00D64BA7" w:rsidRPr="008E6BE7">
        <w:rPr>
          <w:rFonts w:ascii="Times New Roman" w:hAnsi="Times New Roman"/>
          <w:sz w:val="28"/>
          <w:szCs w:val="28"/>
        </w:rPr>
        <w:t>,</w:t>
      </w:r>
      <w:r w:rsidRPr="008E6BE7">
        <w:rPr>
          <w:rFonts w:ascii="Times New Roman" w:hAnsi="Times New Roman"/>
          <w:sz w:val="28"/>
          <w:szCs w:val="28"/>
        </w:rPr>
        <w:t xml:space="preserve"> </w:t>
      </w:r>
      <w:r w:rsidR="00D64BA7" w:rsidRPr="008E6BE7">
        <w:rPr>
          <w:rFonts w:ascii="Times New Roman" w:hAnsi="Times New Roman"/>
          <w:sz w:val="28"/>
          <w:szCs w:val="28"/>
        </w:rPr>
        <w:t xml:space="preserve">lai izpildītu </w:t>
      </w:r>
      <w:proofErr w:type="spellStart"/>
      <w:r w:rsidR="00FE502E" w:rsidRPr="008E6BE7">
        <w:rPr>
          <w:rFonts w:ascii="Times New Roman" w:hAnsi="Times New Roman"/>
          <w:sz w:val="28"/>
          <w:szCs w:val="28"/>
        </w:rPr>
        <w:t>i</w:t>
      </w:r>
      <w:r w:rsidR="00D64BA7" w:rsidRPr="008E6BE7">
        <w:rPr>
          <w:rFonts w:ascii="Times New Roman" w:hAnsi="Times New Roman"/>
          <w:sz w:val="28"/>
          <w:szCs w:val="28"/>
        </w:rPr>
        <w:t>zmēģinājumprojekta</w:t>
      </w:r>
      <w:proofErr w:type="spellEnd"/>
      <w:r w:rsidR="00D64BA7" w:rsidRPr="008E6BE7">
        <w:rPr>
          <w:rFonts w:ascii="Times New Roman" w:hAnsi="Times New Roman"/>
          <w:sz w:val="28"/>
          <w:szCs w:val="28"/>
        </w:rPr>
        <w:t xml:space="preserve"> plānoto rādītāju, </w:t>
      </w:r>
      <w:r w:rsidRPr="008E6BE7">
        <w:rPr>
          <w:rFonts w:ascii="Times New Roman" w:hAnsi="Times New Roman"/>
          <w:sz w:val="28"/>
          <w:szCs w:val="28"/>
        </w:rPr>
        <w:t xml:space="preserve">bezdarbnieku atlasēs </w:t>
      </w:r>
      <w:r w:rsidR="00D64BA7" w:rsidRPr="008E6BE7">
        <w:rPr>
          <w:rFonts w:ascii="Times New Roman" w:hAnsi="Times New Roman"/>
          <w:sz w:val="28"/>
          <w:szCs w:val="28"/>
        </w:rPr>
        <w:t xml:space="preserve">nācās </w:t>
      </w:r>
      <w:r w:rsidRPr="008E6BE7">
        <w:rPr>
          <w:rFonts w:ascii="Times New Roman" w:hAnsi="Times New Roman"/>
          <w:sz w:val="28"/>
          <w:szCs w:val="28"/>
        </w:rPr>
        <w:t>iesaistīt</w:t>
      </w:r>
      <w:r w:rsidR="00D64BA7" w:rsidRPr="008E6BE7">
        <w:rPr>
          <w:rFonts w:ascii="Times New Roman" w:hAnsi="Times New Roman"/>
          <w:sz w:val="28"/>
          <w:szCs w:val="28"/>
        </w:rPr>
        <w:t xml:space="preserve"> klientus</w:t>
      </w:r>
      <w:r w:rsidR="00FF5825" w:rsidRPr="008E6BE7">
        <w:rPr>
          <w:rFonts w:ascii="Times New Roman" w:hAnsi="Times New Roman"/>
          <w:sz w:val="28"/>
          <w:szCs w:val="28"/>
        </w:rPr>
        <w:t xml:space="preserve"> arī</w:t>
      </w:r>
      <w:r w:rsidR="00D64BA7" w:rsidRPr="008E6BE7">
        <w:rPr>
          <w:rFonts w:ascii="Times New Roman" w:hAnsi="Times New Roman"/>
          <w:sz w:val="28"/>
          <w:szCs w:val="28"/>
        </w:rPr>
        <w:t xml:space="preserve"> no </w:t>
      </w:r>
      <w:r w:rsidR="00FF5825" w:rsidRPr="008E6BE7">
        <w:rPr>
          <w:rFonts w:ascii="Times New Roman" w:hAnsi="Times New Roman"/>
          <w:sz w:val="28"/>
          <w:szCs w:val="28"/>
        </w:rPr>
        <w:t>citām NVA</w:t>
      </w:r>
      <w:r w:rsidRPr="008E6BE7">
        <w:rPr>
          <w:rFonts w:ascii="Times New Roman" w:hAnsi="Times New Roman"/>
          <w:sz w:val="28"/>
          <w:szCs w:val="28"/>
        </w:rPr>
        <w:t xml:space="preserve"> filiāl</w:t>
      </w:r>
      <w:r w:rsidR="00D64BA7" w:rsidRPr="008E6BE7">
        <w:rPr>
          <w:rFonts w:ascii="Times New Roman" w:hAnsi="Times New Roman"/>
          <w:sz w:val="28"/>
          <w:szCs w:val="28"/>
        </w:rPr>
        <w:t xml:space="preserve">ēm, kuras sākotnēji nebija plānots iesaistīt </w:t>
      </w:r>
      <w:proofErr w:type="spellStart"/>
      <w:r w:rsidR="00FE502E" w:rsidRPr="008E6BE7">
        <w:rPr>
          <w:rFonts w:ascii="Times New Roman" w:hAnsi="Times New Roman"/>
          <w:sz w:val="28"/>
          <w:szCs w:val="28"/>
        </w:rPr>
        <w:t>i</w:t>
      </w:r>
      <w:r w:rsidR="00D64BA7" w:rsidRPr="008E6BE7">
        <w:rPr>
          <w:rFonts w:ascii="Times New Roman" w:hAnsi="Times New Roman"/>
          <w:sz w:val="28"/>
          <w:szCs w:val="28"/>
        </w:rPr>
        <w:t>zmēģinājumprojektā</w:t>
      </w:r>
      <w:proofErr w:type="spellEnd"/>
      <w:r w:rsidRPr="008E6BE7">
        <w:rPr>
          <w:rFonts w:ascii="Times New Roman" w:hAnsi="Times New Roman"/>
          <w:sz w:val="28"/>
          <w:szCs w:val="28"/>
        </w:rPr>
        <w:t xml:space="preserve">. Piemēram, </w:t>
      </w:r>
      <w:r w:rsidR="00FF5825" w:rsidRPr="008E6BE7">
        <w:rPr>
          <w:rFonts w:ascii="Times New Roman" w:hAnsi="Times New Roman"/>
          <w:sz w:val="28"/>
          <w:szCs w:val="28"/>
        </w:rPr>
        <w:t xml:space="preserve">no Alūksnes un Valkas (attiecīgi 8 un 3 NVA klienti iesaistīti </w:t>
      </w:r>
      <w:proofErr w:type="spellStart"/>
      <w:r w:rsidR="00FF5825" w:rsidRPr="008E6BE7">
        <w:rPr>
          <w:rFonts w:ascii="Times New Roman" w:hAnsi="Times New Roman"/>
          <w:sz w:val="28"/>
          <w:szCs w:val="28"/>
        </w:rPr>
        <w:t>izmēģinājumprojektā</w:t>
      </w:r>
      <w:proofErr w:type="spellEnd"/>
      <w:r w:rsidR="00FF5825" w:rsidRPr="008E6BE7">
        <w:rPr>
          <w:rFonts w:ascii="Times New Roman" w:hAnsi="Times New Roman"/>
          <w:sz w:val="28"/>
          <w:szCs w:val="28"/>
        </w:rPr>
        <w:t xml:space="preserve">). </w:t>
      </w:r>
      <w:r w:rsidRPr="008E6BE7">
        <w:rPr>
          <w:rFonts w:ascii="Times New Roman" w:hAnsi="Times New Roman"/>
          <w:sz w:val="28"/>
          <w:szCs w:val="28"/>
        </w:rPr>
        <w:t xml:space="preserve">Savukārt attāluma dēļ </w:t>
      </w:r>
      <w:r w:rsidR="00DB3FC1" w:rsidRPr="008E6BE7">
        <w:rPr>
          <w:rFonts w:ascii="Times New Roman" w:hAnsi="Times New Roman"/>
          <w:sz w:val="28"/>
          <w:szCs w:val="28"/>
        </w:rPr>
        <w:t xml:space="preserve">(starp filiālēm un mācību iestādēm) </w:t>
      </w:r>
      <w:r w:rsidRPr="008E6BE7">
        <w:rPr>
          <w:rFonts w:ascii="Times New Roman" w:hAnsi="Times New Roman"/>
          <w:sz w:val="28"/>
          <w:szCs w:val="28"/>
        </w:rPr>
        <w:t xml:space="preserve">sadarbības iespējas ar </w:t>
      </w:r>
      <w:r w:rsidR="00FF5825" w:rsidRPr="008E6BE7">
        <w:rPr>
          <w:rFonts w:ascii="Times New Roman" w:hAnsi="Times New Roman"/>
          <w:sz w:val="28"/>
          <w:szCs w:val="28"/>
        </w:rPr>
        <w:t xml:space="preserve">citām filiālēm bija ierobežotas, jo bezdarbnieki izvēlas </w:t>
      </w:r>
      <w:r w:rsidR="007B7931" w:rsidRPr="008E6BE7">
        <w:rPr>
          <w:rFonts w:ascii="Times New Roman" w:hAnsi="Times New Roman"/>
          <w:sz w:val="28"/>
          <w:szCs w:val="28"/>
        </w:rPr>
        <w:t>izglītības iestādes, kas ir tuvāk viņu dzīvesvietām.</w:t>
      </w:r>
    </w:p>
    <w:p w:rsidR="00D21758" w:rsidRPr="001A4F23" w:rsidRDefault="00D21758" w:rsidP="00CE7F2B">
      <w:pPr>
        <w:spacing w:after="0" w:line="240" w:lineRule="auto"/>
        <w:rPr>
          <w:rFonts w:ascii="Times New Roman" w:hAnsi="Times New Roman"/>
          <w:sz w:val="28"/>
          <w:szCs w:val="28"/>
        </w:rPr>
      </w:pPr>
    </w:p>
    <w:p w:rsidR="005060D7" w:rsidRPr="008E6BE7" w:rsidRDefault="00DC2DB3" w:rsidP="00CE7F2B">
      <w:pPr>
        <w:pStyle w:val="Heading1"/>
        <w:spacing w:before="0" w:after="0"/>
        <w:jc w:val="center"/>
        <w:rPr>
          <w:rFonts w:ascii="Times New Roman" w:hAnsi="Times New Roman"/>
          <w:sz w:val="28"/>
          <w:szCs w:val="28"/>
        </w:rPr>
      </w:pPr>
      <w:bookmarkStart w:id="3" w:name="_Toc411246701"/>
      <w:r w:rsidRPr="008E6BE7">
        <w:rPr>
          <w:rFonts w:ascii="Times New Roman" w:hAnsi="Times New Roman"/>
          <w:sz w:val="28"/>
          <w:szCs w:val="28"/>
        </w:rPr>
        <w:t>4</w:t>
      </w:r>
      <w:r w:rsidR="005060D7" w:rsidRPr="008E6BE7">
        <w:rPr>
          <w:rFonts w:ascii="Times New Roman" w:hAnsi="Times New Roman"/>
          <w:sz w:val="28"/>
          <w:szCs w:val="28"/>
        </w:rPr>
        <w:t>. Uz pieprasījumu virzīta pakalpojuma sniegšana</w:t>
      </w:r>
      <w:bookmarkEnd w:id="3"/>
    </w:p>
    <w:p w:rsidR="005060D7" w:rsidRPr="008E6BE7" w:rsidRDefault="005060D7" w:rsidP="00CE7F2B">
      <w:pPr>
        <w:spacing w:after="0" w:line="240" w:lineRule="auto"/>
        <w:jc w:val="both"/>
        <w:rPr>
          <w:rFonts w:ascii="Times New Roman" w:hAnsi="Times New Roman"/>
          <w:sz w:val="28"/>
          <w:szCs w:val="28"/>
        </w:rPr>
      </w:pPr>
    </w:p>
    <w:p w:rsidR="00583DD8" w:rsidRPr="008E6BE7" w:rsidRDefault="00EA3950" w:rsidP="00CE7F2B">
      <w:pPr>
        <w:spacing w:after="0" w:line="240" w:lineRule="auto"/>
        <w:ind w:firstLine="720"/>
        <w:jc w:val="both"/>
        <w:rPr>
          <w:rFonts w:ascii="Times New Roman" w:hAnsi="Times New Roman"/>
          <w:sz w:val="28"/>
          <w:szCs w:val="28"/>
        </w:rPr>
      </w:pPr>
      <w:r w:rsidRPr="008E6BE7">
        <w:rPr>
          <w:rFonts w:ascii="Times New Roman" w:hAnsi="Times New Roman"/>
          <w:sz w:val="28"/>
          <w:szCs w:val="28"/>
        </w:rPr>
        <w:t xml:space="preserve">PB </w:t>
      </w:r>
      <w:r w:rsidR="005060D7" w:rsidRPr="008E6BE7">
        <w:rPr>
          <w:rFonts w:ascii="Times New Roman" w:hAnsi="Times New Roman"/>
          <w:sz w:val="28"/>
          <w:szCs w:val="28"/>
        </w:rPr>
        <w:t>pētījumā tika norādīts, ka profesionālās izglītības programmas sniedz labus rezultātus gan nodarbinātības, gan darba ienākumu veidā, ja salīdzina ar tiem bezdarbniekiem, kas neiesaistās profesionāl</w:t>
      </w:r>
      <w:r w:rsidR="002C0BC3" w:rsidRPr="008E6BE7">
        <w:rPr>
          <w:rFonts w:ascii="Times New Roman" w:hAnsi="Times New Roman"/>
          <w:sz w:val="28"/>
          <w:szCs w:val="28"/>
        </w:rPr>
        <w:t xml:space="preserve">ās izglītības programmu apguvē. </w:t>
      </w:r>
      <w:r w:rsidR="006F319B" w:rsidRPr="008E6BE7">
        <w:rPr>
          <w:rFonts w:ascii="Times New Roman" w:hAnsi="Times New Roman"/>
          <w:sz w:val="28"/>
          <w:szCs w:val="28"/>
        </w:rPr>
        <w:t xml:space="preserve">Objektīvu </w:t>
      </w:r>
      <w:proofErr w:type="spellStart"/>
      <w:r w:rsidR="00FE502E" w:rsidRPr="008E6BE7">
        <w:rPr>
          <w:rFonts w:ascii="Times New Roman" w:hAnsi="Times New Roman"/>
          <w:sz w:val="28"/>
          <w:szCs w:val="28"/>
        </w:rPr>
        <w:t>i</w:t>
      </w:r>
      <w:r w:rsidR="005060D7" w:rsidRPr="008E6BE7">
        <w:rPr>
          <w:rFonts w:ascii="Times New Roman" w:hAnsi="Times New Roman"/>
          <w:sz w:val="28"/>
          <w:szCs w:val="28"/>
        </w:rPr>
        <w:t>zmēģinājumprojekta</w:t>
      </w:r>
      <w:proofErr w:type="spellEnd"/>
      <w:r w:rsidR="005060D7" w:rsidRPr="008E6BE7">
        <w:rPr>
          <w:rFonts w:ascii="Times New Roman" w:hAnsi="Times New Roman"/>
          <w:sz w:val="28"/>
          <w:szCs w:val="28"/>
        </w:rPr>
        <w:t xml:space="preserve"> efektivitātes </w:t>
      </w:r>
      <w:r w:rsidR="005060D7" w:rsidRPr="008E6BE7">
        <w:rPr>
          <w:rFonts w:ascii="Times New Roman" w:hAnsi="Times New Roman"/>
          <w:bCs/>
          <w:iCs/>
          <w:spacing w:val="-4"/>
          <w:sz w:val="28"/>
          <w:szCs w:val="28"/>
        </w:rPr>
        <w:t>izvērtējumu, t.sk., sal</w:t>
      </w:r>
      <w:r w:rsidR="001230D3" w:rsidRPr="008E6BE7">
        <w:rPr>
          <w:rFonts w:ascii="Times New Roman" w:hAnsi="Times New Roman"/>
          <w:bCs/>
          <w:iCs/>
          <w:spacing w:val="-4"/>
          <w:sz w:val="28"/>
          <w:szCs w:val="28"/>
        </w:rPr>
        <w:t xml:space="preserve">īdzinot </w:t>
      </w:r>
      <w:proofErr w:type="spellStart"/>
      <w:r w:rsidR="001230D3" w:rsidRPr="008E6BE7">
        <w:rPr>
          <w:rFonts w:ascii="Times New Roman" w:hAnsi="Times New Roman"/>
          <w:bCs/>
          <w:iCs/>
          <w:spacing w:val="-4"/>
          <w:sz w:val="28"/>
          <w:szCs w:val="28"/>
        </w:rPr>
        <w:t>izmēģinājumprojekta</w:t>
      </w:r>
      <w:proofErr w:type="spellEnd"/>
      <w:r w:rsidR="001230D3" w:rsidRPr="008E6BE7">
        <w:rPr>
          <w:rFonts w:ascii="Times New Roman" w:hAnsi="Times New Roman"/>
          <w:bCs/>
          <w:iCs/>
          <w:spacing w:val="-4"/>
          <w:sz w:val="28"/>
          <w:szCs w:val="28"/>
        </w:rPr>
        <w:t xml:space="preserve"> grupu komplektēšanas</w:t>
      </w:r>
      <w:r w:rsidR="005060D7" w:rsidRPr="008E6BE7">
        <w:rPr>
          <w:rFonts w:ascii="Times New Roman" w:hAnsi="Times New Roman"/>
          <w:bCs/>
          <w:iCs/>
          <w:spacing w:val="-4"/>
          <w:sz w:val="28"/>
          <w:szCs w:val="28"/>
        </w:rPr>
        <w:t xml:space="preserve"> pieeju ar „apmācību kuponu” sistēmas metodi (</w:t>
      </w:r>
      <w:r w:rsidR="005060D7" w:rsidRPr="008E6BE7">
        <w:rPr>
          <w:rFonts w:ascii="Times New Roman" w:hAnsi="Times New Roman"/>
          <w:sz w:val="28"/>
          <w:szCs w:val="28"/>
        </w:rPr>
        <w:t xml:space="preserve">bezdarbnieku tālākizglītībā ieviesta kopš 2011. gada, kurā </w:t>
      </w:r>
      <w:r w:rsidR="005B4B0C" w:rsidRPr="008E6BE7">
        <w:rPr>
          <w:rFonts w:ascii="Times New Roman" w:hAnsi="Times New Roman"/>
          <w:bCs/>
          <w:sz w:val="28"/>
          <w:szCs w:val="28"/>
        </w:rPr>
        <w:t>NVA</w:t>
      </w:r>
      <w:r w:rsidR="005060D7" w:rsidRPr="008E6BE7">
        <w:rPr>
          <w:rFonts w:ascii="Times New Roman" w:hAnsi="Times New Roman"/>
          <w:bCs/>
          <w:sz w:val="28"/>
          <w:szCs w:val="28"/>
        </w:rPr>
        <w:t xml:space="preserve"> neveic grupu komplektāciju, bet gan bezdarbniekam izsniedz kuponu dalībai atbilstošā programmā)</w:t>
      </w:r>
      <w:r w:rsidR="005060D7" w:rsidRPr="008E6BE7">
        <w:rPr>
          <w:rFonts w:ascii="Times New Roman" w:hAnsi="Times New Roman"/>
          <w:sz w:val="28"/>
          <w:szCs w:val="28"/>
          <w:lang w:eastAsia="lv-LV"/>
        </w:rPr>
        <w:t>,</w:t>
      </w:r>
      <w:r w:rsidR="006F319B" w:rsidRPr="008E6BE7">
        <w:rPr>
          <w:rFonts w:ascii="Times New Roman" w:hAnsi="Times New Roman"/>
          <w:sz w:val="28"/>
          <w:szCs w:val="28"/>
          <w:lang w:eastAsia="lv-LV"/>
        </w:rPr>
        <w:t xml:space="preserve"> varēs veikt</w:t>
      </w:r>
      <w:r w:rsidR="00E95F53" w:rsidRPr="008E6BE7">
        <w:rPr>
          <w:rFonts w:ascii="Times New Roman" w:hAnsi="Times New Roman"/>
          <w:sz w:val="28"/>
          <w:szCs w:val="28"/>
          <w:lang w:eastAsia="lv-LV"/>
        </w:rPr>
        <w:t xml:space="preserve"> </w:t>
      </w:r>
      <w:r w:rsidR="00E95F53" w:rsidRPr="008E6BE7">
        <w:rPr>
          <w:rFonts w:ascii="Times New Roman" w:hAnsi="Times New Roman"/>
          <w:bCs/>
          <w:iCs/>
          <w:spacing w:val="-4"/>
          <w:sz w:val="28"/>
          <w:szCs w:val="28"/>
        </w:rPr>
        <w:t xml:space="preserve">tikai pēc tam, kad būs pagājuši vismaz 6 mēneši pēc </w:t>
      </w:r>
      <w:r w:rsidR="00E95F53" w:rsidRPr="008E6BE7">
        <w:rPr>
          <w:rFonts w:ascii="Times New Roman" w:hAnsi="Times New Roman"/>
          <w:sz w:val="28"/>
          <w:szCs w:val="28"/>
        </w:rPr>
        <w:t>tālākizglītības programmu apguves</w:t>
      </w:r>
      <w:r w:rsidR="00C76BD0" w:rsidRPr="008E6BE7">
        <w:rPr>
          <w:rFonts w:ascii="Times New Roman" w:hAnsi="Times New Roman"/>
          <w:bCs/>
          <w:iCs/>
          <w:spacing w:val="-4"/>
          <w:sz w:val="28"/>
          <w:szCs w:val="28"/>
        </w:rPr>
        <w:t xml:space="preserve"> jeb </w:t>
      </w:r>
      <w:r w:rsidR="005B4B0C" w:rsidRPr="008E6BE7">
        <w:rPr>
          <w:rFonts w:ascii="Times New Roman" w:hAnsi="Times New Roman"/>
          <w:bCs/>
          <w:iCs/>
          <w:spacing w:val="-4"/>
          <w:sz w:val="28"/>
          <w:szCs w:val="28"/>
        </w:rPr>
        <w:t>vēlākais pēc 2017</w:t>
      </w:r>
      <w:r w:rsidR="00AF541D" w:rsidRPr="008E6BE7">
        <w:rPr>
          <w:rFonts w:ascii="Times New Roman" w:hAnsi="Times New Roman"/>
          <w:bCs/>
          <w:iCs/>
          <w:spacing w:val="-4"/>
          <w:sz w:val="28"/>
          <w:szCs w:val="28"/>
        </w:rPr>
        <w:t>. </w:t>
      </w:r>
      <w:r w:rsidR="005B4B0C" w:rsidRPr="008E6BE7">
        <w:rPr>
          <w:rFonts w:ascii="Times New Roman" w:hAnsi="Times New Roman"/>
          <w:bCs/>
          <w:iCs/>
          <w:spacing w:val="-4"/>
          <w:sz w:val="28"/>
          <w:szCs w:val="28"/>
        </w:rPr>
        <w:t>gada aprīļa</w:t>
      </w:r>
      <w:r w:rsidR="00C76BD0" w:rsidRPr="008E6BE7">
        <w:rPr>
          <w:rFonts w:ascii="Times New Roman" w:hAnsi="Times New Roman"/>
          <w:bCs/>
          <w:iCs/>
          <w:spacing w:val="-4"/>
          <w:sz w:val="28"/>
          <w:szCs w:val="28"/>
        </w:rPr>
        <w:t xml:space="preserve">, jo </w:t>
      </w:r>
      <w:r w:rsidR="00E95F53" w:rsidRPr="008E6BE7">
        <w:rPr>
          <w:rFonts w:ascii="Times New Roman" w:hAnsi="Times New Roman"/>
          <w:bCs/>
          <w:iCs/>
          <w:spacing w:val="-4"/>
          <w:sz w:val="28"/>
          <w:szCs w:val="28"/>
        </w:rPr>
        <w:t>pēdējā bezdarbnieku grupa mācība</w:t>
      </w:r>
      <w:r w:rsidR="005B4B0C" w:rsidRPr="008E6BE7">
        <w:rPr>
          <w:rFonts w:ascii="Times New Roman" w:hAnsi="Times New Roman"/>
          <w:bCs/>
          <w:iCs/>
          <w:spacing w:val="-4"/>
          <w:sz w:val="28"/>
          <w:szCs w:val="28"/>
        </w:rPr>
        <w:t xml:space="preserve">s </w:t>
      </w:r>
      <w:r w:rsidR="00B67B96" w:rsidRPr="008E6BE7">
        <w:rPr>
          <w:rFonts w:ascii="Times New Roman" w:hAnsi="Times New Roman"/>
          <w:bCs/>
          <w:iCs/>
          <w:spacing w:val="-4"/>
          <w:sz w:val="28"/>
          <w:szCs w:val="28"/>
        </w:rPr>
        <w:t>pabei</w:t>
      </w:r>
      <w:r w:rsidR="00B67B96">
        <w:rPr>
          <w:rFonts w:ascii="Times New Roman" w:hAnsi="Times New Roman"/>
          <w:bCs/>
          <w:iCs/>
          <w:spacing w:val="-4"/>
          <w:sz w:val="28"/>
          <w:szCs w:val="28"/>
        </w:rPr>
        <w:t>dza</w:t>
      </w:r>
      <w:r w:rsidR="00B67B96" w:rsidRPr="008E6BE7">
        <w:rPr>
          <w:rFonts w:ascii="Times New Roman" w:hAnsi="Times New Roman"/>
          <w:bCs/>
          <w:iCs/>
          <w:spacing w:val="-4"/>
          <w:sz w:val="28"/>
          <w:szCs w:val="28"/>
        </w:rPr>
        <w:t xml:space="preserve"> </w:t>
      </w:r>
      <w:r w:rsidR="005B4B0C" w:rsidRPr="008E6BE7">
        <w:rPr>
          <w:rFonts w:ascii="Times New Roman" w:hAnsi="Times New Roman"/>
          <w:bCs/>
          <w:iCs/>
          <w:spacing w:val="-4"/>
          <w:sz w:val="28"/>
          <w:szCs w:val="28"/>
        </w:rPr>
        <w:t>2016</w:t>
      </w:r>
      <w:r w:rsidR="00C76BD0" w:rsidRPr="008E6BE7">
        <w:rPr>
          <w:rFonts w:ascii="Times New Roman" w:hAnsi="Times New Roman"/>
          <w:bCs/>
          <w:iCs/>
          <w:spacing w:val="-4"/>
          <w:sz w:val="28"/>
          <w:szCs w:val="28"/>
        </w:rPr>
        <w:t xml:space="preserve">. gada </w:t>
      </w:r>
      <w:r w:rsidR="005B4B0C" w:rsidRPr="008E6BE7">
        <w:rPr>
          <w:rFonts w:ascii="Times New Roman" w:hAnsi="Times New Roman"/>
          <w:bCs/>
          <w:iCs/>
          <w:spacing w:val="-4"/>
          <w:sz w:val="28"/>
          <w:szCs w:val="28"/>
        </w:rPr>
        <w:t>16. septembrī</w:t>
      </w:r>
      <w:r w:rsidR="00C76BD0" w:rsidRPr="008E6BE7">
        <w:rPr>
          <w:rFonts w:ascii="Times New Roman" w:hAnsi="Times New Roman"/>
          <w:bCs/>
          <w:iCs/>
          <w:spacing w:val="-4"/>
          <w:sz w:val="28"/>
          <w:szCs w:val="28"/>
        </w:rPr>
        <w:t xml:space="preserve"> (papildus informatīvais ziņojums attiecībā uz </w:t>
      </w:r>
      <w:proofErr w:type="spellStart"/>
      <w:r w:rsidR="00C76BD0" w:rsidRPr="008E6BE7">
        <w:rPr>
          <w:rFonts w:ascii="Times New Roman" w:hAnsi="Times New Roman"/>
          <w:bCs/>
          <w:iCs/>
          <w:spacing w:val="-4"/>
          <w:sz w:val="28"/>
          <w:szCs w:val="28"/>
        </w:rPr>
        <w:t>izmēģinājumprojekta</w:t>
      </w:r>
      <w:proofErr w:type="spellEnd"/>
      <w:r w:rsidR="00C76BD0" w:rsidRPr="008E6BE7">
        <w:rPr>
          <w:rFonts w:ascii="Times New Roman" w:hAnsi="Times New Roman"/>
          <w:bCs/>
          <w:iCs/>
          <w:spacing w:val="-4"/>
          <w:sz w:val="28"/>
          <w:szCs w:val="28"/>
        </w:rPr>
        <w:t xml:space="preserve"> efektivitātes izvērtējumu nav plānots).</w:t>
      </w:r>
      <w:r w:rsidR="00C2472D" w:rsidRPr="008E6BE7">
        <w:rPr>
          <w:rFonts w:ascii="Times New Roman" w:hAnsi="Times New Roman"/>
          <w:bCs/>
          <w:iCs/>
          <w:spacing w:val="-4"/>
          <w:sz w:val="28"/>
          <w:szCs w:val="28"/>
        </w:rPr>
        <w:t xml:space="preserve"> </w:t>
      </w:r>
      <w:r w:rsidR="006F319B" w:rsidRPr="00765874">
        <w:rPr>
          <w:rFonts w:ascii="Times New Roman" w:hAnsi="Times New Roman"/>
          <w:bCs/>
          <w:iCs/>
          <w:spacing w:val="-4"/>
          <w:sz w:val="28"/>
          <w:szCs w:val="28"/>
        </w:rPr>
        <w:t>Jāpiebilst</w:t>
      </w:r>
      <w:r w:rsidR="008B3FA1" w:rsidRPr="00765874">
        <w:rPr>
          <w:rFonts w:ascii="Times New Roman" w:hAnsi="Times New Roman"/>
          <w:bCs/>
          <w:iCs/>
          <w:spacing w:val="-4"/>
          <w:sz w:val="28"/>
          <w:szCs w:val="28"/>
        </w:rPr>
        <w:t xml:space="preserve">, ka </w:t>
      </w:r>
      <w:r w:rsidR="005B4B0C" w:rsidRPr="00765874">
        <w:rPr>
          <w:rFonts w:ascii="Times New Roman" w:hAnsi="Times New Roman"/>
          <w:bCs/>
          <w:iCs/>
          <w:spacing w:val="-4"/>
          <w:sz w:val="28"/>
          <w:szCs w:val="28"/>
        </w:rPr>
        <w:t>NVA</w:t>
      </w:r>
      <w:r w:rsidR="00583DD8" w:rsidRPr="00765874">
        <w:rPr>
          <w:rFonts w:ascii="Times New Roman" w:hAnsi="Times New Roman"/>
          <w:bCs/>
          <w:iCs/>
          <w:spacing w:val="-4"/>
          <w:sz w:val="28"/>
          <w:szCs w:val="28"/>
        </w:rPr>
        <w:t xml:space="preserve"> statistika līdz </w:t>
      </w:r>
      <w:r w:rsidR="00583DD8" w:rsidRPr="00E76BB7">
        <w:rPr>
          <w:rFonts w:ascii="Times New Roman" w:hAnsi="Times New Roman"/>
          <w:bCs/>
          <w:iCs/>
          <w:spacing w:val="-4"/>
          <w:sz w:val="28"/>
          <w:szCs w:val="28"/>
        </w:rPr>
        <w:t xml:space="preserve">2016. gada </w:t>
      </w:r>
      <w:r w:rsidR="00400A58" w:rsidRPr="00E76BB7">
        <w:rPr>
          <w:rFonts w:ascii="Times New Roman" w:hAnsi="Times New Roman"/>
          <w:bCs/>
          <w:iCs/>
          <w:spacing w:val="-4"/>
          <w:sz w:val="28"/>
          <w:szCs w:val="28"/>
        </w:rPr>
        <w:t>31</w:t>
      </w:r>
      <w:r w:rsidR="00583DD8" w:rsidRPr="00E76BB7">
        <w:rPr>
          <w:rFonts w:ascii="Times New Roman" w:hAnsi="Times New Roman"/>
          <w:bCs/>
          <w:iCs/>
          <w:spacing w:val="-4"/>
          <w:sz w:val="28"/>
          <w:szCs w:val="28"/>
        </w:rPr>
        <w:t>. </w:t>
      </w:r>
      <w:r w:rsidR="00A10072" w:rsidRPr="00395E1C">
        <w:rPr>
          <w:rFonts w:ascii="Times New Roman" w:hAnsi="Times New Roman"/>
          <w:bCs/>
          <w:iCs/>
          <w:spacing w:val="-4"/>
          <w:sz w:val="28"/>
          <w:szCs w:val="28"/>
        </w:rPr>
        <w:t>decembrim</w:t>
      </w:r>
      <w:r w:rsidR="00A10072" w:rsidRPr="00E76BB7">
        <w:rPr>
          <w:rFonts w:ascii="Times New Roman" w:hAnsi="Times New Roman"/>
          <w:bCs/>
          <w:iCs/>
          <w:spacing w:val="-4"/>
          <w:sz w:val="28"/>
          <w:szCs w:val="28"/>
        </w:rPr>
        <w:t xml:space="preserve"> </w:t>
      </w:r>
      <w:r w:rsidR="00254D0B" w:rsidRPr="00E76BB7">
        <w:rPr>
          <w:rFonts w:ascii="Times New Roman" w:hAnsi="Times New Roman"/>
          <w:bCs/>
          <w:iCs/>
          <w:spacing w:val="-4"/>
          <w:sz w:val="28"/>
          <w:szCs w:val="28"/>
        </w:rPr>
        <w:t>uzrāda</w:t>
      </w:r>
      <w:r w:rsidR="00D1296F" w:rsidRPr="00E76BB7">
        <w:rPr>
          <w:rFonts w:ascii="Times New Roman" w:hAnsi="Times New Roman"/>
          <w:bCs/>
          <w:iCs/>
          <w:spacing w:val="-4"/>
          <w:sz w:val="28"/>
          <w:szCs w:val="28"/>
        </w:rPr>
        <w:t>, ka</w:t>
      </w:r>
      <w:r w:rsidR="008B3FA1" w:rsidRPr="00E76BB7">
        <w:rPr>
          <w:rFonts w:ascii="Times New Roman" w:hAnsi="Times New Roman"/>
          <w:bCs/>
          <w:iCs/>
          <w:spacing w:val="-4"/>
          <w:sz w:val="28"/>
          <w:szCs w:val="28"/>
        </w:rPr>
        <w:t xml:space="preserve"> pi</w:t>
      </w:r>
      <w:r w:rsidR="00BD5F43" w:rsidRPr="00E76BB7">
        <w:rPr>
          <w:rFonts w:ascii="Times New Roman" w:hAnsi="Times New Roman"/>
          <w:bCs/>
          <w:iCs/>
          <w:spacing w:val="-4"/>
          <w:sz w:val="28"/>
          <w:szCs w:val="28"/>
        </w:rPr>
        <w:t>rmo 6 mēnešu laikā pēc izglītības apguves</w:t>
      </w:r>
      <w:r w:rsidR="00583DD8" w:rsidRPr="00E76BB7">
        <w:rPr>
          <w:rFonts w:ascii="Times New Roman" w:hAnsi="Times New Roman"/>
          <w:bCs/>
          <w:iCs/>
          <w:spacing w:val="-4"/>
          <w:sz w:val="28"/>
          <w:szCs w:val="28"/>
        </w:rPr>
        <w:t xml:space="preserve"> darbā iekārtojās </w:t>
      </w:r>
      <w:r w:rsidR="00A10072" w:rsidRPr="00395E1C">
        <w:rPr>
          <w:rFonts w:ascii="Times New Roman" w:hAnsi="Times New Roman"/>
          <w:bCs/>
          <w:iCs/>
          <w:spacing w:val="-4"/>
          <w:sz w:val="28"/>
          <w:szCs w:val="28"/>
        </w:rPr>
        <w:t>42</w:t>
      </w:r>
      <w:r w:rsidR="00A10072" w:rsidRPr="00E76BB7">
        <w:rPr>
          <w:rFonts w:ascii="Times New Roman" w:hAnsi="Times New Roman"/>
          <w:bCs/>
          <w:iCs/>
          <w:spacing w:val="-4"/>
          <w:sz w:val="28"/>
          <w:szCs w:val="28"/>
        </w:rPr>
        <w:t xml:space="preserve"> </w:t>
      </w:r>
      <w:r w:rsidR="00BA3B49" w:rsidRPr="00E76BB7">
        <w:rPr>
          <w:rFonts w:ascii="Times New Roman" w:hAnsi="Times New Roman"/>
          <w:bCs/>
          <w:iCs/>
          <w:spacing w:val="-4"/>
          <w:sz w:val="28"/>
          <w:szCs w:val="28"/>
        </w:rPr>
        <w:t xml:space="preserve">bezdarbnieki, kas sastāda </w:t>
      </w:r>
      <w:r w:rsidR="007C57A6" w:rsidRPr="00E76BB7">
        <w:rPr>
          <w:rFonts w:ascii="Times New Roman" w:hAnsi="Times New Roman"/>
          <w:bCs/>
          <w:iCs/>
          <w:spacing w:val="-4"/>
          <w:sz w:val="28"/>
          <w:szCs w:val="28"/>
        </w:rPr>
        <w:t>2</w:t>
      </w:r>
      <w:r w:rsidR="007C57A6" w:rsidRPr="00395E1C">
        <w:rPr>
          <w:rFonts w:ascii="Times New Roman" w:hAnsi="Times New Roman"/>
          <w:bCs/>
          <w:iCs/>
          <w:spacing w:val="-4"/>
          <w:sz w:val="28"/>
          <w:szCs w:val="28"/>
        </w:rPr>
        <w:t>9</w:t>
      </w:r>
      <w:r w:rsidR="00765874" w:rsidRPr="00E76BB7">
        <w:rPr>
          <w:rFonts w:ascii="Times New Roman" w:hAnsi="Times New Roman"/>
          <w:bCs/>
          <w:iCs/>
          <w:spacing w:val="-4"/>
          <w:sz w:val="28"/>
          <w:szCs w:val="28"/>
        </w:rPr>
        <w:t>,</w:t>
      </w:r>
      <w:r w:rsidR="007C57A6" w:rsidRPr="00395E1C">
        <w:rPr>
          <w:rFonts w:ascii="Times New Roman" w:hAnsi="Times New Roman"/>
          <w:bCs/>
          <w:iCs/>
          <w:spacing w:val="-4"/>
          <w:sz w:val="28"/>
          <w:szCs w:val="28"/>
        </w:rPr>
        <w:t>5</w:t>
      </w:r>
      <w:r w:rsidR="007C57A6" w:rsidRPr="00E76BB7">
        <w:rPr>
          <w:rFonts w:ascii="Times New Roman" w:hAnsi="Times New Roman"/>
          <w:bCs/>
          <w:iCs/>
          <w:spacing w:val="-4"/>
          <w:sz w:val="28"/>
          <w:szCs w:val="28"/>
        </w:rPr>
        <w:t> </w:t>
      </w:r>
      <w:r w:rsidR="008B3FA1" w:rsidRPr="00E76BB7">
        <w:rPr>
          <w:rFonts w:ascii="Times New Roman" w:hAnsi="Times New Roman"/>
          <w:bCs/>
          <w:iCs/>
          <w:spacing w:val="-4"/>
          <w:sz w:val="28"/>
          <w:szCs w:val="28"/>
        </w:rPr>
        <w:t>%</w:t>
      </w:r>
      <w:r w:rsidR="008B3FA1" w:rsidRPr="00765874">
        <w:rPr>
          <w:rFonts w:ascii="Times New Roman" w:hAnsi="Times New Roman"/>
          <w:bCs/>
          <w:iCs/>
          <w:spacing w:val="-4"/>
          <w:sz w:val="28"/>
          <w:szCs w:val="28"/>
        </w:rPr>
        <w:t xml:space="preserve"> no </w:t>
      </w:r>
      <w:proofErr w:type="spellStart"/>
      <w:r w:rsidR="00FE502E" w:rsidRPr="00765874">
        <w:rPr>
          <w:rFonts w:ascii="Times New Roman" w:hAnsi="Times New Roman"/>
          <w:bCs/>
          <w:iCs/>
          <w:spacing w:val="-4"/>
          <w:sz w:val="28"/>
          <w:szCs w:val="28"/>
        </w:rPr>
        <w:t>i</w:t>
      </w:r>
      <w:r w:rsidR="00DA365E" w:rsidRPr="00765874">
        <w:rPr>
          <w:rFonts w:ascii="Times New Roman" w:hAnsi="Times New Roman"/>
          <w:bCs/>
          <w:iCs/>
          <w:spacing w:val="-4"/>
          <w:sz w:val="28"/>
          <w:szCs w:val="28"/>
        </w:rPr>
        <w:t>zmēģinājumprojektā</w:t>
      </w:r>
      <w:proofErr w:type="spellEnd"/>
      <w:r w:rsidR="00DA365E" w:rsidRPr="00765874">
        <w:rPr>
          <w:rFonts w:ascii="Times New Roman" w:hAnsi="Times New Roman"/>
          <w:bCs/>
          <w:iCs/>
          <w:spacing w:val="-4"/>
          <w:sz w:val="28"/>
          <w:szCs w:val="28"/>
        </w:rPr>
        <w:t xml:space="preserve"> </w:t>
      </w:r>
      <w:r w:rsidR="00BA3B49" w:rsidRPr="00765874">
        <w:rPr>
          <w:rFonts w:ascii="Times New Roman" w:hAnsi="Times New Roman"/>
          <w:bCs/>
          <w:iCs/>
          <w:spacing w:val="-4"/>
          <w:sz w:val="28"/>
          <w:szCs w:val="28"/>
        </w:rPr>
        <w:t xml:space="preserve">dalību pabeigušajiem </w:t>
      </w:r>
      <w:r w:rsidR="0038545B">
        <w:rPr>
          <w:rFonts w:ascii="Times New Roman" w:hAnsi="Times New Roman"/>
          <w:bCs/>
          <w:iCs/>
          <w:spacing w:val="-4"/>
          <w:sz w:val="28"/>
          <w:szCs w:val="28"/>
        </w:rPr>
        <w:t>147</w:t>
      </w:r>
      <w:r w:rsidR="0038545B" w:rsidRPr="00765874">
        <w:rPr>
          <w:rFonts w:ascii="Times New Roman" w:hAnsi="Times New Roman"/>
          <w:bCs/>
          <w:iCs/>
          <w:spacing w:val="-4"/>
          <w:sz w:val="28"/>
          <w:szCs w:val="28"/>
        </w:rPr>
        <w:t xml:space="preserve"> </w:t>
      </w:r>
      <w:r w:rsidR="00DA365E" w:rsidRPr="00765874">
        <w:rPr>
          <w:rFonts w:ascii="Times New Roman" w:hAnsi="Times New Roman"/>
          <w:bCs/>
          <w:iCs/>
          <w:spacing w:val="-4"/>
          <w:sz w:val="28"/>
          <w:szCs w:val="28"/>
        </w:rPr>
        <w:t>bezdarbniekiem.</w:t>
      </w:r>
      <w:r w:rsidR="00DA365E" w:rsidRPr="008E6BE7">
        <w:rPr>
          <w:rFonts w:ascii="Times New Roman" w:hAnsi="Times New Roman"/>
          <w:bCs/>
          <w:iCs/>
          <w:spacing w:val="-4"/>
          <w:sz w:val="28"/>
          <w:szCs w:val="28"/>
        </w:rPr>
        <w:t xml:space="preserve"> </w:t>
      </w:r>
    </w:p>
    <w:p w:rsidR="00131201" w:rsidRPr="008E6BE7" w:rsidRDefault="005060D7" w:rsidP="00CE7F2B">
      <w:pPr>
        <w:spacing w:after="0" w:line="240" w:lineRule="auto"/>
        <w:ind w:firstLine="720"/>
        <w:jc w:val="both"/>
        <w:rPr>
          <w:rFonts w:ascii="Times New Roman" w:hAnsi="Times New Roman"/>
          <w:sz w:val="28"/>
          <w:szCs w:val="28"/>
        </w:rPr>
      </w:pPr>
      <w:r w:rsidRPr="008E6BE7">
        <w:rPr>
          <w:rFonts w:ascii="Times New Roman" w:hAnsi="Times New Roman"/>
          <w:sz w:val="28"/>
          <w:szCs w:val="28"/>
        </w:rPr>
        <w:t xml:space="preserve">Atbilstoši PB pētījuma atziņām apmācību kuponu sistēmas darbībā svarīgākais ir pareizi noteikti un iestrādāti stimuli </w:t>
      </w:r>
      <w:r w:rsidR="00FE5A08">
        <w:rPr>
          <w:rFonts w:ascii="Times New Roman" w:hAnsi="Times New Roman"/>
          <w:sz w:val="28"/>
          <w:szCs w:val="28"/>
        </w:rPr>
        <w:t>izglītības</w:t>
      </w:r>
      <w:r w:rsidRPr="008E6BE7">
        <w:rPr>
          <w:rFonts w:ascii="Times New Roman" w:hAnsi="Times New Roman"/>
          <w:sz w:val="28"/>
          <w:szCs w:val="28"/>
        </w:rPr>
        <w:t xml:space="preserve"> pakalpojumu sniedzējiem – gan privātajiem, gan publiskajiem, lai tiem būtu motivācija būt elastīgākiem un sniegt pēc iespējas kvalitatīvāku pakalpojumu. Kopumā daudzas E</w:t>
      </w:r>
      <w:r w:rsidR="007463BA" w:rsidRPr="008E6BE7">
        <w:rPr>
          <w:rFonts w:ascii="Times New Roman" w:hAnsi="Times New Roman"/>
          <w:sz w:val="28"/>
          <w:szCs w:val="28"/>
        </w:rPr>
        <w:t xml:space="preserve">iropas </w:t>
      </w:r>
      <w:r w:rsidRPr="008E6BE7">
        <w:rPr>
          <w:rFonts w:ascii="Times New Roman" w:hAnsi="Times New Roman"/>
          <w:sz w:val="28"/>
          <w:szCs w:val="28"/>
        </w:rPr>
        <w:t>S</w:t>
      </w:r>
      <w:r w:rsidR="007463BA" w:rsidRPr="008E6BE7">
        <w:rPr>
          <w:rFonts w:ascii="Times New Roman" w:hAnsi="Times New Roman"/>
          <w:sz w:val="28"/>
          <w:szCs w:val="28"/>
        </w:rPr>
        <w:t>avienības</w:t>
      </w:r>
      <w:r w:rsidRPr="008E6BE7">
        <w:rPr>
          <w:rFonts w:ascii="Times New Roman" w:hAnsi="Times New Roman"/>
          <w:sz w:val="28"/>
          <w:szCs w:val="28"/>
        </w:rPr>
        <w:t xml:space="preserve"> dalībvalstis pāriet uz pakalpojumu kuponu sistēmām (pieprasījuma virzītu, ne</w:t>
      </w:r>
      <w:r w:rsidR="00BD5F43" w:rsidRPr="008E6BE7">
        <w:rPr>
          <w:rFonts w:ascii="Times New Roman" w:hAnsi="Times New Roman"/>
          <w:sz w:val="28"/>
          <w:szCs w:val="28"/>
        </w:rPr>
        <w:t>vis piedāvājuma virzītu izglītības īstenošanu</w:t>
      </w:r>
      <w:r w:rsidRPr="008E6BE7">
        <w:rPr>
          <w:rFonts w:ascii="Times New Roman" w:hAnsi="Times New Roman"/>
          <w:sz w:val="28"/>
          <w:szCs w:val="28"/>
        </w:rPr>
        <w:t>), jo tā labāk un ātrāk reaģē uz darba tirgus izmaiņām, nodrošina pastāvīgu motivāciju pakalpojumu sniedzējam nodrošināt augstu kvalitāti un plaš</w:t>
      </w:r>
      <w:r w:rsidR="00B97970" w:rsidRPr="008E6BE7">
        <w:rPr>
          <w:rFonts w:ascii="Times New Roman" w:hAnsi="Times New Roman"/>
          <w:sz w:val="28"/>
          <w:szCs w:val="28"/>
        </w:rPr>
        <w:t>u piedāvājumu (citas apmācību kuponu sistēma</w:t>
      </w:r>
      <w:r w:rsidR="00FE5A08">
        <w:rPr>
          <w:rFonts w:ascii="Times New Roman" w:hAnsi="Times New Roman"/>
          <w:sz w:val="28"/>
          <w:szCs w:val="28"/>
        </w:rPr>
        <w:t>s priekšrocības: ātrāka izglītības apguves</w:t>
      </w:r>
      <w:r w:rsidR="00B97970" w:rsidRPr="008E6BE7">
        <w:rPr>
          <w:rFonts w:ascii="Times New Roman" w:hAnsi="Times New Roman"/>
          <w:sz w:val="28"/>
          <w:szCs w:val="28"/>
        </w:rPr>
        <w:t xml:space="preserve"> uzsākšana, atvērtas izglītības iestāžu iesaistes iespējas, kopējais NVA klientu apmierinātības pieaugums u.c.).</w:t>
      </w:r>
    </w:p>
    <w:p w:rsidR="00AF541D" w:rsidRPr="008E6BE7" w:rsidRDefault="00131201" w:rsidP="00903E5E">
      <w:pPr>
        <w:autoSpaceDE w:val="0"/>
        <w:autoSpaceDN w:val="0"/>
        <w:adjustRightInd w:val="0"/>
        <w:spacing w:after="0" w:line="240" w:lineRule="auto"/>
        <w:ind w:firstLine="720"/>
        <w:jc w:val="both"/>
        <w:rPr>
          <w:rFonts w:ascii="Times New Roman" w:hAnsi="Times New Roman"/>
          <w:sz w:val="28"/>
          <w:szCs w:val="28"/>
        </w:rPr>
      </w:pPr>
      <w:r w:rsidRPr="008E6BE7">
        <w:rPr>
          <w:rFonts w:ascii="Times New Roman" w:hAnsi="Times New Roman"/>
          <w:sz w:val="28"/>
          <w:szCs w:val="28"/>
        </w:rPr>
        <w:t xml:space="preserve">LM sadarbībā ar NVA regulāri pilnveido apmācību kuponu sistēmu bezdarbnieku un darba meklētāju </w:t>
      </w:r>
      <w:r w:rsidR="00FE5A08">
        <w:rPr>
          <w:rFonts w:ascii="Times New Roman" w:hAnsi="Times New Roman"/>
          <w:sz w:val="28"/>
          <w:szCs w:val="28"/>
        </w:rPr>
        <w:t>izglītības ieguves</w:t>
      </w:r>
      <w:r w:rsidRPr="008E6BE7">
        <w:rPr>
          <w:rFonts w:ascii="Times New Roman" w:hAnsi="Times New Roman"/>
          <w:sz w:val="28"/>
          <w:szCs w:val="28"/>
        </w:rPr>
        <w:t xml:space="preserve"> ietvaros - NVA ir atteikusies no publiskā iepirkuma procedūras organizēšanas, pārejot uz fiksētu apmācību kuponu izmaksām. Publisko iepirkumu procedūras atcelšanas starp NVA un izglītības iestādēm rezultātā tiks veicināta operatīvāka </w:t>
      </w:r>
      <w:r w:rsidR="00FE5A08">
        <w:rPr>
          <w:rFonts w:ascii="Times New Roman" w:hAnsi="Times New Roman"/>
          <w:sz w:val="28"/>
          <w:szCs w:val="28"/>
        </w:rPr>
        <w:t>izglītības</w:t>
      </w:r>
      <w:r w:rsidRPr="008E6BE7">
        <w:rPr>
          <w:rFonts w:ascii="Times New Roman" w:hAnsi="Times New Roman"/>
          <w:sz w:val="28"/>
          <w:szCs w:val="28"/>
        </w:rPr>
        <w:t xml:space="preserve"> pakalpojumu sniegšana NVA klientiem (nav vairs jāgaida, kad beigsies iepirkuma procedūra) un sekmēta NVA klientu vienkāršotāka izglītības iestāžu izvēle. Tāpat pakāpeniski ir plānots virzīties uz “samaksas par rezultātu” ieviešanu, lai </w:t>
      </w:r>
      <w:r w:rsidR="009453C7">
        <w:rPr>
          <w:rFonts w:ascii="Times New Roman" w:hAnsi="Times New Roman"/>
          <w:sz w:val="28"/>
          <w:szCs w:val="28"/>
        </w:rPr>
        <w:t xml:space="preserve">piemērotu papildus maksājumu </w:t>
      </w:r>
      <w:r w:rsidRPr="008E6BE7">
        <w:rPr>
          <w:rFonts w:ascii="Times New Roman" w:hAnsi="Times New Roman"/>
          <w:sz w:val="28"/>
          <w:szCs w:val="28"/>
        </w:rPr>
        <w:t xml:space="preserve">izglītības iestādēm </w:t>
      </w:r>
      <w:r w:rsidR="009453C7">
        <w:rPr>
          <w:rFonts w:ascii="Times New Roman" w:hAnsi="Times New Roman"/>
          <w:sz w:val="28"/>
          <w:szCs w:val="28"/>
        </w:rPr>
        <w:t>par</w:t>
      </w:r>
      <w:r w:rsidRPr="008E6BE7">
        <w:rPr>
          <w:rFonts w:ascii="Times New Roman" w:hAnsi="Times New Roman"/>
          <w:sz w:val="28"/>
          <w:szCs w:val="28"/>
        </w:rPr>
        <w:t xml:space="preserve"> bezdarbnieku darbā iekār</w:t>
      </w:r>
      <w:r w:rsidR="009453C7">
        <w:rPr>
          <w:rFonts w:ascii="Times New Roman" w:hAnsi="Times New Roman"/>
          <w:sz w:val="28"/>
          <w:szCs w:val="28"/>
        </w:rPr>
        <w:t>tošanos</w:t>
      </w:r>
      <w:r w:rsidR="00AF541D" w:rsidRPr="008E6BE7">
        <w:rPr>
          <w:rFonts w:ascii="Times New Roman" w:hAnsi="Times New Roman"/>
          <w:sz w:val="28"/>
          <w:szCs w:val="28"/>
        </w:rPr>
        <w:t xml:space="preserve"> pēc izglītības ieguves</w:t>
      </w:r>
      <w:r w:rsidRPr="008E6BE7">
        <w:rPr>
          <w:rFonts w:ascii="Times New Roman" w:hAnsi="Times New Roman"/>
          <w:sz w:val="28"/>
          <w:szCs w:val="28"/>
        </w:rPr>
        <w:t xml:space="preserve">, kā arī kuponu sistēma </w:t>
      </w:r>
      <w:r w:rsidRPr="008E6BE7">
        <w:rPr>
          <w:rFonts w:ascii="Times New Roman" w:hAnsi="Times New Roman"/>
          <w:sz w:val="28"/>
          <w:szCs w:val="28"/>
        </w:rPr>
        <w:lastRenderedPageBreak/>
        <w:t>ir papildināta ar dažādiem e</w:t>
      </w:r>
      <w:r w:rsidR="00AF541D" w:rsidRPr="008E6BE7">
        <w:rPr>
          <w:rFonts w:ascii="Times New Roman" w:hAnsi="Times New Roman"/>
          <w:sz w:val="28"/>
          <w:szCs w:val="28"/>
        </w:rPr>
        <w:t>-vides risinājumiem, t.sk.</w:t>
      </w:r>
      <w:r w:rsidRPr="008E6BE7">
        <w:rPr>
          <w:rFonts w:ascii="Times New Roman" w:hAnsi="Times New Roman"/>
          <w:sz w:val="28"/>
          <w:szCs w:val="28"/>
        </w:rPr>
        <w:t xml:space="preserve"> darba tirgus monitoringa sistēmu, </w:t>
      </w:r>
      <w:r w:rsidR="00C2472D" w:rsidRPr="008E6BE7">
        <w:rPr>
          <w:rFonts w:ascii="Times New Roman" w:hAnsi="Times New Roman"/>
          <w:sz w:val="28"/>
          <w:szCs w:val="28"/>
        </w:rPr>
        <w:t>nodrošinot</w:t>
      </w:r>
      <w:r w:rsidRPr="008E6BE7">
        <w:rPr>
          <w:rFonts w:ascii="Times New Roman" w:hAnsi="Times New Roman"/>
          <w:sz w:val="28"/>
          <w:szCs w:val="28"/>
        </w:rPr>
        <w:t xml:space="preserve"> cilvēku informētāku izvēli.</w:t>
      </w:r>
    </w:p>
    <w:p w:rsidR="005060D7" w:rsidRPr="008E6BE7" w:rsidRDefault="005060D7" w:rsidP="00903E5E">
      <w:pPr>
        <w:autoSpaceDE w:val="0"/>
        <w:autoSpaceDN w:val="0"/>
        <w:adjustRightInd w:val="0"/>
        <w:spacing w:after="0" w:line="240" w:lineRule="auto"/>
        <w:ind w:firstLine="720"/>
        <w:jc w:val="both"/>
        <w:rPr>
          <w:rFonts w:ascii="Times New Roman" w:hAnsi="Times New Roman"/>
          <w:sz w:val="28"/>
          <w:szCs w:val="28"/>
        </w:rPr>
      </w:pPr>
      <w:r w:rsidRPr="008E6BE7">
        <w:rPr>
          <w:rFonts w:ascii="Times New Roman" w:hAnsi="Times New Roman"/>
          <w:sz w:val="28"/>
          <w:szCs w:val="28"/>
        </w:rPr>
        <w:t xml:space="preserve">Ņemot vērā PB ieteikumus, nepieciešams ir radīt vidi, kurā starp skolām veidojas savstarpējā konkurence par iespēju piedāvāt tālākizglītības pakalpojumus (galvenais ir klients, kam ir jāsaņem pakalpojums) un veicināt gan valsts, gan privāto izglītības iestāžu </w:t>
      </w:r>
      <w:r w:rsidRPr="008E6BE7">
        <w:rPr>
          <w:rFonts w:ascii="Times New Roman" w:hAnsi="Times New Roman"/>
          <w:sz w:val="28"/>
          <w:szCs w:val="28"/>
          <w:lang w:eastAsia="lv-LV"/>
        </w:rPr>
        <w:t xml:space="preserve">gatavību piedalīties </w:t>
      </w:r>
      <w:r w:rsidR="00AF541D" w:rsidRPr="008E6BE7">
        <w:rPr>
          <w:rFonts w:ascii="Times New Roman" w:hAnsi="Times New Roman"/>
          <w:sz w:val="28"/>
          <w:szCs w:val="28"/>
          <w:lang w:eastAsia="lv-LV"/>
        </w:rPr>
        <w:t>NVA</w:t>
      </w:r>
      <w:r w:rsidRPr="008E6BE7">
        <w:rPr>
          <w:rFonts w:ascii="Times New Roman" w:hAnsi="Times New Roman"/>
          <w:sz w:val="28"/>
          <w:szCs w:val="28"/>
          <w:lang w:eastAsia="lv-LV"/>
        </w:rPr>
        <w:t xml:space="preserve"> pasākumos. </w:t>
      </w:r>
      <w:r w:rsidRPr="008E6BE7">
        <w:rPr>
          <w:rFonts w:ascii="Times New Roman" w:hAnsi="Times New Roman"/>
          <w:sz w:val="28"/>
          <w:szCs w:val="28"/>
        </w:rPr>
        <w:t xml:space="preserve">Tāpat kā privātajām, arī valsts izglītības iestādēm </w:t>
      </w:r>
      <w:r w:rsidR="00AF541D" w:rsidRPr="008E6BE7">
        <w:rPr>
          <w:rFonts w:ascii="Times New Roman" w:hAnsi="Times New Roman"/>
          <w:sz w:val="28"/>
          <w:szCs w:val="28"/>
        </w:rPr>
        <w:t>NVA</w:t>
      </w:r>
      <w:r w:rsidRPr="008E6BE7">
        <w:rPr>
          <w:rFonts w:ascii="Times New Roman" w:hAnsi="Times New Roman"/>
          <w:sz w:val="28"/>
          <w:szCs w:val="28"/>
        </w:rPr>
        <w:t xml:space="preserve"> organizētajā profesionālās tālākizglītības programmu apguvē būtu nepieciešams piemērot kuponu sistēmas pieeju (</w:t>
      </w:r>
      <w:r w:rsidR="004B502C" w:rsidRPr="008E6BE7">
        <w:rPr>
          <w:rFonts w:ascii="Times New Roman" w:hAnsi="Times New Roman"/>
          <w:sz w:val="28"/>
          <w:szCs w:val="28"/>
        </w:rPr>
        <w:t>NVA</w:t>
      </w:r>
      <w:r w:rsidRPr="008E6BE7">
        <w:rPr>
          <w:rFonts w:ascii="Times New Roman" w:hAnsi="Times New Roman"/>
          <w:sz w:val="28"/>
          <w:szCs w:val="28"/>
        </w:rPr>
        <w:t xml:space="preserve"> klients saņem kuponu un izvēlas izglītības iestād</w:t>
      </w:r>
      <w:r w:rsidR="004D422C" w:rsidRPr="008E6BE7">
        <w:rPr>
          <w:rFonts w:ascii="Times New Roman" w:hAnsi="Times New Roman"/>
          <w:sz w:val="28"/>
          <w:szCs w:val="28"/>
        </w:rPr>
        <w:t xml:space="preserve">i, </w:t>
      </w:r>
      <w:r w:rsidR="004B502C" w:rsidRPr="008E6BE7">
        <w:rPr>
          <w:rFonts w:ascii="Times New Roman" w:hAnsi="Times New Roman"/>
          <w:sz w:val="28"/>
          <w:szCs w:val="28"/>
        </w:rPr>
        <w:t>NVA</w:t>
      </w:r>
      <w:r w:rsidR="004D422C" w:rsidRPr="008E6BE7">
        <w:rPr>
          <w:rFonts w:ascii="Times New Roman" w:hAnsi="Times New Roman"/>
          <w:sz w:val="28"/>
          <w:szCs w:val="28"/>
        </w:rPr>
        <w:t xml:space="preserve"> nekomplektē grupas)</w:t>
      </w:r>
      <w:r w:rsidR="00700FB0" w:rsidRPr="008E6BE7">
        <w:rPr>
          <w:rFonts w:ascii="Times New Roman" w:hAnsi="Times New Roman"/>
          <w:sz w:val="28"/>
          <w:szCs w:val="28"/>
        </w:rPr>
        <w:t>,</w:t>
      </w:r>
      <w:r w:rsidR="004D422C" w:rsidRPr="008E6BE7">
        <w:rPr>
          <w:rFonts w:ascii="Times New Roman" w:hAnsi="Times New Roman"/>
          <w:sz w:val="28"/>
          <w:szCs w:val="28"/>
        </w:rPr>
        <w:t xml:space="preserve"> vienlaikus novēršot</w:t>
      </w:r>
      <w:r w:rsidRPr="008E6BE7">
        <w:rPr>
          <w:rFonts w:ascii="Times New Roman" w:hAnsi="Times New Roman"/>
          <w:sz w:val="28"/>
          <w:szCs w:val="28"/>
        </w:rPr>
        <w:t xml:space="preserve"> </w:t>
      </w:r>
      <w:r w:rsidRPr="008E6BE7">
        <w:rPr>
          <w:rFonts w:ascii="Times New Roman" w:hAnsi="Times New Roman"/>
          <w:bCs/>
          <w:sz w:val="28"/>
          <w:szCs w:val="28"/>
        </w:rPr>
        <w:t xml:space="preserve">tos šķēršļus, kas </w:t>
      </w:r>
      <w:r w:rsidR="00700FB0" w:rsidRPr="008E6BE7">
        <w:rPr>
          <w:rFonts w:ascii="Times New Roman" w:hAnsi="Times New Roman"/>
          <w:bCs/>
          <w:sz w:val="28"/>
          <w:szCs w:val="28"/>
        </w:rPr>
        <w:t>konstatēti</w:t>
      </w:r>
      <w:r w:rsidRPr="008E6BE7">
        <w:rPr>
          <w:rFonts w:ascii="Times New Roman" w:hAnsi="Times New Roman"/>
          <w:bCs/>
          <w:sz w:val="28"/>
          <w:szCs w:val="28"/>
        </w:rPr>
        <w:t xml:space="preserve"> valsts izglītības iestādēm, kuru dēļ tās neiesaistās bezdarbnieku tālākizglītībā</w:t>
      </w:r>
      <w:r w:rsidR="004B502C" w:rsidRPr="008E6BE7">
        <w:rPr>
          <w:rFonts w:ascii="Times New Roman" w:hAnsi="Times New Roman"/>
          <w:bCs/>
          <w:sz w:val="28"/>
          <w:szCs w:val="28"/>
        </w:rPr>
        <w:t xml:space="preserve"> (gan</w:t>
      </w:r>
      <w:r w:rsidR="00E50758" w:rsidRPr="008E6BE7">
        <w:rPr>
          <w:rFonts w:ascii="Times New Roman" w:hAnsi="Times New Roman"/>
          <w:bCs/>
          <w:sz w:val="28"/>
          <w:szCs w:val="28"/>
        </w:rPr>
        <w:t>,</w:t>
      </w:r>
      <w:r w:rsidR="004B502C" w:rsidRPr="008E6BE7">
        <w:rPr>
          <w:rFonts w:ascii="Times New Roman" w:hAnsi="Times New Roman"/>
          <w:bCs/>
          <w:sz w:val="28"/>
          <w:szCs w:val="28"/>
        </w:rPr>
        <w:t xml:space="preserve"> ņemot vērā </w:t>
      </w:r>
      <w:proofErr w:type="spellStart"/>
      <w:r w:rsidR="004B502C" w:rsidRPr="008E6BE7">
        <w:rPr>
          <w:rFonts w:ascii="Times New Roman" w:hAnsi="Times New Roman"/>
          <w:bCs/>
          <w:sz w:val="28"/>
          <w:szCs w:val="28"/>
        </w:rPr>
        <w:t>izmēģinājumprojekta</w:t>
      </w:r>
      <w:proofErr w:type="spellEnd"/>
      <w:r w:rsidR="004B502C" w:rsidRPr="008E6BE7">
        <w:rPr>
          <w:rFonts w:ascii="Times New Roman" w:hAnsi="Times New Roman"/>
          <w:bCs/>
          <w:sz w:val="28"/>
          <w:szCs w:val="28"/>
        </w:rPr>
        <w:t xml:space="preserve"> pirmajā un otrajā kārtā secināto, gan arī līdzšinējo NVA pieredzi, kad, izmantojot apmācību kuponu sistēmu, arī valsts izglītības iestādēm ir brīvas iespējas ie</w:t>
      </w:r>
      <w:r w:rsidR="00FE5A08">
        <w:rPr>
          <w:rFonts w:ascii="Times New Roman" w:hAnsi="Times New Roman"/>
          <w:bCs/>
          <w:sz w:val="28"/>
          <w:szCs w:val="28"/>
        </w:rPr>
        <w:t>saistīties bezdarbnieku izglītībā</w:t>
      </w:r>
      <w:r w:rsidR="004B502C" w:rsidRPr="008E6BE7">
        <w:rPr>
          <w:rFonts w:ascii="Times New Roman" w:hAnsi="Times New Roman"/>
          <w:bCs/>
          <w:sz w:val="28"/>
          <w:szCs w:val="28"/>
        </w:rPr>
        <w:t xml:space="preserve">, </w:t>
      </w:r>
      <w:r w:rsidR="009A1E7C" w:rsidRPr="008E6BE7">
        <w:rPr>
          <w:rFonts w:ascii="Times New Roman" w:hAnsi="Times New Roman"/>
          <w:bCs/>
          <w:sz w:val="28"/>
          <w:szCs w:val="28"/>
        </w:rPr>
        <w:t>kur nākas konstatēt</w:t>
      </w:r>
      <w:r w:rsidR="00E50758" w:rsidRPr="008E6BE7">
        <w:rPr>
          <w:rFonts w:ascii="Times New Roman" w:hAnsi="Times New Roman"/>
          <w:bCs/>
          <w:sz w:val="28"/>
          <w:szCs w:val="28"/>
        </w:rPr>
        <w:t xml:space="preserve"> gadījumus</w:t>
      </w:r>
      <w:r w:rsidR="009A1E7C" w:rsidRPr="008E6BE7">
        <w:rPr>
          <w:rFonts w:ascii="Times New Roman" w:hAnsi="Times New Roman"/>
          <w:bCs/>
          <w:sz w:val="28"/>
          <w:szCs w:val="28"/>
        </w:rPr>
        <w:t xml:space="preserve">, kad </w:t>
      </w:r>
      <w:r w:rsidR="000154F8" w:rsidRPr="008E6BE7">
        <w:rPr>
          <w:rFonts w:ascii="Times New Roman" w:hAnsi="Times New Roman"/>
          <w:bCs/>
          <w:sz w:val="28"/>
          <w:szCs w:val="28"/>
        </w:rPr>
        <w:t>tām</w:t>
      </w:r>
      <w:r w:rsidR="009A1E7C" w:rsidRPr="008E6BE7">
        <w:rPr>
          <w:rFonts w:ascii="Times New Roman" w:hAnsi="Times New Roman"/>
          <w:bCs/>
          <w:sz w:val="28"/>
          <w:szCs w:val="28"/>
        </w:rPr>
        <w:t xml:space="preserve"> </w:t>
      </w:r>
      <w:r w:rsidRPr="008E6BE7">
        <w:rPr>
          <w:rFonts w:ascii="Times New Roman" w:hAnsi="Times New Roman"/>
          <w:bCs/>
          <w:sz w:val="28"/>
          <w:szCs w:val="28"/>
        </w:rPr>
        <w:t>ir izdevīgāk iznomāt savu mācību bāzi privātajām iestādēm vai šo skolu skolotājiem sniegt savus pakalpojumus privātajām skolām</w:t>
      </w:r>
      <w:r w:rsidR="009A1E7C" w:rsidRPr="008E6BE7">
        <w:rPr>
          <w:rFonts w:ascii="Times New Roman" w:hAnsi="Times New Roman"/>
          <w:bCs/>
          <w:sz w:val="28"/>
          <w:szCs w:val="28"/>
        </w:rPr>
        <w:t>).</w:t>
      </w:r>
    </w:p>
    <w:p w:rsidR="00BA3B49" w:rsidRPr="008E6BE7" w:rsidRDefault="005060D7" w:rsidP="00903E5E">
      <w:pPr>
        <w:spacing w:after="0" w:line="240" w:lineRule="auto"/>
        <w:ind w:firstLine="720"/>
        <w:jc w:val="both"/>
        <w:rPr>
          <w:rFonts w:ascii="Times New Roman" w:hAnsi="Times New Roman"/>
          <w:sz w:val="28"/>
          <w:szCs w:val="28"/>
        </w:rPr>
      </w:pPr>
      <w:r w:rsidRPr="008E6BE7">
        <w:rPr>
          <w:rFonts w:ascii="Times New Roman" w:hAnsi="Times New Roman"/>
          <w:sz w:val="28"/>
          <w:szCs w:val="28"/>
        </w:rPr>
        <w:t xml:space="preserve">Visbeidzot, svarīgi ir gūt apstiprinājumu tam, ka tālākizglītības programmu kvalitāte (eksāmenu rezultāti) </w:t>
      </w:r>
      <w:r w:rsidR="000154F8" w:rsidRPr="008E6BE7">
        <w:rPr>
          <w:rFonts w:ascii="Times New Roman" w:hAnsi="Times New Roman"/>
          <w:sz w:val="28"/>
          <w:szCs w:val="28"/>
        </w:rPr>
        <w:t xml:space="preserve">PIKC un </w:t>
      </w:r>
      <w:r w:rsidRPr="008E6BE7">
        <w:rPr>
          <w:rFonts w:ascii="Times New Roman" w:hAnsi="Times New Roman"/>
          <w:sz w:val="28"/>
          <w:szCs w:val="28"/>
        </w:rPr>
        <w:t>valsts</w:t>
      </w:r>
      <w:r w:rsidR="000154F8" w:rsidRPr="008E6BE7">
        <w:rPr>
          <w:rFonts w:ascii="Times New Roman" w:hAnsi="Times New Roman"/>
          <w:sz w:val="28"/>
          <w:szCs w:val="28"/>
        </w:rPr>
        <w:t xml:space="preserve"> un pašvaldību</w:t>
      </w:r>
      <w:r w:rsidRPr="008E6BE7">
        <w:rPr>
          <w:rFonts w:ascii="Times New Roman" w:hAnsi="Times New Roman"/>
          <w:sz w:val="28"/>
          <w:szCs w:val="28"/>
        </w:rPr>
        <w:t xml:space="preserve"> </w:t>
      </w:r>
      <w:r w:rsidR="008D7BBD" w:rsidRPr="008E6BE7">
        <w:rPr>
          <w:rFonts w:ascii="Times New Roman" w:hAnsi="Times New Roman"/>
          <w:sz w:val="28"/>
          <w:szCs w:val="28"/>
        </w:rPr>
        <w:t>PII</w:t>
      </w:r>
      <w:r w:rsidRPr="008E6BE7">
        <w:rPr>
          <w:rFonts w:ascii="Times New Roman" w:hAnsi="Times New Roman"/>
          <w:sz w:val="28"/>
          <w:szCs w:val="28"/>
        </w:rPr>
        <w:t xml:space="preserve"> iestādēs neatšķiras no privāto izglītības iestāžu piedāvātās. Tomēr objektīvu eksāmenu rezultātu izvērtēšanu ir problemātiski veikt, jo profesionālās izglītības jomā nav noteikta viena - centralizēta – eksaminācijas komisija. Pašreiz katra izglītības iestāde var pati izveidot eksaminācijas komisiju no vērtētājiem, kas atbilst vispārīgajiem kritērijiem, tomēr tas izraisa situāciju, kad, iespējams, viena līmeņa sniegums dažādās izglītības iestādēs tiek novērtēts dažādi. Nozaru ekspertu padomēs nepieciešamība pēc centralizētas eksāmena vērtēšanas komisijas profesionālajā izglītībā ir apzināta, tomēr nav zināmi termiņi, kad līdz vienotai sistēmai valsts līmenī varētu nonākt.</w:t>
      </w:r>
    </w:p>
    <w:p w:rsidR="00BA3B49" w:rsidRPr="008E6BE7" w:rsidRDefault="00BA3B49" w:rsidP="004F0F2A">
      <w:pPr>
        <w:spacing w:after="0" w:line="240" w:lineRule="auto"/>
        <w:ind w:firstLine="720"/>
        <w:jc w:val="both"/>
        <w:rPr>
          <w:rFonts w:ascii="Times New Roman" w:hAnsi="Times New Roman"/>
          <w:sz w:val="28"/>
          <w:szCs w:val="28"/>
        </w:rPr>
      </w:pPr>
    </w:p>
    <w:p w:rsidR="005060D7" w:rsidRPr="008E6BE7" w:rsidRDefault="0099144E" w:rsidP="00CE7F2B">
      <w:pPr>
        <w:pStyle w:val="Heading1"/>
        <w:spacing w:before="0" w:after="0"/>
        <w:jc w:val="center"/>
        <w:rPr>
          <w:rFonts w:ascii="Times New Roman" w:hAnsi="Times New Roman"/>
          <w:sz w:val="28"/>
          <w:szCs w:val="28"/>
        </w:rPr>
      </w:pPr>
      <w:bookmarkStart w:id="4" w:name="_Toc411246702"/>
      <w:r w:rsidRPr="008E6BE7">
        <w:rPr>
          <w:rFonts w:ascii="Times New Roman" w:hAnsi="Times New Roman"/>
          <w:sz w:val="28"/>
          <w:szCs w:val="28"/>
        </w:rPr>
        <w:t>5</w:t>
      </w:r>
      <w:r w:rsidR="005060D7" w:rsidRPr="008E6BE7">
        <w:rPr>
          <w:rFonts w:ascii="Times New Roman" w:hAnsi="Times New Roman"/>
          <w:sz w:val="28"/>
          <w:szCs w:val="28"/>
        </w:rPr>
        <w:t xml:space="preserve">. </w:t>
      </w:r>
      <w:r w:rsidR="009771EA" w:rsidRPr="008E6BE7">
        <w:rPr>
          <w:rFonts w:ascii="Times New Roman" w:hAnsi="Times New Roman"/>
          <w:sz w:val="28"/>
          <w:szCs w:val="28"/>
        </w:rPr>
        <w:t>Turpmākā rīcība</w:t>
      </w:r>
      <w:bookmarkEnd w:id="4"/>
    </w:p>
    <w:p w:rsidR="005060D7" w:rsidRPr="008E6BE7" w:rsidRDefault="005060D7" w:rsidP="00CE7F2B">
      <w:pPr>
        <w:spacing w:after="0" w:line="240" w:lineRule="auto"/>
        <w:ind w:left="360"/>
        <w:jc w:val="both"/>
        <w:rPr>
          <w:rFonts w:ascii="Times New Roman" w:hAnsi="Times New Roman"/>
          <w:sz w:val="28"/>
          <w:szCs w:val="28"/>
        </w:rPr>
      </w:pPr>
    </w:p>
    <w:p w:rsidR="000A3AFC" w:rsidRPr="00776625" w:rsidRDefault="005060D7" w:rsidP="00FB2595">
      <w:pPr>
        <w:spacing w:after="0" w:line="240" w:lineRule="auto"/>
        <w:ind w:firstLine="720"/>
        <w:jc w:val="both"/>
        <w:rPr>
          <w:rFonts w:ascii="Times New Roman" w:hAnsi="Times New Roman"/>
          <w:sz w:val="28"/>
          <w:szCs w:val="28"/>
        </w:rPr>
      </w:pPr>
      <w:r w:rsidRPr="00C86844">
        <w:rPr>
          <w:rFonts w:ascii="Times New Roman" w:hAnsi="Times New Roman"/>
          <w:bCs/>
          <w:sz w:val="28"/>
          <w:szCs w:val="28"/>
        </w:rPr>
        <w:t>Ņemot vērā nepieciešamību pēc pilnvērtīgas valsts izglītības iestāžu infrastruktūras izmantošanas</w:t>
      </w:r>
      <w:r w:rsidR="00776625">
        <w:rPr>
          <w:rFonts w:ascii="Times New Roman" w:hAnsi="Times New Roman"/>
          <w:bCs/>
          <w:sz w:val="28"/>
          <w:szCs w:val="28"/>
        </w:rPr>
        <w:t xml:space="preserve">, </w:t>
      </w:r>
      <w:r w:rsidR="00776625" w:rsidRPr="00C86844">
        <w:rPr>
          <w:rFonts w:ascii="Times New Roman" w:hAnsi="Times New Roman"/>
          <w:sz w:val="28"/>
          <w:szCs w:val="28"/>
        </w:rPr>
        <w:t>ko paredz arī MK prioritārie rīcības virzieni tautsaimniecības attīstībai</w:t>
      </w:r>
      <w:r w:rsidR="00776625" w:rsidRPr="00C86844">
        <w:rPr>
          <w:rFonts w:ascii="Times New Roman" w:hAnsi="Times New Roman"/>
          <w:i/>
          <w:iCs/>
          <w:sz w:val="28"/>
          <w:szCs w:val="28"/>
        </w:rPr>
        <w:t xml:space="preserve"> (apstiprināti ar MK 2016. gada 3. maija rīkojumu Nr. 275</w:t>
      </w:r>
      <w:r w:rsidR="00776625" w:rsidRPr="00C86844">
        <w:rPr>
          <w:rFonts w:ascii="Times New Roman" w:hAnsi="Times New Roman"/>
          <w:sz w:val="28"/>
          <w:szCs w:val="28"/>
        </w:rPr>
        <w:t>),</w:t>
      </w:r>
      <w:r w:rsidR="00776625">
        <w:rPr>
          <w:rFonts w:ascii="Times New Roman" w:hAnsi="Times New Roman"/>
          <w:bCs/>
          <w:sz w:val="28"/>
          <w:szCs w:val="28"/>
        </w:rPr>
        <w:t xml:space="preserve"> </w:t>
      </w:r>
      <w:r w:rsidRPr="00C86844">
        <w:rPr>
          <w:rFonts w:ascii="Times New Roman" w:hAnsi="Times New Roman"/>
          <w:bCs/>
          <w:sz w:val="28"/>
          <w:szCs w:val="28"/>
        </w:rPr>
        <w:t xml:space="preserve">un nepieciešamību pēc kvalitatīvas izglītības veicināšanas bezdarbniekiem, darba meklētājiem un bezdarba riskam pakļautajām personām, kā arī pieaugušo tālākizglītības sekmēšanas, </w:t>
      </w:r>
      <w:r w:rsidR="00924D3A" w:rsidRPr="00C86844">
        <w:rPr>
          <w:rFonts w:ascii="Times New Roman" w:hAnsi="Times New Roman"/>
          <w:bCs/>
          <w:sz w:val="28"/>
          <w:szCs w:val="28"/>
        </w:rPr>
        <w:t>tālāk ir aprakstītas</w:t>
      </w:r>
      <w:r w:rsidRPr="00C86844">
        <w:rPr>
          <w:rFonts w:ascii="Times New Roman" w:hAnsi="Times New Roman"/>
          <w:bCs/>
          <w:sz w:val="28"/>
          <w:szCs w:val="28"/>
        </w:rPr>
        <w:t xml:space="preserve"> darbības </w:t>
      </w:r>
      <w:r w:rsidR="000154F8" w:rsidRPr="00C86844">
        <w:rPr>
          <w:rFonts w:ascii="Times New Roman" w:hAnsi="Times New Roman"/>
          <w:bCs/>
          <w:sz w:val="28"/>
          <w:szCs w:val="28"/>
        </w:rPr>
        <w:t xml:space="preserve">turpmākajai PIKC un </w:t>
      </w:r>
      <w:r w:rsidR="002C1C80" w:rsidRPr="00C86844">
        <w:rPr>
          <w:rFonts w:ascii="Times New Roman" w:hAnsi="Times New Roman"/>
          <w:bCs/>
          <w:sz w:val="28"/>
          <w:szCs w:val="28"/>
        </w:rPr>
        <w:t>PII</w:t>
      </w:r>
      <w:r w:rsidR="000154F8" w:rsidRPr="00C86844">
        <w:rPr>
          <w:rFonts w:ascii="Times New Roman" w:hAnsi="Times New Roman"/>
          <w:bCs/>
          <w:sz w:val="28"/>
          <w:szCs w:val="28"/>
        </w:rPr>
        <w:t xml:space="preserve"> iesaistei bezdarbnieku izglītības apguvē.</w:t>
      </w:r>
    </w:p>
    <w:p w:rsidR="00776625" w:rsidRPr="002647B1" w:rsidRDefault="00826F5D" w:rsidP="00637364">
      <w:pPr>
        <w:spacing w:after="0" w:line="240" w:lineRule="auto"/>
        <w:ind w:firstLine="720"/>
        <w:jc w:val="both"/>
        <w:rPr>
          <w:rFonts w:ascii="Times New Roman" w:hAnsi="Times New Roman"/>
          <w:bCs/>
          <w:sz w:val="28"/>
          <w:szCs w:val="28"/>
        </w:rPr>
      </w:pPr>
      <w:r w:rsidRPr="00C86844">
        <w:rPr>
          <w:rFonts w:ascii="Times New Roman" w:hAnsi="Times New Roman"/>
          <w:bCs/>
          <w:sz w:val="28"/>
          <w:szCs w:val="28"/>
        </w:rPr>
        <w:t xml:space="preserve">Atšķirībā no </w:t>
      </w:r>
      <w:proofErr w:type="spellStart"/>
      <w:r w:rsidRPr="00C86844">
        <w:rPr>
          <w:rFonts w:ascii="Times New Roman" w:hAnsi="Times New Roman"/>
          <w:bCs/>
          <w:sz w:val="28"/>
          <w:szCs w:val="28"/>
        </w:rPr>
        <w:t>izmēģinājumprojekta</w:t>
      </w:r>
      <w:proofErr w:type="spellEnd"/>
      <w:r w:rsidRPr="00C86844">
        <w:rPr>
          <w:rFonts w:ascii="Times New Roman" w:hAnsi="Times New Roman"/>
          <w:bCs/>
          <w:sz w:val="28"/>
          <w:szCs w:val="28"/>
        </w:rPr>
        <w:t xml:space="preserve"> pirmās kārtas, otrajā kārtā, lai nodrošinātu plašāku izglītības pakalpojuma piedāvājuma klāstu, </w:t>
      </w:r>
      <w:r w:rsidR="000154F8" w:rsidRPr="00C86844">
        <w:rPr>
          <w:rFonts w:ascii="Times New Roman" w:hAnsi="Times New Roman"/>
          <w:bCs/>
          <w:sz w:val="28"/>
          <w:szCs w:val="28"/>
        </w:rPr>
        <w:t>bez</w:t>
      </w:r>
      <w:r w:rsidRPr="00C86844">
        <w:rPr>
          <w:rFonts w:ascii="Times New Roman" w:hAnsi="Times New Roman"/>
          <w:bCs/>
          <w:sz w:val="28"/>
          <w:szCs w:val="28"/>
        </w:rPr>
        <w:t xml:space="preserve">darbnieku </w:t>
      </w:r>
      <w:r w:rsidRPr="00C86844">
        <w:rPr>
          <w:rFonts w:ascii="Times New Roman" w:hAnsi="Times New Roman"/>
          <w:bCs/>
          <w:sz w:val="28"/>
          <w:szCs w:val="28"/>
        </w:rPr>
        <w:lastRenderedPageBreak/>
        <w:t>tālākizglītības apguve</w:t>
      </w:r>
      <w:r w:rsidR="000154F8" w:rsidRPr="00C86844">
        <w:rPr>
          <w:rFonts w:ascii="Times New Roman" w:hAnsi="Times New Roman"/>
          <w:bCs/>
          <w:sz w:val="28"/>
          <w:szCs w:val="28"/>
        </w:rPr>
        <w:t xml:space="preserve"> kopā ar </w:t>
      </w:r>
      <w:r w:rsidR="002C1C80" w:rsidRPr="00C86844">
        <w:rPr>
          <w:rFonts w:ascii="Times New Roman" w:hAnsi="Times New Roman"/>
          <w:sz w:val="28"/>
          <w:szCs w:val="28"/>
        </w:rPr>
        <w:t>PII</w:t>
      </w:r>
      <w:r w:rsidR="00337F9E" w:rsidRPr="00C86844">
        <w:rPr>
          <w:rFonts w:ascii="Times New Roman" w:hAnsi="Times New Roman"/>
          <w:sz w:val="28"/>
          <w:szCs w:val="28"/>
        </w:rPr>
        <w:t xml:space="preserve"> </w:t>
      </w:r>
      <w:r w:rsidRPr="00C86844">
        <w:rPr>
          <w:rFonts w:ascii="Times New Roman" w:hAnsi="Times New Roman"/>
          <w:bCs/>
          <w:sz w:val="28"/>
          <w:szCs w:val="28"/>
        </w:rPr>
        <w:t>tika īstenota arī</w:t>
      </w:r>
      <w:r w:rsidR="000154F8" w:rsidRPr="00C86844">
        <w:rPr>
          <w:rFonts w:ascii="Times New Roman" w:hAnsi="Times New Roman"/>
          <w:bCs/>
          <w:sz w:val="28"/>
          <w:szCs w:val="28"/>
        </w:rPr>
        <w:t xml:space="preserve"> PIKC (plašāks tālākizglītības programmu piedāvājums, kas sakrīt ar </w:t>
      </w:r>
      <w:r w:rsidR="00CF06E3" w:rsidRPr="00C86844">
        <w:rPr>
          <w:rFonts w:ascii="Times New Roman" w:hAnsi="Times New Roman"/>
          <w:bCs/>
          <w:sz w:val="28"/>
          <w:szCs w:val="28"/>
        </w:rPr>
        <w:t>LM</w:t>
      </w:r>
      <w:r w:rsidR="000154F8" w:rsidRPr="00C86844">
        <w:rPr>
          <w:rFonts w:ascii="Times New Roman" w:hAnsi="Times New Roman"/>
          <w:bCs/>
          <w:sz w:val="28"/>
          <w:szCs w:val="28"/>
        </w:rPr>
        <w:t xml:space="preserve"> </w:t>
      </w:r>
      <w:r w:rsidR="004960E5" w:rsidRPr="00C86844">
        <w:rPr>
          <w:rFonts w:ascii="Times New Roman" w:hAnsi="Times New Roman"/>
          <w:bCs/>
          <w:sz w:val="28"/>
          <w:szCs w:val="28"/>
        </w:rPr>
        <w:t xml:space="preserve">Apmācību komisijas </w:t>
      </w:r>
      <w:r w:rsidR="00CF06E3" w:rsidRPr="00C86844">
        <w:rPr>
          <w:rFonts w:ascii="Times New Roman" w:hAnsi="Times New Roman"/>
          <w:bCs/>
          <w:sz w:val="28"/>
          <w:szCs w:val="28"/>
        </w:rPr>
        <w:t>tālākizglītības programmu sarakstu</w:t>
      </w:r>
      <w:r w:rsidR="000154F8" w:rsidRPr="00C86844">
        <w:rPr>
          <w:rFonts w:ascii="Times New Roman" w:hAnsi="Times New Roman"/>
          <w:bCs/>
          <w:sz w:val="28"/>
          <w:szCs w:val="28"/>
        </w:rPr>
        <w:t>), neatk</w:t>
      </w:r>
      <w:r w:rsidR="00586952">
        <w:rPr>
          <w:rFonts w:ascii="Times New Roman" w:hAnsi="Times New Roman"/>
          <w:bCs/>
          <w:sz w:val="28"/>
          <w:szCs w:val="28"/>
        </w:rPr>
        <w:t xml:space="preserve">arīgi no tā, vai tur ir vai nav </w:t>
      </w:r>
      <w:r w:rsidR="000154F8" w:rsidRPr="00C86844">
        <w:rPr>
          <w:rFonts w:ascii="Times New Roman" w:hAnsi="Times New Roman"/>
          <w:bCs/>
          <w:sz w:val="28"/>
          <w:szCs w:val="28"/>
        </w:rPr>
        <w:t>veikti ERAF ieguldījumi.</w:t>
      </w:r>
      <w:r w:rsidR="007F4A3C" w:rsidRPr="00C86844">
        <w:rPr>
          <w:rFonts w:ascii="Times New Roman" w:hAnsi="Times New Roman"/>
          <w:bCs/>
          <w:sz w:val="28"/>
          <w:szCs w:val="28"/>
        </w:rPr>
        <w:t xml:space="preserve"> Tāpat </w:t>
      </w:r>
      <w:proofErr w:type="spellStart"/>
      <w:r w:rsidR="007F4A3C" w:rsidRPr="00C86844">
        <w:rPr>
          <w:rFonts w:ascii="Times New Roman" w:hAnsi="Times New Roman"/>
          <w:bCs/>
          <w:sz w:val="28"/>
          <w:szCs w:val="28"/>
        </w:rPr>
        <w:t>izmēģinājumprojekta</w:t>
      </w:r>
      <w:proofErr w:type="spellEnd"/>
      <w:r w:rsidR="007F4A3C" w:rsidRPr="00C86844">
        <w:rPr>
          <w:rFonts w:ascii="Times New Roman" w:hAnsi="Times New Roman"/>
          <w:bCs/>
          <w:sz w:val="28"/>
          <w:szCs w:val="28"/>
        </w:rPr>
        <w:t xml:space="preserve"> otrajā kārtā bezdarbniekiem bija pieejams atbalsts reģionālajai mobilitātei.</w:t>
      </w:r>
      <w:r w:rsidR="002647B1">
        <w:rPr>
          <w:rFonts w:ascii="Times New Roman" w:hAnsi="Times New Roman"/>
          <w:bCs/>
          <w:sz w:val="28"/>
          <w:szCs w:val="28"/>
        </w:rPr>
        <w:t xml:space="preserve"> </w:t>
      </w:r>
      <w:r w:rsidR="00B4754C" w:rsidRPr="00C86844">
        <w:rPr>
          <w:rFonts w:ascii="Times New Roman" w:hAnsi="Times New Roman"/>
          <w:bCs/>
          <w:sz w:val="28"/>
          <w:szCs w:val="28"/>
        </w:rPr>
        <w:t xml:space="preserve">Tomēr, neskatoties uz paplašināto izglītības pakalpojuma pieejamību, </w:t>
      </w:r>
      <w:proofErr w:type="spellStart"/>
      <w:r w:rsidR="00B4754C" w:rsidRPr="00C86844">
        <w:rPr>
          <w:rFonts w:ascii="Times New Roman" w:hAnsi="Times New Roman"/>
          <w:bCs/>
          <w:sz w:val="28"/>
          <w:szCs w:val="28"/>
        </w:rPr>
        <w:t>izmēģinājumprojekta</w:t>
      </w:r>
      <w:proofErr w:type="spellEnd"/>
      <w:r w:rsidR="00B4754C" w:rsidRPr="00C86844">
        <w:rPr>
          <w:rFonts w:ascii="Times New Roman" w:hAnsi="Times New Roman"/>
          <w:bCs/>
          <w:sz w:val="28"/>
          <w:szCs w:val="28"/>
        </w:rPr>
        <w:t xml:space="preserve"> otrās kārtas ietvaros tika secināti līdzīgi šķēršļi</w:t>
      </w:r>
      <w:r w:rsidR="004035C6" w:rsidRPr="00C86844">
        <w:rPr>
          <w:rFonts w:ascii="Times New Roman" w:hAnsi="Times New Roman"/>
          <w:bCs/>
          <w:sz w:val="28"/>
          <w:szCs w:val="28"/>
        </w:rPr>
        <w:t xml:space="preserve"> kā pirmajā kārtā</w:t>
      </w:r>
      <w:r w:rsidR="00B4754C" w:rsidRPr="00C86844">
        <w:rPr>
          <w:rFonts w:ascii="Times New Roman" w:hAnsi="Times New Roman"/>
          <w:bCs/>
          <w:sz w:val="28"/>
          <w:szCs w:val="28"/>
        </w:rPr>
        <w:t>, kuru dēļ netika sasniegta rezultatīvo rādīt</w:t>
      </w:r>
      <w:r w:rsidR="004035C6" w:rsidRPr="00C86844">
        <w:rPr>
          <w:rFonts w:ascii="Times New Roman" w:hAnsi="Times New Roman"/>
          <w:bCs/>
          <w:sz w:val="28"/>
          <w:szCs w:val="28"/>
        </w:rPr>
        <w:t>āju izpilde</w:t>
      </w:r>
      <w:r w:rsidR="002C1C80" w:rsidRPr="00C86844">
        <w:rPr>
          <w:rFonts w:ascii="Times New Roman" w:hAnsi="Times New Roman"/>
          <w:bCs/>
          <w:sz w:val="28"/>
          <w:szCs w:val="28"/>
        </w:rPr>
        <w:t>.</w:t>
      </w:r>
      <w:r w:rsidR="001D45B4" w:rsidRPr="00C86844">
        <w:rPr>
          <w:rFonts w:ascii="Times New Roman" w:hAnsi="Times New Roman"/>
          <w:bCs/>
          <w:sz w:val="28"/>
          <w:szCs w:val="28"/>
        </w:rPr>
        <w:t xml:space="preserve"> Vienlaikus gan jāatzīmē, ka rezultatīvo rādītāju un skolu nepietiekamu iesaisti</w:t>
      </w:r>
      <w:r w:rsidR="00CF06E3" w:rsidRPr="00C86844">
        <w:rPr>
          <w:rFonts w:ascii="Times New Roman" w:hAnsi="Times New Roman"/>
          <w:bCs/>
          <w:sz w:val="28"/>
          <w:szCs w:val="28"/>
        </w:rPr>
        <w:t xml:space="preserve"> daļēji</w:t>
      </w:r>
      <w:r w:rsidR="001D45B4" w:rsidRPr="00C86844">
        <w:rPr>
          <w:rFonts w:ascii="Times New Roman" w:hAnsi="Times New Roman"/>
          <w:bCs/>
          <w:sz w:val="28"/>
          <w:szCs w:val="28"/>
        </w:rPr>
        <w:t xml:space="preserve"> ir iespējams izskaidrot ar sašaurināto </w:t>
      </w:r>
      <w:proofErr w:type="spellStart"/>
      <w:r w:rsidR="001D45B4" w:rsidRPr="00C86844">
        <w:rPr>
          <w:rFonts w:ascii="Times New Roman" w:hAnsi="Times New Roman"/>
          <w:bCs/>
          <w:sz w:val="28"/>
          <w:szCs w:val="28"/>
        </w:rPr>
        <w:t>izmēģinājumprojekta</w:t>
      </w:r>
      <w:proofErr w:type="spellEnd"/>
      <w:r w:rsidR="001D45B4" w:rsidRPr="00C86844">
        <w:rPr>
          <w:rFonts w:ascii="Times New Roman" w:hAnsi="Times New Roman"/>
          <w:bCs/>
          <w:sz w:val="28"/>
          <w:szCs w:val="28"/>
        </w:rPr>
        <w:t xml:space="preserve"> </w:t>
      </w:r>
      <w:r w:rsidR="004035C6" w:rsidRPr="00C86844">
        <w:rPr>
          <w:rFonts w:ascii="Times New Roman" w:hAnsi="Times New Roman"/>
          <w:bCs/>
          <w:sz w:val="28"/>
          <w:szCs w:val="28"/>
        </w:rPr>
        <w:t xml:space="preserve">pieejamo dalībnieku skaitu jeb </w:t>
      </w:r>
      <w:r w:rsidR="004960E5" w:rsidRPr="00C86844">
        <w:rPr>
          <w:rFonts w:ascii="Times New Roman" w:hAnsi="Times New Roman"/>
          <w:bCs/>
          <w:sz w:val="28"/>
          <w:szCs w:val="28"/>
        </w:rPr>
        <w:t>mērķa grupu (</w:t>
      </w:r>
      <w:r w:rsidR="001D45B4" w:rsidRPr="00C86844">
        <w:rPr>
          <w:rFonts w:ascii="Times New Roman" w:hAnsi="Times New Roman"/>
          <w:sz w:val="28"/>
          <w:szCs w:val="28"/>
        </w:rPr>
        <w:t>bezdarbnieki, kuri ir bez darba vismaz 12 mēnešus vai ir vecāki par 45 gadiem</w:t>
      </w:r>
      <w:r w:rsidR="004960E5" w:rsidRPr="00C86844">
        <w:rPr>
          <w:rFonts w:ascii="Times New Roman" w:hAnsi="Times New Roman"/>
          <w:sz w:val="28"/>
          <w:szCs w:val="28"/>
        </w:rPr>
        <w:t>)</w:t>
      </w:r>
      <w:r w:rsidR="001D45B4" w:rsidRPr="00C86844">
        <w:rPr>
          <w:rFonts w:ascii="Times New Roman" w:hAnsi="Times New Roman"/>
          <w:sz w:val="28"/>
          <w:szCs w:val="28"/>
        </w:rPr>
        <w:t>.</w:t>
      </w:r>
      <w:r w:rsidR="004C7FAC">
        <w:rPr>
          <w:rFonts w:ascii="Times New Roman" w:hAnsi="Times New Roman"/>
          <w:sz w:val="28"/>
          <w:szCs w:val="28"/>
        </w:rPr>
        <w:t xml:space="preserve"> </w:t>
      </w:r>
      <w:r w:rsidR="00512357" w:rsidRPr="00C86844">
        <w:rPr>
          <w:rFonts w:ascii="Times New Roman" w:hAnsi="Times New Roman"/>
          <w:sz w:val="28"/>
          <w:szCs w:val="28"/>
        </w:rPr>
        <w:t xml:space="preserve">Būtiskākās </w:t>
      </w:r>
      <w:proofErr w:type="spellStart"/>
      <w:r w:rsidR="00512357" w:rsidRPr="00C86844">
        <w:rPr>
          <w:rFonts w:ascii="Times New Roman" w:hAnsi="Times New Roman"/>
          <w:sz w:val="28"/>
          <w:szCs w:val="28"/>
        </w:rPr>
        <w:t>izmēģinājumprojekta</w:t>
      </w:r>
      <w:proofErr w:type="spellEnd"/>
      <w:r w:rsidR="00512357" w:rsidRPr="00C86844">
        <w:rPr>
          <w:rFonts w:ascii="Times New Roman" w:hAnsi="Times New Roman"/>
          <w:sz w:val="28"/>
          <w:szCs w:val="28"/>
        </w:rPr>
        <w:t xml:space="preserve"> pirmās un otrās kārtas problēmas, </w:t>
      </w:r>
      <w:r w:rsidR="00A26971" w:rsidRPr="00C86844">
        <w:rPr>
          <w:rFonts w:ascii="Times New Roman" w:hAnsi="Times New Roman"/>
          <w:sz w:val="28"/>
          <w:szCs w:val="28"/>
        </w:rPr>
        <w:t>kas tika konstatētas attiecībā</w:t>
      </w:r>
      <w:r w:rsidR="00512357" w:rsidRPr="00C86844">
        <w:rPr>
          <w:rFonts w:ascii="Times New Roman" w:hAnsi="Times New Roman"/>
          <w:sz w:val="28"/>
          <w:szCs w:val="28"/>
        </w:rPr>
        <w:t xml:space="preserve"> uz bezdarbnieku iesaisti bija: </w:t>
      </w:r>
      <w:r w:rsidR="009774FD" w:rsidRPr="00C86844">
        <w:rPr>
          <w:rFonts w:ascii="Times New Roman" w:hAnsi="Times New Roman"/>
          <w:sz w:val="28"/>
          <w:szCs w:val="28"/>
        </w:rPr>
        <w:t>skolu nespēju nodrošināt vairāku tālākizglītības programmu apguvi vienlaicīgi un visa gada garumā</w:t>
      </w:r>
      <w:r w:rsidR="004960E5" w:rsidRPr="00C86844">
        <w:rPr>
          <w:rFonts w:ascii="Times New Roman" w:hAnsi="Times New Roman"/>
          <w:sz w:val="28"/>
          <w:szCs w:val="28"/>
        </w:rPr>
        <w:t xml:space="preserve"> </w:t>
      </w:r>
      <w:r w:rsidR="009774FD" w:rsidRPr="00C86844">
        <w:rPr>
          <w:rFonts w:ascii="Times New Roman" w:hAnsi="Times New Roman"/>
          <w:sz w:val="28"/>
          <w:szCs w:val="28"/>
        </w:rPr>
        <w:t xml:space="preserve">un </w:t>
      </w:r>
      <w:r w:rsidR="000C0FF1" w:rsidRPr="00C86844">
        <w:rPr>
          <w:rFonts w:ascii="Times New Roman" w:hAnsi="Times New Roman"/>
          <w:sz w:val="28"/>
          <w:szCs w:val="28"/>
        </w:rPr>
        <w:t xml:space="preserve">sarežģījumi ar </w:t>
      </w:r>
      <w:r w:rsidR="006218E3" w:rsidRPr="00C86844">
        <w:rPr>
          <w:rFonts w:ascii="Times New Roman" w:hAnsi="Times New Roman"/>
          <w:sz w:val="28"/>
          <w:szCs w:val="28"/>
        </w:rPr>
        <w:t xml:space="preserve">bezdarbnieku </w:t>
      </w:r>
      <w:r w:rsidR="000C0FF1" w:rsidRPr="00C86844">
        <w:rPr>
          <w:rFonts w:ascii="Times New Roman" w:hAnsi="Times New Roman"/>
          <w:sz w:val="28"/>
          <w:szCs w:val="28"/>
        </w:rPr>
        <w:t>mācību grupu komplektē</w:t>
      </w:r>
      <w:r w:rsidR="006218E3" w:rsidRPr="00C86844">
        <w:rPr>
          <w:rFonts w:ascii="Times New Roman" w:hAnsi="Times New Roman"/>
          <w:sz w:val="28"/>
          <w:szCs w:val="28"/>
        </w:rPr>
        <w:t>šanu</w:t>
      </w:r>
      <w:r w:rsidR="009D0F7F" w:rsidRPr="00C86844">
        <w:rPr>
          <w:rFonts w:ascii="Times New Roman" w:hAnsi="Times New Roman"/>
          <w:sz w:val="28"/>
          <w:szCs w:val="28"/>
        </w:rPr>
        <w:t xml:space="preserve">. </w:t>
      </w:r>
      <w:r w:rsidR="00B53A68" w:rsidRPr="00C86844">
        <w:rPr>
          <w:rFonts w:ascii="Times New Roman" w:hAnsi="Times New Roman"/>
          <w:sz w:val="28"/>
          <w:szCs w:val="28"/>
        </w:rPr>
        <w:t xml:space="preserve">Secināms, ka mācību grupu komplektēšana ārpus apmācību kuponu sistēmas, </w:t>
      </w:r>
      <w:r w:rsidR="00A26971" w:rsidRPr="00C86844">
        <w:rPr>
          <w:rFonts w:ascii="Times New Roman" w:hAnsi="Times New Roman"/>
          <w:sz w:val="28"/>
          <w:szCs w:val="28"/>
        </w:rPr>
        <w:t xml:space="preserve">speciāli novirzot bezdarbniekus uz PIKC </w:t>
      </w:r>
      <w:r w:rsidR="00B53A68" w:rsidRPr="00C86844">
        <w:rPr>
          <w:rFonts w:ascii="Times New Roman" w:hAnsi="Times New Roman"/>
          <w:sz w:val="28"/>
          <w:szCs w:val="28"/>
        </w:rPr>
        <w:t xml:space="preserve">un </w:t>
      </w:r>
      <w:r w:rsidR="00A26971" w:rsidRPr="00C86844">
        <w:rPr>
          <w:rFonts w:ascii="Times New Roman" w:hAnsi="Times New Roman"/>
          <w:sz w:val="28"/>
          <w:szCs w:val="28"/>
        </w:rPr>
        <w:t xml:space="preserve">PII, neveicināja </w:t>
      </w:r>
      <w:r w:rsidR="00CF06E3" w:rsidRPr="00C86844">
        <w:rPr>
          <w:rFonts w:ascii="Times New Roman" w:hAnsi="Times New Roman"/>
          <w:sz w:val="28"/>
          <w:szCs w:val="28"/>
        </w:rPr>
        <w:t>pilnvērtīg</w:t>
      </w:r>
      <w:r w:rsidR="00A26971" w:rsidRPr="00C86844">
        <w:rPr>
          <w:rFonts w:ascii="Times New Roman" w:hAnsi="Times New Roman"/>
          <w:sz w:val="28"/>
          <w:szCs w:val="28"/>
        </w:rPr>
        <w:t xml:space="preserve">u bezdarbnieku iesaisti </w:t>
      </w:r>
      <w:proofErr w:type="spellStart"/>
      <w:r w:rsidR="00A26971" w:rsidRPr="00C86844">
        <w:rPr>
          <w:rFonts w:ascii="Times New Roman" w:hAnsi="Times New Roman"/>
          <w:sz w:val="28"/>
          <w:szCs w:val="28"/>
        </w:rPr>
        <w:t>izmēģinājumprojektā</w:t>
      </w:r>
      <w:proofErr w:type="spellEnd"/>
      <w:r w:rsidR="00A26971" w:rsidRPr="00C86844">
        <w:rPr>
          <w:rFonts w:ascii="Times New Roman" w:hAnsi="Times New Roman"/>
          <w:sz w:val="28"/>
          <w:szCs w:val="28"/>
        </w:rPr>
        <w:t xml:space="preserve">. </w:t>
      </w:r>
    </w:p>
    <w:p w:rsidR="004C7FAC" w:rsidRDefault="00776625" w:rsidP="00A45682">
      <w:pPr>
        <w:spacing w:after="0" w:line="240" w:lineRule="auto"/>
        <w:ind w:firstLine="720"/>
        <w:jc w:val="both"/>
        <w:rPr>
          <w:rFonts w:ascii="Times New Roman" w:hAnsi="Times New Roman"/>
          <w:sz w:val="28"/>
          <w:szCs w:val="28"/>
        </w:rPr>
      </w:pPr>
      <w:r>
        <w:rPr>
          <w:rFonts w:ascii="Times New Roman" w:hAnsi="Times New Roman"/>
          <w:sz w:val="28"/>
          <w:szCs w:val="28"/>
        </w:rPr>
        <w:t>Lai nodrošinātu</w:t>
      </w:r>
      <w:r w:rsidR="006613BE" w:rsidRPr="00C86844">
        <w:rPr>
          <w:rFonts w:ascii="Times New Roman" w:hAnsi="Times New Roman"/>
          <w:sz w:val="28"/>
          <w:szCs w:val="28"/>
        </w:rPr>
        <w:t xml:space="preserve"> vienlīdzīgus nosacījumus visām izglītības iestādēm (gan valsts, gan privātajām)</w:t>
      </w:r>
      <w:r w:rsidR="004C7FAC">
        <w:rPr>
          <w:rFonts w:ascii="Times New Roman" w:hAnsi="Times New Roman"/>
          <w:sz w:val="28"/>
          <w:szCs w:val="28"/>
        </w:rPr>
        <w:t xml:space="preserve">, </w:t>
      </w:r>
      <w:r w:rsidR="006613BE" w:rsidRPr="00C86844">
        <w:rPr>
          <w:rFonts w:ascii="Times New Roman" w:hAnsi="Times New Roman"/>
          <w:sz w:val="28"/>
          <w:szCs w:val="28"/>
        </w:rPr>
        <w:t xml:space="preserve">būtiski ir turpināt piedāvāt PIKC </w:t>
      </w:r>
      <w:r w:rsidR="00337F9E" w:rsidRPr="00C86844">
        <w:rPr>
          <w:rFonts w:ascii="Times New Roman" w:hAnsi="Times New Roman"/>
          <w:sz w:val="28"/>
          <w:szCs w:val="28"/>
        </w:rPr>
        <w:t xml:space="preserve">un </w:t>
      </w:r>
      <w:r w:rsidR="006613BE" w:rsidRPr="00C86844">
        <w:rPr>
          <w:rFonts w:ascii="Times New Roman" w:hAnsi="Times New Roman"/>
          <w:sz w:val="28"/>
          <w:szCs w:val="28"/>
        </w:rPr>
        <w:t xml:space="preserve">PII iespējas piedalīties bezdarbnieku profesionālajā tālākizglītībā jau esošās apmācību kuponu sistēmas ietvaros, </w:t>
      </w:r>
      <w:r w:rsidR="00B97970" w:rsidRPr="00C86844">
        <w:rPr>
          <w:rFonts w:ascii="Times New Roman" w:hAnsi="Times New Roman"/>
          <w:sz w:val="28"/>
          <w:szCs w:val="28"/>
          <w:lang w:eastAsia="lv-LV"/>
        </w:rPr>
        <w:t xml:space="preserve">kas neparedz veikt bezdarbnieku grupu komplektēšanu un ir vērsta uz pieprasījuma virzītu pakalpojuma nodrošināšanu, sekmējot </w:t>
      </w:r>
      <w:r w:rsidR="00B97970" w:rsidRPr="008E6BE7">
        <w:rPr>
          <w:rFonts w:ascii="Times New Roman" w:hAnsi="Times New Roman"/>
          <w:sz w:val="28"/>
          <w:szCs w:val="28"/>
          <w:lang w:eastAsia="lv-LV"/>
        </w:rPr>
        <w:t xml:space="preserve">kā privāto, tā valsts izglītības iestāžu motivāciju </w:t>
      </w:r>
      <w:r w:rsidR="00B97970" w:rsidRPr="008E6BE7">
        <w:rPr>
          <w:rFonts w:ascii="Times New Roman" w:hAnsi="Times New Roman"/>
          <w:sz w:val="28"/>
          <w:szCs w:val="28"/>
        </w:rPr>
        <w:t>nodrošināt augstu kvalitāti un plašu piedāvājumu.</w:t>
      </w:r>
      <w:r w:rsidR="004C7FAC">
        <w:rPr>
          <w:rFonts w:ascii="Times New Roman" w:hAnsi="Times New Roman"/>
          <w:sz w:val="28"/>
          <w:szCs w:val="28"/>
        </w:rPr>
        <w:t xml:space="preserve"> </w:t>
      </w:r>
      <w:r w:rsidR="00AA6179">
        <w:rPr>
          <w:rFonts w:ascii="Times New Roman" w:hAnsi="Times New Roman"/>
          <w:sz w:val="28"/>
          <w:szCs w:val="28"/>
          <w:lang w:eastAsia="lv-LV"/>
        </w:rPr>
        <w:t>Kā risinājums bezdarbnieku iesaistei</w:t>
      </w:r>
      <w:r w:rsidR="00411766" w:rsidRPr="0058014D">
        <w:rPr>
          <w:rFonts w:ascii="Times New Roman" w:hAnsi="Times New Roman"/>
          <w:sz w:val="28"/>
          <w:szCs w:val="28"/>
          <w:lang w:eastAsia="lv-LV"/>
        </w:rPr>
        <w:t xml:space="preserve"> PIKC vai PII </w:t>
      </w:r>
      <w:r w:rsidR="00AA6179">
        <w:rPr>
          <w:rFonts w:ascii="Times New Roman" w:hAnsi="Times New Roman"/>
          <w:sz w:val="28"/>
          <w:szCs w:val="28"/>
          <w:lang w:eastAsia="lv-LV"/>
        </w:rPr>
        <w:t>nav</w:t>
      </w:r>
      <w:r w:rsidR="00411766" w:rsidRPr="0058014D">
        <w:rPr>
          <w:rFonts w:ascii="Times New Roman" w:hAnsi="Times New Roman"/>
          <w:sz w:val="28"/>
          <w:szCs w:val="28"/>
          <w:lang w:eastAsia="lv-LV"/>
        </w:rPr>
        <w:t xml:space="preserve"> iespējamā </w:t>
      </w:r>
      <w:r w:rsidR="00411766" w:rsidRPr="0058014D">
        <w:rPr>
          <w:rFonts w:ascii="Times New Roman" w:hAnsi="Times New Roman"/>
          <w:sz w:val="28"/>
          <w:szCs w:val="28"/>
        </w:rPr>
        <w:t>apmācību kupona izlietošanas termiņa pagarināšana attiecībā uz šīm izglītības iestādēm.</w:t>
      </w:r>
      <w:r w:rsidR="00597834" w:rsidRPr="0058014D">
        <w:rPr>
          <w:rFonts w:ascii="Times New Roman" w:hAnsi="Times New Roman"/>
          <w:sz w:val="28"/>
          <w:szCs w:val="28"/>
        </w:rPr>
        <w:t xml:space="preserve"> Tam par pamatu ir </w:t>
      </w:r>
      <w:proofErr w:type="spellStart"/>
      <w:r w:rsidR="00597834" w:rsidRPr="0058014D">
        <w:rPr>
          <w:rFonts w:ascii="Times New Roman" w:hAnsi="Times New Roman"/>
          <w:sz w:val="28"/>
          <w:szCs w:val="28"/>
        </w:rPr>
        <w:t>izmēģinājumprojektā</w:t>
      </w:r>
      <w:proofErr w:type="spellEnd"/>
      <w:r w:rsidR="00597834" w:rsidRPr="0058014D">
        <w:rPr>
          <w:rFonts w:ascii="Times New Roman" w:hAnsi="Times New Roman"/>
          <w:sz w:val="28"/>
          <w:szCs w:val="28"/>
        </w:rPr>
        <w:t xml:space="preserve"> konstatētais, </w:t>
      </w:r>
      <w:r w:rsidR="00DA1B7E" w:rsidRPr="0058014D">
        <w:rPr>
          <w:rFonts w:ascii="Times New Roman" w:hAnsi="Times New Roman"/>
          <w:sz w:val="28"/>
          <w:szCs w:val="28"/>
        </w:rPr>
        <w:t xml:space="preserve">kur </w:t>
      </w:r>
      <w:r w:rsidR="00AA3488" w:rsidRPr="0058014D">
        <w:rPr>
          <w:rFonts w:ascii="Times New Roman" w:hAnsi="Times New Roman"/>
          <w:sz w:val="28"/>
          <w:szCs w:val="28"/>
        </w:rPr>
        <w:t>bezdarbnieki nevēl</w:t>
      </w:r>
      <w:r w:rsidR="00DA1B7E" w:rsidRPr="0058014D">
        <w:rPr>
          <w:rFonts w:ascii="Times New Roman" w:hAnsi="Times New Roman"/>
          <w:sz w:val="28"/>
          <w:szCs w:val="28"/>
        </w:rPr>
        <w:t>ējās</w:t>
      </w:r>
      <w:r w:rsidR="00AA3488" w:rsidRPr="0058014D">
        <w:rPr>
          <w:rFonts w:ascii="Times New Roman" w:hAnsi="Times New Roman"/>
          <w:sz w:val="28"/>
          <w:szCs w:val="28"/>
        </w:rPr>
        <w:t xml:space="preserve"> gaidīt, līdz tiks veikta grupu komplektēšana,</w:t>
      </w:r>
      <w:r w:rsidR="00597834" w:rsidRPr="0058014D">
        <w:rPr>
          <w:rFonts w:ascii="Times New Roman" w:hAnsi="Times New Roman"/>
          <w:sz w:val="28"/>
          <w:szCs w:val="28"/>
        </w:rPr>
        <w:t xml:space="preserve"> tādējādi vēl vairāk pastiprinot </w:t>
      </w:r>
      <w:r w:rsidR="00AA3488" w:rsidRPr="0058014D">
        <w:rPr>
          <w:rFonts w:ascii="Times New Roman" w:hAnsi="Times New Roman"/>
          <w:sz w:val="28"/>
          <w:szCs w:val="28"/>
        </w:rPr>
        <w:t>grupu ne</w:t>
      </w:r>
      <w:r w:rsidR="006873A2" w:rsidRPr="0058014D">
        <w:rPr>
          <w:rFonts w:ascii="Times New Roman" w:hAnsi="Times New Roman"/>
          <w:sz w:val="28"/>
          <w:szCs w:val="28"/>
        </w:rPr>
        <w:t>no</w:t>
      </w:r>
      <w:r w:rsidR="00AA3488" w:rsidRPr="0058014D">
        <w:rPr>
          <w:rFonts w:ascii="Times New Roman" w:hAnsi="Times New Roman"/>
          <w:sz w:val="28"/>
          <w:szCs w:val="28"/>
        </w:rPr>
        <w:t>komplektēšanās risku, turklāt</w:t>
      </w:r>
      <w:r w:rsidR="00DA1B7E" w:rsidRPr="0058014D">
        <w:rPr>
          <w:rFonts w:ascii="Times New Roman" w:hAnsi="Times New Roman"/>
          <w:sz w:val="28"/>
          <w:szCs w:val="28"/>
        </w:rPr>
        <w:t xml:space="preserve"> </w:t>
      </w:r>
      <w:r w:rsidR="00F33BF4" w:rsidRPr="0058014D">
        <w:rPr>
          <w:rFonts w:ascii="Times New Roman" w:hAnsi="Times New Roman"/>
          <w:sz w:val="28"/>
          <w:szCs w:val="28"/>
        </w:rPr>
        <w:t>garāks grupu komplek</w:t>
      </w:r>
      <w:r w:rsidR="00DA1B7E" w:rsidRPr="0058014D">
        <w:rPr>
          <w:rFonts w:ascii="Times New Roman" w:hAnsi="Times New Roman"/>
          <w:sz w:val="28"/>
          <w:szCs w:val="28"/>
        </w:rPr>
        <w:t>tēšanās laiks būtiski palielinātu</w:t>
      </w:r>
      <w:r w:rsidR="00F33BF4" w:rsidRPr="0058014D">
        <w:rPr>
          <w:rFonts w:ascii="Times New Roman" w:hAnsi="Times New Roman"/>
          <w:sz w:val="28"/>
          <w:szCs w:val="28"/>
        </w:rPr>
        <w:t xml:space="preserve"> gan izglītības iestāžu, ga</w:t>
      </w:r>
      <w:r w:rsidR="00DA1B7E" w:rsidRPr="0058014D">
        <w:rPr>
          <w:rFonts w:ascii="Times New Roman" w:hAnsi="Times New Roman"/>
          <w:sz w:val="28"/>
          <w:szCs w:val="28"/>
        </w:rPr>
        <w:t>n NVA administratīvo slogu (</w:t>
      </w:r>
      <w:r w:rsidR="00F33BF4" w:rsidRPr="0058014D">
        <w:rPr>
          <w:rFonts w:ascii="Times New Roman" w:hAnsi="Times New Roman"/>
          <w:sz w:val="28"/>
          <w:szCs w:val="28"/>
        </w:rPr>
        <w:t xml:space="preserve">biežāki bezdarbnieku atteikumu gadījumi, kā arī plānoto grupu </w:t>
      </w:r>
      <w:r w:rsidR="00DA1B7E" w:rsidRPr="0058014D">
        <w:rPr>
          <w:rFonts w:ascii="Times New Roman" w:hAnsi="Times New Roman"/>
          <w:sz w:val="28"/>
          <w:szCs w:val="28"/>
        </w:rPr>
        <w:t>nenokomplektēšanās</w:t>
      </w:r>
      <w:r w:rsidR="00F33BF4" w:rsidRPr="0058014D">
        <w:rPr>
          <w:rFonts w:ascii="Times New Roman" w:hAnsi="Times New Roman"/>
          <w:sz w:val="28"/>
          <w:szCs w:val="28"/>
        </w:rPr>
        <w:t xml:space="preserve"> gadījumi).</w:t>
      </w:r>
      <w:r w:rsidR="00AA6179">
        <w:rPr>
          <w:rFonts w:ascii="Times New Roman" w:hAnsi="Times New Roman"/>
          <w:sz w:val="28"/>
          <w:szCs w:val="28"/>
        </w:rPr>
        <w:t xml:space="preserve"> </w:t>
      </w:r>
    </w:p>
    <w:p w:rsidR="00D01753" w:rsidRPr="008C02C4" w:rsidRDefault="00AA6179" w:rsidP="00A45682">
      <w:pPr>
        <w:spacing w:after="0" w:line="240" w:lineRule="auto"/>
        <w:ind w:firstLine="720"/>
        <w:jc w:val="both"/>
        <w:rPr>
          <w:rFonts w:ascii="Times New Roman" w:hAnsi="Times New Roman"/>
          <w:sz w:val="28"/>
          <w:szCs w:val="28"/>
        </w:rPr>
      </w:pPr>
      <w:r w:rsidRPr="008C02C4">
        <w:rPr>
          <w:rFonts w:ascii="Times New Roman" w:hAnsi="Times New Roman"/>
          <w:sz w:val="28"/>
          <w:szCs w:val="28"/>
        </w:rPr>
        <w:t>Vienlaikus nepieciešams akcentēt to, ka NVA klientiem mācību viela ir jāapgūst dienas laikā, kas sakrīt ar darba laiku, tādējādi mazinot riskus bezdarbnieku iesaistei ēnu ekonomikas aktivitātēs</w:t>
      </w:r>
      <w:r w:rsidR="00C53E0C" w:rsidRPr="008C02C4">
        <w:rPr>
          <w:rFonts w:ascii="Times New Roman" w:hAnsi="Times New Roman"/>
          <w:sz w:val="28"/>
          <w:szCs w:val="28"/>
        </w:rPr>
        <w:t xml:space="preserve">. </w:t>
      </w:r>
      <w:r w:rsidR="00E047AB" w:rsidRPr="008C02C4">
        <w:rPr>
          <w:rFonts w:ascii="Times New Roman" w:hAnsi="Times New Roman"/>
          <w:sz w:val="28"/>
          <w:szCs w:val="28"/>
        </w:rPr>
        <w:t>Tieši saistībā ar ēnu ekonomikas risku mazināšanu bezdarbnieku mācības dienas laikā tiek organizētas arī tajās ES dalībvalstīs</w:t>
      </w:r>
      <w:r w:rsidR="008722E8" w:rsidRPr="008C02C4">
        <w:rPr>
          <w:rFonts w:ascii="Times New Roman" w:hAnsi="Times New Roman"/>
          <w:sz w:val="28"/>
          <w:szCs w:val="28"/>
        </w:rPr>
        <w:t xml:space="preserve"> ar ilgu pieredzi aktīvās darba tirgus politikas īstenošanā</w:t>
      </w:r>
      <w:r w:rsidR="00E047AB" w:rsidRPr="008C02C4">
        <w:rPr>
          <w:rFonts w:ascii="Times New Roman" w:hAnsi="Times New Roman"/>
          <w:sz w:val="28"/>
          <w:szCs w:val="28"/>
        </w:rPr>
        <w:t>, kurā</w:t>
      </w:r>
      <w:r w:rsidR="002B50B7" w:rsidRPr="008C02C4">
        <w:rPr>
          <w:rFonts w:ascii="Times New Roman" w:hAnsi="Times New Roman"/>
          <w:sz w:val="28"/>
          <w:szCs w:val="28"/>
        </w:rPr>
        <w:t>s</w:t>
      </w:r>
      <w:r w:rsidR="00E047AB" w:rsidRPr="008C02C4">
        <w:rPr>
          <w:rFonts w:ascii="Times New Roman" w:hAnsi="Times New Roman"/>
          <w:sz w:val="28"/>
          <w:szCs w:val="28"/>
        </w:rPr>
        <w:t xml:space="preserve"> kopumā ēnu ekonomikas apmērs ir </w:t>
      </w:r>
      <w:r w:rsidR="008722E8" w:rsidRPr="008C02C4">
        <w:rPr>
          <w:rFonts w:ascii="Times New Roman" w:hAnsi="Times New Roman"/>
          <w:sz w:val="28"/>
          <w:szCs w:val="28"/>
        </w:rPr>
        <w:t xml:space="preserve">vērtējams kā </w:t>
      </w:r>
      <w:r w:rsidR="00E047AB" w:rsidRPr="008C02C4">
        <w:rPr>
          <w:rFonts w:ascii="Times New Roman" w:hAnsi="Times New Roman"/>
          <w:sz w:val="28"/>
          <w:szCs w:val="28"/>
        </w:rPr>
        <w:t xml:space="preserve">salīdzinoši neliels. </w:t>
      </w:r>
      <w:r w:rsidRPr="008C02C4">
        <w:rPr>
          <w:rFonts w:ascii="Times New Roman" w:hAnsi="Times New Roman"/>
          <w:sz w:val="28"/>
          <w:szCs w:val="28"/>
        </w:rPr>
        <w:t xml:space="preserve">Atbilstoši MK noteikumiem Nr.75, NVA klienti </w:t>
      </w:r>
      <w:r w:rsidRPr="008C02C4">
        <w:rPr>
          <w:rFonts w:ascii="Times New Roman" w:hAnsi="Times New Roman"/>
          <w:sz w:val="28"/>
          <w:szCs w:val="28"/>
        </w:rPr>
        <w:lastRenderedPageBreak/>
        <w:t>profesionālās izglītības programm</w:t>
      </w:r>
      <w:r w:rsidR="00154919" w:rsidRPr="008C02C4">
        <w:rPr>
          <w:rFonts w:ascii="Times New Roman" w:hAnsi="Times New Roman"/>
          <w:sz w:val="28"/>
          <w:szCs w:val="28"/>
        </w:rPr>
        <w:t>u apguvi veic</w:t>
      </w:r>
      <w:r w:rsidRPr="008C02C4">
        <w:rPr>
          <w:rFonts w:ascii="Times New Roman" w:hAnsi="Times New Roman"/>
          <w:sz w:val="28"/>
          <w:szCs w:val="28"/>
        </w:rPr>
        <w:t xml:space="preserve"> katru darbdienu no pulksten 8.00 līdz 18.00, ne mazāk par astoņām mācību stundām dienā. Tomēr, ņemot vērā </w:t>
      </w:r>
      <w:r w:rsidR="009601A0" w:rsidRPr="008C02C4">
        <w:rPr>
          <w:rFonts w:ascii="Times New Roman" w:hAnsi="Times New Roman"/>
          <w:sz w:val="28"/>
          <w:szCs w:val="28"/>
        </w:rPr>
        <w:t xml:space="preserve">nepieciešamību </w:t>
      </w:r>
      <w:r w:rsidR="00E047AB" w:rsidRPr="008C02C4">
        <w:rPr>
          <w:rFonts w:ascii="Times New Roman" w:hAnsi="Times New Roman"/>
          <w:sz w:val="28"/>
          <w:szCs w:val="28"/>
        </w:rPr>
        <w:t>nodrošināt mācību sasaisti ar konkrētu darba devēju</w:t>
      </w:r>
      <w:r w:rsidR="009601A0" w:rsidRPr="008C02C4">
        <w:rPr>
          <w:rFonts w:ascii="Times New Roman" w:hAnsi="Times New Roman"/>
          <w:sz w:val="28"/>
          <w:szCs w:val="28"/>
        </w:rPr>
        <w:t xml:space="preserve"> un </w:t>
      </w:r>
      <w:r w:rsidRPr="008C02C4">
        <w:rPr>
          <w:rFonts w:ascii="Times New Roman" w:hAnsi="Times New Roman"/>
          <w:sz w:val="28"/>
          <w:szCs w:val="28"/>
        </w:rPr>
        <w:t xml:space="preserve">vispārējās izglītības iestāžu (gan privāto, gan publisko) </w:t>
      </w:r>
      <w:r w:rsidR="00E047AB" w:rsidRPr="008C02C4">
        <w:rPr>
          <w:rFonts w:ascii="Times New Roman" w:hAnsi="Times New Roman"/>
          <w:sz w:val="28"/>
          <w:szCs w:val="28"/>
        </w:rPr>
        <w:t xml:space="preserve">pausto </w:t>
      </w:r>
      <w:r w:rsidRPr="008C02C4">
        <w:rPr>
          <w:rFonts w:ascii="Times New Roman" w:hAnsi="Times New Roman"/>
          <w:sz w:val="28"/>
          <w:szCs w:val="28"/>
        </w:rPr>
        <w:t>iespējas izglītības apguvi nodrošināt arī darba dienās pēc 18.00, kā viens no iespējamajiem risinājumiem aktīvākai bezdarbnieku iesaistei PIKC un PII būtu bezdarbnieku izglītošana darba dienu vakaros NVA aktīv</w:t>
      </w:r>
      <w:r w:rsidR="001C0B7A" w:rsidRPr="008C02C4">
        <w:rPr>
          <w:rFonts w:ascii="Times New Roman" w:hAnsi="Times New Roman"/>
          <w:sz w:val="28"/>
          <w:szCs w:val="28"/>
        </w:rPr>
        <w:t>ā</w:t>
      </w:r>
      <w:r w:rsidRPr="008C02C4">
        <w:rPr>
          <w:rFonts w:ascii="Times New Roman" w:hAnsi="Times New Roman"/>
          <w:sz w:val="28"/>
          <w:szCs w:val="28"/>
        </w:rPr>
        <w:t xml:space="preserve"> nodarbinātības pasākuma “Bezdarbnieku apmācība pēc darba devēja pieprasījuma” (vairāk par pasākumu skat. ziņojuma pielikumā) ie</w:t>
      </w:r>
      <w:r w:rsidR="003E68C5" w:rsidRPr="008C02C4">
        <w:rPr>
          <w:rFonts w:ascii="Times New Roman" w:hAnsi="Times New Roman"/>
          <w:sz w:val="28"/>
          <w:szCs w:val="28"/>
        </w:rPr>
        <w:t xml:space="preserve">tvaros. </w:t>
      </w:r>
      <w:r w:rsidR="00A913F0" w:rsidRPr="008C02C4">
        <w:rPr>
          <w:rFonts w:ascii="Times New Roman" w:hAnsi="Times New Roman"/>
          <w:sz w:val="28"/>
          <w:szCs w:val="28"/>
        </w:rPr>
        <w:t>Pas</w:t>
      </w:r>
      <w:r w:rsidR="002821D6" w:rsidRPr="008C02C4">
        <w:rPr>
          <w:rFonts w:ascii="Times New Roman" w:hAnsi="Times New Roman"/>
          <w:sz w:val="28"/>
          <w:szCs w:val="28"/>
        </w:rPr>
        <w:t xml:space="preserve">ākums ir ieviests, lai sniegtu iespēju uzņēmējiem ar NVA un ESF finansiālu atbalstu iegūt sev nepieciešamos speciālistus no bezdarbnieku vidus. </w:t>
      </w:r>
      <w:r w:rsidR="00154919" w:rsidRPr="008C02C4">
        <w:rPr>
          <w:rFonts w:ascii="Times New Roman" w:hAnsi="Times New Roman"/>
          <w:sz w:val="28"/>
          <w:szCs w:val="28"/>
        </w:rPr>
        <w:t>G</w:t>
      </w:r>
      <w:r w:rsidRPr="008C02C4">
        <w:rPr>
          <w:rFonts w:ascii="Times New Roman" w:hAnsi="Times New Roman"/>
          <w:sz w:val="28"/>
          <w:szCs w:val="28"/>
        </w:rPr>
        <w:t>adījumā, ja kādam uzņēmumam ir vajadzīgs profesionāls speciālists, NVA pēc darba devēja pieprasījuma organizē šādu speciālistu iesaisti licenzētā  profesionālās vai neformālās izglītības programmā</w:t>
      </w:r>
      <w:r w:rsidR="001C0B7A" w:rsidRPr="008C02C4">
        <w:rPr>
          <w:rFonts w:ascii="Times New Roman" w:hAnsi="Times New Roman"/>
          <w:sz w:val="28"/>
          <w:szCs w:val="28"/>
        </w:rPr>
        <w:t xml:space="preserve">. </w:t>
      </w:r>
      <w:r w:rsidRPr="008C02C4">
        <w:rPr>
          <w:rFonts w:ascii="Times New Roman" w:hAnsi="Times New Roman"/>
          <w:sz w:val="28"/>
          <w:szCs w:val="28"/>
        </w:rPr>
        <w:t>Pēc izglītības ieguves darba devējam jāpieņem bezdarbnieks darbā un attiecīgajā profesijā jānodarbina vismaz pusgadu.</w:t>
      </w:r>
      <w:r w:rsidR="00DE0253" w:rsidRPr="008C02C4">
        <w:rPr>
          <w:rFonts w:ascii="Times New Roman" w:hAnsi="Times New Roman"/>
          <w:sz w:val="28"/>
          <w:szCs w:val="28"/>
        </w:rPr>
        <w:t xml:space="preserve"> </w:t>
      </w:r>
      <w:r w:rsidR="00E047AB" w:rsidRPr="008C02C4">
        <w:rPr>
          <w:rFonts w:ascii="Times New Roman" w:hAnsi="Times New Roman"/>
          <w:sz w:val="28"/>
          <w:szCs w:val="28"/>
        </w:rPr>
        <w:t>Ņemot vērā, ka Bezdarbnieku un darba meklētāju atbalsta likums pieļauj mācību pabeigšanu arī pēc darba tiesisko attiecību uzsākšanas, minētais risinājums sasaistē ar konkrēta darba devēja pieprasījumu, nodrošinātu arī efektīvāku pasākuma “Bezdarbnieku apmācība</w:t>
      </w:r>
      <w:r w:rsidR="00D02C33" w:rsidRPr="008C02C4">
        <w:rPr>
          <w:rFonts w:ascii="Times New Roman" w:hAnsi="Times New Roman"/>
          <w:sz w:val="28"/>
          <w:szCs w:val="28"/>
        </w:rPr>
        <w:t xml:space="preserve">s pēc darba devēja pieprasījuma” </w:t>
      </w:r>
      <w:r w:rsidR="00E047AB" w:rsidRPr="008C02C4">
        <w:rPr>
          <w:rFonts w:ascii="Times New Roman" w:hAnsi="Times New Roman"/>
          <w:sz w:val="28"/>
          <w:szCs w:val="28"/>
        </w:rPr>
        <w:t>īstenošanu un savlaicīgā</w:t>
      </w:r>
      <w:r w:rsidR="00D02C33" w:rsidRPr="008C02C4">
        <w:rPr>
          <w:rFonts w:ascii="Times New Roman" w:hAnsi="Times New Roman"/>
          <w:sz w:val="28"/>
          <w:szCs w:val="28"/>
        </w:rPr>
        <w:t>ku darbā pieņemšanu jau izglītības ieguves</w:t>
      </w:r>
      <w:r w:rsidR="00E047AB" w:rsidRPr="008C02C4">
        <w:rPr>
          <w:rFonts w:ascii="Times New Roman" w:hAnsi="Times New Roman"/>
          <w:sz w:val="28"/>
          <w:szCs w:val="28"/>
        </w:rPr>
        <w:t xml:space="preserve"> sākumposmā</w:t>
      </w:r>
      <w:r w:rsidR="00B246B9" w:rsidRPr="008C02C4">
        <w:rPr>
          <w:rFonts w:ascii="Times New Roman" w:hAnsi="Times New Roman"/>
          <w:sz w:val="28"/>
          <w:szCs w:val="28"/>
        </w:rPr>
        <w:t>, kā arī neradītu paaugstinātus ēnu ekonomikas riskus, ņemot vērā jau veidojošos saikni ar konkrētu darba devēju</w:t>
      </w:r>
      <w:r w:rsidR="00E047AB" w:rsidRPr="008C02C4">
        <w:rPr>
          <w:rFonts w:ascii="Times New Roman" w:hAnsi="Times New Roman"/>
          <w:sz w:val="28"/>
          <w:szCs w:val="28"/>
        </w:rPr>
        <w:t>.</w:t>
      </w:r>
      <w:r w:rsidR="00B246B9" w:rsidRPr="008C02C4">
        <w:rPr>
          <w:rFonts w:ascii="Times New Roman" w:hAnsi="Times New Roman"/>
          <w:sz w:val="28"/>
          <w:szCs w:val="28"/>
        </w:rPr>
        <w:t xml:space="preserve"> Minētais risinājums vienlaikus mudinātu arī izglītības iestādes aktīvi uzrunāt konkrētus darba devējus nākamo darbinieku sagatavošanai, tādējādi atbalstot bezdarba mazināšanas centienus.</w:t>
      </w:r>
    </w:p>
    <w:p w:rsidR="00204EA9" w:rsidRPr="00AA6179" w:rsidRDefault="0015039E" w:rsidP="00AA6179">
      <w:pPr>
        <w:pStyle w:val="ListParagraph"/>
        <w:ind w:left="0" w:firstLine="720"/>
        <w:jc w:val="both"/>
        <w:rPr>
          <w:rFonts w:ascii="Times New Roman" w:hAnsi="Times New Roman"/>
          <w:i/>
          <w:sz w:val="28"/>
          <w:szCs w:val="28"/>
          <w:lang w:eastAsia="en-US"/>
        </w:rPr>
      </w:pPr>
      <w:r w:rsidRPr="0058014D">
        <w:rPr>
          <w:rFonts w:ascii="Times New Roman" w:hAnsi="Times New Roman"/>
          <w:sz w:val="28"/>
          <w:szCs w:val="28"/>
        </w:rPr>
        <w:t>Kopš 2007.</w:t>
      </w:r>
      <w:r w:rsidR="006873A2" w:rsidRPr="0058014D">
        <w:rPr>
          <w:rFonts w:ascii="Times New Roman" w:hAnsi="Times New Roman"/>
          <w:sz w:val="28"/>
          <w:szCs w:val="28"/>
        </w:rPr>
        <w:t> - </w:t>
      </w:r>
      <w:r w:rsidRPr="0058014D">
        <w:rPr>
          <w:rFonts w:ascii="Times New Roman" w:hAnsi="Times New Roman"/>
          <w:sz w:val="28"/>
          <w:szCs w:val="28"/>
        </w:rPr>
        <w:t xml:space="preserve">2013. gada plānošanas perioda </w:t>
      </w:r>
      <w:r w:rsidR="00D27FDC" w:rsidRPr="0058014D">
        <w:rPr>
          <w:rFonts w:ascii="Times New Roman" w:hAnsi="Times New Roman"/>
          <w:sz w:val="28"/>
          <w:szCs w:val="28"/>
        </w:rPr>
        <w:t xml:space="preserve">IZM ar </w:t>
      </w:r>
      <w:r w:rsidR="00021937" w:rsidRPr="0058014D">
        <w:rPr>
          <w:rFonts w:ascii="Times New Roman" w:hAnsi="Times New Roman" w:cs="Times New Roman"/>
          <w:sz w:val="28"/>
          <w:szCs w:val="28"/>
        </w:rPr>
        <w:t>Valst</w:t>
      </w:r>
      <w:r w:rsidR="000455CD" w:rsidRPr="0058014D">
        <w:rPr>
          <w:rFonts w:ascii="Times New Roman" w:hAnsi="Times New Roman" w:cs="Times New Roman"/>
          <w:sz w:val="28"/>
          <w:szCs w:val="28"/>
        </w:rPr>
        <w:t>s izglītības attīstības aģentūru</w:t>
      </w:r>
      <w:r w:rsidR="00D27FDC" w:rsidRPr="0058014D">
        <w:rPr>
          <w:rFonts w:ascii="Times New Roman" w:hAnsi="Times New Roman"/>
          <w:sz w:val="28"/>
          <w:szCs w:val="28"/>
        </w:rPr>
        <w:t xml:space="preserve"> </w:t>
      </w:r>
      <w:r w:rsidRPr="0058014D">
        <w:rPr>
          <w:rFonts w:ascii="Times New Roman" w:hAnsi="Times New Roman"/>
          <w:sz w:val="28"/>
          <w:szCs w:val="28"/>
        </w:rPr>
        <w:t>i</w:t>
      </w:r>
      <w:r w:rsidR="00D27FDC" w:rsidRPr="0058014D">
        <w:rPr>
          <w:rFonts w:ascii="Times New Roman" w:hAnsi="Times New Roman"/>
          <w:sz w:val="28"/>
          <w:szCs w:val="28"/>
        </w:rPr>
        <w:t xml:space="preserve">r </w:t>
      </w:r>
      <w:r w:rsidR="00AB2D48" w:rsidRPr="0058014D">
        <w:rPr>
          <w:rFonts w:ascii="Times New Roman" w:hAnsi="Times New Roman"/>
          <w:sz w:val="28"/>
          <w:szCs w:val="28"/>
        </w:rPr>
        <w:t>nodrošinājusi</w:t>
      </w:r>
      <w:r w:rsidRPr="0058014D">
        <w:rPr>
          <w:rFonts w:ascii="Times New Roman" w:hAnsi="Times New Roman"/>
          <w:sz w:val="28"/>
          <w:szCs w:val="28"/>
        </w:rPr>
        <w:t> ESF un ERAF ieguld</w:t>
      </w:r>
      <w:r w:rsidR="00AB2D48" w:rsidRPr="0058014D">
        <w:rPr>
          <w:rFonts w:ascii="Times New Roman" w:hAnsi="Times New Roman"/>
          <w:sz w:val="28"/>
          <w:szCs w:val="28"/>
        </w:rPr>
        <w:t>ījumus</w:t>
      </w:r>
      <w:r w:rsidRPr="0058014D">
        <w:rPr>
          <w:rFonts w:ascii="Times New Roman" w:hAnsi="Times New Roman"/>
          <w:sz w:val="28"/>
          <w:szCs w:val="28"/>
        </w:rPr>
        <w:t xml:space="preserve"> </w:t>
      </w:r>
      <w:r w:rsidR="00DD08DF" w:rsidRPr="0058014D">
        <w:rPr>
          <w:rFonts w:ascii="Times New Roman" w:hAnsi="Times New Roman"/>
          <w:sz w:val="28"/>
          <w:szCs w:val="28"/>
        </w:rPr>
        <w:t>profesionālās izgl</w:t>
      </w:r>
      <w:r w:rsidR="00052533" w:rsidRPr="0058014D">
        <w:rPr>
          <w:rFonts w:ascii="Times New Roman" w:hAnsi="Times New Roman"/>
          <w:sz w:val="28"/>
          <w:szCs w:val="28"/>
        </w:rPr>
        <w:t>ītības iestāžu tīkla sakārtošanā</w:t>
      </w:r>
      <w:r w:rsidR="00DD08DF" w:rsidRPr="0058014D">
        <w:rPr>
          <w:rFonts w:ascii="Times New Roman" w:hAnsi="Times New Roman"/>
          <w:sz w:val="28"/>
          <w:szCs w:val="28"/>
        </w:rPr>
        <w:t xml:space="preserve"> </w:t>
      </w:r>
      <w:r w:rsidR="00052533" w:rsidRPr="0058014D">
        <w:rPr>
          <w:rFonts w:ascii="Times New Roman" w:hAnsi="Times New Roman"/>
          <w:sz w:val="28"/>
          <w:szCs w:val="28"/>
        </w:rPr>
        <w:t>un infrastruktūras modernizēšanā</w:t>
      </w:r>
      <w:r w:rsidRPr="0058014D">
        <w:rPr>
          <w:rFonts w:ascii="Times New Roman" w:hAnsi="Times New Roman"/>
          <w:sz w:val="28"/>
          <w:szCs w:val="28"/>
        </w:rPr>
        <w:t xml:space="preserve">. </w:t>
      </w:r>
      <w:r w:rsidR="00021937" w:rsidRPr="0058014D">
        <w:rPr>
          <w:rFonts w:ascii="Times New Roman" w:hAnsi="Times New Roman"/>
          <w:sz w:val="28"/>
          <w:szCs w:val="28"/>
        </w:rPr>
        <w:t xml:space="preserve">Kopumā </w:t>
      </w:r>
      <w:r w:rsidR="000455CD" w:rsidRPr="0058014D">
        <w:rPr>
          <w:rFonts w:ascii="Times New Roman" w:hAnsi="Times New Roman"/>
          <w:sz w:val="28"/>
          <w:szCs w:val="28"/>
        </w:rPr>
        <w:t>ES fondu 2007.</w:t>
      </w:r>
      <w:r w:rsidR="006873A2" w:rsidRPr="0058014D">
        <w:rPr>
          <w:rFonts w:ascii="Times New Roman" w:hAnsi="Times New Roman"/>
          <w:sz w:val="28"/>
          <w:szCs w:val="28"/>
        </w:rPr>
        <w:t> - </w:t>
      </w:r>
      <w:r w:rsidR="000455CD" w:rsidRPr="0058014D">
        <w:rPr>
          <w:rFonts w:ascii="Times New Roman" w:hAnsi="Times New Roman"/>
          <w:sz w:val="28"/>
          <w:szCs w:val="28"/>
        </w:rPr>
        <w:t>2013.gada plānošanas perioda darbības programmas „Infrastruktūra un pakalpojumi” papildinājuma 3.1.1.1.aktivitātes „</w:t>
      </w:r>
      <w:r w:rsidR="000455CD" w:rsidRPr="0058014D">
        <w:rPr>
          <w:rFonts w:ascii="Times New Roman" w:hAnsi="Times New Roman"/>
          <w:i/>
          <w:iCs/>
          <w:sz w:val="28"/>
          <w:szCs w:val="28"/>
        </w:rPr>
        <w:t>Mācību aprīkojuma modernizācija un infrastruktūras uzlabošana profesionālās izglītības programmu uzlabošanai</w:t>
      </w:r>
      <w:r w:rsidR="000455CD" w:rsidRPr="0058014D">
        <w:rPr>
          <w:rFonts w:ascii="Times New Roman" w:hAnsi="Times New Roman"/>
          <w:sz w:val="28"/>
          <w:szCs w:val="28"/>
        </w:rPr>
        <w:t xml:space="preserve">” pirmās un otrās kārtas ietvaros </w:t>
      </w:r>
      <w:r w:rsidR="00021937" w:rsidRPr="0058014D">
        <w:rPr>
          <w:rFonts w:ascii="Times New Roman" w:hAnsi="Times New Roman"/>
          <w:sz w:val="28"/>
          <w:szCs w:val="28"/>
        </w:rPr>
        <w:t>infrastruktūras uzlabošana un mācīb</w:t>
      </w:r>
      <w:r w:rsidR="000C3316" w:rsidRPr="0058014D">
        <w:rPr>
          <w:rFonts w:ascii="Times New Roman" w:hAnsi="Times New Roman"/>
          <w:sz w:val="28"/>
          <w:szCs w:val="28"/>
        </w:rPr>
        <w:t>u aprīkojuma modernizācija tika veikta</w:t>
      </w:r>
      <w:r w:rsidR="00021937" w:rsidRPr="0058014D">
        <w:rPr>
          <w:rFonts w:ascii="Times New Roman" w:hAnsi="Times New Roman"/>
          <w:sz w:val="28"/>
          <w:szCs w:val="28"/>
        </w:rPr>
        <w:t xml:space="preserve"> 27 PII</w:t>
      </w:r>
      <w:r w:rsidR="000C3316" w:rsidRPr="0058014D">
        <w:rPr>
          <w:rFonts w:ascii="Times New Roman" w:hAnsi="Times New Roman"/>
          <w:sz w:val="28"/>
          <w:szCs w:val="28"/>
        </w:rPr>
        <w:t xml:space="preserve"> </w:t>
      </w:r>
      <w:r w:rsidR="000455CD" w:rsidRPr="0058014D">
        <w:rPr>
          <w:rFonts w:ascii="Times New Roman" w:hAnsi="Times New Roman"/>
          <w:sz w:val="28"/>
          <w:szCs w:val="28"/>
        </w:rPr>
        <w:t>par kopējo attiecināmo finansējumu</w:t>
      </w:r>
      <w:r w:rsidR="00595170" w:rsidRPr="0058014D">
        <w:rPr>
          <w:rFonts w:ascii="Times New Roman" w:hAnsi="Times New Roman"/>
          <w:sz w:val="28"/>
          <w:szCs w:val="28"/>
        </w:rPr>
        <w:t xml:space="preserve"> 159,</w:t>
      </w:r>
      <w:r w:rsidR="000455CD" w:rsidRPr="0058014D">
        <w:rPr>
          <w:rFonts w:ascii="Times New Roman" w:hAnsi="Times New Roman"/>
          <w:sz w:val="28"/>
          <w:szCs w:val="28"/>
        </w:rPr>
        <w:t xml:space="preserve">15 milj. </w:t>
      </w:r>
      <w:proofErr w:type="spellStart"/>
      <w:r w:rsidR="000455CD" w:rsidRPr="0058014D">
        <w:rPr>
          <w:rFonts w:ascii="Times New Roman" w:hAnsi="Times New Roman"/>
          <w:i/>
          <w:sz w:val="28"/>
          <w:szCs w:val="28"/>
          <w:lang w:eastAsia="en-US"/>
        </w:rPr>
        <w:t>euro</w:t>
      </w:r>
      <w:proofErr w:type="spellEnd"/>
      <w:r w:rsidR="000455CD" w:rsidRPr="0058014D">
        <w:rPr>
          <w:rFonts w:ascii="Times New Roman" w:hAnsi="Times New Roman"/>
          <w:i/>
          <w:sz w:val="28"/>
          <w:szCs w:val="28"/>
          <w:lang w:eastAsia="en-US"/>
        </w:rPr>
        <w:t>.</w:t>
      </w:r>
      <w:r w:rsidR="000C3316" w:rsidRPr="0058014D">
        <w:rPr>
          <w:rFonts w:ascii="Times New Roman" w:hAnsi="Times New Roman"/>
          <w:i/>
          <w:sz w:val="28"/>
          <w:szCs w:val="28"/>
          <w:lang w:eastAsia="en-US"/>
        </w:rPr>
        <w:t xml:space="preserve"> </w:t>
      </w:r>
      <w:r w:rsidRPr="0058014D">
        <w:rPr>
          <w:rFonts w:ascii="Times New Roman" w:hAnsi="Times New Roman"/>
          <w:sz w:val="28"/>
          <w:szCs w:val="28"/>
        </w:rPr>
        <w:t xml:space="preserve">Arī pašreizējā ES struktūrfondu plānošanas periodā </w:t>
      </w:r>
      <w:r w:rsidR="00D27FDC" w:rsidRPr="0058014D">
        <w:rPr>
          <w:rFonts w:ascii="Times New Roman" w:hAnsi="Times New Roman"/>
          <w:sz w:val="28"/>
          <w:szCs w:val="28"/>
        </w:rPr>
        <w:t xml:space="preserve">turpinās nozīmīgi ERAF investīciju ieguldījumi profesionālās izglītības infrastruktūrā, lai veicinātu profesionālās izglītības kvalitāti un atbilstību </w:t>
      </w:r>
      <w:r w:rsidR="00BB5513" w:rsidRPr="0058014D">
        <w:rPr>
          <w:rFonts w:ascii="Times New Roman" w:hAnsi="Times New Roman"/>
          <w:sz w:val="28"/>
          <w:szCs w:val="28"/>
        </w:rPr>
        <w:t xml:space="preserve">tautsaimniecības nozaru attīstībai. </w:t>
      </w:r>
      <w:r w:rsidR="006068AA" w:rsidRPr="0058014D">
        <w:rPr>
          <w:rFonts w:ascii="Times New Roman" w:hAnsi="Times New Roman"/>
          <w:sz w:val="28"/>
          <w:szCs w:val="28"/>
        </w:rPr>
        <w:t>Darbības programmas „</w:t>
      </w:r>
      <w:r w:rsidR="006068AA" w:rsidRPr="0058014D">
        <w:rPr>
          <w:rFonts w:ascii="Times New Roman" w:hAnsi="Times New Roman"/>
          <w:i/>
          <w:iCs/>
          <w:sz w:val="28"/>
          <w:szCs w:val="28"/>
        </w:rPr>
        <w:t xml:space="preserve">Izaugsme un nodarbinātība” 8.1.3. specifiskā atbalsta mērķa “Modernizēt profesionālās izglītības iestādes, nodrošinot mācību vides atbilstību tautsaimniecības nozaru attīstībai un uzlabojot profesionālās </w:t>
      </w:r>
      <w:r w:rsidR="006068AA" w:rsidRPr="0058014D">
        <w:rPr>
          <w:rFonts w:ascii="Times New Roman" w:hAnsi="Times New Roman"/>
          <w:i/>
          <w:iCs/>
          <w:sz w:val="28"/>
          <w:szCs w:val="28"/>
        </w:rPr>
        <w:lastRenderedPageBreak/>
        <w:t>izglītības pieejamību</w:t>
      </w:r>
      <w:r w:rsidR="006068AA" w:rsidRPr="0058014D">
        <w:rPr>
          <w:rFonts w:ascii="Times New Roman" w:hAnsi="Times New Roman"/>
          <w:sz w:val="28"/>
          <w:szCs w:val="28"/>
        </w:rPr>
        <w:t xml:space="preserve">” ietvaros plānots turpināt profesionālās izglītības iestāžu, it īpaši </w:t>
      </w:r>
      <w:r w:rsidR="00BB5513" w:rsidRPr="0058014D">
        <w:rPr>
          <w:rFonts w:ascii="Times New Roman" w:hAnsi="Times New Roman"/>
          <w:sz w:val="28"/>
          <w:szCs w:val="28"/>
        </w:rPr>
        <w:t>PIKC</w:t>
      </w:r>
      <w:r w:rsidR="006068AA" w:rsidRPr="0058014D">
        <w:rPr>
          <w:rFonts w:ascii="Times New Roman" w:hAnsi="Times New Roman"/>
          <w:sz w:val="28"/>
          <w:szCs w:val="28"/>
        </w:rPr>
        <w:t xml:space="preserve">, modernizāciju. </w:t>
      </w:r>
    </w:p>
    <w:p w:rsidR="009318DF" w:rsidRPr="0058014D" w:rsidRDefault="000304E2" w:rsidP="009318DF">
      <w:pPr>
        <w:spacing w:after="0" w:line="240" w:lineRule="auto"/>
        <w:ind w:firstLine="720"/>
        <w:jc w:val="both"/>
        <w:rPr>
          <w:rFonts w:ascii="EUAlbertina" w:hAnsi="EUAlbertina"/>
          <w:sz w:val="24"/>
        </w:rPr>
      </w:pPr>
      <w:r w:rsidRPr="0058014D">
        <w:rPr>
          <w:rFonts w:ascii="Times New Roman" w:hAnsi="Times New Roman"/>
          <w:sz w:val="28"/>
          <w:szCs w:val="28"/>
        </w:rPr>
        <w:t>Papildus profesionālajā izglītībā viena no stratēģiskajām prioritātēm ir pieaugušo izglītības iespēju nodrošināšana. „Izglītības at</w:t>
      </w:r>
      <w:r w:rsidR="00E116B0" w:rsidRPr="0058014D">
        <w:rPr>
          <w:rFonts w:ascii="Times New Roman" w:hAnsi="Times New Roman"/>
          <w:sz w:val="28"/>
          <w:szCs w:val="28"/>
        </w:rPr>
        <w:t xml:space="preserve">tīstības pamatnostādnes 2014. - </w:t>
      </w:r>
      <w:r w:rsidRPr="0058014D">
        <w:rPr>
          <w:rFonts w:ascii="Times New Roman" w:hAnsi="Times New Roman"/>
          <w:sz w:val="28"/>
          <w:szCs w:val="28"/>
        </w:rPr>
        <w:t>2020.</w:t>
      </w:r>
      <w:r w:rsidR="00E116B0" w:rsidRPr="0058014D">
        <w:rPr>
          <w:rFonts w:ascii="Times New Roman" w:hAnsi="Times New Roman"/>
          <w:sz w:val="28"/>
          <w:szCs w:val="28"/>
        </w:rPr>
        <w:t> </w:t>
      </w:r>
      <w:r w:rsidRPr="0058014D">
        <w:rPr>
          <w:rFonts w:ascii="Times New Roman" w:hAnsi="Times New Roman"/>
          <w:sz w:val="28"/>
          <w:szCs w:val="28"/>
        </w:rPr>
        <w:t>gadam” (</w:t>
      </w:r>
      <w:r w:rsidR="00683A44" w:rsidRPr="0058014D">
        <w:rPr>
          <w:rFonts w:ascii="Times New Roman" w:hAnsi="Times New Roman"/>
          <w:sz w:val="28"/>
          <w:szCs w:val="28"/>
        </w:rPr>
        <w:t>izskatītas</w:t>
      </w:r>
      <w:r w:rsidR="00286815" w:rsidRPr="0058014D">
        <w:rPr>
          <w:rFonts w:ascii="Times New Roman" w:hAnsi="Times New Roman"/>
          <w:sz w:val="28"/>
          <w:szCs w:val="28"/>
        </w:rPr>
        <w:t xml:space="preserve"> MK </w:t>
      </w:r>
      <w:r w:rsidR="00597834" w:rsidRPr="0058014D">
        <w:rPr>
          <w:rFonts w:ascii="Times New Roman" w:hAnsi="Times New Roman"/>
          <w:sz w:val="28"/>
          <w:szCs w:val="28"/>
        </w:rPr>
        <w:t>2014. </w:t>
      </w:r>
      <w:r w:rsidRPr="0058014D">
        <w:rPr>
          <w:rFonts w:ascii="Times New Roman" w:hAnsi="Times New Roman"/>
          <w:sz w:val="28"/>
          <w:szCs w:val="28"/>
        </w:rPr>
        <w:t xml:space="preserve">gada 22.maijā) </w:t>
      </w:r>
      <w:r w:rsidR="00E116B0" w:rsidRPr="0058014D">
        <w:rPr>
          <w:rFonts w:ascii="Times New Roman" w:hAnsi="Times New Roman"/>
          <w:sz w:val="28"/>
          <w:szCs w:val="28"/>
        </w:rPr>
        <w:t xml:space="preserve">ir mērķētas uz </w:t>
      </w:r>
      <w:r w:rsidRPr="0058014D">
        <w:rPr>
          <w:rFonts w:ascii="Times New Roman" w:hAnsi="Times New Roman"/>
          <w:sz w:val="28"/>
          <w:szCs w:val="28"/>
        </w:rPr>
        <w:t>pieaugušo izglītībā iesaistīto personu (vecumā no 25 līd</w:t>
      </w:r>
      <w:r w:rsidR="00E116B0" w:rsidRPr="0058014D">
        <w:rPr>
          <w:rFonts w:ascii="Times New Roman" w:hAnsi="Times New Roman"/>
          <w:sz w:val="28"/>
          <w:szCs w:val="28"/>
        </w:rPr>
        <w:t>z 64 gadiem) īpatsvara pieaugumu</w:t>
      </w:r>
      <w:r w:rsidRPr="0058014D">
        <w:rPr>
          <w:rFonts w:ascii="Times New Roman" w:hAnsi="Times New Roman"/>
          <w:sz w:val="28"/>
          <w:szCs w:val="28"/>
        </w:rPr>
        <w:t xml:space="preserve"> no 7% (2012. gadā) līdz 15% (2020.gadā). </w:t>
      </w:r>
      <w:r w:rsidR="00E116B0" w:rsidRPr="0058014D">
        <w:rPr>
          <w:rFonts w:ascii="Times New Roman" w:hAnsi="Times New Roman"/>
          <w:sz w:val="28"/>
          <w:szCs w:val="28"/>
        </w:rPr>
        <w:t>Pamatnostādnēs</w:t>
      </w:r>
      <w:r w:rsidRPr="0058014D">
        <w:rPr>
          <w:rFonts w:ascii="Times New Roman" w:hAnsi="Times New Roman"/>
          <w:sz w:val="28"/>
          <w:szCs w:val="28"/>
        </w:rPr>
        <w:t xml:space="preserve"> uzsvērts, ka, lai sasniegtu minēto mērķi, nepieciešams paplašināt kvalitatīvu izglītības piedāvājumu, pilnveidot normatīvo regulējumu, kā arī nodrošināt efektīvu resursu (t.sk. finanšu) pārvaldi, izmantojot esošās infrastruktūras iespējas.</w:t>
      </w:r>
      <w:r w:rsidRPr="0058014D">
        <w:rPr>
          <w:rFonts w:ascii="EUAlbertina" w:hAnsi="EUAlbertina"/>
          <w:sz w:val="24"/>
        </w:rPr>
        <w:t xml:space="preserve"> </w:t>
      </w:r>
    </w:p>
    <w:p w:rsidR="00834705" w:rsidRDefault="006D695B" w:rsidP="009318DF">
      <w:pPr>
        <w:spacing w:after="0" w:line="240" w:lineRule="auto"/>
        <w:ind w:firstLine="720"/>
        <w:jc w:val="both"/>
        <w:rPr>
          <w:rFonts w:ascii="Times New Roman" w:hAnsi="Times New Roman"/>
          <w:sz w:val="28"/>
          <w:szCs w:val="28"/>
        </w:rPr>
      </w:pPr>
      <w:r w:rsidRPr="00C1573B">
        <w:rPr>
          <w:rFonts w:ascii="Times New Roman" w:hAnsi="Times New Roman"/>
          <w:sz w:val="28"/>
          <w:szCs w:val="28"/>
        </w:rPr>
        <w:t>Bezdarbnieku iesaiste PII, jo īpaši PIKC, kas izveidoti kopš 2011. gada uzsāktās profesionālās izglītības iestāžu tīkla optimizācijas re</w:t>
      </w:r>
      <w:r w:rsidR="00CB5684">
        <w:rPr>
          <w:rFonts w:ascii="Times New Roman" w:hAnsi="Times New Roman"/>
          <w:sz w:val="28"/>
          <w:szCs w:val="28"/>
        </w:rPr>
        <w:t>zultātā (šobrīd izveidoti jau 18</w:t>
      </w:r>
      <w:r w:rsidRPr="00C1573B">
        <w:rPr>
          <w:rFonts w:ascii="Times New Roman" w:hAnsi="Times New Roman"/>
          <w:sz w:val="28"/>
          <w:szCs w:val="28"/>
        </w:rPr>
        <w:t xml:space="preserve"> PIKC</w:t>
      </w:r>
      <w:r w:rsidR="00FC278A" w:rsidRPr="00C1573B">
        <w:rPr>
          <w:rFonts w:ascii="Times New Roman" w:hAnsi="Times New Roman"/>
          <w:sz w:val="28"/>
          <w:szCs w:val="28"/>
        </w:rPr>
        <w:t xml:space="preserve"> visos Latvijas reģionos</w:t>
      </w:r>
      <w:r w:rsidRPr="00C1573B">
        <w:rPr>
          <w:rFonts w:ascii="Times New Roman" w:hAnsi="Times New Roman"/>
          <w:sz w:val="28"/>
          <w:szCs w:val="28"/>
        </w:rPr>
        <w:t>), kuros ir ievērojami materiāltehnisko (atbilstošas telpas, modernizēts mācību aprīkojums) un mācībspēku resursu priekšnoteikumi</w:t>
      </w:r>
      <w:r w:rsidR="004368AE">
        <w:rPr>
          <w:rFonts w:ascii="Times New Roman" w:hAnsi="Times New Roman"/>
          <w:sz w:val="28"/>
          <w:szCs w:val="28"/>
        </w:rPr>
        <w:t xml:space="preserve"> </w:t>
      </w:r>
      <w:r w:rsidRPr="00C1573B">
        <w:rPr>
          <w:rFonts w:ascii="Times New Roman" w:hAnsi="Times New Roman"/>
          <w:sz w:val="28"/>
          <w:szCs w:val="28"/>
        </w:rPr>
        <w:t>p</w:t>
      </w:r>
      <w:r w:rsidR="004368AE">
        <w:rPr>
          <w:rFonts w:ascii="Times New Roman" w:hAnsi="Times New Roman"/>
          <w:sz w:val="28"/>
          <w:szCs w:val="28"/>
        </w:rPr>
        <w:t>ieaugušo izglītības pakalpojumu sniegšanā</w:t>
      </w:r>
      <w:r w:rsidRPr="00C1573B">
        <w:rPr>
          <w:rFonts w:ascii="Times New Roman" w:hAnsi="Times New Roman"/>
          <w:sz w:val="28"/>
          <w:szCs w:val="28"/>
        </w:rPr>
        <w:t>, ir svarīga ne tikai, lai tiktu izmantota esošā infrastruktūra, bet ar</w:t>
      </w:r>
      <w:bookmarkStart w:id="5" w:name="_GoBack"/>
      <w:bookmarkEnd w:id="5"/>
      <w:r w:rsidRPr="00C1573B">
        <w:rPr>
          <w:rFonts w:ascii="Times New Roman" w:hAnsi="Times New Roman"/>
          <w:sz w:val="28"/>
          <w:szCs w:val="28"/>
        </w:rPr>
        <w:t>ī, lai reaģētu uz demogrāfiskajām pārmaiņām gan izglītības sistēmā, gan darba tirg</w:t>
      </w:r>
      <w:r w:rsidR="00FC278A" w:rsidRPr="00C1573B">
        <w:rPr>
          <w:rFonts w:ascii="Times New Roman" w:hAnsi="Times New Roman"/>
          <w:sz w:val="28"/>
          <w:szCs w:val="28"/>
        </w:rPr>
        <w:t>ū, kurā mainās arī prasmju pieprasījums</w:t>
      </w:r>
      <w:r w:rsidR="004368AE">
        <w:rPr>
          <w:rFonts w:ascii="Times New Roman" w:hAnsi="Times New Roman"/>
          <w:sz w:val="28"/>
          <w:szCs w:val="28"/>
        </w:rPr>
        <w:t>.</w:t>
      </w:r>
    </w:p>
    <w:p w:rsidR="00B37636" w:rsidRPr="008C02C4" w:rsidRDefault="00C4475F" w:rsidP="00261808">
      <w:pPr>
        <w:spacing w:after="0" w:line="240" w:lineRule="auto"/>
        <w:ind w:firstLine="720"/>
        <w:jc w:val="both"/>
        <w:rPr>
          <w:rFonts w:ascii="Times New Roman" w:hAnsi="Times New Roman"/>
          <w:sz w:val="28"/>
          <w:szCs w:val="28"/>
        </w:rPr>
      </w:pPr>
      <w:r w:rsidRPr="008C02C4">
        <w:rPr>
          <w:rFonts w:ascii="Times New Roman" w:hAnsi="Times New Roman"/>
          <w:sz w:val="28"/>
          <w:szCs w:val="28"/>
        </w:rPr>
        <w:t xml:space="preserve">Latvijā ir radīta modulāro/moduļu pieeja (vairāk par pieeju skat. ziņojuma pielikumā), lai vēl vairāk sekmētu pieaugušo tālākizglītības </w:t>
      </w:r>
      <w:r w:rsidR="00980DB9" w:rsidRPr="008C02C4">
        <w:rPr>
          <w:rFonts w:ascii="Times New Roman" w:hAnsi="Times New Roman"/>
          <w:sz w:val="28"/>
          <w:szCs w:val="28"/>
        </w:rPr>
        <w:t>apguves efektivitāti</w:t>
      </w:r>
      <w:r w:rsidRPr="008C02C4">
        <w:rPr>
          <w:rFonts w:ascii="Times New Roman" w:hAnsi="Times New Roman"/>
          <w:sz w:val="28"/>
          <w:szCs w:val="28"/>
        </w:rPr>
        <w:t xml:space="preserve">. </w:t>
      </w:r>
      <w:r w:rsidR="00A84BC5" w:rsidRPr="008C02C4">
        <w:rPr>
          <w:rFonts w:ascii="Times New Roman" w:hAnsi="Times New Roman"/>
          <w:sz w:val="28"/>
          <w:szCs w:val="28"/>
        </w:rPr>
        <w:t>Paredzams, ka š</w:t>
      </w:r>
      <w:r w:rsidRPr="008C02C4">
        <w:rPr>
          <w:rFonts w:ascii="Times New Roman" w:hAnsi="Times New Roman"/>
          <w:sz w:val="28"/>
          <w:szCs w:val="28"/>
        </w:rPr>
        <w:t>āda pieeja nodrošinās to, ka izglītības procesā nedublēsies nozarei kopīgās profesionālās kompetences un mūžizglītības kompetences, profesionālajā sākotnējā izglītībā būs iespējams sagatavot izglītojamos pamatprofesijās atbilstoši darba tirgus vajadzībām, savukārt tālākizglītībā apgūt specializācijas un saistītās profesijas. Tāpat m</w:t>
      </w:r>
      <w:r w:rsidR="00154919" w:rsidRPr="008C02C4">
        <w:rPr>
          <w:rFonts w:ascii="Times New Roman" w:hAnsi="Times New Roman"/>
          <w:sz w:val="28"/>
          <w:szCs w:val="28"/>
        </w:rPr>
        <w:t>odulārā</w:t>
      </w:r>
      <w:r w:rsidRPr="008C02C4">
        <w:rPr>
          <w:rFonts w:ascii="Times New Roman" w:hAnsi="Times New Roman"/>
          <w:sz w:val="28"/>
          <w:szCs w:val="28"/>
        </w:rPr>
        <w:t xml:space="preserve"> pieeja profesionālajā izglītībā ļauj ātrāk un elastīgāk reaģēt uz uzņēmumos gaidāmo vajadzību pieaugumu pēc jaunām prasmēm un iemaņām. </w:t>
      </w:r>
      <w:r w:rsidR="003D098F" w:rsidRPr="008C02C4">
        <w:rPr>
          <w:rFonts w:ascii="Times New Roman" w:hAnsi="Times New Roman"/>
          <w:sz w:val="28"/>
          <w:szCs w:val="28"/>
        </w:rPr>
        <w:t xml:space="preserve">Tāpēc </w:t>
      </w:r>
      <w:r w:rsidR="002647B1" w:rsidRPr="008C02C4">
        <w:rPr>
          <w:rFonts w:ascii="Times New Roman" w:hAnsi="Times New Roman"/>
          <w:sz w:val="28"/>
          <w:szCs w:val="28"/>
        </w:rPr>
        <w:t xml:space="preserve">svarīga ir arī Apmācību kuponu sistēmas spēja elastīgi pielāgoties </w:t>
      </w:r>
      <w:r w:rsidRPr="008C02C4">
        <w:rPr>
          <w:rFonts w:ascii="Times New Roman" w:hAnsi="Times New Roman"/>
          <w:sz w:val="28"/>
          <w:szCs w:val="28"/>
        </w:rPr>
        <w:t xml:space="preserve">un izmantot </w:t>
      </w:r>
      <w:r w:rsidR="00154919" w:rsidRPr="008C02C4">
        <w:rPr>
          <w:rFonts w:ascii="Times New Roman" w:hAnsi="Times New Roman"/>
          <w:sz w:val="28"/>
          <w:szCs w:val="28"/>
        </w:rPr>
        <w:t>modulār</w:t>
      </w:r>
      <w:r w:rsidR="0023369A" w:rsidRPr="008C02C4">
        <w:rPr>
          <w:rFonts w:ascii="Times New Roman" w:hAnsi="Times New Roman"/>
          <w:sz w:val="28"/>
          <w:szCs w:val="28"/>
        </w:rPr>
        <w:t xml:space="preserve">o programmu </w:t>
      </w:r>
      <w:r w:rsidRPr="008C02C4">
        <w:rPr>
          <w:rFonts w:ascii="Times New Roman" w:hAnsi="Times New Roman"/>
          <w:sz w:val="28"/>
          <w:szCs w:val="28"/>
        </w:rPr>
        <w:t>iesp</w:t>
      </w:r>
      <w:r w:rsidR="0037702F" w:rsidRPr="008C02C4">
        <w:rPr>
          <w:rFonts w:ascii="Times New Roman" w:hAnsi="Times New Roman"/>
          <w:sz w:val="28"/>
          <w:szCs w:val="28"/>
        </w:rPr>
        <w:t xml:space="preserve">ējas, </w:t>
      </w:r>
      <w:r w:rsidR="0023369A" w:rsidRPr="008C02C4">
        <w:rPr>
          <w:rFonts w:ascii="Times New Roman" w:hAnsi="Times New Roman"/>
          <w:sz w:val="28"/>
          <w:szCs w:val="28"/>
        </w:rPr>
        <w:t>sniedzot</w:t>
      </w:r>
      <w:r w:rsidR="00C44297" w:rsidRPr="008C02C4">
        <w:rPr>
          <w:rFonts w:ascii="Times New Roman" w:hAnsi="Times New Roman"/>
          <w:sz w:val="28"/>
          <w:szCs w:val="28"/>
        </w:rPr>
        <w:t xml:space="preserve"> NVA klientiem apgūt arī īsāka un koncentrētāka satura tālākizglītības </w:t>
      </w:r>
      <w:r w:rsidR="006C741B" w:rsidRPr="008C02C4">
        <w:rPr>
          <w:rFonts w:ascii="Times New Roman" w:hAnsi="Times New Roman"/>
          <w:sz w:val="28"/>
          <w:szCs w:val="28"/>
        </w:rPr>
        <w:t>programmas</w:t>
      </w:r>
      <w:r w:rsidR="0023369A" w:rsidRPr="008C02C4">
        <w:rPr>
          <w:rFonts w:ascii="Times New Roman" w:hAnsi="Times New Roman"/>
          <w:sz w:val="28"/>
          <w:szCs w:val="28"/>
        </w:rPr>
        <w:t xml:space="preserve">, ko piedāvā </w:t>
      </w:r>
      <w:r w:rsidR="00C44297" w:rsidRPr="008C02C4">
        <w:rPr>
          <w:rFonts w:ascii="Times New Roman" w:hAnsi="Times New Roman"/>
          <w:sz w:val="28"/>
          <w:szCs w:val="28"/>
        </w:rPr>
        <w:t>valsts un privāt</w:t>
      </w:r>
      <w:r w:rsidR="0023369A" w:rsidRPr="008C02C4">
        <w:rPr>
          <w:rFonts w:ascii="Times New Roman" w:hAnsi="Times New Roman"/>
          <w:sz w:val="28"/>
          <w:szCs w:val="28"/>
        </w:rPr>
        <w:t>ās izglītības iestādes</w:t>
      </w:r>
      <w:r w:rsidR="00CC2A28" w:rsidRPr="008C02C4">
        <w:rPr>
          <w:rFonts w:ascii="Times New Roman" w:hAnsi="Times New Roman"/>
          <w:sz w:val="28"/>
          <w:szCs w:val="28"/>
        </w:rPr>
        <w:t>, brīdī, kad darba tirgū tiek identificēta tāda nepieciešamība</w:t>
      </w:r>
      <w:r w:rsidR="0023369A" w:rsidRPr="008C02C4">
        <w:rPr>
          <w:rFonts w:ascii="Times New Roman" w:hAnsi="Times New Roman"/>
          <w:sz w:val="28"/>
          <w:szCs w:val="28"/>
        </w:rPr>
        <w:t>.</w:t>
      </w:r>
    </w:p>
    <w:p w:rsidR="00157495" w:rsidRDefault="006D695B" w:rsidP="009774FD">
      <w:pPr>
        <w:spacing w:after="0" w:line="240" w:lineRule="auto"/>
        <w:ind w:firstLine="720"/>
        <w:jc w:val="both"/>
        <w:rPr>
          <w:rFonts w:ascii="Times New Roman" w:hAnsi="Times New Roman"/>
          <w:sz w:val="28"/>
          <w:szCs w:val="28"/>
        </w:rPr>
      </w:pPr>
      <w:r w:rsidRPr="0058014D">
        <w:rPr>
          <w:rFonts w:ascii="Times New Roman" w:hAnsi="Times New Roman"/>
          <w:sz w:val="28"/>
          <w:szCs w:val="28"/>
        </w:rPr>
        <w:t>L</w:t>
      </w:r>
      <w:r w:rsidR="009318DF" w:rsidRPr="0058014D">
        <w:rPr>
          <w:rFonts w:ascii="Times New Roman" w:hAnsi="Times New Roman"/>
          <w:sz w:val="28"/>
          <w:szCs w:val="28"/>
        </w:rPr>
        <w:t xml:space="preserve">ai arī vērojams, ka pakāpeniski palielinās pamatskolas absolventu skaits, kas izvēlas turpināt mācības profesionālajās izglītības iestādēs, tomēr jaunieši nelabprāt izvēlas apgūt profesionālo izglītību, kas atspoguļojas skolēnu proporcijā vispārējā un profesionālajā izglītībā vidējās izglītības pakāpē. </w:t>
      </w:r>
      <w:r w:rsidR="005A0C4D" w:rsidRPr="0058014D">
        <w:rPr>
          <w:rFonts w:ascii="Times New Roman" w:hAnsi="Times New Roman"/>
          <w:sz w:val="28"/>
          <w:szCs w:val="28"/>
        </w:rPr>
        <w:t xml:space="preserve">Papildus </w:t>
      </w:r>
      <w:r w:rsidR="009318DF" w:rsidRPr="0058014D">
        <w:rPr>
          <w:rFonts w:ascii="Times New Roman" w:hAnsi="Times New Roman"/>
          <w:sz w:val="28"/>
          <w:szCs w:val="28"/>
        </w:rPr>
        <w:t>demogrāfiskās situācijas ilgtermiņa prognozes liecina par arvien sarūkošu jauniešu skaitu Latvijā, kas neveicinās pilnvērtīgas skolu infrastruktūras izmantošanas iespējas</w:t>
      </w:r>
      <w:r w:rsidR="005A0C4D" w:rsidRPr="0058014D">
        <w:rPr>
          <w:rFonts w:ascii="Times New Roman" w:hAnsi="Times New Roman"/>
          <w:sz w:val="28"/>
          <w:szCs w:val="28"/>
        </w:rPr>
        <w:t xml:space="preserve">. Tāpat darbaspēkam kļūstot vecākam un </w:t>
      </w:r>
      <w:proofErr w:type="spellStart"/>
      <w:r w:rsidR="005A0C4D" w:rsidRPr="0058014D">
        <w:rPr>
          <w:rFonts w:ascii="Times New Roman" w:hAnsi="Times New Roman"/>
          <w:sz w:val="28"/>
          <w:szCs w:val="28"/>
        </w:rPr>
        <w:t>mazskaitlīgākam</w:t>
      </w:r>
      <w:proofErr w:type="spellEnd"/>
      <w:r w:rsidR="005A0C4D" w:rsidRPr="0058014D">
        <w:rPr>
          <w:rFonts w:ascii="Times New Roman" w:hAnsi="Times New Roman"/>
          <w:sz w:val="28"/>
          <w:szCs w:val="28"/>
        </w:rPr>
        <w:t>, dažos gadījumos tas noved pi</w:t>
      </w:r>
      <w:r w:rsidR="00E308E0" w:rsidRPr="0058014D">
        <w:rPr>
          <w:rFonts w:ascii="Times New Roman" w:hAnsi="Times New Roman"/>
          <w:sz w:val="28"/>
          <w:szCs w:val="28"/>
        </w:rPr>
        <w:t xml:space="preserve">e prasmju iztrūkuma, tādējādi </w:t>
      </w:r>
      <w:r w:rsidR="00E308E0" w:rsidRPr="0058014D">
        <w:rPr>
          <w:rFonts w:ascii="Times New Roman" w:hAnsi="Times New Roman"/>
          <w:sz w:val="28"/>
          <w:szCs w:val="28"/>
        </w:rPr>
        <w:lastRenderedPageBreak/>
        <w:t xml:space="preserve">arī turpmāk </w:t>
      </w:r>
      <w:r w:rsidR="00F71130" w:rsidRPr="0058014D">
        <w:rPr>
          <w:rFonts w:ascii="Times New Roman" w:hAnsi="Times New Roman"/>
          <w:sz w:val="28"/>
          <w:szCs w:val="28"/>
        </w:rPr>
        <w:t xml:space="preserve">būs vērojams </w:t>
      </w:r>
      <w:r w:rsidR="00157495" w:rsidRPr="0058014D">
        <w:rPr>
          <w:rFonts w:ascii="Times New Roman" w:hAnsi="Times New Roman"/>
          <w:sz w:val="28"/>
          <w:szCs w:val="28"/>
        </w:rPr>
        <w:t>bezdarbnieku, darba meklētāju un bezdarba riskam pakļauto personu</w:t>
      </w:r>
      <w:r w:rsidR="00E308E0" w:rsidRPr="0058014D">
        <w:rPr>
          <w:rFonts w:ascii="Times New Roman" w:hAnsi="Times New Roman"/>
          <w:sz w:val="28"/>
          <w:szCs w:val="28"/>
        </w:rPr>
        <w:t xml:space="preserve"> pārkvalifik</w:t>
      </w:r>
      <w:r w:rsidR="00157495" w:rsidRPr="0058014D">
        <w:rPr>
          <w:rFonts w:ascii="Times New Roman" w:hAnsi="Times New Roman"/>
          <w:sz w:val="28"/>
          <w:szCs w:val="28"/>
        </w:rPr>
        <w:t xml:space="preserve">ācijas un </w:t>
      </w:r>
      <w:r w:rsidR="00E308E0" w:rsidRPr="0058014D">
        <w:rPr>
          <w:rFonts w:ascii="Times New Roman" w:hAnsi="Times New Roman"/>
          <w:sz w:val="28"/>
          <w:szCs w:val="28"/>
        </w:rPr>
        <w:t>kvalifikācijas paaugstinā</w:t>
      </w:r>
      <w:r w:rsidR="00157495" w:rsidRPr="0058014D">
        <w:rPr>
          <w:rFonts w:ascii="Times New Roman" w:hAnsi="Times New Roman"/>
          <w:sz w:val="28"/>
          <w:szCs w:val="28"/>
        </w:rPr>
        <w:t>šanas pieprasījums</w:t>
      </w:r>
      <w:r w:rsidR="00E308E0" w:rsidRPr="0058014D">
        <w:rPr>
          <w:rFonts w:ascii="Times New Roman" w:hAnsi="Times New Roman"/>
          <w:sz w:val="28"/>
          <w:szCs w:val="28"/>
        </w:rPr>
        <w:t xml:space="preserve">, ko </w:t>
      </w:r>
      <w:r w:rsidR="008713D7" w:rsidRPr="0058014D">
        <w:rPr>
          <w:rFonts w:ascii="Times New Roman" w:hAnsi="Times New Roman"/>
          <w:sz w:val="28"/>
          <w:szCs w:val="28"/>
        </w:rPr>
        <w:t>jau tagad ietekmē</w:t>
      </w:r>
      <w:r w:rsidR="00E308E0" w:rsidRPr="0058014D">
        <w:rPr>
          <w:rFonts w:ascii="Times New Roman" w:hAnsi="Times New Roman"/>
          <w:sz w:val="28"/>
          <w:szCs w:val="28"/>
        </w:rPr>
        <w:t xml:space="preserve"> tehnoloģisk</w:t>
      </w:r>
      <w:r w:rsidR="008713D7" w:rsidRPr="0058014D">
        <w:rPr>
          <w:rFonts w:ascii="Times New Roman" w:hAnsi="Times New Roman"/>
          <w:sz w:val="28"/>
          <w:szCs w:val="28"/>
        </w:rPr>
        <w:t>o pārmaiņu radītās sekas.</w:t>
      </w:r>
      <w:r w:rsidR="00F71130" w:rsidRPr="0058014D">
        <w:rPr>
          <w:rFonts w:ascii="Times New Roman" w:hAnsi="Times New Roman"/>
          <w:sz w:val="28"/>
          <w:szCs w:val="28"/>
        </w:rPr>
        <w:t xml:space="preserve"> </w:t>
      </w:r>
      <w:r w:rsidR="002647B1">
        <w:rPr>
          <w:rFonts w:ascii="Times New Roman" w:hAnsi="Times New Roman"/>
          <w:sz w:val="28"/>
          <w:szCs w:val="28"/>
        </w:rPr>
        <w:t>Līdz ar to ir nepieciešams</w:t>
      </w:r>
      <w:r w:rsidR="00580944" w:rsidRPr="0058014D">
        <w:rPr>
          <w:rFonts w:ascii="Times New Roman" w:hAnsi="Times New Roman"/>
          <w:sz w:val="28"/>
          <w:szCs w:val="28"/>
        </w:rPr>
        <w:t xml:space="preserve"> radīt vidi, kurā PII un PIKC </w:t>
      </w:r>
      <w:r w:rsidR="00DB3A6B" w:rsidRPr="0058014D">
        <w:rPr>
          <w:rFonts w:ascii="Times New Roman" w:hAnsi="Times New Roman"/>
          <w:sz w:val="28"/>
          <w:szCs w:val="28"/>
        </w:rPr>
        <w:t>būtu motivētas iesaistīties</w:t>
      </w:r>
      <w:r w:rsidR="009C3895" w:rsidRPr="0058014D">
        <w:rPr>
          <w:rFonts w:ascii="Times New Roman" w:hAnsi="Times New Roman"/>
          <w:sz w:val="28"/>
          <w:szCs w:val="28"/>
        </w:rPr>
        <w:t xml:space="preserve"> </w:t>
      </w:r>
      <w:r w:rsidR="00833BEF" w:rsidRPr="0058014D">
        <w:rPr>
          <w:rFonts w:ascii="Times New Roman" w:hAnsi="Times New Roman"/>
          <w:sz w:val="28"/>
          <w:szCs w:val="28"/>
        </w:rPr>
        <w:t xml:space="preserve">NVA organizētajā profesionālās tālākizglītības īstenošanā bezdarbniekiem ar kuponu metodi, </w:t>
      </w:r>
      <w:r w:rsidR="00580944" w:rsidRPr="0058014D">
        <w:rPr>
          <w:rFonts w:ascii="Times New Roman" w:hAnsi="Times New Roman"/>
          <w:sz w:val="28"/>
          <w:szCs w:val="28"/>
        </w:rPr>
        <w:t xml:space="preserve">pirms tam novēršot </w:t>
      </w:r>
      <w:r w:rsidR="002C71FD" w:rsidRPr="0058014D">
        <w:rPr>
          <w:rFonts w:ascii="Times New Roman" w:hAnsi="Times New Roman"/>
          <w:sz w:val="28"/>
          <w:szCs w:val="28"/>
        </w:rPr>
        <w:t xml:space="preserve">skolu nespēju </w:t>
      </w:r>
      <w:r w:rsidR="00833BEF" w:rsidRPr="0058014D">
        <w:rPr>
          <w:rFonts w:ascii="Times New Roman" w:hAnsi="Times New Roman"/>
          <w:sz w:val="28"/>
          <w:szCs w:val="28"/>
        </w:rPr>
        <w:t xml:space="preserve">nodrošināt nepārtrauktu tālākizglītības programmu apguvi </w:t>
      </w:r>
      <w:r w:rsidR="002C71FD" w:rsidRPr="0058014D">
        <w:rPr>
          <w:rFonts w:ascii="Times New Roman" w:hAnsi="Times New Roman"/>
          <w:sz w:val="28"/>
          <w:szCs w:val="28"/>
        </w:rPr>
        <w:t>vasaras mēne</w:t>
      </w:r>
      <w:r w:rsidR="002B2188" w:rsidRPr="0058014D">
        <w:rPr>
          <w:rFonts w:ascii="Times New Roman" w:hAnsi="Times New Roman"/>
          <w:sz w:val="28"/>
          <w:szCs w:val="28"/>
        </w:rPr>
        <w:t>šos</w:t>
      </w:r>
      <w:r w:rsidR="00906F33" w:rsidRPr="0058014D">
        <w:rPr>
          <w:rFonts w:ascii="Times New Roman" w:hAnsi="Times New Roman"/>
          <w:sz w:val="28"/>
          <w:szCs w:val="28"/>
        </w:rPr>
        <w:t>, kā arī</w:t>
      </w:r>
      <w:r w:rsidR="00DB3A6B" w:rsidRPr="0058014D">
        <w:rPr>
          <w:rFonts w:ascii="Times New Roman" w:hAnsi="Times New Roman"/>
          <w:sz w:val="28"/>
          <w:szCs w:val="28"/>
        </w:rPr>
        <w:t xml:space="preserve"> nespēju</w:t>
      </w:r>
      <w:r w:rsidR="00906F33" w:rsidRPr="0058014D">
        <w:rPr>
          <w:rFonts w:ascii="Times New Roman" w:hAnsi="Times New Roman"/>
          <w:sz w:val="28"/>
          <w:szCs w:val="28"/>
        </w:rPr>
        <w:t xml:space="preserve"> </w:t>
      </w:r>
      <w:r w:rsidR="00DB3A6B" w:rsidRPr="0058014D">
        <w:rPr>
          <w:rFonts w:ascii="Times New Roman" w:hAnsi="Times New Roman"/>
          <w:sz w:val="28"/>
          <w:szCs w:val="28"/>
        </w:rPr>
        <w:t>elastīgi</w:t>
      </w:r>
      <w:r w:rsidR="00906F33" w:rsidRPr="0058014D">
        <w:rPr>
          <w:rFonts w:ascii="Times New Roman" w:hAnsi="Times New Roman"/>
          <w:sz w:val="28"/>
          <w:szCs w:val="28"/>
        </w:rPr>
        <w:t xml:space="preserve"> izmantot NVA segtās izmaksas par bezdarbnieku</w:t>
      </w:r>
      <w:r w:rsidR="002B2188" w:rsidRPr="0058014D">
        <w:rPr>
          <w:rFonts w:ascii="Times New Roman" w:hAnsi="Times New Roman"/>
          <w:sz w:val="28"/>
          <w:szCs w:val="28"/>
        </w:rPr>
        <w:t xml:space="preserve"> </w:t>
      </w:r>
      <w:r w:rsidR="00906F33" w:rsidRPr="0058014D">
        <w:rPr>
          <w:rFonts w:ascii="Times New Roman" w:hAnsi="Times New Roman"/>
          <w:sz w:val="28"/>
          <w:szCs w:val="28"/>
        </w:rPr>
        <w:t xml:space="preserve">iesaisti tālākizglītībā, kas tiek iekļautas apmācību kupona vērtībā. </w:t>
      </w:r>
    </w:p>
    <w:p w:rsidR="0084135C" w:rsidRPr="0084135C" w:rsidRDefault="0084135C" w:rsidP="009774FD">
      <w:pPr>
        <w:spacing w:after="0" w:line="240" w:lineRule="auto"/>
        <w:ind w:firstLine="720"/>
        <w:jc w:val="both"/>
        <w:rPr>
          <w:rFonts w:ascii="Times New Roman" w:hAnsi="Times New Roman"/>
          <w:sz w:val="28"/>
          <w:szCs w:val="28"/>
        </w:rPr>
      </w:pPr>
    </w:p>
    <w:p w:rsidR="0084135C" w:rsidRPr="008E6BE7" w:rsidRDefault="00146353" w:rsidP="00FA17D3">
      <w:pPr>
        <w:spacing w:after="0" w:line="240" w:lineRule="auto"/>
        <w:jc w:val="both"/>
        <w:rPr>
          <w:rFonts w:ascii="Times New Roman" w:hAnsi="Times New Roman"/>
          <w:sz w:val="28"/>
          <w:szCs w:val="28"/>
        </w:rPr>
      </w:pPr>
      <w:r w:rsidRPr="008E6BE7">
        <w:rPr>
          <w:rFonts w:ascii="Times New Roman" w:hAnsi="Times New Roman"/>
          <w:sz w:val="28"/>
          <w:szCs w:val="28"/>
          <w:lang w:eastAsia="lv-LV"/>
        </w:rPr>
        <w:tab/>
        <w:t>Atbilstoši iepriekš minētajām nepilnībām un to iespējamām novēršanas</w:t>
      </w:r>
      <w:r w:rsidRPr="008E6BE7">
        <w:rPr>
          <w:rFonts w:ascii="Times New Roman" w:hAnsi="Times New Roman"/>
          <w:bCs/>
          <w:sz w:val="28"/>
          <w:szCs w:val="28"/>
        </w:rPr>
        <w:t xml:space="preserve"> darbībām, kā arī atbilstoši informatīvā ziņojuma mērķim, </w:t>
      </w:r>
      <w:r w:rsidRPr="008E6BE7">
        <w:rPr>
          <w:rFonts w:ascii="Times New Roman" w:hAnsi="Times New Roman"/>
          <w:sz w:val="28"/>
          <w:szCs w:val="28"/>
        </w:rPr>
        <w:t>turpmāk plānots:</w:t>
      </w:r>
    </w:p>
    <w:p w:rsidR="00817F52" w:rsidRPr="0084135C" w:rsidRDefault="006B33E4" w:rsidP="00C53E0C">
      <w:pPr>
        <w:pStyle w:val="BodyText"/>
        <w:widowControl/>
        <w:numPr>
          <w:ilvl w:val="0"/>
          <w:numId w:val="1"/>
        </w:numPr>
        <w:tabs>
          <w:tab w:val="clear" w:pos="720"/>
          <w:tab w:val="left" w:pos="284"/>
        </w:tabs>
        <w:spacing w:before="120" w:after="120"/>
        <w:ind w:left="0" w:firstLine="426"/>
        <w:jc w:val="both"/>
        <w:rPr>
          <w:b w:val="0"/>
          <w:sz w:val="28"/>
          <w:szCs w:val="28"/>
          <w:lang w:val="lv-LV" w:eastAsia="lv-LV"/>
        </w:rPr>
      </w:pPr>
      <w:r w:rsidRPr="0084135C">
        <w:rPr>
          <w:b w:val="0"/>
          <w:sz w:val="28"/>
          <w:szCs w:val="28"/>
          <w:lang w:val="lv-LV" w:eastAsia="lv-LV"/>
        </w:rPr>
        <w:t>PIKC un valsts un pašvaldību dibinātās profesionālās izglītības iestādēs</w:t>
      </w:r>
      <w:r w:rsidR="00F90C3B" w:rsidRPr="0084135C">
        <w:rPr>
          <w:b w:val="0"/>
          <w:sz w:val="28"/>
          <w:szCs w:val="28"/>
          <w:lang w:val="lv-LV" w:eastAsia="lv-LV"/>
        </w:rPr>
        <w:t xml:space="preserve"> </w:t>
      </w:r>
      <w:r w:rsidRPr="0084135C">
        <w:rPr>
          <w:b w:val="0"/>
          <w:sz w:val="28"/>
          <w:szCs w:val="28"/>
          <w:lang w:val="lv-LV" w:eastAsia="lv-LV"/>
        </w:rPr>
        <w:t>t</w:t>
      </w:r>
      <w:r w:rsidR="006A57B9" w:rsidRPr="0084135C">
        <w:rPr>
          <w:b w:val="0"/>
          <w:sz w:val="28"/>
          <w:szCs w:val="28"/>
          <w:lang w:val="lv-LV" w:eastAsia="lv-LV"/>
        </w:rPr>
        <w:t>urpināt piedāvāt</w:t>
      </w:r>
      <w:r w:rsidRPr="0084135C">
        <w:rPr>
          <w:b w:val="0"/>
          <w:sz w:val="28"/>
          <w:szCs w:val="28"/>
          <w:lang w:val="lv-LV" w:eastAsia="lv-LV"/>
        </w:rPr>
        <w:t xml:space="preserve"> profesionālās tālākizglītības programmu īstenošanas iespējas</w:t>
      </w:r>
      <w:r w:rsidR="00146353" w:rsidRPr="0084135C">
        <w:rPr>
          <w:b w:val="0"/>
          <w:sz w:val="28"/>
          <w:szCs w:val="28"/>
          <w:lang w:val="lv-LV" w:eastAsia="lv-LV"/>
        </w:rPr>
        <w:t xml:space="preserve"> </w:t>
      </w:r>
      <w:r w:rsidRPr="0084135C">
        <w:rPr>
          <w:b w:val="0"/>
          <w:sz w:val="28"/>
          <w:szCs w:val="28"/>
          <w:lang w:val="lv-LV" w:eastAsia="lv-LV"/>
        </w:rPr>
        <w:t xml:space="preserve">NVA klientiem </w:t>
      </w:r>
      <w:r w:rsidR="001E5318" w:rsidRPr="0084135C">
        <w:rPr>
          <w:b w:val="0"/>
          <w:sz w:val="28"/>
          <w:szCs w:val="28"/>
          <w:lang w:val="lv-LV" w:eastAsia="lv-LV"/>
        </w:rPr>
        <w:t>esošās apm</w:t>
      </w:r>
      <w:r w:rsidR="00182AF9" w:rsidRPr="0084135C">
        <w:rPr>
          <w:b w:val="0"/>
          <w:sz w:val="28"/>
          <w:szCs w:val="28"/>
          <w:lang w:val="lv-LV" w:eastAsia="lv-LV"/>
        </w:rPr>
        <w:t xml:space="preserve">ācību kuponu sistēmas ietvaros, kurā </w:t>
      </w:r>
      <w:r w:rsidR="008C02C4">
        <w:rPr>
          <w:b w:val="0"/>
          <w:sz w:val="28"/>
          <w:szCs w:val="28"/>
          <w:lang w:val="lv-LV" w:eastAsia="lv-LV"/>
        </w:rPr>
        <w:t xml:space="preserve">iespējams saņemt atbalstu </w:t>
      </w:r>
      <w:r w:rsidR="00182AF9" w:rsidRPr="0084135C">
        <w:rPr>
          <w:b w:val="0"/>
          <w:sz w:val="28"/>
          <w:szCs w:val="28"/>
          <w:lang w:val="lv-LV" w:eastAsia="lv-LV"/>
        </w:rPr>
        <w:t>reģionālajai mobilitātei.</w:t>
      </w:r>
    </w:p>
    <w:p w:rsidR="00CC3376" w:rsidRPr="00CC3376" w:rsidRDefault="00CC5DD7" w:rsidP="00CC3376">
      <w:pPr>
        <w:pStyle w:val="BodyText"/>
        <w:widowControl/>
        <w:numPr>
          <w:ilvl w:val="0"/>
          <w:numId w:val="1"/>
        </w:numPr>
        <w:tabs>
          <w:tab w:val="clear" w:pos="720"/>
          <w:tab w:val="left" w:pos="284"/>
        </w:tabs>
        <w:spacing w:before="120" w:after="120"/>
        <w:ind w:left="0" w:firstLine="426"/>
        <w:jc w:val="both"/>
        <w:rPr>
          <w:b w:val="0"/>
          <w:sz w:val="28"/>
          <w:szCs w:val="28"/>
          <w:lang w:val="lv-LV" w:eastAsia="lv-LV"/>
        </w:rPr>
      </w:pPr>
      <w:r w:rsidRPr="0084135C">
        <w:rPr>
          <w:b w:val="0"/>
          <w:sz w:val="28"/>
          <w:szCs w:val="28"/>
          <w:lang w:val="lv-LV" w:eastAsia="lv-LV"/>
        </w:rPr>
        <w:t>IZM</w:t>
      </w:r>
      <w:r w:rsidR="00B25B25" w:rsidRPr="0084135C">
        <w:rPr>
          <w:b w:val="0"/>
          <w:sz w:val="28"/>
          <w:szCs w:val="28"/>
          <w:lang w:val="lv-LV" w:eastAsia="lv-LV"/>
        </w:rPr>
        <w:t xml:space="preserve"> </w:t>
      </w:r>
      <w:r w:rsidRPr="0084135C">
        <w:rPr>
          <w:b w:val="0"/>
          <w:sz w:val="28"/>
          <w:szCs w:val="28"/>
          <w:lang w:val="lv-LV" w:eastAsia="lv-LV"/>
        </w:rPr>
        <w:t>izstrādāt mehānismu un atbalsta pasākumus PIKC</w:t>
      </w:r>
      <w:r w:rsidR="006A5F9E" w:rsidRPr="0084135C">
        <w:rPr>
          <w:b w:val="0"/>
          <w:sz w:val="28"/>
          <w:szCs w:val="28"/>
          <w:lang w:val="lv-LV" w:eastAsia="lv-LV"/>
        </w:rPr>
        <w:t xml:space="preserve"> un valsts un pašvaldību dibināto pr</w:t>
      </w:r>
      <w:r w:rsidR="002A2206" w:rsidRPr="0084135C">
        <w:rPr>
          <w:b w:val="0"/>
          <w:sz w:val="28"/>
          <w:szCs w:val="28"/>
          <w:lang w:val="lv-LV" w:eastAsia="lv-LV"/>
        </w:rPr>
        <w:t xml:space="preserve">ofesionālās izglītības iestāžu </w:t>
      </w:r>
      <w:r w:rsidRPr="0084135C">
        <w:rPr>
          <w:b w:val="0"/>
          <w:sz w:val="28"/>
          <w:szCs w:val="28"/>
          <w:lang w:val="lv-LV" w:eastAsia="lv-LV"/>
        </w:rPr>
        <w:t>motivēšanai iesaistīties pieaugušo izglītībā (</w:t>
      </w:r>
      <w:r w:rsidRPr="009601A0">
        <w:rPr>
          <w:b w:val="0"/>
          <w:i/>
          <w:iCs/>
          <w:sz w:val="28"/>
          <w:szCs w:val="28"/>
          <w:lang w:val="lv-LV" w:eastAsia="lv-LV"/>
        </w:rPr>
        <w:t>Nodarbinātības</w:t>
      </w:r>
      <w:r w:rsidR="00BB3324" w:rsidRPr="009601A0">
        <w:rPr>
          <w:b w:val="0"/>
          <w:i/>
          <w:iCs/>
          <w:sz w:val="28"/>
          <w:szCs w:val="28"/>
          <w:lang w:val="lv-LV" w:eastAsia="lv-LV"/>
        </w:rPr>
        <w:t xml:space="preserve"> padomes </w:t>
      </w:r>
      <w:proofErr w:type="gramStart"/>
      <w:r w:rsidR="00BB3324" w:rsidRPr="009601A0">
        <w:rPr>
          <w:b w:val="0"/>
          <w:i/>
          <w:iCs/>
          <w:sz w:val="28"/>
          <w:szCs w:val="28"/>
          <w:lang w:val="lv-LV" w:eastAsia="lv-LV"/>
        </w:rPr>
        <w:t>2016.gada</w:t>
      </w:r>
      <w:proofErr w:type="gramEnd"/>
      <w:r w:rsidR="00BB3324" w:rsidRPr="009601A0">
        <w:rPr>
          <w:b w:val="0"/>
          <w:i/>
          <w:iCs/>
          <w:sz w:val="28"/>
          <w:szCs w:val="28"/>
          <w:lang w:val="lv-LV" w:eastAsia="lv-LV"/>
        </w:rPr>
        <w:t xml:space="preserve"> 14.septembra</w:t>
      </w:r>
      <w:r w:rsidRPr="009601A0">
        <w:rPr>
          <w:b w:val="0"/>
          <w:i/>
          <w:iCs/>
          <w:sz w:val="28"/>
          <w:szCs w:val="28"/>
          <w:lang w:val="lv-LV" w:eastAsia="lv-LV"/>
        </w:rPr>
        <w:t xml:space="preserve"> sēd</w:t>
      </w:r>
      <w:r w:rsidR="00BB3324" w:rsidRPr="009601A0">
        <w:rPr>
          <w:b w:val="0"/>
          <w:i/>
          <w:iCs/>
          <w:sz w:val="28"/>
          <w:szCs w:val="28"/>
          <w:lang w:val="lv-LV" w:eastAsia="lv-LV"/>
        </w:rPr>
        <w:t>es lēmums</w:t>
      </w:r>
      <w:r w:rsidR="00D85CE3">
        <w:rPr>
          <w:b w:val="0"/>
          <w:i/>
          <w:iCs/>
          <w:sz w:val="28"/>
          <w:szCs w:val="28"/>
          <w:lang w:val="lv-LV" w:eastAsia="lv-LV"/>
        </w:rPr>
        <w:t xml:space="preserve">). </w:t>
      </w:r>
      <w:r w:rsidR="00D85CE3" w:rsidRPr="00D85CE3">
        <w:rPr>
          <w:b w:val="0"/>
          <w:sz w:val="28"/>
          <w:szCs w:val="28"/>
          <w:lang w:val="lv-LV" w:eastAsia="lv-LV"/>
        </w:rPr>
        <w:t>P</w:t>
      </w:r>
      <w:r w:rsidR="003B1049" w:rsidRPr="00D85CE3">
        <w:rPr>
          <w:b w:val="0"/>
          <w:sz w:val="28"/>
          <w:szCs w:val="28"/>
          <w:lang w:val="lv-LV" w:eastAsia="lv-LV"/>
        </w:rPr>
        <w:t xml:space="preserve">ēc Nodarbinātības padomes </w:t>
      </w:r>
      <w:proofErr w:type="gramStart"/>
      <w:r w:rsidR="003B1049" w:rsidRPr="00D85CE3">
        <w:rPr>
          <w:b w:val="0"/>
          <w:sz w:val="28"/>
          <w:szCs w:val="28"/>
          <w:lang w:val="lv-LV" w:eastAsia="lv-LV"/>
        </w:rPr>
        <w:t>2016.gada</w:t>
      </w:r>
      <w:proofErr w:type="gramEnd"/>
      <w:r w:rsidR="003B1049" w:rsidRPr="00D85CE3">
        <w:rPr>
          <w:b w:val="0"/>
          <w:sz w:val="28"/>
          <w:szCs w:val="28"/>
          <w:lang w:val="lv-LV" w:eastAsia="lv-LV"/>
        </w:rPr>
        <w:t xml:space="preserve"> 21.decembra sēdes un Ekonomikas ministrijas organizētās 9. februāra tikšanās reizes ar </w:t>
      </w:r>
      <w:r w:rsidR="00D85CE3" w:rsidRPr="00D85CE3">
        <w:rPr>
          <w:b w:val="0"/>
          <w:sz w:val="28"/>
          <w:szCs w:val="28"/>
          <w:lang w:val="lv-LV" w:eastAsia="lv-LV"/>
        </w:rPr>
        <w:t>PIKC</w:t>
      </w:r>
      <w:r w:rsidR="003B1049" w:rsidRPr="00D85CE3">
        <w:rPr>
          <w:b w:val="0"/>
          <w:sz w:val="28"/>
          <w:szCs w:val="28"/>
          <w:lang w:val="lv-LV" w:eastAsia="lv-LV"/>
        </w:rPr>
        <w:t>, saistīto nozaru un ministriju pārstāvjiem tika nolemts</w:t>
      </w:r>
      <w:r w:rsidR="00D85CE3" w:rsidRPr="00D85CE3">
        <w:rPr>
          <w:b w:val="0"/>
          <w:sz w:val="28"/>
          <w:szCs w:val="28"/>
          <w:lang w:val="lv-LV" w:eastAsia="lv-LV"/>
        </w:rPr>
        <w:t xml:space="preserve"> </w:t>
      </w:r>
      <w:r w:rsidR="003B1049" w:rsidRPr="00D85CE3">
        <w:rPr>
          <w:b w:val="0"/>
          <w:sz w:val="28"/>
          <w:szCs w:val="28"/>
          <w:lang w:val="lv-LV" w:eastAsia="lv-LV"/>
        </w:rPr>
        <w:t>Ekonomikas ministrijai līdz 2017.gada 28.februārim sadarbībā ar Izglītības un zinātnes ministriju un Labklājības ministriju noteiktā kārtībā iesniegt izskatīšanai Ministru kabinetā informatīvo ziņojumu par Nodarbinātības padomes ietvaros identificēto pasāku</w:t>
      </w:r>
      <w:r w:rsidR="00D85CE3" w:rsidRPr="00D85CE3">
        <w:rPr>
          <w:b w:val="0"/>
          <w:sz w:val="28"/>
          <w:szCs w:val="28"/>
          <w:lang w:val="lv-LV" w:eastAsia="lv-LV"/>
        </w:rPr>
        <w:t>mu kopumu un to izpildes termiņiem</w:t>
      </w:r>
      <w:r w:rsidR="00CC3376">
        <w:rPr>
          <w:b w:val="0"/>
          <w:sz w:val="28"/>
          <w:szCs w:val="28"/>
          <w:lang w:val="lv-LV" w:eastAsia="lv-LV"/>
        </w:rPr>
        <w:t xml:space="preserve"> </w:t>
      </w:r>
      <w:bookmarkStart w:id="6" w:name="_Toc411246703"/>
      <w:r w:rsidR="00CC3376" w:rsidRPr="00CC3376">
        <w:rPr>
          <w:b w:val="0"/>
          <w:sz w:val="28"/>
          <w:szCs w:val="28"/>
          <w:lang w:val="lv-LV" w:eastAsia="lv-LV"/>
        </w:rPr>
        <w:t>(</w:t>
      </w:r>
      <w:r w:rsidR="00CC3376">
        <w:rPr>
          <w:b w:val="0"/>
          <w:sz w:val="28"/>
          <w:szCs w:val="28"/>
          <w:lang w:val="lv-LV" w:eastAsia="lv-LV"/>
        </w:rPr>
        <w:t xml:space="preserve">uzdots ar MK </w:t>
      </w:r>
      <w:r w:rsidR="00CC3376" w:rsidRPr="00CC3376">
        <w:rPr>
          <w:b w:val="0"/>
          <w:sz w:val="28"/>
          <w:szCs w:val="28"/>
          <w:lang w:val="lv-LV" w:eastAsia="lv-LV"/>
        </w:rPr>
        <w:t>2017.gada 14.februāra</w:t>
      </w:r>
      <w:r w:rsidR="00CC3376">
        <w:rPr>
          <w:b w:val="0"/>
          <w:sz w:val="28"/>
          <w:szCs w:val="28"/>
          <w:lang w:val="lv-LV" w:eastAsia="lv-LV"/>
        </w:rPr>
        <w:t xml:space="preserve"> sēdes </w:t>
      </w:r>
      <w:r w:rsidR="00CC3376" w:rsidRPr="00CC3376">
        <w:rPr>
          <w:b w:val="0"/>
          <w:sz w:val="28"/>
          <w:szCs w:val="28"/>
          <w:lang w:val="lv-LV" w:eastAsia="lv-LV"/>
        </w:rPr>
        <w:t>prot. Nr.7. 1.§ 2.2.2.punkts).</w:t>
      </w:r>
    </w:p>
    <w:p w:rsidR="00E671D1" w:rsidRDefault="00E671D1" w:rsidP="00E671D1">
      <w:pPr>
        <w:pStyle w:val="BodyText"/>
        <w:widowControl/>
        <w:numPr>
          <w:ilvl w:val="0"/>
          <w:numId w:val="1"/>
        </w:numPr>
        <w:tabs>
          <w:tab w:val="clear" w:pos="720"/>
          <w:tab w:val="left" w:pos="284"/>
        </w:tabs>
        <w:spacing w:before="120" w:after="120"/>
        <w:ind w:left="0" w:firstLine="426"/>
        <w:jc w:val="both"/>
        <w:rPr>
          <w:b w:val="0"/>
          <w:sz w:val="28"/>
          <w:szCs w:val="28"/>
          <w:lang w:val="lv-LV" w:eastAsia="lv-LV"/>
        </w:rPr>
      </w:pPr>
      <w:r w:rsidRPr="00E671D1">
        <w:rPr>
          <w:b w:val="0"/>
          <w:sz w:val="28"/>
          <w:szCs w:val="28"/>
          <w:lang w:val="lv-LV" w:eastAsia="lv-LV"/>
        </w:rPr>
        <w:t>Labklājības ministrijai sagatavot un noteiktā kārtībā iesniegt izskatīšanai Ministru kabinetā noteikumu projektu par grozījumiem Ministru kabineta 2011. gada 25. janvāra noteikumos Nr.75 „Noteikumi par aktīvo nodarbinātības pasākumu un preventīvo bezdarba samazināšanas pasākumu organizēšanas un finansēšanas kārtību un pasākumu īstenotāju izvēles principiem” (turpmāk – MK noteikumi Nr.75), paredzot profesionālo tālākizglītības programmu apguves organizēšanu arī darba dienās pēc plkst. 18.00 aktīvā nodarbinātības pasākuma „Bezdarbnieku apmācība pēc darba devēja pieprasījuma” ietvaros.</w:t>
      </w:r>
    </w:p>
    <w:p w:rsidR="00E671D1" w:rsidRPr="00E671D1" w:rsidRDefault="00E671D1" w:rsidP="00E671D1">
      <w:pPr>
        <w:pStyle w:val="BodyText"/>
        <w:widowControl/>
        <w:numPr>
          <w:ilvl w:val="0"/>
          <w:numId w:val="1"/>
        </w:numPr>
        <w:tabs>
          <w:tab w:val="clear" w:pos="720"/>
          <w:tab w:val="left" w:pos="284"/>
        </w:tabs>
        <w:spacing w:before="120" w:after="120"/>
        <w:ind w:left="0" w:firstLine="426"/>
        <w:jc w:val="both"/>
        <w:rPr>
          <w:b w:val="0"/>
          <w:sz w:val="28"/>
          <w:szCs w:val="28"/>
          <w:lang w:val="lv-LV" w:eastAsia="lv-LV"/>
        </w:rPr>
      </w:pPr>
      <w:r w:rsidRPr="00E671D1">
        <w:rPr>
          <w:b w:val="0"/>
          <w:sz w:val="28"/>
          <w:szCs w:val="28"/>
          <w:lang w:val="lv-LV" w:eastAsia="lv-LV"/>
        </w:rPr>
        <w:t xml:space="preserve">Labklājības ministrijai sadarbībā ar Izglītības un zinātnes ministriju un </w:t>
      </w:r>
      <w:r w:rsidRPr="00E671D1">
        <w:rPr>
          <w:b w:val="0"/>
          <w:bCs/>
          <w:sz w:val="28"/>
          <w:szCs w:val="28"/>
          <w:lang w:val="lv-LV" w:eastAsia="lv-LV"/>
        </w:rPr>
        <w:t xml:space="preserve">Valsts izglītības satura centru </w:t>
      </w:r>
      <w:r w:rsidRPr="00E671D1">
        <w:rPr>
          <w:b w:val="0"/>
          <w:sz w:val="28"/>
          <w:szCs w:val="28"/>
          <w:lang w:val="lv-LV" w:eastAsia="lv-LV"/>
        </w:rPr>
        <w:t xml:space="preserve">izvērtēt izglītības iestāžu gatavību piedāvāt </w:t>
      </w:r>
      <w:r w:rsidRPr="00E671D1">
        <w:rPr>
          <w:b w:val="0"/>
          <w:sz w:val="28"/>
          <w:szCs w:val="28"/>
          <w:lang w:val="lv-LV" w:eastAsia="lv-LV"/>
        </w:rPr>
        <w:lastRenderedPageBreak/>
        <w:t xml:space="preserve">modulārās profesionālās izglītības programmas Nodarbinātības valsts aģentūrā reģistrētajiem bezdarbniekiem apmācību kuponu sistēmas ietvaros un nepieciešamības gadījumā sagatavot un noteiktā kārtībā iesniegt izskatīšanai Ministru kabinetā noteikumu projektu par grozījumiem MK noteikumos Nr.75, paredzot modulāro programmu apguvi profesionālās tālākizglītības un profesionālās pilnveides programmu ietvaros.  </w:t>
      </w:r>
    </w:p>
    <w:p w:rsidR="003C55E8" w:rsidRDefault="003C55E8">
      <w:pPr>
        <w:spacing w:after="0" w:line="240" w:lineRule="auto"/>
        <w:rPr>
          <w:rFonts w:ascii="Times New Roman" w:hAnsi="Times New Roman"/>
          <w:b/>
          <w:sz w:val="28"/>
          <w:szCs w:val="28"/>
        </w:rPr>
      </w:pPr>
      <w:r>
        <w:rPr>
          <w:sz w:val="28"/>
          <w:szCs w:val="28"/>
        </w:rPr>
        <w:br w:type="page"/>
      </w:r>
    </w:p>
    <w:p w:rsidR="000736D9" w:rsidRPr="009601A0" w:rsidRDefault="00F87924" w:rsidP="009601A0">
      <w:pPr>
        <w:pStyle w:val="BodyText"/>
        <w:widowControl/>
        <w:tabs>
          <w:tab w:val="left" w:pos="284"/>
        </w:tabs>
        <w:spacing w:before="120" w:after="120"/>
        <w:rPr>
          <w:b w:val="0"/>
          <w:sz w:val="28"/>
          <w:szCs w:val="28"/>
          <w:lang w:val="lv-LV" w:eastAsia="lv-LV"/>
        </w:rPr>
      </w:pPr>
      <w:r w:rsidRPr="00F44435">
        <w:rPr>
          <w:sz w:val="28"/>
          <w:szCs w:val="28"/>
          <w:lang w:val="lv-LV"/>
        </w:rPr>
        <w:lastRenderedPageBreak/>
        <w:t>Pielikums</w:t>
      </w:r>
      <w:bookmarkEnd w:id="6"/>
    </w:p>
    <w:p w:rsidR="00476C18" w:rsidRPr="008E6BE7" w:rsidRDefault="00476C18" w:rsidP="00CE7F2B">
      <w:pPr>
        <w:spacing w:after="120"/>
        <w:rPr>
          <w:rFonts w:ascii="Times New Roman" w:hAnsi="Times New Roman"/>
        </w:rPr>
      </w:pPr>
    </w:p>
    <w:p w:rsidR="00476C18" w:rsidRPr="008E6BE7" w:rsidRDefault="000736D9" w:rsidP="00CE7F2B">
      <w:pPr>
        <w:pStyle w:val="ListParagraph"/>
        <w:spacing w:after="120"/>
        <w:ind w:left="0"/>
        <w:rPr>
          <w:rFonts w:ascii="Times New Roman" w:hAnsi="Times New Roman" w:cs="Times New Roman"/>
          <w:bCs/>
          <w:iCs/>
          <w:spacing w:val="-4"/>
          <w:sz w:val="28"/>
          <w:szCs w:val="28"/>
          <w:u w:val="single"/>
        </w:rPr>
      </w:pPr>
      <w:r w:rsidRPr="008E6BE7">
        <w:rPr>
          <w:rFonts w:ascii="Times New Roman" w:hAnsi="Times New Roman" w:cs="Times New Roman"/>
          <w:bCs/>
          <w:iCs/>
          <w:spacing w:val="-4"/>
          <w:sz w:val="28"/>
          <w:szCs w:val="28"/>
          <w:u w:val="single"/>
        </w:rPr>
        <w:t>Norise:</w:t>
      </w:r>
    </w:p>
    <w:p w:rsidR="000736D9" w:rsidRPr="008E6BE7" w:rsidRDefault="00CB28A7" w:rsidP="00CE7F2B">
      <w:pPr>
        <w:pStyle w:val="ListParagraph"/>
        <w:spacing w:after="120"/>
        <w:ind w:left="284" w:hanging="284"/>
        <w:rPr>
          <w:rFonts w:ascii="Times New Roman" w:hAnsi="Times New Roman" w:cs="Times New Roman"/>
          <w:bCs/>
          <w:iCs/>
          <w:spacing w:val="-4"/>
          <w:sz w:val="28"/>
          <w:szCs w:val="28"/>
          <w:u w:val="single"/>
        </w:rPr>
      </w:pPr>
      <w:proofErr w:type="spellStart"/>
      <w:r w:rsidRPr="008E6BE7">
        <w:rPr>
          <w:rFonts w:ascii="Times New Roman" w:hAnsi="Times New Roman" w:cs="Times New Roman"/>
          <w:sz w:val="28"/>
          <w:szCs w:val="28"/>
        </w:rPr>
        <w:t>Izmēģinājumprojekta</w:t>
      </w:r>
      <w:proofErr w:type="spellEnd"/>
      <w:r w:rsidRPr="008E6BE7">
        <w:rPr>
          <w:rFonts w:ascii="Times New Roman" w:hAnsi="Times New Roman" w:cs="Times New Roman"/>
          <w:sz w:val="28"/>
          <w:szCs w:val="28"/>
        </w:rPr>
        <w:t xml:space="preserve"> otrā kārta tika īstenota</w:t>
      </w:r>
      <w:r w:rsidR="000736D9" w:rsidRPr="008E6BE7">
        <w:rPr>
          <w:rFonts w:ascii="Times New Roman" w:hAnsi="Times New Roman" w:cs="Times New Roman"/>
          <w:sz w:val="28"/>
          <w:szCs w:val="28"/>
        </w:rPr>
        <w:t xml:space="preserve"> saskaņā ar:</w:t>
      </w:r>
    </w:p>
    <w:p w:rsidR="000B6770" w:rsidRPr="008E6BE7" w:rsidRDefault="000B6770" w:rsidP="00127D19">
      <w:pPr>
        <w:pStyle w:val="ListParagraph"/>
        <w:numPr>
          <w:ilvl w:val="0"/>
          <w:numId w:val="5"/>
        </w:numPr>
        <w:ind w:left="714" w:hanging="357"/>
        <w:jc w:val="both"/>
        <w:rPr>
          <w:rFonts w:ascii="Times New Roman" w:hAnsi="Times New Roman" w:cs="Times New Roman"/>
          <w:sz w:val="28"/>
          <w:szCs w:val="28"/>
        </w:rPr>
      </w:pPr>
      <w:r w:rsidRPr="008E6BE7">
        <w:rPr>
          <w:rFonts w:ascii="Times New Roman" w:hAnsi="Times New Roman" w:cs="Times New Roman"/>
          <w:sz w:val="28"/>
          <w:szCs w:val="28"/>
        </w:rPr>
        <w:t xml:space="preserve">Bezdarbnieku un darba meklētāju atbalsta likumu; </w:t>
      </w:r>
    </w:p>
    <w:p w:rsidR="000B6770" w:rsidRPr="008E6BE7" w:rsidRDefault="000B6770" w:rsidP="00127D19">
      <w:pPr>
        <w:pStyle w:val="ListParagraph"/>
        <w:numPr>
          <w:ilvl w:val="0"/>
          <w:numId w:val="5"/>
        </w:numPr>
        <w:ind w:left="714" w:hanging="357"/>
        <w:jc w:val="both"/>
        <w:rPr>
          <w:rFonts w:ascii="Times New Roman" w:hAnsi="Times New Roman" w:cs="Times New Roman"/>
          <w:sz w:val="28"/>
          <w:szCs w:val="28"/>
        </w:rPr>
      </w:pPr>
      <w:r w:rsidRPr="008E6BE7">
        <w:rPr>
          <w:rFonts w:ascii="Times New Roman" w:hAnsi="Times New Roman" w:cs="Times New Roman"/>
          <w:sz w:val="28"/>
          <w:szCs w:val="28"/>
        </w:rPr>
        <w:t xml:space="preserve">Izglītības likumu; </w:t>
      </w:r>
    </w:p>
    <w:p w:rsidR="000B6770" w:rsidRPr="008E6BE7" w:rsidRDefault="000B6770" w:rsidP="00127D19">
      <w:pPr>
        <w:pStyle w:val="ListParagraph"/>
        <w:numPr>
          <w:ilvl w:val="0"/>
          <w:numId w:val="5"/>
        </w:numPr>
        <w:ind w:left="714" w:hanging="357"/>
        <w:jc w:val="both"/>
        <w:rPr>
          <w:rFonts w:ascii="Times New Roman" w:hAnsi="Times New Roman" w:cs="Times New Roman"/>
          <w:sz w:val="28"/>
          <w:szCs w:val="28"/>
        </w:rPr>
      </w:pPr>
      <w:r w:rsidRPr="008E6BE7">
        <w:rPr>
          <w:rFonts w:ascii="Times New Roman" w:hAnsi="Times New Roman" w:cs="Times New Roman"/>
          <w:sz w:val="28"/>
          <w:szCs w:val="28"/>
        </w:rPr>
        <w:t xml:space="preserve">Profesionālās izglītības likumu; </w:t>
      </w:r>
    </w:p>
    <w:p w:rsidR="000B6770" w:rsidRPr="008E6BE7" w:rsidRDefault="000B6770" w:rsidP="00127D19">
      <w:pPr>
        <w:pStyle w:val="ListParagraph"/>
        <w:numPr>
          <w:ilvl w:val="0"/>
          <w:numId w:val="5"/>
        </w:numPr>
        <w:ind w:left="714" w:hanging="357"/>
        <w:jc w:val="both"/>
        <w:rPr>
          <w:rFonts w:ascii="Times New Roman" w:hAnsi="Times New Roman" w:cs="Times New Roman"/>
          <w:sz w:val="28"/>
          <w:szCs w:val="28"/>
        </w:rPr>
      </w:pPr>
      <w:r w:rsidRPr="008E6BE7">
        <w:rPr>
          <w:rFonts w:ascii="Times New Roman" w:hAnsi="Times New Roman" w:cs="Times New Roman"/>
          <w:sz w:val="28"/>
          <w:szCs w:val="28"/>
        </w:rPr>
        <w:t>Ministru kabine</w:t>
      </w:r>
      <w:r w:rsidR="00BF0ECB" w:rsidRPr="008E6BE7">
        <w:rPr>
          <w:rFonts w:ascii="Times New Roman" w:hAnsi="Times New Roman" w:cs="Times New Roman"/>
          <w:sz w:val="28"/>
          <w:szCs w:val="28"/>
        </w:rPr>
        <w:t>ta 2014. gada 23. decembra noteikumiem Nr.836</w:t>
      </w:r>
      <w:r w:rsidRPr="008E6BE7">
        <w:rPr>
          <w:rFonts w:ascii="Times New Roman" w:hAnsi="Times New Roman" w:cs="Times New Roman"/>
          <w:sz w:val="28"/>
          <w:szCs w:val="28"/>
        </w:rPr>
        <w:t xml:space="preserve"> „</w:t>
      </w:r>
      <w:r w:rsidR="00BF0ECB" w:rsidRPr="008E6BE7">
        <w:rPr>
          <w:rFonts w:ascii="Times New Roman" w:hAnsi="Times New Roman" w:cs="Times New Roman"/>
          <w:sz w:val="28"/>
          <w:szCs w:val="28"/>
        </w:rPr>
        <w:t>Darbības programmas ”Izaugsme</w:t>
      </w:r>
      <w:r w:rsidRPr="008E6BE7">
        <w:rPr>
          <w:rFonts w:ascii="Times New Roman" w:hAnsi="Times New Roman" w:cs="Times New Roman"/>
          <w:sz w:val="28"/>
          <w:szCs w:val="28"/>
        </w:rPr>
        <w:t xml:space="preserve"> un nodarbinātība”</w:t>
      </w:r>
      <w:r w:rsidR="00BF0ECB" w:rsidRPr="008E6BE7">
        <w:rPr>
          <w:rFonts w:ascii="Times New Roman" w:hAnsi="Times New Roman" w:cs="Times New Roman"/>
          <w:sz w:val="28"/>
          <w:szCs w:val="28"/>
        </w:rPr>
        <w:t xml:space="preserve"> 7.1.1. specifiskā atbalsta mērķa “Paaugstināt bezdarbnieku kvalifikāciju un prasmes atbilstoši darba tirgus pieprasījumam” īstenošanas noteikumi”;</w:t>
      </w:r>
    </w:p>
    <w:p w:rsidR="000736D9" w:rsidRPr="008E6BE7" w:rsidRDefault="000736D9" w:rsidP="00127D19">
      <w:pPr>
        <w:pStyle w:val="ListParagraph"/>
        <w:numPr>
          <w:ilvl w:val="0"/>
          <w:numId w:val="5"/>
        </w:numPr>
        <w:ind w:left="714" w:hanging="357"/>
        <w:jc w:val="both"/>
        <w:rPr>
          <w:rFonts w:ascii="Times New Roman" w:hAnsi="Times New Roman" w:cs="Times New Roman"/>
          <w:sz w:val="28"/>
          <w:szCs w:val="28"/>
        </w:rPr>
      </w:pPr>
      <w:r w:rsidRPr="008E6BE7">
        <w:rPr>
          <w:rFonts w:ascii="Times New Roman" w:hAnsi="Times New Roman" w:cs="Times New Roman"/>
          <w:sz w:val="28"/>
          <w:szCs w:val="28"/>
        </w:rPr>
        <w:t xml:space="preserve">Ministru kabineta 2011. gada 25. janvāra noteikumiem Nr.75 „Noteikumi par aktīvo nodarbinātības pasākumu un preventīvo bezdarba samazināšanas pasākumu organizēšanas un finansēšanas kārtību un pasākumu īstenotāju izvēles principiem” (turpmāk – MK noteikumi Nr.75); </w:t>
      </w:r>
    </w:p>
    <w:p w:rsidR="000736D9" w:rsidRPr="008E6BE7" w:rsidRDefault="000736D9" w:rsidP="00127D19">
      <w:pPr>
        <w:pStyle w:val="ListParagraph"/>
        <w:numPr>
          <w:ilvl w:val="0"/>
          <w:numId w:val="5"/>
        </w:numPr>
        <w:ind w:left="714" w:hanging="357"/>
        <w:jc w:val="both"/>
        <w:rPr>
          <w:rFonts w:ascii="Times New Roman" w:hAnsi="Times New Roman" w:cs="Times New Roman"/>
          <w:sz w:val="28"/>
          <w:szCs w:val="28"/>
        </w:rPr>
      </w:pPr>
      <w:r w:rsidRPr="008E6BE7">
        <w:rPr>
          <w:rFonts w:ascii="Times New Roman" w:hAnsi="Times New Roman" w:cs="Times New Roman"/>
          <w:sz w:val="28"/>
          <w:szCs w:val="28"/>
        </w:rPr>
        <w:t>Noda</w:t>
      </w:r>
      <w:r w:rsidR="00471EDE" w:rsidRPr="008E6BE7">
        <w:rPr>
          <w:rFonts w:ascii="Times New Roman" w:hAnsi="Times New Roman" w:cs="Times New Roman"/>
          <w:sz w:val="28"/>
          <w:szCs w:val="28"/>
        </w:rPr>
        <w:t>rbinātības valsts aģentūras 2015. gada 27. jūlija</w:t>
      </w:r>
      <w:r w:rsidRPr="008E6BE7">
        <w:rPr>
          <w:rFonts w:ascii="Times New Roman" w:hAnsi="Times New Roman" w:cs="Times New Roman"/>
          <w:sz w:val="28"/>
          <w:szCs w:val="28"/>
        </w:rPr>
        <w:t xml:space="preserve"> iekšējo</w:t>
      </w:r>
      <w:r w:rsidR="00471EDE" w:rsidRPr="008E6BE7">
        <w:rPr>
          <w:rFonts w:ascii="Times New Roman" w:hAnsi="Times New Roman" w:cs="Times New Roman"/>
          <w:sz w:val="28"/>
          <w:szCs w:val="28"/>
        </w:rPr>
        <w:t xml:space="preserve"> normatīvo aktu Nr.25</w:t>
      </w:r>
      <w:r w:rsidRPr="008E6BE7">
        <w:rPr>
          <w:rFonts w:ascii="Times New Roman" w:hAnsi="Times New Roman" w:cs="Times New Roman"/>
          <w:sz w:val="28"/>
          <w:szCs w:val="28"/>
        </w:rPr>
        <w:t xml:space="preserve"> Pilotprojekta „Profesionālās tālākizglītības programmu īstenošana bezdarbniekiem valsts vai pašvaldību dibinātās izglītības iestādēs” organizēšanas iekšējie noteikumi; </w:t>
      </w:r>
    </w:p>
    <w:p w:rsidR="000736D9" w:rsidRPr="008E6BE7" w:rsidRDefault="000736D9" w:rsidP="00127D19">
      <w:pPr>
        <w:pStyle w:val="ListParagraph"/>
        <w:numPr>
          <w:ilvl w:val="0"/>
          <w:numId w:val="5"/>
        </w:numPr>
        <w:ind w:left="714" w:hanging="357"/>
        <w:jc w:val="both"/>
        <w:rPr>
          <w:rFonts w:ascii="Times New Roman" w:hAnsi="Times New Roman" w:cs="Times New Roman"/>
          <w:sz w:val="28"/>
          <w:szCs w:val="28"/>
        </w:rPr>
      </w:pPr>
      <w:r w:rsidRPr="008E6BE7">
        <w:rPr>
          <w:rFonts w:ascii="Times New Roman" w:hAnsi="Times New Roman" w:cs="Times New Roman"/>
          <w:sz w:val="28"/>
          <w:szCs w:val="28"/>
        </w:rPr>
        <w:t>Nodarbinātības valsts aģentūras Kvalitātes vadības sistēmas rokasgrāmatas 4.2.36. nodaļu „Pilotprojekts „Profesionālās tālākizglītības programmu īstenošana bezdarbniekiem valsts vai pašvaldību</w:t>
      </w:r>
      <w:r w:rsidR="00BF0ECB" w:rsidRPr="008E6BE7">
        <w:rPr>
          <w:rFonts w:ascii="Times New Roman" w:hAnsi="Times New Roman" w:cs="Times New Roman"/>
          <w:sz w:val="28"/>
          <w:szCs w:val="28"/>
        </w:rPr>
        <w:t xml:space="preserve"> dibinātās izglītības iestādēs”.</w:t>
      </w:r>
    </w:p>
    <w:p w:rsidR="00600AD4" w:rsidRPr="008E6BE7" w:rsidRDefault="00600AD4" w:rsidP="00CE7F2B">
      <w:pPr>
        <w:pStyle w:val="ListParagraph"/>
        <w:ind w:left="714"/>
        <w:jc w:val="both"/>
        <w:rPr>
          <w:rFonts w:ascii="Times New Roman" w:hAnsi="Times New Roman" w:cs="Times New Roman"/>
          <w:sz w:val="28"/>
          <w:szCs w:val="28"/>
        </w:rPr>
      </w:pPr>
    </w:p>
    <w:p w:rsidR="00476C18" w:rsidRPr="008E6BE7" w:rsidRDefault="000736D9" w:rsidP="00CE7F2B">
      <w:pPr>
        <w:pStyle w:val="FootnoteText"/>
        <w:spacing w:after="120"/>
        <w:jc w:val="both"/>
        <w:rPr>
          <w:sz w:val="28"/>
          <w:szCs w:val="28"/>
          <w:u w:val="single"/>
          <w:lang w:eastAsia="en-US"/>
        </w:rPr>
      </w:pPr>
      <w:r w:rsidRPr="008E6BE7">
        <w:rPr>
          <w:sz w:val="28"/>
          <w:szCs w:val="28"/>
          <w:u w:val="single"/>
          <w:lang w:eastAsia="en-US"/>
        </w:rPr>
        <w:t>Izglītības programmas:</w:t>
      </w:r>
    </w:p>
    <w:p w:rsidR="000736D9" w:rsidRPr="008E6BE7" w:rsidRDefault="000736D9" w:rsidP="00CE7F2B">
      <w:pPr>
        <w:pStyle w:val="FootnoteText"/>
        <w:spacing w:after="120"/>
        <w:jc w:val="both"/>
        <w:rPr>
          <w:sz w:val="28"/>
          <w:szCs w:val="28"/>
        </w:rPr>
      </w:pPr>
      <w:proofErr w:type="spellStart"/>
      <w:r w:rsidRPr="008E6BE7">
        <w:rPr>
          <w:sz w:val="28"/>
          <w:szCs w:val="28"/>
          <w:lang w:eastAsia="en-US"/>
        </w:rPr>
        <w:t>Izmēģinājumprojekta</w:t>
      </w:r>
      <w:proofErr w:type="spellEnd"/>
      <w:r w:rsidRPr="008E6BE7">
        <w:rPr>
          <w:sz w:val="28"/>
          <w:szCs w:val="28"/>
          <w:lang w:eastAsia="en-US"/>
        </w:rPr>
        <w:t xml:space="preserve"> profesionālās tālākizglītības programmas tika piemērotas atbilstoši Labklājības ministrijas Apmācību komisijas </w:t>
      </w:r>
      <w:bookmarkStart w:id="7" w:name="_Toc347410197"/>
      <w:r w:rsidRPr="008E6BE7">
        <w:rPr>
          <w:sz w:val="28"/>
          <w:szCs w:val="28"/>
        </w:rPr>
        <w:t xml:space="preserve">apmācību jomu un profesiju sarakstam, kurās nepieciešams veikt bezdarbnieku apmācību, pārkvalifikāciju un kvalifikācijas paaugstināšanu </w:t>
      </w:r>
      <w:bookmarkEnd w:id="7"/>
      <w:r w:rsidR="00450CBC" w:rsidRPr="008E6BE7">
        <w:rPr>
          <w:sz w:val="28"/>
          <w:szCs w:val="28"/>
        </w:rPr>
        <w:t>2015</w:t>
      </w:r>
      <w:r w:rsidRPr="008E6BE7">
        <w:rPr>
          <w:sz w:val="28"/>
          <w:szCs w:val="28"/>
        </w:rPr>
        <w:t>.</w:t>
      </w:r>
      <w:r w:rsidR="00450CBC" w:rsidRPr="008E6BE7">
        <w:rPr>
          <w:sz w:val="28"/>
          <w:szCs w:val="28"/>
        </w:rPr>
        <w:t xml:space="preserve"> un 2016.</w:t>
      </w:r>
      <w:r w:rsidRPr="008E6BE7">
        <w:rPr>
          <w:sz w:val="28"/>
          <w:szCs w:val="28"/>
        </w:rPr>
        <w:t xml:space="preserve"> gadā.</w:t>
      </w:r>
    </w:p>
    <w:p w:rsidR="000634B6" w:rsidRPr="008E6BE7" w:rsidRDefault="000736D9" w:rsidP="00CE7F2B">
      <w:pPr>
        <w:pStyle w:val="FootnoteText"/>
        <w:jc w:val="both"/>
        <w:rPr>
          <w:bCs/>
          <w:i/>
          <w:iCs/>
          <w:spacing w:val="-4"/>
          <w:sz w:val="28"/>
          <w:szCs w:val="28"/>
        </w:rPr>
      </w:pPr>
      <w:r w:rsidRPr="008E6BE7">
        <w:rPr>
          <w:sz w:val="28"/>
          <w:szCs w:val="28"/>
          <w:lang w:eastAsia="en-US"/>
        </w:rPr>
        <w:t xml:space="preserve">Atbilstoši </w:t>
      </w:r>
      <w:r w:rsidRPr="008E6BE7">
        <w:rPr>
          <w:sz w:val="28"/>
          <w:szCs w:val="28"/>
        </w:rPr>
        <w:t>MK noteikumi Nr.75 22.punktam a</w:t>
      </w:r>
      <w:r w:rsidRPr="008E6BE7">
        <w:rPr>
          <w:sz w:val="28"/>
          <w:szCs w:val="28"/>
          <w:lang w:eastAsia="en-US"/>
        </w:rPr>
        <w:t xml:space="preserve">pmācību jomu, izglītības programmas, profesijas un sociālās un profesionālās pamatprasmes, kurās atbilstoši darba tirgus pieprasījumam un tautsaimniecības nozaru attīstības prognozēm nepieciešams veikt bezdarbnieku, darba meklētāju un bezdarba riskam pakļauto personu apmācību, kā arī konkurētspējas paaugstināšanas pasākumu tematiskās jomas ne retāk kā reizi gadā nosaka labklājības ministra izveidota komisija. Komisijas sastāvā iekļauj Labklājības ministrijas, Ekonomikas ministrijas, Izglītības un zinātnes ministrijas, aģentūras, Latvijas </w:t>
      </w:r>
      <w:r w:rsidRPr="008E6BE7">
        <w:rPr>
          <w:sz w:val="28"/>
          <w:szCs w:val="28"/>
          <w:lang w:eastAsia="en-US"/>
        </w:rPr>
        <w:lastRenderedPageBreak/>
        <w:t>Pašvaldību savienības, Latvijas Darba devēju konfederācijas, Latvijas Brīvo arodbiedrību savienības, kā arī, ja nepieciešams, citu kompetento valsts, pašvaldību, augstākās izglītības un zinātnes institūciju vai biedrību un nodibinājumu pārstāvjus un ekspertus</w:t>
      </w:r>
      <w:r w:rsidR="00450CBC" w:rsidRPr="008E6BE7">
        <w:rPr>
          <w:sz w:val="28"/>
          <w:szCs w:val="28"/>
          <w:lang w:eastAsia="en-US"/>
        </w:rPr>
        <w:t>, t.sk. no Nozaru ekspertu padomēm</w:t>
      </w:r>
      <w:r w:rsidRPr="008E6BE7">
        <w:rPr>
          <w:sz w:val="28"/>
          <w:szCs w:val="28"/>
          <w:lang w:eastAsia="en-US"/>
        </w:rPr>
        <w:t>.</w:t>
      </w:r>
    </w:p>
    <w:p w:rsidR="000634B6" w:rsidRPr="008E6BE7" w:rsidRDefault="000634B6" w:rsidP="00CE7F2B">
      <w:pPr>
        <w:pStyle w:val="FootnoteText"/>
        <w:jc w:val="both"/>
        <w:rPr>
          <w:sz w:val="28"/>
          <w:szCs w:val="28"/>
          <w:u w:val="single"/>
          <w:lang w:eastAsia="en-US"/>
        </w:rPr>
      </w:pPr>
    </w:p>
    <w:p w:rsidR="000634B6" w:rsidRPr="008E6BE7" w:rsidRDefault="000736D9" w:rsidP="00CE7F2B">
      <w:pPr>
        <w:pStyle w:val="FootnoteText"/>
        <w:spacing w:after="120"/>
        <w:jc w:val="both"/>
        <w:rPr>
          <w:sz w:val="28"/>
          <w:szCs w:val="28"/>
          <w:u w:val="single"/>
          <w:lang w:eastAsia="en-US"/>
        </w:rPr>
      </w:pPr>
      <w:r w:rsidRPr="008E6BE7">
        <w:rPr>
          <w:sz w:val="28"/>
          <w:szCs w:val="28"/>
          <w:u w:val="single"/>
          <w:lang w:eastAsia="en-US"/>
        </w:rPr>
        <w:t>Finansēšana:</w:t>
      </w:r>
    </w:p>
    <w:p w:rsidR="000736D9" w:rsidRPr="008E6BE7" w:rsidRDefault="000736D9" w:rsidP="00CE7F2B">
      <w:pPr>
        <w:spacing w:after="120" w:line="240" w:lineRule="auto"/>
        <w:jc w:val="both"/>
        <w:rPr>
          <w:rFonts w:ascii="Times New Roman" w:hAnsi="Times New Roman"/>
          <w:sz w:val="28"/>
          <w:szCs w:val="28"/>
        </w:rPr>
      </w:pPr>
      <w:r w:rsidRPr="008E6BE7">
        <w:rPr>
          <w:rFonts w:ascii="Times New Roman" w:hAnsi="Times New Roman"/>
          <w:sz w:val="28"/>
          <w:szCs w:val="28"/>
        </w:rPr>
        <w:t xml:space="preserve">Nodarbinātības valsts aģentūra viena bezdarbnieka tālākizglītības izmaksas sedza, piemērojot MK noteikumu Nr.75 45.punktā noteiktās apmācību izmaksas, kas tiek noteiktas, Ministru kabineta 2007. gada 2. oktobra noteikumu Nr.655 „Noteikumi par profesionālās izglītības programmu īstenošanas izmaksu minimumu uz vienu izglītojamo” 3.pielikumā noteikto koeficientu reizinot ar šādām bāzes vērtībām: </w:t>
      </w:r>
    </w:p>
    <w:p w:rsidR="000736D9" w:rsidRPr="008E6BE7" w:rsidRDefault="000736D9" w:rsidP="00127D19">
      <w:pPr>
        <w:numPr>
          <w:ilvl w:val="0"/>
          <w:numId w:val="3"/>
        </w:numPr>
        <w:spacing w:after="0" w:line="240" w:lineRule="auto"/>
        <w:ind w:left="851"/>
        <w:jc w:val="both"/>
        <w:rPr>
          <w:rFonts w:ascii="Times New Roman" w:hAnsi="Times New Roman"/>
          <w:sz w:val="28"/>
          <w:szCs w:val="28"/>
        </w:rPr>
      </w:pPr>
      <w:r w:rsidRPr="008E6BE7">
        <w:rPr>
          <w:rFonts w:ascii="Times New Roman" w:hAnsi="Times New Roman"/>
          <w:sz w:val="28"/>
          <w:szCs w:val="28"/>
        </w:rPr>
        <w:t>pirmā kvalifikācijas līmeņa profesionālās tālākizglītības programmām ar mācību il</w:t>
      </w:r>
      <w:r w:rsidR="00450CBC" w:rsidRPr="008E6BE7">
        <w:rPr>
          <w:rFonts w:ascii="Times New Roman" w:hAnsi="Times New Roman"/>
          <w:sz w:val="28"/>
          <w:szCs w:val="28"/>
        </w:rPr>
        <w:t>gumu 480 mācību stundas – 540</w:t>
      </w:r>
      <w:r w:rsidRPr="008E6BE7">
        <w:rPr>
          <w:rFonts w:ascii="Times New Roman" w:hAnsi="Times New Roman"/>
          <w:sz w:val="28"/>
          <w:szCs w:val="28"/>
        </w:rPr>
        <w:t xml:space="preserve"> </w:t>
      </w:r>
      <w:proofErr w:type="spellStart"/>
      <w:r w:rsidRPr="008E6BE7">
        <w:rPr>
          <w:rFonts w:ascii="Times New Roman" w:hAnsi="Times New Roman"/>
          <w:i/>
          <w:sz w:val="28"/>
          <w:szCs w:val="28"/>
        </w:rPr>
        <w:t>euro</w:t>
      </w:r>
      <w:proofErr w:type="spellEnd"/>
      <w:r w:rsidRPr="008E6BE7">
        <w:rPr>
          <w:rFonts w:ascii="Times New Roman" w:hAnsi="Times New Roman"/>
          <w:sz w:val="28"/>
          <w:szCs w:val="28"/>
        </w:rPr>
        <w:t xml:space="preserve">; </w:t>
      </w:r>
    </w:p>
    <w:p w:rsidR="000736D9" w:rsidRPr="008E6BE7" w:rsidRDefault="000736D9" w:rsidP="00127D19">
      <w:pPr>
        <w:numPr>
          <w:ilvl w:val="0"/>
          <w:numId w:val="3"/>
        </w:numPr>
        <w:spacing w:after="0" w:line="240" w:lineRule="auto"/>
        <w:ind w:left="851"/>
        <w:jc w:val="both"/>
        <w:rPr>
          <w:rFonts w:ascii="Times New Roman" w:hAnsi="Times New Roman"/>
          <w:sz w:val="28"/>
          <w:szCs w:val="28"/>
        </w:rPr>
      </w:pPr>
      <w:r w:rsidRPr="008E6BE7">
        <w:rPr>
          <w:rFonts w:ascii="Times New Roman" w:hAnsi="Times New Roman"/>
          <w:sz w:val="28"/>
          <w:szCs w:val="28"/>
        </w:rPr>
        <w:t>otrā kvalifikācijas līmeņa profesionālās tālākizglītības programmām ar mācību il</w:t>
      </w:r>
      <w:r w:rsidR="00450CBC" w:rsidRPr="008E6BE7">
        <w:rPr>
          <w:rFonts w:ascii="Times New Roman" w:hAnsi="Times New Roman"/>
          <w:sz w:val="28"/>
          <w:szCs w:val="28"/>
        </w:rPr>
        <w:t>gumu 480 mācību stundas – 540</w:t>
      </w:r>
      <w:r w:rsidRPr="008E6BE7">
        <w:rPr>
          <w:rFonts w:ascii="Times New Roman" w:hAnsi="Times New Roman"/>
          <w:sz w:val="28"/>
          <w:szCs w:val="28"/>
        </w:rPr>
        <w:t xml:space="preserve"> </w:t>
      </w:r>
      <w:proofErr w:type="spellStart"/>
      <w:r w:rsidRPr="008E6BE7">
        <w:rPr>
          <w:rFonts w:ascii="Times New Roman" w:hAnsi="Times New Roman"/>
          <w:i/>
          <w:sz w:val="28"/>
          <w:szCs w:val="28"/>
        </w:rPr>
        <w:t>euro</w:t>
      </w:r>
      <w:proofErr w:type="spellEnd"/>
      <w:r w:rsidR="00450CBC" w:rsidRPr="008E6BE7">
        <w:rPr>
          <w:rFonts w:ascii="Times New Roman" w:hAnsi="Times New Roman"/>
          <w:sz w:val="28"/>
          <w:szCs w:val="28"/>
        </w:rPr>
        <w:t xml:space="preserve">, </w:t>
      </w:r>
      <w:r w:rsidRPr="008E6BE7">
        <w:rPr>
          <w:rFonts w:ascii="Times New Roman" w:hAnsi="Times New Roman"/>
          <w:sz w:val="28"/>
          <w:szCs w:val="28"/>
        </w:rPr>
        <w:t>ar mācību il</w:t>
      </w:r>
      <w:r w:rsidR="00450CBC" w:rsidRPr="008E6BE7">
        <w:rPr>
          <w:rFonts w:ascii="Times New Roman" w:hAnsi="Times New Roman"/>
          <w:sz w:val="28"/>
          <w:szCs w:val="28"/>
        </w:rPr>
        <w:t xml:space="preserve">gumu 640 mācību stundas – 720 </w:t>
      </w:r>
      <w:proofErr w:type="spellStart"/>
      <w:r w:rsidRPr="008E6BE7">
        <w:rPr>
          <w:rFonts w:ascii="Times New Roman" w:hAnsi="Times New Roman"/>
          <w:i/>
          <w:sz w:val="28"/>
          <w:szCs w:val="28"/>
        </w:rPr>
        <w:t>euro</w:t>
      </w:r>
      <w:proofErr w:type="spellEnd"/>
      <w:r w:rsidR="00450CBC" w:rsidRPr="008E6BE7">
        <w:rPr>
          <w:rFonts w:ascii="Times New Roman" w:hAnsi="Times New Roman"/>
          <w:i/>
          <w:sz w:val="28"/>
          <w:szCs w:val="28"/>
        </w:rPr>
        <w:t xml:space="preserve"> </w:t>
      </w:r>
      <w:r w:rsidR="00450CBC" w:rsidRPr="008E6BE7">
        <w:rPr>
          <w:rFonts w:ascii="Times New Roman" w:hAnsi="Times New Roman"/>
          <w:sz w:val="28"/>
          <w:szCs w:val="28"/>
        </w:rPr>
        <w:t xml:space="preserve">vai ar mācību ilgumu 960 mācību stundas – 1100 </w:t>
      </w:r>
      <w:proofErr w:type="spellStart"/>
      <w:r w:rsidR="00450CBC" w:rsidRPr="008E6BE7">
        <w:rPr>
          <w:rFonts w:ascii="Times New Roman" w:hAnsi="Times New Roman"/>
          <w:i/>
          <w:sz w:val="28"/>
          <w:szCs w:val="28"/>
        </w:rPr>
        <w:t>euro</w:t>
      </w:r>
      <w:proofErr w:type="spellEnd"/>
      <w:r w:rsidRPr="008E6BE7">
        <w:rPr>
          <w:rFonts w:ascii="Times New Roman" w:hAnsi="Times New Roman"/>
          <w:sz w:val="28"/>
          <w:szCs w:val="28"/>
        </w:rPr>
        <w:t xml:space="preserve">; </w:t>
      </w:r>
    </w:p>
    <w:p w:rsidR="000736D9" w:rsidRPr="008E6BE7" w:rsidRDefault="000736D9" w:rsidP="00127D19">
      <w:pPr>
        <w:numPr>
          <w:ilvl w:val="0"/>
          <w:numId w:val="3"/>
        </w:numPr>
        <w:spacing w:after="0" w:line="240" w:lineRule="auto"/>
        <w:ind w:left="851"/>
        <w:jc w:val="both"/>
        <w:rPr>
          <w:rFonts w:ascii="Times New Roman" w:hAnsi="Times New Roman"/>
          <w:sz w:val="28"/>
          <w:szCs w:val="28"/>
        </w:rPr>
      </w:pPr>
      <w:r w:rsidRPr="008E6BE7">
        <w:rPr>
          <w:rFonts w:ascii="Times New Roman" w:hAnsi="Times New Roman"/>
          <w:sz w:val="28"/>
          <w:szCs w:val="28"/>
        </w:rPr>
        <w:t>trešā kvalifikācijas līmeņa profesionālās tālākizglītības programmām ar mācību ilgumu no 960 lī</w:t>
      </w:r>
      <w:r w:rsidR="00450CBC" w:rsidRPr="008E6BE7">
        <w:rPr>
          <w:rFonts w:ascii="Times New Roman" w:hAnsi="Times New Roman"/>
          <w:sz w:val="28"/>
          <w:szCs w:val="28"/>
        </w:rPr>
        <w:t>dz 1280 mācību stundām – 1100</w:t>
      </w:r>
      <w:r w:rsidRPr="008E6BE7">
        <w:rPr>
          <w:rFonts w:ascii="Times New Roman" w:hAnsi="Times New Roman"/>
          <w:sz w:val="28"/>
          <w:szCs w:val="28"/>
        </w:rPr>
        <w:t xml:space="preserve"> </w:t>
      </w:r>
      <w:proofErr w:type="spellStart"/>
      <w:r w:rsidRPr="008E6BE7">
        <w:rPr>
          <w:rFonts w:ascii="Times New Roman" w:hAnsi="Times New Roman"/>
          <w:i/>
          <w:sz w:val="28"/>
          <w:szCs w:val="28"/>
        </w:rPr>
        <w:t>euro</w:t>
      </w:r>
      <w:proofErr w:type="spellEnd"/>
      <w:r w:rsidRPr="008E6BE7">
        <w:rPr>
          <w:rFonts w:ascii="Times New Roman" w:hAnsi="Times New Roman"/>
          <w:sz w:val="28"/>
          <w:szCs w:val="28"/>
        </w:rPr>
        <w:t>.</w:t>
      </w:r>
    </w:p>
    <w:p w:rsidR="00995E0D" w:rsidRPr="008E6BE7" w:rsidRDefault="00995E0D" w:rsidP="00995E0D">
      <w:pPr>
        <w:spacing w:after="0" w:line="240" w:lineRule="auto"/>
        <w:jc w:val="both"/>
        <w:rPr>
          <w:rFonts w:ascii="Times New Roman" w:hAnsi="Times New Roman"/>
          <w:sz w:val="28"/>
          <w:szCs w:val="28"/>
        </w:rPr>
      </w:pPr>
    </w:p>
    <w:p w:rsidR="00995E0D" w:rsidRPr="008E6BE7" w:rsidRDefault="00D627CF" w:rsidP="00995E0D">
      <w:pPr>
        <w:spacing w:after="0" w:line="240" w:lineRule="auto"/>
        <w:jc w:val="both"/>
        <w:rPr>
          <w:rFonts w:ascii="Times New Roman" w:hAnsi="Times New Roman"/>
          <w:sz w:val="28"/>
          <w:szCs w:val="28"/>
        </w:rPr>
      </w:pPr>
      <w:r w:rsidRPr="008E6BE7">
        <w:rPr>
          <w:rFonts w:ascii="Times New Roman" w:hAnsi="Times New Roman"/>
          <w:sz w:val="28"/>
          <w:szCs w:val="28"/>
        </w:rPr>
        <w:t>S</w:t>
      </w:r>
      <w:r w:rsidR="00995E0D" w:rsidRPr="008E6BE7">
        <w:rPr>
          <w:rFonts w:ascii="Times New Roman" w:hAnsi="Times New Roman"/>
          <w:sz w:val="28"/>
          <w:szCs w:val="28"/>
        </w:rPr>
        <w:t>tipendijas apmērs profesionālās tālākizglītības apguves laikā 100</w:t>
      </w:r>
      <w:r w:rsidRPr="008E6BE7">
        <w:rPr>
          <w:rFonts w:ascii="Times New Roman" w:hAnsi="Times New Roman"/>
          <w:sz w:val="28"/>
          <w:szCs w:val="28"/>
        </w:rPr>
        <w:t> </w:t>
      </w:r>
      <w:proofErr w:type="spellStart"/>
      <w:r w:rsidR="00995E0D" w:rsidRPr="008E6BE7">
        <w:rPr>
          <w:rFonts w:ascii="Times New Roman" w:hAnsi="Times New Roman"/>
          <w:i/>
          <w:iCs/>
          <w:sz w:val="28"/>
          <w:szCs w:val="28"/>
        </w:rPr>
        <w:t>euro</w:t>
      </w:r>
      <w:proofErr w:type="spellEnd"/>
      <w:r w:rsidR="00995E0D" w:rsidRPr="008E6BE7">
        <w:rPr>
          <w:rFonts w:ascii="Times New Roman" w:hAnsi="Times New Roman"/>
          <w:i/>
          <w:iCs/>
          <w:sz w:val="28"/>
          <w:szCs w:val="28"/>
        </w:rPr>
        <w:t xml:space="preserve"> </w:t>
      </w:r>
      <w:r w:rsidR="00995E0D" w:rsidRPr="008E6BE7">
        <w:rPr>
          <w:rFonts w:ascii="Times New Roman" w:hAnsi="Times New Roman"/>
          <w:sz w:val="28"/>
          <w:szCs w:val="28"/>
        </w:rPr>
        <w:t>mēnes</w:t>
      </w:r>
      <w:r w:rsidRPr="008E6BE7">
        <w:rPr>
          <w:rFonts w:ascii="Times New Roman" w:hAnsi="Times New Roman"/>
          <w:sz w:val="28"/>
          <w:szCs w:val="28"/>
        </w:rPr>
        <w:t>ī, atbilstoši MK noteikumu Nr.75 34.</w:t>
      </w:r>
      <w:r w:rsidRPr="008E6BE7">
        <w:rPr>
          <w:rFonts w:ascii="Times New Roman" w:hAnsi="Times New Roman"/>
          <w:sz w:val="28"/>
          <w:szCs w:val="28"/>
          <w:vertAlign w:val="superscript"/>
        </w:rPr>
        <w:t>8</w:t>
      </w:r>
      <w:r w:rsidRPr="008E6BE7">
        <w:rPr>
          <w:rFonts w:ascii="Times New Roman" w:hAnsi="Times New Roman"/>
          <w:sz w:val="28"/>
          <w:szCs w:val="28"/>
        </w:rPr>
        <w:t xml:space="preserve"> punktā noteiktajam.</w:t>
      </w:r>
    </w:p>
    <w:p w:rsidR="001F2E32" w:rsidRPr="008E6BE7" w:rsidRDefault="001F2E32" w:rsidP="00995E0D">
      <w:pPr>
        <w:spacing w:after="0" w:line="240" w:lineRule="auto"/>
        <w:jc w:val="both"/>
        <w:rPr>
          <w:rFonts w:ascii="Times New Roman" w:hAnsi="Times New Roman"/>
          <w:sz w:val="28"/>
          <w:szCs w:val="28"/>
        </w:rPr>
      </w:pPr>
    </w:p>
    <w:p w:rsidR="00656736" w:rsidRPr="008E6BE7" w:rsidRDefault="006A2BA5" w:rsidP="00656736">
      <w:pPr>
        <w:spacing w:after="0" w:line="240" w:lineRule="auto"/>
        <w:jc w:val="both"/>
        <w:rPr>
          <w:rFonts w:ascii="Times New Roman" w:hAnsi="Times New Roman"/>
          <w:sz w:val="28"/>
          <w:szCs w:val="28"/>
        </w:rPr>
      </w:pPr>
      <w:proofErr w:type="spellStart"/>
      <w:r w:rsidRPr="008E6BE7">
        <w:rPr>
          <w:rFonts w:ascii="Times New Roman" w:hAnsi="Times New Roman"/>
          <w:sz w:val="28"/>
          <w:szCs w:val="28"/>
        </w:rPr>
        <w:t>Izmēģinājumprojekta</w:t>
      </w:r>
      <w:proofErr w:type="spellEnd"/>
      <w:r w:rsidRPr="008E6BE7">
        <w:rPr>
          <w:rFonts w:ascii="Times New Roman" w:hAnsi="Times New Roman"/>
          <w:sz w:val="28"/>
          <w:szCs w:val="28"/>
        </w:rPr>
        <w:t xml:space="preserve"> otrajā kārtā a</w:t>
      </w:r>
      <w:r w:rsidR="001F2E32" w:rsidRPr="008E6BE7">
        <w:rPr>
          <w:rFonts w:ascii="Times New Roman" w:hAnsi="Times New Roman"/>
          <w:sz w:val="28"/>
          <w:szCs w:val="28"/>
        </w:rPr>
        <w:t>tbalsts reģionālajai mobilitātei</w:t>
      </w:r>
      <w:r w:rsidRPr="008E6BE7">
        <w:rPr>
          <w:rFonts w:ascii="Times New Roman" w:hAnsi="Times New Roman"/>
          <w:sz w:val="28"/>
          <w:szCs w:val="28"/>
        </w:rPr>
        <w:t xml:space="preserve"> (turpmāk – mobilitātes pasākums)</w:t>
      </w:r>
      <w:r w:rsidR="001F2E32" w:rsidRPr="008E6BE7">
        <w:rPr>
          <w:rFonts w:ascii="Times New Roman" w:hAnsi="Times New Roman"/>
          <w:sz w:val="28"/>
          <w:szCs w:val="28"/>
        </w:rPr>
        <w:t xml:space="preserve"> </w:t>
      </w:r>
      <w:r w:rsidRPr="008E6BE7">
        <w:rPr>
          <w:rFonts w:ascii="Times New Roman" w:hAnsi="Times New Roman"/>
          <w:sz w:val="28"/>
          <w:szCs w:val="28"/>
        </w:rPr>
        <w:t xml:space="preserve">tika piemērots, atbilstoši MK noteikumu Nr.75 5.nodaļas noteiktajai kārtībai. </w:t>
      </w:r>
      <w:r w:rsidR="00656736" w:rsidRPr="008E6BE7">
        <w:rPr>
          <w:rFonts w:ascii="Times New Roman" w:hAnsi="Times New Roman"/>
          <w:sz w:val="28"/>
          <w:szCs w:val="28"/>
        </w:rPr>
        <w:t>Mobilitātes pasākums paredz nodrošināt finanšu atlīdzību bezdarbniekiem, lai segtu transporta izdevumus braucieniem no dek</w:t>
      </w:r>
      <w:r w:rsidR="00CB7E8F">
        <w:rPr>
          <w:rFonts w:ascii="Times New Roman" w:hAnsi="Times New Roman"/>
          <w:sz w:val="28"/>
          <w:szCs w:val="28"/>
        </w:rPr>
        <w:t>larētās dzīvesvietas uz izglītības apguves</w:t>
      </w:r>
      <w:r w:rsidR="00656736" w:rsidRPr="008E6BE7">
        <w:rPr>
          <w:rFonts w:ascii="Times New Roman" w:hAnsi="Times New Roman"/>
          <w:sz w:val="28"/>
          <w:szCs w:val="28"/>
        </w:rPr>
        <w:t xml:space="preserve"> vietu un atpakaļ un kompensētu izdevumus par dzīvojamās telpas īri vai dzīvošanu dienesta viesnīcā</w:t>
      </w:r>
      <w:r w:rsidR="00DE2588" w:rsidRPr="008E6BE7">
        <w:rPr>
          <w:rFonts w:ascii="Times New Roman" w:hAnsi="Times New Roman"/>
          <w:sz w:val="28"/>
          <w:szCs w:val="28"/>
        </w:rPr>
        <w:t>:</w:t>
      </w:r>
    </w:p>
    <w:p w:rsidR="00DE2588" w:rsidRPr="008E6BE7" w:rsidRDefault="00DE2588" w:rsidP="00127D19">
      <w:pPr>
        <w:numPr>
          <w:ilvl w:val="0"/>
          <w:numId w:val="10"/>
        </w:numPr>
        <w:spacing w:after="0" w:line="240" w:lineRule="auto"/>
        <w:ind w:left="851" w:hanging="425"/>
        <w:jc w:val="both"/>
        <w:rPr>
          <w:rFonts w:ascii="Times New Roman" w:hAnsi="Times New Roman"/>
          <w:sz w:val="28"/>
          <w:szCs w:val="28"/>
        </w:rPr>
      </w:pPr>
      <w:r w:rsidRPr="008E6BE7">
        <w:rPr>
          <w:rFonts w:ascii="Times New Roman" w:hAnsi="Times New Roman"/>
          <w:sz w:val="28"/>
          <w:szCs w:val="28"/>
        </w:rPr>
        <w:t>par apmācību pirmo mēnesi – avanss 100 </w:t>
      </w:r>
      <w:proofErr w:type="spellStart"/>
      <w:r w:rsidRPr="008E6BE7">
        <w:rPr>
          <w:rFonts w:ascii="Times New Roman" w:hAnsi="Times New Roman"/>
          <w:i/>
          <w:iCs/>
          <w:sz w:val="28"/>
          <w:szCs w:val="28"/>
        </w:rPr>
        <w:t>euro</w:t>
      </w:r>
      <w:proofErr w:type="spellEnd"/>
      <w:r w:rsidRPr="008E6BE7">
        <w:rPr>
          <w:rFonts w:ascii="Times New Roman" w:hAnsi="Times New Roman"/>
          <w:i/>
          <w:iCs/>
          <w:sz w:val="28"/>
          <w:szCs w:val="28"/>
        </w:rPr>
        <w:t> </w:t>
      </w:r>
      <w:r w:rsidRPr="008E6BE7">
        <w:rPr>
          <w:rFonts w:ascii="Times New Roman" w:hAnsi="Times New Roman"/>
          <w:sz w:val="28"/>
          <w:szCs w:val="28"/>
        </w:rPr>
        <w:t>apmērā, ko izmaksā piecu darbdienu laikā pēc lēmuma pieņemšanas par finanšu atlīdzības piešķiršanu;</w:t>
      </w:r>
    </w:p>
    <w:p w:rsidR="00DE2588" w:rsidRPr="008E6BE7" w:rsidRDefault="00DE2588" w:rsidP="00127D19">
      <w:pPr>
        <w:numPr>
          <w:ilvl w:val="0"/>
          <w:numId w:val="10"/>
        </w:numPr>
        <w:spacing w:after="0" w:line="240" w:lineRule="auto"/>
        <w:ind w:left="851" w:hanging="425"/>
        <w:jc w:val="both"/>
        <w:rPr>
          <w:rFonts w:ascii="Times New Roman" w:hAnsi="Times New Roman"/>
          <w:sz w:val="28"/>
          <w:szCs w:val="28"/>
        </w:rPr>
      </w:pPr>
      <w:r w:rsidRPr="008E6BE7">
        <w:rPr>
          <w:rFonts w:ascii="Times New Roman" w:hAnsi="Times New Roman"/>
          <w:sz w:val="28"/>
          <w:szCs w:val="28"/>
        </w:rPr>
        <w:t>par nākamajiem apmācību mēnešiem ikmēneša finanšu atlīdzība nepārsniedz 100 </w:t>
      </w:r>
      <w:proofErr w:type="spellStart"/>
      <w:r w:rsidRPr="008E6BE7">
        <w:rPr>
          <w:rFonts w:ascii="Times New Roman" w:hAnsi="Times New Roman"/>
          <w:i/>
          <w:iCs/>
          <w:sz w:val="28"/>
          <w:szCs w:val="28"/>
        </w:rPr>
        <w:t>euro</w:t>
      </w:r>
      <w:proofErr w:type="spellEnd"/>
      <w:r w:rsidRPr="008E6BE7">
        <w:rPr>
          <w:rFonts w:ascii="Times New Roman" w:hAnsi="Times New Roman"/>
          <w:sz w:val="28"/>
          <w:szCs w:val="28"/>
        </w:rPr>
        <w:t xml:space="preserve"> mēnesī. To aprēķina, ņemot vērā katrā mēnesī radušās faktiskās izmaksas par dzīvojamās telpas īri vai dzīvošanu dienesta viesnīcā un transporta izdevumiem, no kurām tiek atskaitīts pirmajā mēnesī saņemtās finanšu atlīdzības summas atlikums, ja </w:t>
      </w:r>
      <w:r w:rsidRPr="008E6BE7">
        <w:rPr>
          <w:rFonts w:ascii="Times New Roman" w:hAnsi="Times New Roman"/>
          <w:sz w:val="28"/>
          <w:szCs w:val="28"/>
        </w:rPr>
        <w:lastRenderedPageBreak/>
        <w:t>izdevumi par dzīvojamās telpas īri vai dzīvošanu dienesta viesnīcā un transportu ir bijuši mazāki par 100 </w:t>
      </w:r>
      <w:proofErr w:type="spellStart"/>
      <w:r w:rsidRPr="008E6BE7">
        <w:rPr>
          <w:rFonts w:ascii="Times New Roman" w:hAnsi="Times New Roman"/>
          <w:sz w:val="28"/>
          <w:szCs w:val="28"/>
        </w:rPr>
        <w:t>euro</w:t>
      </w:r>
      <w:proofErr w:type="spellEnd"/>
      <w:r w:rsidRPr="008E6BE7">
        <w:rPr>
          <w:rFonts w:ascii="Times New Roman" w:hAnsi="Times New Roman"/>
          <w:sz w:val="28"/>
          <w:szCs w:val="28"/>
        </w:rPr>
        <w:t> </w:t>
      </w:r>
      <w:r w:rsidR="0069638F" w:rsidRPr="008E6BE7">
        <w:rPr>
          <w:rFonts w:ascii="Times New Roman" w:hAnsi="Times New Roman"/>
          <w:sz w:val="28"/>
          <w:szCs w:val="28"/>
        </w:rPr>
        <w:t>mēnesī.</w:t>
      </w:r>
    </w:p>
    <w:p w:rsidR="00656736" w:rsidRPr="008E6BE7" w:rsidRDefault="00656736" w:rsidP="00656736">
      <w:pPr>
        <w:spacing w:after="0" w:line="240" w:lineRule="auto"/>
        <w:ind w:firstLine="720"/>
        <w:jc w:val="both"/>
        <w:rPr>
          <w:rFonts w:ascii="Times New Roman" w:hAnsi="Times New Roman"/>
          <w:sz w:val="28"/>
          <w:szCs w:val="28"/>
        </w:rPr>
      </w:pPr>
      <w:r w:rsidRPr="008E6BE7">
        <w:rPr>
          <w:rFonts w:ascii="Times New Roman" w:hAnsi="Times New Roman"/>
          <w:sz w:val="28"/>
          <w:szCs w:val="28"/>
        </w:rPr>
        <w:t xml:space="preserve">Bezdarbnieki, kas atbilda </w:t>
      </w:r>
      <w:proofErr w:type="spellStart"/>
      <w:r w:rsidRPr="008E6BE7">
        <w:rPr>
          <w:rFonts w:ascii="Times New Roman" w:hAnsi="Times New Roman"/>
          <w:sz w:val="28"/>
          <w:szCs w:val="28"/>
        </w:rPr>
        <w:t>izmēģinājumprojekta</w:t>
      </w:r>
      <w:proofErr w:type="spellEnd"/>
      <w:r w:rsidRPr="008E6BE7">
        <w:rPr>
          <w:rFonts w:ascii="Times New Roman" w:hAnsi="Times New Roman"/>
          <w:sz w:val="28"/>
          <w:szCs w:val="28"/>
        </w:rPr>
        <w:t xml:space="preserve"> otrās kārtas mērķa grupai un bija gatavi uzsākt izglītības apguvi </w:t>
      </w:r>
      <w:proofErr w:type="spellStart"/>
      <w:r w:rsidRPr="008E6BE7">
        <w:rPr>
          <w:rFonts w:ascii="Times New Roman" w:hAnsi="Times New Roman"/>
          <w:sz w:val="28"/>
          <w:szCs w:val="28"/>
        </w:rPr>
        <w:t>izmēģinājumprojekta</w:t>
      </w:r>
      <w:proofErr w:type="spellEnd"/>
      <w:r w:rsidRPr="008E6BE7">
        <w:rPr>
          <w:rFonts w:ascii="Times New Roman" w:hAnsi="Times New Roman"/>
          <w:sz w:val="28"/>
          <w:szCs w:val="28"/>
        </w:rPr>
        <w:t xml:space="preserve"> otrās kārtas ietvaros, tika informēti par mobilitātes atbalsta iespējām un mobilitātes atbalsta saņemšanas nosacījumiem.</w:t>
      </w:r>
    </w:p>
    <w:p w:rsidR="00656736" w:rsidRPr="008E6BE7" w:rsidRDefault="00656736" w:rsidP="00656736">
      <w:pPr>
        <w:spacing w:after="0" w:line="240" w:lineRule="auto"/>
        <w:rPr>
          <w:rFonts w:ascii="Times New Roman" w:hAnsi="Times New Roman"/>
          <w:sz w:val="28"/>
          <w:szCs w:val="28"/>
        </w:rPr>
      </w:pPr>
      <w:r w:rsidRPr="008E6BE7">
        <w:rPr>
          <w:rFonts w:ascii="Times New Roman" w:hAnsi="Times New Roman"/>
          <w:sz w:val="28"/>
          <w:szCs w:val="28"/>
        </w:rPr>
        <w:tab/>
        <w:t>Iesaistes nosacījumi paredzēja:</w:t>
      </w:r>
    </w:p>
    <w:p w:rsidR="00656736" w:rsidRPr="008E6BE7" w:rsidRDefault="00656736" w:rsidP="00127D19">
      <w:pPr>
        <w:numPr>
          <w:ilvl w:val="0"/>
          <w:numId w:val="9"/>
        </w:numPr>
        <w:spacing w:after="0" w:line="240" w:lineRule="auto"/>
        <w:ind w:left="851" w:hanging="425"/>
        <w:jc w:val="both"/>
        <w:rPr>
          <w:rFonts w:ascii="Times New Roman" w:hAnsi="Times New Roman"/>
          <w:sz w:val="28"/>
          <w:szCs w:val="28"/>
        </w:rPr>
      </w:pPr>
      <w:r w:rsidRPr="008E6BE7">
        <w:rPr>
          <w:rFonts w:ascii="Times New Roman" w:hAnsi="Times New Roman"/>
          <w:sz w:val="28"/>
          <w:szCs w:val="28"/>
        </w:rPr>
        <w:t>apmācību vieta atrodas vismaz 20 km attālumā no deklarētās dzīvesvietas, un bezdarbnieks norādītajā dzīvesvietā ir deklarēts vismaz sešus mēnešus vai šajā laikā ir mainījis deklarēto dzīvesvietu, un gan jaunā, gan iepriekšējā dzīvesvieta atrodas vienas pašvaldības administratīvajā teritorijā;</w:t>
      </w:r>
    </w:p>
    <w:p w:rsidR="00656736" w:rsidRDefault="00656736" w:rsidP="00995E0D">
      <w:pPr>
        <w:numPr>
          <w:ilvl w:val="0"/>
          <w:numId w:val="9"/>
        </w:numPr>
        <w:spacing w:after="0" w:line="240" w:lineRule="auto"/>
        <w:ind w:left="851" w:hanging="425"/>
        <w:jc w:val="both"/>
        <w:rPr>
          <w:rFonts w:ascii="Times New Roman" w:hAnsi="Times New Roman"/>
          <w:sz w:val="28"/>
          <w:szCs w:val="28"/>
        </w:rPr>
      </w:pPr>
      <w:r w:rsidRPr="008E6BE7">
        <w:rPr>
          <w:rFonts w:ascii="Times New Roman" w:hAnsi="Times New Roman"/>
          <w:sz w:val="28"/>
          <w:szCs w:val="28"/>
        </w:rPr>
        <w:t>ir saņemts bezdarbnieka iesniegums, un NVA filiāle ir pieņēmusi lēmumu par finanšu atlīdzības piešķiršanu.</w:t>
      </w:r>
    </w:p>
    <w:p w:rsidR="0090393A" w:rsidRPr="0090393A" w:rsidRDefault="0090393A" w:rsidP="0090393A">
      <w:pPr>
        <w:spacing w:after="0" w:line="240" w:lineRule="auto"/>
        <w:ind w:left="851"/>
        <w:jc w:val="both"/>
        <w:rPr>
          <w:rFonts w:ascii="Times New Roman" w:hAnsi="Times New Roman"/>
          <w:sz w:val="28"/>
          <w:szCs w:val="28"/>
        </w:rPr>
      </w:pPr>
    </w:p>
    <w:p w:rsidR="0090393A" w:rsidRPr="00AD09AF" w:rsidRDefault="00E31527" w:rsidP="0090393A">
      <w:pPr>
        <w:spacing w:after="0" w:line="240" w:lineRule="auto"/>
        <w:rPr>
          <w:rFonts w:ascii="Times New Roman" w:hAnsi="Times New Roman"/>
          <w:sz w:val="28"/>
          <w:szCs w:val="28"/>
        </w:rPr>
      </w:pPr>
      <w:r w:rsidRPr="00AD09AF">
        <w:rPr>
          <w:rFonts w:ascii="Times New Roman" w:hAnsi="Times New Roman"/>
          <w:sz w:val="28"/>
          <w:szCs w:val="28"/>
          <w:u w:val="single"/>
        </w:rPr>
        <w:t>“Bezdarbnieku apmācība pēc darba devēja pieprasījuma”:</w:t>
      </w:r>
    </w:p>
    <w:p w:rsidR="0090393A" w:rsidRPr="00AD09AF" w:rsidRDefault="00E31527" w:rsidP="0090393A">
      <w:pPr>
        <w:spacing w:after="0" w:line="240" w:lineRule="auto"/>
        <w:rPr>
          <w:rFonts w:ascii="Times New Roman" w:hAnsi="Times New Roman"/>
          <w:sz w:val="28"/>
          <w:szCs w:val="28"/>
        </w:rPr>
      </w:pPr>
      <w:r w:rsidRPr="00AD09AF">
        <w:rPr>
          <w:rFonts w:ascii="Times New Roman" w:hAnsi="Times New Roman"/>
          <w:sz w:val="28"/>
          <w:szCs w:val="28"/>
        </w:rPr>
        <w:br/>
        <w:t>NVA veic bezdarbnieku apmācību atbilstoši uzņēmuma vajadzībām: jebkurā licencētā profesionālās pilnveides, profesionālās tālākizglītības un neformālās izglītības programmā (tai skaitā no Apmācību jomu, profesiju saraksta bezdarbnieku apmācībai).</w:t>
      </w:r>
    </w:p>
    <w:p w:rsidR="00E31527" w:rsidRPr="00AD09AF" w:rsidRDefault="00E31527" w:rsidP="00E31527">
      <w:pPr>
        <w:pStyle w:val="NormalWeb"/>
        <w:spacing w:before="0" w:beforeAutospacing="0" w:after="0" w:afterAutospacing="0"/>
        <w:jc w:val="both"/>
        <w:rPr>
          <w:bCs/>
          <w:sz w:val="28"/>
          <w:szCs w:val="28"/>
          <w:lang w:eastAsia="en-US"/>
        </w:rPr>
      </w:pPr>
      <w:r w:rsidRPr="00AD09AF">
        <w:rPr>
          <w:bCs/>
          <w:sz w:val="28"/>
          <w:szCs w:val="28"/>
          <w:lang w:eastAsia="en-US"/>
        </w:rPr>
        <w:t>Sadarbība:</w:t>
      </w:r>
    </w:p>
    <w:p w:rsidR="00E31527" w:rsidRPr="00AD09AF" w:rsidRDefault="00E31527" w:rsidP="00E31527">
      <w:pPr>
        <w:numPr>
          <w:ilvl w:val="0"/>
          <w:numId w:val="13"/>
        </w:numPr>
        <w:spacing w:after="0" w:line="240" w:lineRule="auto"/>
        <w:jc w:val="both"/>
        <w:rPr>
          <w:rFonts w:ascii="Times New Roman" w:hAnsi="Times New Roman"/>
          <w:sz w:val="28"/>
          <w:szCs w:val="28"/>
        </w:rPr>
      </w:pPr>
      <w:r w:rsidRPr="00AD09AF">
        <w:rPr>
          <w:rFonts w:ascii="Times New Roman" w:hAnsi="Times New Roman"/>
          <w:sz w:val="28"/>
          <w:szCs w:val="28"/>
        </w:rPr>
        <w:t>NVA organizē bezdarbnieku apmācību, ja darba devējs NVA iesniedz rakstisku pieprasījumu apmācību organizēšanai;</w:t>
      </w:r>
    </w:p>
    <w:p w:rsidR="00E31527" w:rsidRPr="00AD09AF" w:rsidRDefault="00E31527" w:rsidP="00E31527">
      <w:pPr>
        <w:numPr>
          <w:ilvl w:val="0"/>
          <w:numId w:val="13"/>
        </w:numPr>
        <w:spacing w:before="100" w:beforeAutospacing="1" w:after="100" w:afterAutospacing="1" w:line="240" w:lineRule="auto"/>
        <w:jc w:val="both"/>
        <w:rPr>
          <w:rFonts w:ascii="Times New Roman" w:hAnsi="Times New Roman"/>
          <w:sz w:val="28"/>
          <w:szCs w:val="28"/>
        </w:rPr>
      </w:pPr>
      <w:r w:rsidRPr="00AD09AF">
        <w:rPr>
          <w:rFonts w:ascii="Times New Roman" w:hAnsi="Times New Roman"/>
          <w:sz w:val="28"/>
          <w:szCs w:val="28"/>
        </w:rPr>
        <w:t>NVA slēdz ar darba devēju atbilstošu līgumu:</w:t>
      </w:r>
    </w:p>
    <w:p w:rsidR="00E31527" w:rsidRPr="00AD09AF" w:rsidRDefault="00E31527" w:rsidP="00E31527">
      <w:pPr>
        <w:numPr>
          <w:ilvl w:val="0"/>
          <w:numId w:val="13"/>
        </w:numPr>
        <w:spacing w:before="100" w:beforeAutospacing="1" w:after="100" w:afterAutospacing="1" w:line="240" w:lineRule="auto"/>
        <w:jc w:val="both"/>
        <w:rPr>
          <w:rFonts w:ascii="Times New Roman" w:hAnsi="Times New Roman"/>
          <w:sz w:val="28"/>
          <w:szCs w:val="28"/>
        </w:rPr>
      </w:pPr>
      <w:r w:rsidRPr="00AD09AF">
        <w:rPr>
          <w:rFonts w:ascii="Times New Roman" w:hAnsi="Times New Roman"/>
          <w:sz w:val="28"/>
          <w:szCs w:val="28"/>
        </w:rPr>
        <w:t>Darba devējs uzņemas pienākumu pēc apmācības pabeigšanas pieņemt bezdarbnieku darbā un nodarbināt attiecīgajā profesijā vismaz sešus mēnešus.</w:t>
      </w:r>
    </w:p>
    <w:p w:rsidR="00E31527" w:rsidRPr="00AD09AF" w:rsidRDefault="00E31527" w:rsidP="00E31527">
      <w:pPr>
        <w:numPr>
          <w:ilvl w:val="0"/>
          <w:numId w:val="13"/>
        </w:numPr>
        <w:spacing w:after="0" w:line="240" w:lineRule="auto"/>
        <w:jc w:val="both"/>
        <w:rPr>
          <w:rFonts w:ascii="Times New Roman" w:hAnsi="Times New Roman"/>
          <w:sz w:val="28"/>
          <w:szCs w:val="28"/>
        </w:rPr>
      </w:pPr>
      <w:r w:rsidRPr="00AD09AF">
        <w:rPr>
          <w:rFonts w:ascii="Times New Roman" w:hAnsi="Times New Roman"/>
          <w:sz w:val="28"/>
          <w:szCs w:val="28"/>
        </w:rPr>
        <w:t>Ja bezdarbnieks bez attaisnojoša iemesla pēc apmācības pabeigšanas netiek pieņemts darbā, darba devējs atmaksā NVA finanšu līdzekļus, kas izlietoti apmācību izmaksu segšanai.</w:t>
      </w:r>
    </w:p>
    <w:p w:rsidR="00E31527" w:rsidRPr="00AD09AF" w:rsidRDefault="00E31527" w:rsidP="00E31527">
      <w:pPr>
        <w:spacing w:after="0" w:line="240" w:lineRule="auto"/>
        <w:jc w:val="both"/>
        <w:rPr>
          <w:rFonts w:ascii="Times New Roman" w:hAnsi="Times New Roman"/>
          <w:sz w:val="28"/>
          <w:szCs w:val="28"/>
        </w:rPr>
      </w:pPr>
      <w:r w:rsidRPr="00AD09AF">
        <w:rPr>
          <w:rFonts w:ascii="Times New Roman" w:hAnsi="Times New Roman"/>
          <w:sz w:val="28"/>
          <w:szCs w:val="28"/>
        </w:rPr>
        <w:t>Darba devēja ieguvumi:</w:t>
      </w:r>
    </w:p>
    <w:p w:rsidR="00E31527" w:rsidRPr="00AD09AF" w:rsidRDefault="00E31527" w:rsidP="00E31527">
      <w:pPr>
        <w:numPr>
          <w:ilvl w:val="0"/>
          <w:numId w:val="14"/>
        </w:numPr>
        <w:spacing w:after="0" w:line="240" w:lineRule="auto"/>
        <w:jc w:val="both"/>
        <w:rPr>
          <w:rFonts w:ascii="Times New Roman" w:hAnsi="Times New Roman"/>
          <w:sz w:val="28"/>
          <w:szCs w:val="28"/>
        </w:rPr>
      </w:pPr>
      <w:r w:rsidRPr="00AD09AF">
        <w:rPr>
          <w:rFonts w:ascii="Times New Roman" w:hAnsi="Times New Roman"/>
          <w:sz w:val="28"/>
          <w:szCs w:val="28"/>
        </w:rPr>
        <w:t>Darba devējs piedalās bezdarbnieku atlasē un iesaistei apmācībā izvēlas savām prasībām atbilstošus pretendentus.</w:t>
      </w:r>
    </w:p>
    <w:p w:rsidR="00E31527" w:rsidRPr="00AD09AF" w:rsidRDefault="00E31527" w:rsidP="00E31527">
      <w:pPr>
        <w:numPr>
          <w:ilvl w:val="0"/>
          <w:numId w:val="14"/>
        </w:numPr>
        <w:spacing w:before="100" w:beforeAutospacing="1" w:after="100" w:afterAutospacing="1" w:line="240" w:lineRule="auto"/>
        <w:jc w:val="both"/>
        <w:rPr>
          <w:rFonts w:ascii="Times New Roman" w:hAnsi="Times New Roman"/>
          <w:sz w:val="28"/>
          <w:szCs w:val="28"/>
        </w:rPr>
      </w:pPr>
      <w:r w:rsidRPr="00AD09AF">
        <w:rPr>
          <w:rFonts w:ascii="Times New Roman" w:hAnsi="Times New Roman"/>
          <w:sz w:val="28"/>
          <w:szCs w:val="28"/>
        </w:rPr>
        <w:t>Darba devējs sadarbībā ar NVA patstāvīgi vai no NVA piedāvājuma izvēlas izglītības iestādi, kas veiks apmācību.</w:t>
      </w:r>
    </w:p>
    <w:p w:rsidR="00E31527" w:rsidRPr="00AD09AF" w:rsidRDefault="00E31527" w:rsidP="00E31527">
      <w:pPr>
        <w:numPr>
          <w:ilvl w:val="0"/>
          <w:numId w:val="14"/>
        </w:numPr>
        <w:spacing w:before="100" w:beforeAutospacing="1" w:after="100" w:afterAutospacing="1" w:line="240" w:lineRule="auto"/>
        <w:jc w:val="both"/>
        <w:rPr>
          <w:rFonts w:ascii="Times New Roman" w:hAnsi="Times New Roman"/>
          <w:sz w:val="28"/>
          <w:szCs w:val="28"/>
        </w:rPr>
      </w:pPr>
      <w:r w:rsidRPr="00AD09AF">
        <w:rPr>
          <w:rFonts w:ascii="Times New Roman" w:hAnsi="Times New Roman"/>
          <w:sz w:val="28"/>
          <w:szCs w:val="28"/>
        </w:rPr>
        <w:t>Darba devējam ir iespēja sadarbībā ar izglītības iestādi izstrādāt jaunu, uzņēmuma specifikai atbilstošu izglītības programmu.</w:t>
      </w:r>
    </w:p>
    <w:p w:rsidR="00E31527" w:rsidRPr="00AD09AF" w:rsidRDefault="00E31527" w:rsidP="00E31527">
      <w:pPr>
        <w:numPr>
          <w:ilvl w:val="0"/>
          <w:numId w:val="14"/>
        </w:numPr>
        <w:spacing w:before="100" w:beforeAutospacing="1" w:after="100" w:afterAutospacing="1" w:line="240" w:lineRule="auto"/>
        <w:jc w:val="both"/>
        <w:rPr>
          <w:rFonts w:ascii="Times New Roman" w:hAnsi="Times New Roman"/>
          <w:sz w:val="28"/>
          <w:szCs w:val="28"/>
        </w:rPr>
      </w:pPr>
      <w:r w:rsidRPr="00AD09AF">
        <w:rPr>
          <w:rFonts w:ascii="Times New Roman" w:hAnsi="Times New Roman"/>
          <w:sz w:val="28"/>
          <w:szCs w:val="28"/>
        </w:rPr>
        <w:lastRenderedPageBreak/>
        <w:t>Profesionālās tālākizglītības programmu apguves laikā darba devējs var nodrošināt bezdarbniekiem programmā noteikto kvalifikācijas praksi, nepieciešamo iemaņu iegūšanai konkrētajā darba vietā.</w:t>
      </w:r>
    </w:p>
    <w:p w:rsidR="00E31527" w:rsidRPr="00AD09AF" w:rsidRDefault="00E31527" w:rsidP="00E31527">
      <w:pPr>
        <w:numPr>
          <w:ilvl w:val="0"/>
          <w:numId w:val="14"/>
        </w:numPr>
        <w:spacing w:before="100" w:beforeAutospacing="1" w:after="100" w:afterAutospacing="1" w:line="240" w:lineRule="auto"/>
        <w:jc w:val="both"/>
        <w:rPr>
          <w:rFonts w:ascii="Times New Roman" w:hAnsi="Times New Roman"/>
          <w:sz w:val="28"/>
          <w:szCs w:val="28"/>
        </w:rPr>
      </w:pPr>
      <w:r w:rsidRPr="00AD09AF">
        <w:rPr>
          <w:rFonts w:ascii="Times New Roman" w:hAnsi="Times New Roman"/>
          <w:sz w:val="28"/>
          <w:szCs w:val="28"/>
        </w:rPr>
        <w:t>NVA sedz visas ar apmācību saistītās izmaksas.</w:t>
      </w:r>
    </w:p>
    <w:p w:rsidR="00E31527" w:rsidRPr="00AD09AF" w:rsidRDefault="00E31527" w:rsidP="00E31527">
      <w:pPr>
        <w:numPr>
          <w:ilvl w:val="0"/>
          <w:numId w:val="14"/>
        </w:numPr>
        <w:spacing w:after="0" w:line="240" w:lineRule="auto"/>
        <w:jc w:val="both"/>
        <w:rPr>
          <w:rFonts w:ascii="Times New Roman" w:hAnsi="Times New Roman"/>
          <w:sz w:val="28"/>
          <w:szCs w:val="28"/>
        </w:rPr>
      </w:pPr>
      <w:r w:rsidRPr="00AD09AF">
        <w:rPr>
          <w:rFonts w:ascii="Times New Roman" w:hAnsi="Times New Roman"/>
          <w:sz w:val="28"/>
          <w:szCs w:val="28"/>
        </w:rPr>
        <w:t>Darba devējs iegūst uzņēmuma specifikai sagatavotus kvalificētus darbiniekus.</w:t>
      </w:r>
    </w:p>
    <w:p w:rsidR="00E31527" w:rsidRPr="00AD09AF" w:rsidRDefault="00E31527" w:rsidP="00C1573B">
      <w:pPr>
        <w:spacing w:after="0" w:line="240" w:lineRule="auto"/>
        <w:jc w:val="both"/>
        <w:rPr>
          <w:rFonts w:ascii="Times New Roman" w:hAnsi="Times New Roman"/>
          <w:sz w:val="28"/>
          <w:szCs w:val="28"/>
        </w:rPr>
      </w:pPr>
      <w:r w:rsidRPr="00AD09AF">
        <w:rPr>
          <w:rFonts w:ascii="Times New Roman" w:hAnsi="Times New Roman"/>
          <w:sz w:val="28"/>
          <w:szCs w:val="28"/>
        </w:rPr>
        <w:t xml:space="preserve">Informācija par pasākumu pieejama arī NVA mājaslapas sadaļā – Darba devējiem (skat. šeit: </w:t>
      </w:r>
      <w:hyperlink r:id="rId9" w:history="1">
        <w:r w:rsidRPr="00AD09AF">
          <w:rPr>
            <w:rStyle w:val="Hyperlink"/>
            <w:rFonts w:ascii="Times New Roman" w:hAnsi="Times New Roman"/>
            <w:color w:val="auto"/>
            <w:sz w:val="28"/>
            <w:szCs w:val="28"/>
          </w:rPr>
          <w:t>http://www.nva.gov.lv/index.php?cid=446</w:t>
        </w:r>
      </w:hyperlink>
      <w:r w:rsidRPr="00AD09AF">
        <w:rPr>
          <w:rFonts w:ascii="Times New Roman" w:hAnsi="Times New Roman"/>
          <w:sz w:val="28"/>
          <w:szCs w:val="28"/>
        </w:rPr>
        <w:t>).</w:t>
      </w:r>
    </w:p>
    <w:p w:rsidR="00C1573B" w:rsidRPr="00AD09AF" w:rsidRDefault="00C1573B" w:rsidP="00C1573B">
      <w:pPr>
        <w:spacing w:after="0" w:line="240" w:lineRule="auto"/>
        <w:jc w:val="both"/>
        <w:rPr>
          <w:rFonts w:ascii="Times New Roman" w:hAnsi="Times New Roman"/>
          <w:sz w:val="28"/>
          <w:szCs w:val="28"/>
        </w:rPr>
      </w:pPr>
    </w:p>
    <w:p w:rsidR="004D62C7" w:rsidRPr="00AD09AF" w:rsidRDefault="009C349C" w:rsidP="00C1573B">
      <w:pPr>
        <w:autoSpaceDE w:val="0"/>
        <w:autoSpaceDN w:val="0"/>
        <w:adjustRightInd w:val="0"/>
        <w:spacing w:before="120" w:after="0" w:line="240" w:lineRule="auto"/>
        <w:jc w:val="both"/>
        <w:rPr>
          <w:rFonts w:ascii="Times New Roman" w:hAnsi="Times New Roman"/>
          <w:sz w:val="28"/>
          <w:szCs w:val="28"/>
          <w:u w:val="single"/>
        </w:rPr>
      </w:pPr>
      <w:r w:rsidRPr="00AD09AF">
        <w:rPr>
          <w:rFonts w:ascii="Times New Roman" w:hAnsi="Times New Roman"/>
          <w:sz w:val="28"/>
          <w:szCs w:val="28"/>
          <w:u w:val="single"/>
        </w:rPr>
        <w:t>Modulāro pr</w:t>
      </w:r>
      <w:r w:rsidR="004D62C7" w:rsidRPr="00AD09AF">
        <w:rPr>
          <w:rFonts w:ascii="Times New Roman" w:hAnsi="Times New Roman"/>
          <w:sz w:val="28"/>
          <w:szCs w:val="28"/>
          <w:u w:val="single"/>
        </w:rPr>
        <w:t>ofesionālās izglītības programmas:</w:t>
      </w:r>
      <w:r w:rsidRPr="00AD09AF">
        <w:rPr>
          <w:rFonts w:ascii="Times New Roman" w:hAnsi="Times New Roman"/>
          <w:sz w:val="28"/>
          <w:szCs w:val="28"/>
          <w:u w:val="single"/>
        </w:rPr>
        <w:t xml:space="preserve"> </w:t>
      </w:r>
    </w:p>
    <w:p w:rsidR="004368AE" w:rsidRPr="00AD09AF" w:rsidRDefault="003C7F36" w:rsidP="00C1573B">
      <w:pPr>
        <w:autoSpaceDE w:val="0"/>
        <w:autoSpaceDN w:val="0"/>
        <w:adjustRightInd w:val="0"/>
        <w:spacing w:before="120" w:after="0" w:line="240" w:lineRule="auto"/>
        <w:jc w:val="both"/>
        <w:rPr>
          <w:rFonts w:ascii="Times New Roman" w:hAnsi="Times New Roman"/>
          <w:sz w:val="28"/>
          <w:szCs w:val="28"/>
        </w:rPr>
      </w:pPr>
      <w:r w:rsidRPr="00AD09AF">
        <w:rPr>
          <w:rFonts w:ascii="Times New Roman" w:hAnsi="Times New Roman"/>
          <w:sz w:val="28"/>
          <w:szCs w:val="28"/>
        </w:rPr>
        <w:t xml:space="preserve">Valsts izglītības satura centrs, ieviešot modulāro profesionālās izglītības programmas, ir uzsācis darbu, lai pārstrukturizētu </w:t>
      </w:r>
      <w:r w:rsidR="009C349C" w:rsidRPr="00AD09AF">
        <w:rPr>
          <w:rFonts w:ascii="Times New Roman" w:hAnsi="Times New Roman"/>
          <w:sz w:val="28"/>
          <w:szCs w:val="28"/>
        </w:rPr>
        <w:t>profesionālās izglītības saturu, ieviešot uz kompetencēm un sasniedzamajiem rezultātiem balstītas izglītības programmas un veicinot profesionālās izglītības elastīgu sasaisti ar aktuālajām darba tirgus prasībām konkrētajā tautsaimniecības nozarē un profesijā.</w:t>
      </w:r>
      <w:r w:rsidR="00207D89" w:rsidRPr="00AD09AF">
        <w:rPr>
          <w:rFonts w:ascii="Times New Roman" w:hAnsi="Times New Roman"/>
          <w:sz w:val="28"/>
          <w:szCs w:val="28"/>
        </w:rPr>
        <w:t xml:space="preserve"> </w:t>
      </w:r>
    </w:p>
    <w:p w:rsidR="009C349C" w:rsidRPr="00AD09AF" w:rsidRDefault="00385FD7" w:rsidP="00C1573B">
      <w:pPr>
        <w:autoSpaceDE w:val="0"/>
        <w:autoSpaceDN w:val="0"/>
        <w:adjustRightInd w:val="0"/>
        <w:spacing w:before="120" w:after="0" w:line="240" w:lineRule="auto"/>
        <w:jc w:val="both"/>
        <w:rPr>
          <w:rFonts w:ascii="Times New Roman" w:hAnsi="Times New Roman"/>
          <w:sz w:val="28"/>
          <w:szCs w:val="28"/>
        </w:rPr>
      </w:pPr>
      <w:r w:rsidRPr="00AD09AF">
        <w:rPr>
          <w:rFonts w:ascii="Times New Roman" w:hAnsi="Times New Roman"/>
          <w:sz w:val="28"/>
          <w:szCs w:val="28"/>
        </w:rPr>
        <w:t>Eiropas Sociālā fonda projekta</w:t>
      </w:r>
      <w:r w:rsidR="003C7F36" w:rsidRPr="00AD09AF">
        <w:rPr>
          <w:rFonts w:ascii="Times New Roman" w:hAnsi="Times New Roman"/>
          <w:sz w:val="28"/>
          <w:szCs w:val="28"/>
        </w:rPr>
        <w:t xml:space="preserve"> </w:t>
      </w:r>
      <w:r w:rsidR="00DD76B1" w:rsidRPr="00AD09AF">
        <w:rPr>
          <w:rFonts w:ascii="Times New Roman" w:hAnsi="Times New Roman"/>
          <w:sz w:val="28"/>
          <w:szCs w:val="28"/>
        </w:rPr>
        <w:t xml:space="preserve">8.5.2. specifiskā atbalsta mērķa "Nodrošināt profesionālās izglītības atbilstību Eiropas kvalifikācijas </w:t>
      </w:r>
      <w:proofErr w:type="spellStart"/>
      <w:r w:rsidR="00DD76B1" w:rsidRPr="00AD09AF">
        <w:rPr>
          <w:rFonts w:ascii="Times New Roman" w:hAnsi="Times New Roman"/>
          <w:sz w:val="28"/>
          <w:szCs w:val="28"/>
        </w:rPr>
        <w:t>ietvarstruktūrai</w:t>
      </w:r>
      <w:proofErr w:type="spellEnd"/>
      <w:r w:rsidR="00DD76B1" w:rsidRPr="00AD09AF">
        <w:rPr>
          <w:rFonts w:ascii="Times New Roman" w:hAnsi="Times New Roman"/>
          <w:sz w:val="28"/>
          <w:szCs w:val="28"/>
        </w:rPr>
        <w:t>"</w:t>
      </w:r>
      <w:r w:rsidR="003C7F36" w:rsidRPr="00AD09AF">
        <w:rPr>
          <w:rFonts w:ascii="Times New Roman" w:hAnsi="Times New Roman"/>
          <w:sz w:val="28"/>
          <w:szCs w:val="28"/>
        </w:rPr>
        <w:t xml:space="preserve"> </w:t>
      </w:r>
      <w:r w:rsidR="003E68C5" w:rsidRPr="00AD09AF">
        <w:rPr>
          <w:rFonts w:ascii="Times New Roman" w:hAnsi="Times New Roman"/>
          <w:sz w:val="28"/>
          <w:szCs w:val="28"/>
        </w:rPr>
        <w:t>ietvaros ir izstrādātas 56</w:t>
      </w:r>
      <w:r w:rsidR="009C349C" w:rsidRPr="00AD09AF">
        <w:rPr>
          <w:rFonts w:ascii="Times New Roman" w:hAnsi="Times New Roman"/>
          <w:sz w:val="28"/>
          <w:szCs w:val="28"/>
        </w:rPr>
        <w:t xml:space="preserve"> modulārās profesionālās izglītības programmas</w:t>
      </w:r>
      <w:r w:rsidR="004D62C7" w:rsidRPr="00AD09AF">
        <w:rPr>
          <w:rFonts w:ascii="Times New Roman" w:hAnsi="Times New Roman"/>
          <w:sz w:val="28"/>
          <w:szCs w:val="28"/>
        </w:rPr>
        <w:t>, tai skaitā 22 sākotnējās profesionālās izglītības programmas un 34 profesionālās tālākizglītības programmas</w:t>
      </w:r>
      <w:r w:rsidR="009C349C" w:rsidRPr="00AD09AF">
        <w:rPr>
          <w:rFonts w:ascii="Times New Roman" w:hAnsi="Times New Roman"/>
          <w:sz w:val="28"/>
          <w:szCs w:val="28"/>
        </w:rPr>
        <w:t>, kuras jau tagad var īste</w:t>
      </w:r>
      <w:r w:rsidR="004D62C7" w:rsidRPr="00AD09AF">
        <w:rPr>
          <w:rFonts w:ascii="Times New Roman" w:hAnsi="Times New Roman"/>
          <w:sz w:val="28"/>
          <w:szCs w:val="28"/>
        </w:rPr>
        <w:t>not izglītības iestādes. P</w:t>
      </w:r>
      <w:r w:rsidR="009C349C" w:rsidRPr="00AD09AF">
        <w:rPr>
          <w:rFonts w:ascii="Times New Roman" w:hAnsi="Times New Roman"/>
          <w:sz w:val="28"/>
          <w:szCs w:val="28"/>
        </w:rPr>
        <w:t>aredzams, ka atlikušajām profesionālajām kvalifikācijām moduļu pieeju būs iespēja</w:t>
      </w:r>
      <w:r w:rsidR="003E68C5" w:rsidRPr="00AD09AF">
        <w:rPr>
          <w:rFonts w:ascii="Times New Roman" w:hAnsi="Times New Roman"/>
          <w:sz w:val="28"/>
          <w:szCs w:val="28"/>
        </w:rPr>
        <w:t>ms īstenot pakāpeniski līdz 2021</w:t>
      </w:r>
      <w:r w:rsidR="009C349C" w:rsidRPr="00AD09AF">
        <w:rPr>
          <w:rFonts w:ascii="Times New Roman" w:hAnsi="Times New Roman"/>
          <w:sz w:val="28"/>
          <w:szCs w:val="28"/>
        </w:rPr>
        <w:t>.gadam</w:t>
      </w:r>
      <w:r w:rsidR="00262465">
        <w:rPr>
          <w:rFonts w:ascii="Times New Roman" w:hAnsi="Times New Roman"/>
          <w:sz w:val="28"/>
          <w:szCs w:val="28"/>
        </w:rPr>
        <w:t>,</w:t>
      </w:r>
      <w:r w:rsidR="009C349C" w:rsidRPr="00AD09AF">
        <w:rPr>
          <w:rFonts w:ascii="Times New Roman" w:hAnsi="Times New Roman"/>
          <w:sz w:val="28"/>
          <w:szCs w:val="28"/>
        </w:rPr>
        <w:t xml:space="preserve"> atbilstoši</w:t>
      </w:r>
      <w:r w:rsidR="004D62C7" w:rsidRPr="00AD09AF">
        <w:rPr>
          <w:rFonts w:ascii="Times New Roman" w:hAnsi="Times New Roman"/>
          <w:sz w:val="28"/>
          <w:szCs w:val="28"/>
        </w:rPr>
        <w:t xml:space="preserve"> </w:t>
      </w:r>
      <w:r w:rsidR="009C349C" w:rsidRPr="00AD09AF">
        <w:rPr>
          <w:rFonts w:ascii="Times New Roman" w:hAnsi="Times New Roman"/>
          <w:sz w:val="28"/>
          <w:szCs w:val="28"/>
        </w:rPr>
        <w:t>sasniegtajiem projekta rezultātiem.</w:t>
      </w:r>
    </w:p>
    <w:p w:rsidR="00D627CF" w:rsidRPr="008E6BE7" w:rsidRDefault="00D627CF" w:rsidP="00CE7F2B">
      <w:pPr>
        <w:spacing w:after="0" w:line="240" w:lineRule="auto"/>
        <w:rPr>
          <w:rFonts w:ascii="Times New Roman" w:hAnsi="Times New Roman"/>
          <w:bCs/>
          <w:iCs/>
          <w:spacing w:val="-4"/>
          <w:sz w:val="28"/>
          <w:szCs w:val="28"/>
        </w:rPr>
      </w:pPr>
    </w:p>
    <w:p w:rsidR="00D627CF" w:rsidRPr="008E6BE7" w:rsidRDefault="00D627CF" w:rsidP="00CE7F2B">
      <w:pPr>
        <w:spacing w:after="0" w:line="240" w:lineRule="auto"/>
        <w:rPr>
          <w:rFonts w:ascii="Times New Roman" w:hAnsi="Times New Roman"/>
          <w:bCs/>
          <w:iCs/>
          <w:spacing w:val="-4"/>
          <w:sz w:val="28"/>
          <w:szCs w:val="28"/>
        </w:rPr>
      </w:pPr>
    </w:p>
    <w:p w:rsidR="00476C18" w:rsidRPr="008E6BE7" w:rsidRDefault="00476C18" w:rsidP="00CE7F2B">
      <w:pPr>
        <w:spacing w:after="0" w:line="240" w:lineRule="auto"/>
        <w:rPr>
          <w:rFonts w:ascii="Times New Roman" w:hAnsi="Times New Roman"/>
          <w:bCs/>
          <w:iCs/>
          <w:spacing w:val="-4"/>
          <w:sz w:val="28"/>
          <w:szCs w:val="28"/>
        </w:rPr>
      </w:pPr>
    </w:p>
    <w:p w:rsidR="00476C18" w:rsidRPr="008E6BE7" w:rsidRDefault="00476C18" w:rsidP="0069638F">
      <w:pPr>
        <w:spacing w:after="0" w:line="240" w:lineRule="auto"/>
        <w:jc w:val="center"/>
        <w:rPr>
          <w:rFonts w:ascii="Times New Roman" w:hAnsi="Times New Roman"/>
          <w:sz w:val="28"/>
          <w:szCs w:val="28"/>
        </w:rPr>
      </w:pPr>
      <w:r w:rsidRPr="008E6BE7">
        <w:rPr>
          <w:rFonts w:ascii="Times New Roman" w:hAnsi="Times New Roman"/>
          <w:sz w:val="28"/>
          <w:szCs w:val="28"/>
        </w:rPr>
        <w:t>Labklājības ministrs</w:t>
      </w:r>
      <w:r w:rsidRPr="008E6BE7">
        <w:rPr>
          <w:rFonts w:ascii="Times New Roman" w:hAnsi="Times New Roman"/>
          <w:sz w:val="28"/>
          <w:szCs w:val="28"/>
        </w:rPr>
        <w:tab/>
      </w:r>
      <w:r w:rsidRPr="008E6BE7">
        <w:rPr>
          <w:rFonts w:ascii="Times New Roman" w:hAnsi="Times New Roman"/>
          <w:sz w:val="28"/>
          <w:szCs w:val="28"/>
        </w:rPr>
        <w:tab/>
      </w:r>
      <w:r w:rsidRPr="008E6BE7">
        <w:rPr>
          <w:rFonts w:ascii="Times New Roman" w:hAnsi="Times New Roman"/>
          <w:sz w:val="28"/>
          <w:szCs w:val="28"/>
        </w:rPr>
        <w:tab/>
      </w:r>
      <w:r w:rsidRPr="008E6BE7">
        <w:rPr>
          <w:rFonts w:ascii="Times New Roman" w:hAnsi="Times New Roman"/>
          <w:sz w:val="28"/>
          <w:szCs w:val="28"/>
        </w:rPr>
        <w:tab/>
      </w:r>
      <w:r w:rsidRPr="008E6BE7">
        <w:rPr>
          <w:rFonts w:ascii="Times New Roman" w:hAnsi="Times New Roman"/>
          <w:sz w:val="28"/>
          <w:szCs w:val="28"/>
        </w:rPr>
        <w:tab/>
      </w:r>
      <w:r w:rsidRPr="008E6BE7">
        <w:rPr>
          <w:rFonts w:ascii="Times New Roman" w:hAnsi="Times New Roman"/>
          <w:sz w:val="28"/>
          <w:szCs w:val="28"/>
        </w:rPr>
        <w:tab/>
      </w:r>
      <w:r w:rsidRPr="008E6BE7">
        <w:rPr>
          <w:rFonts w:ascii="Times New Roman" w:hAnsi="Times New Roman"/>
          <w:sz w:val="28"/>
          <w:szCs w:val="28"/>
        </w:rPr>
        <w:tab/>
      </w:r>
      <w:r w:rsidR="00D627CF" w:rsidRPr="008E6BE7">
        <w:rPr>
          <w:rFonts w:ascii="Times New Roman" w:hAnsi="Times New Roman"/>
          <w:sz w:val="28"/>
          <w:szCs w:val="28"/>
        </w:rPr>
        <w:t>J</w:t>
      </w:r>
      <w:r w:rsidRPr="008E6BE7">
        <w:rPr>
          <w:rFonts w:ascii="Times New Roman" w:hAnsi="Times New Roman"/>
          <w:sz w:val="28"/>
          <w:szCs w:val="28"/>
        </w:rPr>
        <w:t>.</w:t>
      </w:r>
      <w:r w:rsidR="00D627CF" w:rsidRPr="008E6BE7">
        <w:rPr>
          <w:rFonts w:ascii="Times New Roman" w:hAnsi="Times New Roman"/>
          <w:sz w:val="28"/>
          <w:szCs w:val="28"/>
        </w:rPr>
        <w:t>Reirs</w:t>
      </w:r>
    </w:p>
    <w:p w:rsidR="00476C18" w:rsidRPr="008E6BE7" w:rsidRDefault="00476C18" w:rsidP="00CE7F2B">
      <w:pPr>
        <w:spacing w:after="0" w:line="240" w:lineRule="auto"/>
        <w:jc w:val="both"/>
        <w:rPr>
          <w:rStyle w:val="Strong"/>
          <w:rFonts w:ascii="Times New Roman" w:hAnsi="Times New Roman"/>
          <w:b w:val="0"/>
          <w:bCs/>
          <w:sz w:val="28"/>
          <w:szCs w:val="28"/>
        </w:rPr>
      </w:pPr>
    </w:p>
    <w:p w:rsidR="009D2604" w:rsidRPr="008E6BE7" w:rsidRDefault="009D2604" w:rsidP="00CE7F2B">
      <w:pPr>
        <w:spacing w:after="0" w:line="240" w:lineRule="auto"/>
        <w:jc w:val="both"/>
        <w:rPr>
          <w:rStyle w:val="Strong"/>
          <w:rFonts w:ascii="Times New Roman" w:hAnsi="Times New Roman"/>
          <w:b w:val="0"/>
          <w:bCs/>
          <w:sz w:val="28"/>
          <w:szCs w:val="28"/>
        </w:rPr>
      </w:pPr>
    </w:p>
    <w:p w:rsidR="00D627CF" w:rsidRPr="008E6BE7" w:rsidRDefault="00D627CF" w:rsidP="00CE7F2B">
      <w:pPr>
        <w:spacing w:after="0" w:line="240" w:lineRule="auto"/>
        <w:jc w:val="both"/>
        <w:rPr>
          <w:rStyle w:val="Strong"/>
          <w:rFonts w:ascii="Times New Roman" w:hAnsi="Times New Roman"/>
          <w:b w:val="0"/>
          <w:bCs/>
          <w:sz w:val="28"/>
          <w:szCs w:val="28"/>
        </w:rPr>
      </w:pPr>
    </w:p>
    <w:p w:rsidR="0069638F" w:rsidRPr="008E6BE7" w:rsidRDefault="0069638F" w:rsidP="00CE7F2B">
      <w:pPr>
        <w:spacing w:after="0" w:line="240" w:lineRule="auto"/>
        <w:jc w:val="both"/>
        <w:rPr>
          <w:rFonts w:ascii="Times New Roman" w:hAnsi="Times New Roman"/>
          <w:sz w:val="20"/>
          <w:szCs w:val="20"/>
        </w:rPr>
      </w:pPr>
    </w:p>
    <w:p w:rsidR="0069638F" w:rsidRPr="008E6BE7" w:rsidRDefault="0069638F" w:rsidP="00CE7F2B">
      <w:pPr>
        <w:spacing w:after="0" w:line="240" w:lineRule="auto"/>
        <w:jc w:val="both"/>
        <w:rPr>
          <w:rFonts w:ascii="Times New Roman" w:hAnsi="Times New Roman"/>
          <w:sz w:val="20"/>
          <w:szCs w:val="20"/>
        </w:rPr>
      </w:pPr>
    </w:p>
    <w:p w:rsidR="0069638F" w:rsidRPr="008E6BE7" w:rsidRDefault="0069638F" w:rsidP="00CE7F2B">
      <w:pPr>
        <w:spacing w:after="0" w:line="240" w:lineRule="auto"/>
        <w:jc w:val="both"/>
        <w:rPr>
          <w:rFonts w:ascii="Times New Roman" w:hAnsi="Times New Roman"/>
          <w:sz w:val="20"/>
          <w:szCs w:val="20"/>
        </w:rPr>
      </w:pPr>
    </w:p>
    <w:p w:rsidR="0069638F" w:rsidRPr="008E6BE7" w:rsidRDefault="0069638F" w:rsidP="00CE7F2B">
      <w:pPr>
        <w:spacing w:after="0" w:line="240" w:lineRule="auto"/>
        <w:jc w:val="both"/>
        <w:rPr>
          <w:rFonts w:ascii="Times New Roman" w:hAnsi="Times New Roman"/>
          <w:sz w:val="20"/>
          <w:szCs w:val="20"/>
        </w:rPr>
      </w:pPr>
    </w:p>
    <w:p w:rsidR="0069638F" w:rsidRPr="008E6BE7" w:rsidRDefault="0069638F" w:rsidP="00CE7F2B">
      <w:pPr>
        <w:spacing w:after="0" w:line="240" w:lineRule="auto"/>
        <w:jc w:val="both"/>
        <w:rPr>
          <w:rFonts w:ascii="Times New Roman" w:hAnsi="Times New Roman"/>
          <w:sz w:val="20"/>
          <w:szCs w:val="20"/>
        </w:rPr>
      </w:pPr>
    </w:p>
    <w:p w:rsidR="00476C18" w:rsidRPr="001C13F7" w:rsidRDefault="0015234D" w:rsidP="00CE7F2B">
      <w:pPr>
        <w:spacing w:after="0" w:line="240" w:lineRule="auto"/>
        <w:jc w:val="both"/>
        <w:rPr>
          <w:rFonts w:ascii="Times New Roman" w:hAnsi="Times New Roman"/>
          <w:bCs/>
          <w:sz w:val="28"/>
          <w:szCs w:val="28"/>
        </w:rPr>
      </w:pPr>
      <w:r>
        <w:rPr>
          <w:rFonts w:ascii="Times New Roman" w:hAnsi="Times New Roman"/>
          <w:sz w:val="20"/>
          <w:szCs w:val="20"/>
        </w:rPr>
        <w:t>27</w:t>
      </w:r>
      <w:r w:rsidR="001C13F7" w:rsidRPr="001C13F7">
        <w:rPr>
          <w:rFonts w:ascii="Times New Roman" w:hAnsi="Times New Roman"/>
          <w:sz w:val="20"/>
          <w:szCs w:val="20"/>
        </w:rPr>
        <w:t>.02.2017</w:t>
      </w:r>
      <w:r w:rsidR="00476C18" w:rsidRPr="001C13F7">
        <w:rPr>
          <w:rFonts w:ascii="Times New Roman" w:hAnsi="Times New Roman"/>
          <w:sz w:val="20"/>
          <w:szCs w:val="20"/>
        </w:rPr>
        <w:t xml:space="preserve">. </w:t>
      </w:r>
    </w:p>
    <w:p w:rsidR="00476C18" w:rsidRPr="001C13F7" w:rsidRDefault="005546B4" w:rsidP="00CE7F2B">
      <w:pPr>
        <w:spacing w:after="0" w:line="240" w:lineRule="auto"/>
        <w:rPr>
          <w:rFonts w:ascii="Times New Roman" w:hAnsi="Times New Roman"/>
          <w:sz w:val="20"/>
          <w:szCs w:val="20"/>
        </w:rPr>
      </w:pPr>
      <w:r>
        <w:rPr>
          <w:rFonts w:ascii="Times New Roman" w:hAnsi="Times New Roman"/>
          <w:sz w:val="20"/>
          <w:szCs w:val="20"/>
        </w:rPr>
        <w:t>5 935</w:t>
      </w:r>
    </w:p>
    <w:p w:rsidR="00476C18" w:rsidRPr="002D18FD" w:rsidRDefault="00476C18" w:rsidP="00CE7F2B">
      <w:pPr>
        <w:spacing w:after="0" w:line="240" w:lineRule="auto"/>
        <w:rPr>
          <w:rFonts w:ascii="Times New Roman" w:hAnsi="Times New Roman"/>
          <w:sz w:val="20"/>
          <w:szCs w:val="20"/>
        </w:rPr>
      </w:pPr>
      <w:r w:rsidRPr="002D18FD">
        <w:rPr>
          <w:rFonts w:ascii="Times New Roman" w:hAnsi="Times New Roman"/>
          <w:sz w:val="20"/>
          <w:szCs w:val="20"/>
        </w:rPr>
        <w:t xml:space="preserve">R. </w:t>
      </w:r>
      <w:proofErr w:type="spellStart"/>
      <w:r w:rsidRPr="002D18FD">
        <w:rPr>
          <w:rFonts w:ascii="Times New Roman" w:hAnsi="Times New Roman"/>
          <w:sz w:val="20"/>
          <w:szCs w:val="20"/>
        </w:rPr>
        <w:t>Brīdaks</w:t>
      </w:r>
      <w:proofErr w:type="spellEnd"/>
    </w:p>
    <w:p w:rsidR="00674524" w:rsidRDefault="00476C18" w:rsidP="004368AE">
      <w:pPr>
        <w:spacing w:after="0" w:line="240" w:lineRule="auto"/>
        <w:rPr>
          <w:rFonts w:ascii="Times New Roman" w:hAnsi="Times New Roman"/>
          <w:sz w:val="20"/>
          <w:szCs w:val="20"/>
        </w:rPr>
      </w:pPr>
      <w:r w:rsidRPr="002D18FD">
        <w:rPr>
          <w:rFonts w:ascii="Times New Roman" w:hAnsi="Times New Roman"/>
          <w:bCs/>
          <w:sz w:val="20"/>
          <w:szCs w:val="20"/>
        </w:rPr>
        <w:t>6</w:t>
      </w:r>
      <w:r w:rsidR="00D627CF" w:rsidRPr="002D18FD">
        <w:rPr>
          <w:rFonts w:ascii="Times New Roman" w:hAnsi="Times New Roman"/>
          <w:sz w:val="20"/>
          <w:szCs w:val="20"/>
        </w:rPr>
        <w:t>7021508</w:t>
      </w:r>
      <w:r w:rsidRPr="002D18FD">
        <w:rPr>
          <w:rFonts w:ascii="Times New Roman" w:hAnsi="Times New Roman"/>
          <w:bCs/>
          <w:sz w:val="20"/>
          <w:szCs w:val="20"/>
        </w:rPr>
        <w:t xml:space="preserve">, </w:t>
      </w:r>
      <w:hyperlink r:id="rId10" w:history="1">
        <w:r w:rsidRPr="002D18FD">
          <w:rPr>
            <w:rStyle w:val="Hyperlink"/>
            <w:rFonts w:ascii="Times New Roman" w:hAnsi="Times New Roman"/>
            <w:color w:val="auto"/>
            <w:sz w:val="20"/>
            <w:szCs w:val="20"/>
          </w:rPr>
          <w:t>Raimonds.Bridaks@lm.gov.lv</w:t>
        </w:r>
      </w:hyperlink>
    </w:p>
    <w:p w:rsidR="001D063C" w:rsidRPr="00674524" w:rsidRDefault="00674524" w:rsidP="00674524">
      <w:pPr>
        <w:tabs>
          <w:tab w:val="left" w:pos="1188"/>
        </w:tabs>
        <w:rPr>
          <w:rFonts w:ascii="Times New Roman" w:hAnsi="Times New Roman"/>
          <w:sz w:val="20"/>
          <w:szCs w:val="20"/>
        </w:rPr>
      </w:pPr>
      <w:r>
        <w:rPr>
          <w:rFonts w:ascii="Times New Roman" w:hAnsi="Times New Roman"/>
          <w:sz w:val="20"/>
          <w:szCs w:val="20"/>
        </w:rPr>
        <w:tab/>
      </w:r>
    </w:p>
    <w:sectPr w:rsidR="001D063C" w:rsidRPr="00674524" w:rsidSect="00D439E3">
      <w:headerReference w:type="even" r:id="rId11"/>
      <w:headerReference w:type="default" r:id="rId12"/>
      <w:footerReference w:type="default" r:id="rId13"/>
      <w:footerReference w:type="first" r:id="rId14"/>
      <w:pgSz w:w="11906" w:h="16838"/>
      <w:pgMar w:top="1418" w:right="1418"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EE0" w:rsidRDefault="00CD3EE0">
      <w:r>
        <w:separator/>
      </w:r>
    </w:p>
  </w:endnote>
  <w:endnote w:type="continuationSeparator" w:id="0">
    <w:p w:rsidR="00CD3EE0" w:rsidRDefault="00CD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684" w:rsidRPr="000A0A58" w:rsidRDefault="00CB5684" w:rsidP="00572DAE">
    <w:pPr>
      <w:spacing w:after="0" w:line="240" w:lineRule="auto"/>
      <w:jc w:val="both"/>
      <w:rPr>
        <w:rFonts w:ascii="Times New Roman" w:hAnsi="Times New Roman"/>
        <w:color w:val="000000"/>
        <w:sz w:val="20"/>
        <w:szCs w:val="20"/>
      </w:rPr>
    </w:pPr>
    <w:r w:rsidRPr="002D18FD">
      <w:rPr>
        <w:rFonts w:ascii="Times New Roman" w:hAnsi="Times New Roman"/>
        <w:sz w:val="20"/>
        <w:szCs w:val="20"/>
      </w:rPr>
      <w:t>L</w:t>
    </w:r>
    <w:r>
      <w:rPr>
        <w:rFonts w:ascii="Times New Roman" w:hAnsi="Times New Roman"/>
        <w:sz w:val="20"/>
        <w:szCs w:val="20"/>
      </w:rPr>
      <w:t>MZino_270217</w:t>
    </w:r>
    <w:r w:rsidRPr="002D18FD">
      <w:rPr>
        <w:rFonts w:ascii="Times New Roman" w:hAnsi="Times New Roman"/>
        <w:sz w:val="20"/>
        <w:szCs w:val="20"/>
      </w:rPr>
      <w:t>;</w:t>
    </w:r>
    <w:r w:rsidRPr="000A0A58">
      <w:rPr>
        <w:rFonts w:ascii="Times New Roman" w:hAnsi="Times New Roman"/>
        <w:sz w:val="20"/>
        <w:szCs w:val="20"/>
      </w:rPr>
      <w:t xml:space="preserve"> </w:t>
    </w:r>
    <w:r w:rsidRPr="000A0A58">
      <w:rPr>
        <w:rStyle w:val="Strong"/>
        <w:rFonts w:ascii="Times New Roman" w:hAnsi="Times New Roman"/>
        <w:b w:val="0"/>
        <w:sz w:val="20"/>
        <w:szCs w:val="20"/>
      </w:rPr>
      <w:t>Informatīvais ziņojums</w:t>
    </w:r>
    <w:r w:rsidRPr="000A0A58">
      <w:rPr>
        <w:rFonts w:ascii="Times New Roman" w:hAnsi="Times New Roman"/>
        <w:sz w:val="20"/>
        <w:szCs w:val="20"/>
      </w:rPr>
      <w:t xml:space="preserve"> „Par </w:t>
    </w:r>
    <w:proofErr w:type="spellStart"/>
    <w:r w:rsidRPr="000A0A58">
      <w:rPr>
        <w:rFonts w:ascii="Times New Roman" w:hAnsi="Times New Roman"/>
        <w:sz w:val="20"/>
        <w:szCs w:val="20"/>
      </w:rPr>
      <w:t>izmēģnājumprojekta</w:t>
    </w:r>
    <w:proofErr w:type="spellEnd"/>
    <w:r w:rsidRPr="000A0A58">
      <w:rPr>
        <w:rFonts w:ascii="Times New Roman" w:hAnsi="Times New Roman"/>
        <w:sz w:val="20"/>
        <w:szCs w:val="20"/>
      </w:rPr>
      <w:t xml:space="preserve"> „Profesionālās tālākizglītības programmu īstenošana bezdarbniekiem valsts vai pašvaldību dibinātās </w:t>
    </w:r>
    <w:r>
      <w:rPr>
        <w:rFonts w:ascii="Times New Roman" w:hAnsi="Times New Roman"/>
        <w:sz w:val="20"/>
        <w:szCs w:val="20"/>
      </w:rPr>
      <w:t>izglītības iestādēs” otrās kārtas īstenošanu</w:t>
    </w:r>
    <w:r w:rsidRPr="000A0A58">
      <w:rPr>
        <w:rFonts w:ascii="Times New Roman" w:hAnsi="Times New Roman"/>
        <w:color w:val="000000"/>
        <w:sz w:val="20"/>
        <w:szCs w:val="20"/>
      </w:rPr>
      <w:t>”</w:t>
    </w:r>
  </w:p>
  <w:p w:rsidR="00CB5684" w:rsidRDefault="00CB56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684" w:rsidRPr="00CC0220" w:rsidRDefault="00CB5684" w:rsidP="000A0A58">
    <w:pPr>
      <w:spacing w:after="0" w:line="240" w:lineRule="auto"/>
      <w:jc w:val="both"/>
      <w:rPr>
        <w:rFonts w:ascii="Times New Roman" w:hAnsi="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EE0" w:rsidRDefault="00CD3EE0">
      <w:r>
        <w:separator/>
      </w:r>
    </w:p>
  </w:footnote>
  <w:footnote w:type="continuationSeparator" w:id="0">
    <w:p w:rsidR="00CD3EE0" w:rsidRDefault="00CD3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684" w:rsidRDefault="00CB5684" w:rsidP="00D439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5684" w:rsidRDefault="00CB56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684" w:rsidRPr="00D439E3" w:rsidRDefault="00CB5684" w:rsidP="00D439E3">
    <w:pPr>
      <w:pStyle w:val="Header"/>
      <w:framePr w:wrap="around" w:vAnchor="text" w:hAnchor="margin" w:xAlign="center" w:y="1"/>
      <w:jc w:val="center"/>
      <w:rPr>
        <w:rStyle w:val="PageNumber"/>
        <w:rFonts w:ascii="Times New Roman" w:hAnsi="Times New Roman"/>
        <w:sz w:val="24"/>
        <w:szCs w:val="24"/>
      </w:rPr>
    </w:pPr>
    <w:r w:rsidRPr="00D439E3">
      <w:rPr>
        <w:rStyle w:val="PageNumber"/>
        <w:rFonts w:ascii="Times New Roman" w:hAnsi="Times New Roman"/>
        <w:sz w:val="24"/>
        <w:szCs w:val="24"/>
      </w:rPr>
      <w:fldChar w:fldCharType="begin"/>
    </w:r>
    <w:r w:rsidRPr="00D439E3">
      <w:rPr>
        <w:rStyle w:val="PageNumber"/>
        <w:rFonts w:ascii="Times New Roman" w:hAnsi="Times New Roman"/>
        <w:sz w:val="24"/>
        <w:szCs w:val="24"/>
      </w:rPr>
      <w:instrText xml:space="preserve">PAGE  </w:instrText>
    </w:r>
    <w:r w:rsidRPr="00D439E3">
      <w:rPr>
        <w:rStyle w:val="PageNumber"/>
        <w:rFonts w:ascii="Times New Roman" w:hAnsi="Times New Roman"/>
        <w:sz w:val="24"/>
        <w:szCs w:val="24"/>
      </w:rPr>
      <w:fldChar w:fldCharType="separate"/>
    </w:r>
    <w:r w:rsidR="00C61636">
      <w:rPr>
        <w:rStyle w:val="PageNumber"/>
        <w:rFonts w:ascii="Times New Roman" w:hAnsi="Times New Roman"/>
        <w:noProof/>
        <w:sz w:val="24"/>
        <w:szCs w:val="24"/>
      </w:rPr>
      <w:t>23</w:t>
    </w:r>
    <w:r w:rsidRPr="00D439E3">
      <w:rPr>
        <w:rStyle w:val="PageNumber"/>
        <w:rFonts w:ascii="Times New Roman" w:hAnsi="Times New Roman"/>
        <w:sz w:val="24"/>
        <w:szCs w:val="24"/>
      </w:rPr>
      <w:fldChar w:fldCharType="end"/>
    </w:r>
  </w:p>
  <w:p w:rsidR="00CB5684" w:rsidRDefault="00CB5684" w:rsidP="009A00DE">
    <w:pPr>
      <w:pStyle w:val="Header"/>
      <w:framePr w:wrap="around" w:vAnchor="text" w:hAnchor="margin" w:xAlign="center" w:y="1"/>
      <w:rPr>
        <w:rStyle w:val="PageNumber"/>
      </w:rPr>
    </w:pPr>
  </w:p>
  <w:p w:rsidR="00CB5684" w:rsidRDefault="00CB5684" w:rsidP="00D43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0A60"/>
    <w:multiLevelType w:val="multilevel"/>
    <w:tmpl w:val="6172C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B5AD8"/>
    <w:multiLevelType w:val="hybridMultilevel"/>
    <w:tmpl w:val="CFAA2954"/>
    <w:lvl w:ilvl="0" w:tplc="3CA4C766">
      <w:start w:val="1"/>
      <w:numFmt w:val="decimal"/>
      <w:lvlText w:val="%1)"/>
      <w:lvlJc w:val="left"/>
      <w:pPr>
        <w:ind w:left="1364"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AD66A6"/>
    <w:multiLevelType w:val="hybridMultilevel"/>
    <w:tmpl w:val="B544A2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BE399E"/>
    <w:multiLevelType w:val="hybridMultilevel"/>
    <w:tmpl w:val="283A954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E4A6066"/>
    <w:multiLevelType w:val="hybridMultilevel"/>
    <w:tmpl w:val="DBD060BA"/>
    <w:lvl w:ilvl="0" w:tplc="5F104BC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A1488F"/>
    <w:multiLevelType w:val="hybridMultilevel"/>
    <w:tmpl w:val="9CE468AA"/>
    <w:lvl w:ilvl="0" w:tplc="D4042F9E">
      <w:start w:val="1"/>
      <w:numFmt w:val="decimal"/>
      <w:lvlText w:val="%1)"/>
      <w:lvlJc w:val="left"/>
      <w:pPr>
        <w:ind w:left="1364" w:hanging="360"/>
      </w:pPr>
      <w:rPr>
        <w:rFonts w:cs="Times New Roman" w:hint="default"/>
      </w:rPr>
    </w:lvl>
    <w:lvl w:ilvl="1" w:tplc="04260019" w:tentative="1">
      <w:start w:val="1"/>
      <w:numFmt w:val="lowerLetter"/>
      <w:lvlText w:val="%2."/>
      <w:lvlJc w:val="left"/>
      <w:pPr>
        <w:ind w:left="2084" w:hanging="360"/>
      </w:pPr>
      <w:rPr>
        <w:rFonts w:cs="Times New Roman"/>
      </w:rPr>
    </w:lvl>
    <w:lvl w:ilvl="2" w:tplc="0426001B" w:tentative="1">
      <w:start w:val="1"/>
      <w:numFmt w:val="lowerRoman"/>
      <w:lvlText w:val="%3."/>
      <w:lvlJc w:val="right"/>
      <w:pPr>
        <w:ind w:left="2804" w:hanging="180"/>
      </w:pPr>
      <w:rPr>
        <w:rFonts w:cs="Times New Roman"/>
      </w:rPr>
    </w:lvl>
    <w:lvl w:ilvl="3" w:tplc="0426000F" w:tentative="1">
      <w:start w:val="1"/>
      <w:numFmt w:val="decimal"/>
      <w:lvlText w:val="%4."/>
      <w:lvlJc w:val="left"/>
      <w:pPr>
        <w:ind w:left="3524" w:hanging="360"/>
      </w:pPr>
      <w:rPr>
        <w:rFonts w:cs="Times New Roman"/>
      </w:rPr>
    </w:lvl>
    <w:lvl w:ilvl="4" w:tplc="04260019" w:tentative="1">
      <w:start w:val="1"/>
      <w:numFmt w:val="lowerLetter"/>
      <w:lvlText w:val="%5."/>
      <w:lvlJc w:val="left"/>
      <w:pPr>
        <w:ind w:left="4244" w:hanging="360"/>
      </w:pPr>
      <w:rPr>
        <w:rFonts w:cs="Times New Roman"/>
      </w:rPr>
    </w:lvl>
    <w:lvl w:ilvl="5" w:tplc="0426001B" w:tentative="1">
      <w:start w:val="1"/>
      <w:numFmt w:val="lowerRoman"/>
      <w:lvlText w:val="%6."/>
      <w:lvlJc w:val="right"/>
      <w:pPr>
        <w:ind w:left="4964" w:hanging="180"/>
      </w:pPr>
      <w:rPr>
        <w:rFonts w:cs="Times New Roman"/>
      </w:rPr>
    </w:lvl>
    <w:lvl w:ilvl="6" w:tplc="0426000F" w:tentative="1">
      <w:start w:val="1"/>
      <w:numFmt w:val="decimal"/>
      <w:lvlText w:val="%7."/>
      <w:lvlJc w:val="left"/>
      <w:pPr>
        <w:ind w:left="5684" w:hanging="360"/>
      </w:pPr>
      <w:rPr>
        <w:rFonts w:cs="Times New Roman"/>
      </w:rPr>
    </w:lvl>
    <w:lvl w:ilvl="7" w:tplc="04260019" w:tentative="1">
      <w:start w:val="1"/>
      <w:numFmt w:val="lowerLetter"/>
      <w:lvlText w:val="%8."/>
      <w:lvlJc w:val="left"/>
      <w:pPr>
        <w:ind w:left="6404" w:hanging="360"/>
      </w:pPr>
      <w:rPr>
        <w:rFonts w:cs="Times New Roman"/>
      </w:rPr>
    </w:lvl>
    <w:lvl w:ilvl="8" w:tplc="0426001B" w:tentative="1">
      <w:start w:val="1"/>
      <w:numFmt w:val="lowerRoman"/>
      <w:lvlText w:val="%9."/>
      <w:lvlJc w:val="right"/>
      <w:pPr>
        <w:ind w:left="7124" w:hanging="180"/>
      </w:pPr>
      <w:rPr>
        <w:rFonts w:cs="Times New Roman"/>
      </w:rPr>
    </w:lvl>
  </w:abstractNum>
  <w:abstractNum w:abstractNumId="6" w15:restartNumberingAfterBreak="0">
    <w:nsid w:val="22CF1156"/>
    <w:multiLevelType w:val="hybridMultilevel"/>
    <w:tmpl w:val="91E0DFA0"/>
    <w:lvl w:ilvl="0" w:tplc="CB1EF72E">
      <w:numFmt w:val="bullet"/>
      <w:lvlText w:val="-"/>
      <w:lvlJc w:val="left"/>
      <w:pPr>
        <w:tabs>
          <w:tab w:val="num" w:pos="720"/>
        </w:tabs>
        <w:ind w:left="720" w:hanging="360"/>
      </w:pPr>
      <w:rPr>
        <w:rFonts w:ascii="Times New Roman" w:eastAsia="Times New Roman" w:hAnsi="Times New Roman" w:hint="default"/>
      </w:rPr>
    </w:lvl>
    <w:lvl w:ilvl="1" w:tplc="CB1EF72E">
      <w:numFmt w:val="bullet"/>
      <w:lvlText w:val="-"/>
      <w:lvlJc w:val="left"/>
      <w:pPr>
        <w:tabs>
          <w:tab w:val="num" w:pos="1440"/>
        </w:tabs>
        <w:ind w:left="1440" w:hanging="360"/>
      </w:pPr>
      <w:rPr>
        <w:rFonts w:ascii="Times New Roman" w:eastAsia="Times New Roman" w:hAnsi="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75683F"/>
    <w:multiLevelType w:val="hybridMultilevel"/>
    <w:tmpl w:val="06CAE3BA"/>
    <w:lvl w:ilvl="0" w:tplc="04260011">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8" w15:restartNumberingAfterBreak="0">
    <w:nsid w:val="2E9F34E1"/>
    <w:multiLevelType w:val="hybridMultilevel"/>
    <w:tmpl w:val="914E099C"/>
    <w:lvl w:ilvl="0" w:tplc="96108FCC">
      <w:start w:val="112"/>
      <w:numFmt w:val="bullet"/>
      <w:lvlText w:val="-"/>
      <w:lvlJc w:val="left"/>
      <w:pPr>
        <w:ind w:left="720" w:hanging="360"/>
      </w:pPr>
      <w:rPr>
        <w:rFonts w:ascii="Times New Roman" w:eastAsia="Times New Roman" w:hAnsi="Times New Roman" w:cs="Times New Roman"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F66FEC"/>
    <w:multiLevelType w:val="hybridMultilevel"/>
    <w:tmpl w:val="17E291A8"/>
    <w:lvl w:ilvl="0" w:tplc="BC62AD1A">
      <w:start w:val="1"/>
      <w:numFmt w:val="decimal"/>
      <w:lvlText w:val="%1)"/>
      <w:lvlJc w:val="left"/>
      <w:pPr>
        <w:ind w:left="1440" w:hanging="36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10" w15:restartNumberingAfterBreak="0">
    <w:nsid w:val="487624EB"/>
    <w:multiLevelType w:val="multilevel"/>
    <w:tmpl w:val="ECEA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7B7DF0"/>
    <w:multiLevelType w:val="multilevel"/>
    <w:tmpl w:val="42541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5F65F3"/>
    <w:multiLevelType w:val="hybridMultilevel"/>
    <w:tmpl w:val="B456B3B6"/>
    <w:lvl w:ilvl="0" w:tplc="3BBAD124">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9D139C3"/>
    <w:multiLevelType w:val="hybridMultilevel"/>
    <w:tmpl w:val="7234D8CC"/>
    <w:lvl w:ilvl="0" w:tplc="04260011">
      <w:start w:val="1"/>
      <w:numFmt w:val="decimal"/>
      <w:lvlText w:val="%1)"/>
      <w:lvlJc w:val="left"/>
      <w:pPr>
        <w:ind w:left="1364" w:hanging="360"/>
      </w:pPr>
      <w:rPr>
        <w:rFonts w:cs="Times New Roman"/>
      </w:rPr>
    </w:lvl>
    <w:lvl w:ilvl="1" w:tplc="04260019" w:tentative="1">
      <w:start w:val="1"/>
      <w:numFmt w:val="lowerLetter"/>
      <w:lvlText w:val="%2."/>
      <w:lvlJc w:val="left"/>
      <w:pPr>
        <w:ind w:left="2084" w:hanging="360"/>
      </w:pPr>
      <w:rPr>
        <w:rFonts w:cs="Times New Roman"/>
      </w:rPr>
    </w:lvl>
    <w:lvl w:ilvl="2" w:tplc="0426001B" w:tentative="1">
      <w:start w:val="1"/>
      <w:numFmt w:val="lowerRoman"/>
      <w:lvlText w:val="%3."/>
      <w:lvlJc w:val="right"/>
      <w:pPr>
        <w:ind w:left="2804" w:hanging="180"/>
      </w:pPr>
      <w:rPr>
        <w:rFonts w:cs="Times New Roman"/>
      </w:rPr>
    </w:lvl>
    <w:lvl w:ilvl="3" w:tplc="0426000F" w:tentative="1">
      <w:start w:val="1"/>
      <w:numFmt w:val="decimal"/>
      <w:lvlText w:val="%4."/>
      <w:lvlJc w:val="left"/>
      <w:pPr>
        <w:ind w:left="3524" w:hanging="360"/>
      </w:pPr>
      <w:rPr>
        <w:rFonts w:cs="Times New Roman"/>
      </w:rPr>
    </w:lvl>
    <w:lvl w:ilvl="4" w:tplc="04260019" w:tentative="1">
      <w:start w:val="1"/>
      <w:numFmt w:val="lowerLetter"/>
      <w:lvlText w:val="%5."/>
      <w:lvlJc w:val="left"/>
      <w:pPr>
        <w:ind w:left="4244" w:hanging="360"/>
      </w:pPr>
      <w:rPr>
        <w:rFonts w:cs="Times New Roman"/>
      </w:rPr>
    </w:lvl>
    <w:lvl w:ilvl="5" w:tplc="0426001B" w:tentative="1">
      <w:start w:val="1"/>
      <w:numFmt w:val="lowerRoman"/>
      <w:lvlText w:val="%6."/>
      <w:lvlJc w:val="right"/>
      <w:pPr>
        <w:ind w:left="4964" w:hanging="180"/>
      </w:pPr>
      <w:rPr>
        <w:rFonts w:cs="Times New Roman"/>
      </w:rPr>
    </w:lvl>
    <w:lvl w:ilvl="6" w:tplc="0426000F" w:tentative="1">
      <w:start w:val="1"/>
      <w:numFmt w:val="decimal"/>
      <w:lvlText w:val="%7."/>
      <w:lvlJc w:val="left"/>
      <w:pPr>
        <w:ind w:left="5684" w:hanging="360"/>
      </w:pPr>
      <w:rPr>
        <w:rFonts w:cs="Times New Roman"/>
      </w:rPr>
    </w:lvl>
    <w:lvl w:ilvl="7" w:tplc="04260019" w:tentative="1">
      <w:start w:val="1"/>
      <w:numFmt w:val="lowerLetter"/>
      <w:lvlText w:val="%8."/>
      <w:lvlJc w:val="left"/>
      <w:pPr>
        <w:ind w:left="6404" w:hanging="360"/>
      </w:pPr>
      <w:rPr>
        <w:rFonts w:cs="Times New Roman"/>
      </w:rPr>
    </w:lvl>
    <w:lvl w:ilvl="8" w:tplc="0426001B" w:tentative="1">
      <w:start w:val="1"/>
      <w:numFmt w:val="lowerRoman"/>
      <w:lvlText w:val="%9."/>
      <w:lvlJc w:val="right"/>
      <w:pPr>
        <w:ind w:left="7124" w:hanging="180"/>
      </w:pPr>
      <w:rPr>
        <w:rFonts w:cs="Times New Roman"/>
      </w:rPr>
    </w:lvl>
  </w:abstractNum>
  <w:abstractNum w:abstractNumId="14" w15:restartNumberingAfterBreak="0">
    <w:nsid w:val="6AEA6B01"/>
    <w:multiLevelType w:val="hybridMultilevel"/>
    <w:tmpl w:val="BBBA641E"/>
    <w:lvl w:ilvl="0" w:tplc="CF126ABA">
      <w:start w:val="1"/>
      <w:numFmt w:val="decimal"/>
      <w:lvlText w:val="%1)"/>
      <w:lvlJc w:val="left"/>
      <w:pPr>
        <w:ind w:left="1440" w:hanging="36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num w:numId="1">
    <w:abstractNumId w:val="4"/>
  </w:num>
  <w:num w:numId="2">
    <w:abstractNumId w:val="7"/>
  </w:num>
  <w:num w:numId="3">
    <w:abstractNumId w:val="13"/>
  </w:num>
  <w:num w:numId="4">
    <w:abstractNumId w:val="6"/>
  </w:num>
  <w:num w:numId="5">
    <w:abstractNumId w:val="8"/>
  </w:num>
  <w:num w:numId="6">
    <w:abstractNumId w:val="14"/>
  </w:num>
  <w:num w:numId="7">
    <w:abstractNumId w:val="9"/>
  </w:num>
  <w:num w:numId="8">
    <w:abstractNumId w:val="12"/>
  </w:num>
  <w:num w:numId="9">
    <w:abstractNumId w:val="1"/>
  </w:num>
  <w:num w:numId="10">
    <w:abstractNumId w:val="5"/>
  </w:num>
  <w:num w:numId="11">
    <w:abstractNumId w:val="2"/>
  </w:num>
  <w:num w:numId="12">
    <w:abstractNumId w:val="10"/>
  </w:num>
  <w:num w:numId="13">
    <w:abstractNumId w:val="11"/>
  </w:num>
  <w:num w:numId="14">
    <w:abstractNumId w:val="0"/>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C0"/>
    <w:rsid w:val="0000070C"/>
    <w:rsid w:val="000027BA"/>
    <w:rsid w:val="0000294D"/>
    <w:rsid w:val="000040C9"/>
    <w:rsid w:val="0000529C"/>
    <w:rsid w:val="00005B66"/>
    <w:rsid w:val="00012573"/>
    <w:rsid w:val="00012DA8"/>
    <w:rsid w:val="000150FC"/>
    <w:rsid w:val="000154F8"/>
    <w:rsid w:val="00015BC8"/>
    <w:rsid w:val="00017153"/>
    <w:rsid w:val="00017FE3"/>
    <w:rsid w:val="00021937"/>
    <w:rsid w:val="00021D4D"/>
    <w:rsid w:val="000245D5"/>
    <w:rsid w:val="000246AB"/>
    <w:rsid w:val="0002717C"/>
    <w:rsid w:val="0002755E"/>
    <w:rsid w:val="00027E30"/>
    <w:rsid w:val="000304E2"/>
    <w:rsid w:val="00030B50"/>
    <w:rsid w:val="00031FF4"/>
    <w:rsid w:val="00032E34"/>
    <w:rsid w:val="00036E0B"/>
    <w:rsid w:val="00037334"/>
    <w:rsid w:val="00041662"/>
    <w:rsid w:val="00043347"/>
    <w:rsid w:val="000455CD"/>
    <w:rsid w:val="00046318"/>
    <w:rsid w:val="00047F20"/>
    <w:rsid w:val="00050F49"/>
    <w:rsid w:val="00052533"/>
    <w:rsid w:val="00054570"/>
    <w:rsid w:val="00054D5E"/>
    <w:rsid w:val="0005577D"/>
    <w:rsid w:val="000634B6"/>
    <w:rsid w:val="000652CE"/>
    <w:rsid w:val="00065DEF"/>
    <w:rsid w:val="00065ED3"/>
    <w:rsid w:val="000671DE"/>
    <w:rsid w:val="00067502"/>
    <w:rsid w:val="00072254"/>
    <w:rsid w:val="000736D9"/>
    <w:rsid w:val="00073B4B"/>
    <w:rsid w:val="000744B1"/>
    <w:rsid w:val="00076177"/>
    <w:rsid w:val="00076300"/>
    <w:rsid w:val="000765AB"/>
    <w:rsid w:val="00082AF0"/>
    <w:rsid w:val="00083DC1"/>
    <w:rsid w:val="00084068"/>
    <w:rsid w:val="00087981"/>
    <w:rsid w:val="00091C54"/>
    <w:rsid w:val="0009261E"/>
    <w:rsid w:val="000938C7"/>
    <w:rsid w:val="00095A42"/>
    <w:rsid w:val="00097BC3"/>
    <w:rsid w:val="000A0A58"/>
    <w:rsid w:val="000A0DBF"/>
    <w:rsid w:val="000A3AFC"/>
    <w:rsid w:val="000A4AF0"/>
    <w:rsid w:val="000A68A6"/>
    <w:rsid w:val="000B0210"/>
    <w:rsid w:val="000B17D3"/>
    <w:rsid w:val="000B3073"/>
    <w:rsid w:val="000B3C93"/>
    <w:rsid w:val="000B3F31"/>
    <w:rsid w:val="000B6770"/>
    <w:rsid w:val="000B7F11"/>
    <w:rsid w:val="000C0FF1"/>
    <w:rsid w:val="000C13AE"/>
    <w:rsid w:val="000C2E76"/>
    <w:rsid w:val="000C3316"/>
    <w:rsid w:val="000C3821"/>
    <w:rsid w:val="000C4CB6"/>
    <w:rsid w:val="000C4D61"/>
    <w:rsid w:val="000C4FE2"/>
    <w:rsid w:val="000C578D"/>
    <w:rsid w:val="000C5A07"/>
    <w:rsid w:val="000D2073"/>
    <w:rsid w:val="000E06DC"/>
    <w:rsid w:val="000E211C"/>
    <w:rsid w:val="000E274E"/>
    <w:rsid w:val="000E2F26"/>
    <w:rsid w:val="000E4EA2"/>
    <w:rsid w:val="000E64B5"/>
    <w:rsid w:val="000E7DA9"/>
    <w:rsid w:val="000F055E"/>
    <w:rsid w:val="000F3E9D"/>
    <w:rsid w:val="000F41EA"/>
    <w:rsid w:val="000F698D"/>
    <w:rsid w:val="00100FF1"/>
    <w:rsid w:val="00101485"/>
    <w:rsid w:val="00102B5A"/>
    <w:rsid w:val="00102DDD"/>
    <w:rsid w:val="00110177"/>
    <w:rsid w:val="00112073"/>
    <w:rsid w:val="001137C0"/>
    <w:rsid w:val="00113811"/>
    <w:rsid w:val="00115394"/>
    <w:rsid w:val="00120C3F"/>
    <w:rsid w:val="00121F19"/>
    <w:rsid w:val="001228BD"/>
    <w:rsid w:val="001230D3"/>
    <w:rsid w:val="00124632"/>
    <w:rsid w:val="001266E7"/>
    <w:rsid w:val="00127D19"/>
    <w:rsid w:val="00131201"/>
    <w:rsid w:val="001312C3"/>
    <w:rsid w:val="00137E6C"/>
    <w:rsid w:val="001416A4"/>
    <w:rsid w:val="00145B47"/>
    <w:rsid w:val="00146353"/>
    <w:rsid w:val="001466F7"/>
    <w:rsid w:val="00147BB0"/>
    <w:rsid w:val="0015039E"/>
    <w:rsid w:val="00152189"/>
    <w:rsid w:val="001522D5"/>
    <w:rsid w:val="0015234D"/>
    <w:rsid w:val="00154919"/>
    <w:rsid w:val="00154BE1"/>
    <w:rsid w:val="001568EB"/>
    <w:rsid w:val="0015729C"/>
    <w:rsid w:val="00157495"/>
    <w:rsid w:val="0016025C"/>
    <w:rsid w:val="001603EA"/>
    <w:rsid w:val="00162008"/>
    <w:rsid w:val="00162C45"/>
    <w:rsid w:val="00164673"/>
    <w:rsid w:val="001667AC"/>
    <w:rsid w:val="00167166"/>
    <w:rsid w:val="001706C1"/>
    <w:rsid w:val="00170B3A"/>
    <w:rsid w:val="0017510B"/>
    <w:rsid w:val="001752D2"/>
    <w:rsid w:val="001808DB"/>
    <w:rsid w:val="00181FA0"/>
    <w:rsid w:val="00182AF9"/>
    <w:rsid w:val="001856B5"/>
    <w:rsid w:val="00186213"/>
    <w:rsid w:val="00191C58"/>
    <w:rsid w:val="00192A03"/>
    <w:rsid w:val="001951AC"/>
    <w:rsid w:val="00196C1F"/>
    <w:rsid w:val="001A03F5"/>
    <w:rsid w:val="001A0FEE"/>
    <w:rsid w:val="001A3A92"/>
    <w:rsid w:val="001A4F23"/>
    <w:rsid w:val="001A5E6C"/>
    <w:rsid w:val="001A704D"/>
    <w:rsid w:val="001B087B"/>
    <w:rsid w:val="001B640F"/>
    <w:rsid w:val="001C07AF"/>
    <w:rsid w:val="001C0B7A"/>
    <w:rsid w:val="001C13F7"/>
    <w:rsid w:val="001C6DB0"/>
    <w:rsid w:val="001D063C"/>
    <w:rsid w:val="001D222A"/>
    <w:rsid w:val="001D263D"/>
    <w:rsid w:val="001D45B4"/>
    <w:rsid w:val="001D6804"/>
    <w:rsid w:val="001E0E29"/>
    <w:rsid w:val="001E161A"/>
    <w:rsid w:val="001E1C02"/>
    <w:rsid w:val="001E22FB"/>
    <w:rsid w:val="001E3E57"/>
    <w:rsid w:val="001E5318"/>
    <w:rsid w:val="001E5814"/>
    <w:rsid w:val="001E5E86"/>
    <w:rsid w:val="001E63FB"/>
    <w:rsid w:val="001F09F8"/>
    <w:rsid w:val="001F0B79"/>
    <w:rsid w:val="001F2E32"/>
    <w:rsid w:val="001F3868"/>
    <w:rsid w:val="001F3A2C"/>
    <w:rsid w:val="001F3B84"/>
    <w:rsid w:val="001F63DD"/>
    <w:rsid w:val="00203025"/>
    <w:rsid w:val="00203277"/>
    <w:rsid w:val="002047B7"/>
    <w:rsid w:val="00204EA9"/>
    <w:rsid w:val="00206E7F"/>
    <w:rsid w:val="00207D89"/>
    <w:rsid w:val="00210DA9"/>
    <w:rsid w:val="002120AD"/>
    <w:rsid w:val="00213F2E"/>
    <w:rsid w:val="00214A5E"/>
    <w:rsid w:val="00214C90"/>
    <w:rsid w:val="002162E5"/>
    <w:rsid w:val="0022087A"/>
    <w:rsid w:val="00220F1A"/>
    <w:rsid w:val="0022138B"/>
    <w:rsid w:val="00221A40"/>
    <w:rsid w:val="002249CA"/>
    <w:rsid w:val="00224D0F"/>
    <w:rsid w:val="0022720E"/>
    <w:rsid w:val="00227B5B"/>
    <w:rsid w:val="00231A41"/>
    <w:rsid w:val="0023369A"/>
    <w:rsid w:val="002338DF"/>
    <w:rsid w:val="00233DDF"/>
    <w:rsid w:val="00240150"/>
    <w:rsid w:val="002428F5"/>
    <w:rsid w:val="00242C7E"/>
    <w:rsid w:val="002453E7"/>
    <w:rsid w:val="00245C0D"/>
    <w:rsid w:val="00247BB2"/>
    <w:rsid w:val="002513F0"/>
    <w:rsid w:val="00251CBD"/>
    <w:rsid w:val="00251FD6"/>
    <w:rsid w:val="00254D0B"/>
    <w:rsid w:val="00256211"/>
    <w:rsid w:val="00261808"/>
    <w:rsid w:val="00262465"/>
    <w:rsid w:val="00264469"/>
    <w:rsid w:val="002647B1"/>
    <w:rsid w:val="00265A89"/>
    <w:rsid w:val="0026618A"/>
    <w:rsid w:val="00266CDB"/>
    <w:rsid w:val="00267423"/>
    <w:rsid w:val="00271680"/>
    <w:rsid w:val="00274EE9"/>
    <w:rsid w:val="00277D06"/>
    <w:rsid w:val="0028088A"/>
    <w:rsid w:val="002821D6"/>
    <w:rsid w:val="002829BB"/>
    <w:rsid w:val="00284519"/>
    <w:rsid w:val="00284889"/>
    <w:rsid w:val="00285BDA"/>
    <w:rsid w:val="00285D12"/>
    <w:rsid w:val="00286815"/>
    <w:rsid w:val="0029333C"/>
    <w:rsid w:val="00294D1A"/>
    <w:rsid w:val="00294EAC"/>
    <w:rsid w:val="00297AF8"/>
    <w:rsid w:val="002A065B"/>
    <w:rsid w:val="002A16F5"/>
    <w:rsid w:val="002A2206"/>
    <w:rsid w:val="002A3540"/>
    <w:rsid w:val="002A38C0"/>
    <w:rsid w:val="002B00F2"/>
    <w:rsid w:val="002B0B83"/>
    <w:rsid w:val="002B2188"/>
    <w:rsid w:val="002B4112"/>
    <w:rsid w:val="002B50B7"/>
    <w:rsid w:val="002B5B06"/>
    <w:rsid w:val="002B6770"/>
    <w:rsid w:val="002B790C"/>
    <w:rsid w:val="002C0BC3"/>
    <w:rsid w:val="002C17C9"/>
    <w:rsid w:val="002C1C80"/>
    <w:rsid w:val="002C2E64"/>
    <w:rsid w:val="002C3CC4"/>
    <w:rsid w:val="002C5B9C"/>
    <w:rsid w:val="002C6465"/>
    <w:rsid w:val="002C68FE"/>
    <w:rsid w:val="002C71FD"/>
    <w:rsid w:val="002D18FD"/>
    <w:rsid w:val="002D6A10"/>
    <w:rsid w:val="002D73E8"/>
    <w:rsid w:val="002E07F3"/>
    <w:rsid w:val="002E18FA"/>
    <w:rsid w:val="002E341B"/>
    <w:rsid w:val="002E3C32"/>
    <w:rsid w:val="002E4C17"/>
    <w:rsid w:val="002E7565"/>
    <w:rsid w:val="002F0177"/>
    <w:rsid w:val="002F58ED"/>
    <w:rsid w:val="00304C7B"/>
    <w:rsid w:val="00304F75"/>
    <w:rsid w:val="0030552C"/>
    <w:rsid w:val="003068F0"/>
    <w:rsid w:val="00306A7B"/>
    <w:rsid w:val="00306B64"/>
    <w:rsid w:val="00306C36"/>
    <w:rsid w:val="0031039F"/>
    <w:rsid w:val="00311610"/>
    <w:rsid w:val="00314A1E"/>
    <w:rsid w:val="00315A5E"/>
    <w:rsid w:val="0031749E"/>
    <w:rsid w:val="00317919"/>
    <w:rsid w:val="00320F04"/>
    <w:rsid w:val="003231D6"/>
    <w:rsid w:val="003262FD"/>
    <w:rsid w:val="00326C29"/>
    <w:rsid w:val="00330C67"/>
    <w:rsid w:val="0033342E"/>
    <w:rsid w:val="003336C7"/>
    <w:rsid w:val="0033405C"/>
    <w:rsid w:val="00337F30"/>
    <w:rsid w:val="00337F9E"/>
    <w:rsid w:val="00340C81"/>
    <w:rsid w:val="00342537"/>
    <w:rsid w:val="00343BD2"/>
    <w:rsid w:val="003452E1"/>
    <w:rsid w:val="00347A69"/>
    <w:rsid w:val="00347E5B"/>
    <w:rsid w:val="00353063"/>
    <w:rsid w:val="00353525"/>
    <w:rsid w:val="00354DAD"/>
    <w:rsid w:val="00360B8E"/>
    <w:rsid w:val="00363600"/>
    <w:rsid w:val="00363D55"/>
    <w:rsid w:val="00363E7D"/>
    <w:rsid w:val="00364B44"/>
    <w:rsid w:val="00370746"/>
    <w:rsid w:val="0037151E"/>
    <w:rsid w:val="00371A43"/>
    <w:rsid w:val="00373614"/>
    <w:rsid w:val="00374F8F"/>
    <w:rsid w:val="0037640A"/>
    <w:rsid w:val="00376D4F"/>
    <w:rsid w:val="0037702F"/>
    <w:rsid w:val="003805A2"/>
    <w:rsid w:val="00380D12"/>
    <w:rsid w:val="00383520"/>
    <w:rsid w:val="00384989"/>
    <w:rsid w:val="00384E46"/>
    <w:rsid w:val="0038545B"/>
    <w:rsid w:val="00385B72"/>
    <w:rsid w:val="00385FD7"/>
    <w:rsid w:val="00386348"/>
    <w:rsid w:val="00387963"/>
    <w:rsid w:val="00390271"/>
    <w:rsid w:val="00391276"/>
    <w:rsid w:val="0039505B"/>
    <w:rsid w:val="00395E1C"/>
    <w:rsid w:val="00396D03"/>
    <w:rsid w:val="003A0D4A"/>
    <w:rsid w:val="003A30F1"/>
    <w:rsid w:val="003A4052"/>
    <w:rsid w:val="003B0D83"/>
    <w:rsid w:val="003B1049"/>
    <w:rsid w:val="003B2D84"/>
    <w:rsid w:val="003B40D4"/>
    <w:rsid w:val="003B5100"/>
    <w:rsid w:val="003C00A9"/>
    <w:rsid w:val="003C24BF"/>
    <w:rsid w:val="003C2B81"/>
    <w:rsid w:val="003C36D7"/>
    <w:rsid w:val="003C36E2"/>
    <w:rsid w:val="003C55E8"/>
    <w:rsid w:val="003C7F36"/>
    <w:rsid w:val="003D0235"/>
    <w:rsid w:val="003D04C6"/>
    <w:rsid w:val="003D098F"/>
    <w:rsid w:val="003D33EA"/>
    <w:rsid w:val="003D4A40"/>
    <w:rsid w:val="003D4E99"/>
    <w:rsid w:val="003D6C43"/>
    <w:rsid w:val="003D7265"/>
    <w:rsid w:val="003E0587"/>
    <w:rsid w:val="003E2438"/>
    <w:rsid w:val="003E68C5"/>
    <w:rsid w:val="003E697B"/>
    <w:rsid w:val="003F2E49"/>
    <w:rsid w:val="003F6E6B"/>
    <w:rsid w:val="003F71BF"/>
    <w:rsid w:val="00400A58"/>
    <w:rsid w:val="00401B64"/>
    <w:rsid w:val="004035C6"/>
    <w:rsid w:val="004039C5"/>
    <w:rsid w:val="00403F6C"/>
    <w:rsid w:val="004050EC"/>
    <w:rsid w:val="004055E8"/>
    <w:rsid w:val="00406475"/>
    <w:rsid w:val="00406648"/>
    <w:rsid w:val="00411766"/>
    <w:rsid w:val="0041211E"/>
    <w:rsid w:val="00413C68"/>
    <w:rsid w:val="004146C8"/>
    <w:rsid w:val="00415244"/>
    <w:rsid w:val="0041711A"/>
    <w:rsid w:val="00421893"/>
    <w:rsid w:val="00422400"/>
    <w:rsid w:val="004224FB"/>
    <w:rsid w:val="0042359E"/>
    <w:rsid w:val="00425BBD"/>
    <w:rsid w:val="00426C3B"/>
    <w:rsid w:val="004274DA"/>
    <w:rsid w:val="004351B8"/>
    <w:rsid w:val="0043610E"/>
    <w:rsid w:val="00436438"/>
    <w:rsid w:val="004368AE"/>
    <w:rsid w:val="004400A7"/>
    <w:rsid w:val="00442433"/>
    <w:rsid w:val="00443A7D"/>
    <w:rsid w:val="00444396"/>
    <w:rsid w:val="00446AE0"/>
    <w:rsid w:val="00447C71"/>
    <w:rsid w:val="0045086B"/>
    <w:rsid w:val="00450CBC"/>
    <w:rsid w:val="0045188A"/>
    <w:rsid w:val="00451EF6"/>
    <w:rsid w:val="00452DF9"/>
    <w:rsid w:val="00453385"/>
    <w:rsid w:val="004545DD"/>
    <w:rsid w:val="00454EC3"/>
    <w:rsid w:val="00457386"/>
    <w:rsid w:val="00462039"/>
    <w:rsid w:val="004621CB"/>
    <w:rsid w:val="00464E64"/>
    <w:rsid w:val="0046508D"/>
    <w:rsid w:val="00471444"/>
    <w:rsid w:val="00471DBB"/>
    <w:rsid w:val="00471EDE"/>
    <w:rsid w:val="00476C18"/>
    <w:rsid w:val="00477571"/>
    <w:rsid w:val="0047796C"/>
    <w:rsid w:val="00481E56"/>
    <w:rsid w:val="00484E0E"/>
    <w:rsid w:val="00485BB1"/>
    <w:rsid w:val="004869AA"/>
    <w:rsid w:val="004906DC"/>
    <w:rsid w:val="00491360"/>
    <w:rsid w:val="00492AA2"/>
    <w:rsid w:val="004944B0"/>
    <w:rsid w:val="00494CF7"/>
    <w:rsid w:val="004960E5"/>
    <w:rsid w:val="004A04E4"/>
    <w:rsid w:val="004A3AD5"/>
    <w:rsid w:val="004A7961"/>
    <w:rsid w:val="004B1464"/>
    <w:rsid w:val="004B502C"/>
    <w:rsid w:val="004B54E5"/>
    <w:rsid w:val="004B6C20"/>
    <w:rsid w:val="004B7999"/>
    <w:rsid w:val="004C0E4B"/>
    <w:rsid w:val="004C1793"/>
    <w:rsid w:val="004C1EA5"/>
    <w:rsid w:val="004C21A9"/>
    <w:rsid w:val="004C448D"/>
    <w:rsid w:val="004C4901"/>
    <w:rsid w:val="004C5AA1"/>
    <w:rsid w:val="004C7B75"/>
    <w:rsid w:val="004C7FAC"/>
    <w:rsid w:val="004D06C5"/>
    <w:rsid w:val="004D3906"/>
    <w:rsid w:val="004D422C"/>
    <w:rsid w:val="004D478A"/>
    <w:rsid w:val="004D517E"/>
    <w:rsid w:val="004D5D31"/>
    <w:rsid w:val="004D62C7"/>
    <w:rsid w:val="004D669C"/>
    <w:rsid w:val="004D74EE"/>
    <w:rsid w:val="004D7991"/>
    <w:rsid w:val="004E0936"/>
    <w:rsid w:val="004E0C0D"/>
    <w:rsid w:val="004E2F41"/>
    <w:rsid w:val="004E4499"/>
    <w:rsid w:val="004E5860"/>
    <w:rsid w:val="004F00B7"/>
    <w:rsid w:val="004F0F2A"/>
    <w:rsid w:val="004F25A2"/>
    <w:rsid w:val="004F368B"/>
    <w:rsid w:val="004F4444"/>
    <w:rsid w:val="004F5FE6"/>
    <w:rsid w:val="00500155"/>
    <w:rsid w:val="005020DB"/>
    <w:rsid w:val="00503F24"/>
    <w:rsid w:val="00504977"/>
    <w:rsid w:val="005060D7"/>
    <w:rsid w:val="005063B5"/>
    <w:rsid w:val="00507EAF"/>
    <w:rsid w:val="00511279"/>
    <w:rsid w:val="00512357"/>
    <w:rsid w:val="005127A2"/>
    <w:rsid w:val="00512972"/>
    <w:rsid w:val="00512D3A"/>
    <w:rsid w:val="005142B4"/>
    <w:rsid w:val="00515E9F"/>
    <w:rsid w:val="00520650"/>
    <w:rsid w:val="00520C1C"/>
    <w:rsid w:val="005219D4"/>
    <w:rsid w:val="00522D9F"/>
    <w:rsid w:val="00524530"/>
    <w:rsid w:val="0052464A"/>
    <w:rsid w:val="00526AF5"/>
    <w:rsid w:val="00527434"/>
    <w:rsid w:val="0053182E"/>
    <w:rsid w:val="00532572"/>
    <w:rsid w:val="005328F0"/>
    <w:rsid w:val="005377A4"/>
    <w:rsid w:val="005416AB"/>
    <w:rsid w:val="00542477"/>
    <w:rsid w:val="00542E9E"/>
    <w:rsid w:val="00543586"/>
    <w:rsid w:val="00543DEA"/>
    <w:rsid w:val="00547240"/>
    <w:rsid w:val="005477B4"/>
    <w:rsid w:val="0055076B"/>
    <w:rsid w:val="005512E5"/>
    <w:rsid w:val="005530DE"/>
    <w:rsid w:val="005546B4"/>
    <w:rsid w:val="00554A18"/>
    <w:rsid w:val="00556214"/>
    <w:rsid w:val="0056188D"/>
    <w:rsid w:val="00572DAE"/>
    <w:rsid w:val="00573121"/>
    <w:rsid w:val="00573124"/>
    <w:rsid w:val="005747FD"/>
    <w:rsid w:val="00574B71"/>
    <w:rsid w:val="00574D61"/>
    <w:rsid w:val="0058014D"/>
    <w:rsid w:val="00580944"/>
    <w:rsid w:val="00583DD8"/>
    <w:rsid w:val="00584D39"/>
    <w:rsid w:val="00585404"/>
    <w:rsid w:val="00585ED1"/>
    <w:rsid w:val="00586952"/>
    <w:rsid w:val="00586EA0"/>
    <w:rsid w:val="0058764C"/>
    <w:rsid w:val="0058797B"/>
    <w:rsid w:val="00590852"/>
    <w:rsid w:val="005946E3"/>
    <w:rsid w:val="00595170"/>
    <w:rsid w:val="005954EF"/>
    <w:rsid w:val="00595771"/>
    <w:rsid w:val="005969E1"/>
    <w:rsid w:val="0059735E"/>
    <w:rsid w:val="00597834"/>
    <w:rsid w:val="00597AC7"/>
    <w:rsid w:val="005A0A2C"/>
    <w:rsid w:val="005A0C4D"/>
    <w:rsid w:val="005A1C60"/>
    <w:rsid w:val="005A1E17"/>
    <w:rsid w:val="005A2C43"/>
    <w:rsid w:val="005A339D"/>
    <w:rsid w:val="005A362F"/>
    <w:rsid w:val="005A7674"/>
    <w:rsid w:val="005B2BC9"/>
    <w:rsid w:val="005B3209"/>
    <w:rsid w:val="005B4B0C"/>
    <w:rsid w:val="005B4E87"/>
    <w:rsid w:val="005B7991"/>
    <w:rsid w:val="005C19E2"/>
    <w:rsid w:val="005C2076"/>
    <w:rsid w:val="005D23CE"/>
    <w:rsid w:val="005D259D"/>
    <w:rsid w:val="005D3D63"/>
    <w:rsid w:val="005D5CD8"/>
    <w:rsid w:val="005D66B0"/>
    <w:rsid w:val="005E0708"/>
    <w:rsid w:val="005E08B0"/>
    <w:rsid w:val="005E2236"/>
    <w:rsid w:val="005E4B8A"/>
    <w:rsid w:val="005E6AA3"/>
    <w:rsid w:val="005F0A80"/>
    <w:rsid w:val="005F51DD"/>
    <w:rsid w:val="00600AD4"/>
    <w:rsid w:val="00600F0D"/>
    <w:rsid w:val="006030AE"/>
    <w:rsid w:val="00604546"/>
    <w:rsid w:val="006045A6"/>
    <w:rsid w:val="00604785"/>
    <w:rsid w:val="00604ABE"/>
    <w:rsid w:val="00605CF9"/>
    <w:rsid w:val="00606308"/>
    <w:rsid w:val="006068AA"/>
    <w:rsid w:val="006070DC"/>
    <w:rsid w:val="00612A3A"/>
    <w:rsid w:val="00615C4D"/>
    <w:rsid w:val="006218E3"/>
    <w:rsid w:val="00625CE4"/>
    <w:rsid w:val="00626163"/>
    <w:rsid w:val="00627CF7"/>
    <w:rsid w:val="00634FA0"/>
    <w:rsid w:val="006352FD"/>
    <w:rsid w:val="00635798"/>
    <w:rsid w:val="00636D87"/>
    <w:rsid w:val="00637364"/>
    <w:rsid w:val="0064127F"/>
    <w:rsid w:val="00642993"/>
    <w:rsid w:val="00642D66"/>
    <w:rsid w:val="006440AA"/>
    <w:rsid w:val="00644E86"/>
    <w:rsid w:val="00650071"/>
    <w:rsid w:val="006516CC"/>
    <w:rsid w:val="00651980"/>
    <w:rsid w:val="00653D7E"/>
    <w:rsid w:val="00654157"/>
    <w:rsid w:val="00654747"/>
    <w:rsid w:val="00654B2A"/>
    <w:rsid w:val="00655D5C"/>
    <w:rsid w:val="00656736"/>
    <w:rsid w:val="006613BE"/>
    <w:rsid w:val="006626CC"/>
    <w:rsid w:val="006647C0"/>
    <w:rsid w:val="00664C01"/>
    <w:rsid w:val="00665C8A"/>
    <w:rsid w:val="00666A84"/>
    <w:rsid w:val="00667E08"/>
    <w:rsid w:val="00670B23"/>
    <w:rsid w:val="00670EF1"/>
    <w:rsid w:val="006725BD"/>
    <w:rsid w:val="0067363D"/>
    <w:rsid w:val="00674524"/>
    <w:rsid w:val="00675F70"/>
    <w:rsid w:val="00676286"/>
    <w:rsid w:val="0067702D"/>
    <w:rsid w:val="0067799C"/>
    <w:rsid w:val="00680768"/>
    <w:rsid w:val="00683A44"/>
    <w:rsid w:val="00683FFD"/>
    <w:rsid w:val="00685FF9"/>
    <w:rsid w:val="00686A42"/>
    <w:rsid w:val="0068715C"/>
    <w:rsid w:val="006873A2"/>
    <w:rsid w:val="006874AE"/>
    <w:rsid w:val="00687C0B"/>
    <w:rsid w:val="006930B3"/>
    <w:rsid w:val="0069377B"/>
    <w:rsid w:val="00695AB0"/>
    <w:rsid w:val="0069638F"/>
    <w:rsid w:val="006A2631"/>
    <w:rsid w:val="006A2BA5"/>
    <w:rsid w:val="006A3FE6"/>
    <w:rsid w:val="006A4318"/>
    <w:rsid w:val="006A4C80"/>
    <w:rsid w:val="006A5707"/>
    <w:rsid w:val="006A57B9"/>
    <w:rsid w:val="006A5F9E"/>
    <w:rsid w:val="006A631F"/>
    <w:rsid w:val="006A7DB5"/>
    <w:rsid w:val="006B191E"/>
    <w:rsid w:val="006B2150"/>
    <w:rsid w:val="006B288E"/>
    <w:rsid w:val="006B33E4"/>
    <w:rsid w:val="006B6276"/>
    <w:rsid w:val="006B6A4A"/>
    <w:rsid w:val="006C24C5"/>
    <w:rsid w:val="006C5AF9"/>
    <w:rsid w:val="006C741B"/>
    <w:rsid w:val="006D0CF6"/>
    <w:rsid w:val="006D0EF2"/>
    <w:rsid w:val="006D157F"/>
    <w:rsid w:val="006D3D92"/>
    <w:rsid w:val="006D695B"/>
    <w:rsid w:val="006D6E78"/>
    <w:rsid w:val="006D7EED"/>
    <w:rsid w:val="006E02C2"/>
    <w:rsid w:val="006E1B99"/>
    <w:rsid w:val="006E1E89"/>
    <w:rsid w:val="006E2E7B"/>
    <w:rsid w:val="006E3CEB"/>
    <w:rsid w:val="006E42C8"/>
    <w:rsid w:val="006E436C"/>
    <w:rsid w:val="006E4E9F"/>
    <w:rsid w:val="006E5CE0"/>
    <w:rsid w:val="006E5FB3"/>
    <w:rsid w:val="006E6891"/>
    <w:rsid w:val="006F0A50"/>
    <w:rsid w:val="006F2985"/>
    <w:rsid w:val="006F319B"/>
    <w:rsid w:val="006F4E5A"/>
    <w:rsid w:val="006F5DB4"/>
    <w:rsid w:val="007001C5"/>
    <w:rsid w:val="00700FB0"/>
    <w:rsid w:val="007034C5"/>
    <w:rsid w:val="0070417D"/>
    <w:rsid w:val="0070503C"/>
    <w:rsid w:val="007057B4"/>
    <w:rsid w:val="00706871"/>
    <w:rsid w:val="00712291"/>
    <w:rsid w:val="00715EDD"/>
    <w:rsid w:val="007160DC"/>
    <w:rsid w:val="00720441"/>
    <w:rsid w:val="0072068C"/>
    <w:rsid w:val="00721EA7"/>
    <w:rsid w:val="007262E3"/>
    <w:rsid w:val="007267D6"/>
    <w:rsid w:val="00726B92"/>
    <w:rsid w:val="00730C57"/>
    <w:rsid w:val="00732857"/>
    <w:rsid w:val="0073350E"/>
    <w:rsid w:val="0073374B"/>
    <w:rsid w:val="007343FF"/>
    <w:rsid w:val="007362AB"/>
    <w:rsid w:val="00736CFA"/>
    <w:rsid w:val="007408B3"/>
    <w:rsid w:val="00741278"/>
    <w:rsid w:val="00743070"/>
    <w:rsid w:val="0074308F"/>
    <w:rsid w:val="007437E1"/>
    <w:rsid w:val="00744191"/>
    <w:rsid w:val="00745BBF"/>
    <w:rsid w:val="007463BA"/>
    <w:rsid w:val="00751DBF"/>
    <w:rsid w:val="00753AB3"/>
    <w:rsid w:val="00760D60"/>
    <w:rsid w:val="007647F1"/>
    <w:rsid w:val="007652EC"/>
    <w:rsid w:val="00765874"/>
    <w:rsid w:val="007679D1"/>
    <w:rsid w:val="00774C64"/>
    <w:rsid w:val="007765EE"/>
    <w:rsid w:val="00776625"/>
    <w:rsid w:val="007769C6"/>
    <w:rsid w:val="00777128"/>
    <w:rsid w:val="00780293"/>
    <w:rsid w:val="00782E3D"/>
    <w:rsid w:val="00783060"/>
    <w:rsid w:val="00783E02"/>
    <w:rsid w:val="00785162"/>
    <w:rsid w:val="007856B7"/>
    <w:rsid w:val="00785ADA"/>
    <w:rsid w:val="0078675F"/>
    <w:rsid w:val="00787D93"/>
    <w:rsid w:val="00796504"/>
    <w:rsid w:val="007978DB"/>
    <w:rsid w:val="007A3554"/>
    <w:rsid w:val="007A4D4F"/>
    <w:rsid w:val="007A60D5"/>
    <w:rsid w:val="007B3AC0"/>
    <w:rsid w:val="007B46C5"/>
    <w:rsid w:val="007B5DAC"/>
    <w:rsid w:val="007B7931"/>
    <w:rsid w:val="007B7FEC"/>
    <w:rsid w:val="007C20D9"/>
    <w:rsid w:val="007C57A6"/>
    <w:rsid w:val="007D675F"/>
    <w:rsid w:val="007D72CD"/>
    <w:rsid w:val="007E0746"/>
    <w:rsid w:val="007E1012"/>
    <w:rsid w:val="007E1440"/>
    <w:rsid w:val="007E5358"/>
    <w:rsid w:val="007E6465"/>
    <w:rsid w:val="007E6984"/>
    <w:rsid w:val="007F241E"/>
    <w:rsid w:val="007F2AFF"/>
    <w:rsid w:val="007F317E"/>
    <w:rsid w:val="007F3D4E"/>
    <w:rsid w:val="007F3EB0"/>
    <w:rsid w:val="007F409B"/>
    <w:rsid w:val="007F4A3C"/>
    <w:rsid w:val="007F5242"/>
    <w:rsid w:val="007F5C72"/>
    <w:rsid w:val="007F5D96"/>
    <w:rsid w:val="007F7762"/>
    <w:rsid w:val="007F7F15"/>
    <w:rsid w:val="007F7FEF"/>
    <w:rsid w:val="00803D56"/>
    <w:rsid w:val="00804B04"/>
    <w:rsid w:val="00804F8D"/>
    <w:rsid w:val="00811A89"/>
    <w:rsid w:val="00813091"/>
    <w:rsid w:val="00813E9C"/>
    <w:rsid w:val="00815915"/>
    <w:rsid w:val="00817F52"/>
    <w:rsid w:val="008228C1"/>
    <w:rsid w:val="008248E1"/>
    <w:rsid w:val="008255D7"/>
    <w:rsid w:val="00826C5C"/>
    <w:rsid w:val="00826F5D"/>
    <w:rsid w:val="00831FE1"/>
    <w:rsid w:val="0083341C"/>
    <w:rsid w:val="00833BEF"/>
    <w:rsid w:val="00833DED"/>
    <w:rsid w:val="00834091"/>
    <w:rsid w:val="00834705"/>
    <w:rsid w:val="00836167"/>
    <w:rsid w:val="00840978"/>
    <w:rsid w:val="0084135C"/>
    <w:rsid w:val="0084586E"/>
    <w:rsid w:val="008474AE"/>
    <w:rsid w:val="00847642"/>
    <w:rsid w:val="00850D77"/>
    <w:rsid w:val="0085139B"/>
    <w:rsid w:val="00851700"/>
    <w:rsid w:val="00853EE5"/>
    <w:rsid w:val="00860581"/>
    <w:rsid w:val="0086110D"/>
    <w:rsid w:val="00862553"/>
    <w:rsid w:val="00867215"/>
    <w:rsid w:val="00870364"/>
    <w:rsid w:val="00870892"/>
    <w:rsid w:val="00870985"/>
    <w:rsid w:val="008713D7"/>
    <w:rsid w:val="008722E8"/>
    <w:rsid w:val="00873214"/>
    <w:rsid w:val="00873559"/>
    <w:rsid w:val="008775B6"/>
    <w:rsid w:val="00883961"/>
    <w:rsid w:val="00883D93"/>
    <w:rsid w:val="00885ED9"/>
    <w:rsid w:val="00887603"/>
    <w:rsid w:val="00887EDE"/>
    <w:rsid w:val="00887FD3"/>
    <w:rsid w:val="00890F48"/>
    <w:rsid w:val="008934D6"/>
    <w:rsid w:val="0089407C"/>
    <w:rsid w:val="00894737"/>
    <w:rsid w:val="008A022A"/>
    <w:rsid w:val="008A2C4B"/>
    <w:rsid w:val="008A2C86"/>
    <w:rsid w:val="008A2DFA"/>
    <w:rsid w:val="008A339B"/>
    <w:rsid w:val="008A38B0"/>
    <w:rsid w:val="008A4F88"/>
    <w:rsid w:val="008A5192"/>
    <w:rsid w:val="008A7AFB"/>
    <w:rsid w:val="008B11A2"/>
    <w:rsid w:val="008B1C90"/>
    <w:rsid w:val="008B2A54"/>
    <w:rsid w:val="008B3347"/>
    <w:rsid w:val="008B3B00"/>
    <w:rsid w:val="008B3FA1"/>
    <w:rsid w:val="008B62EF"/>
    <w:rsid w:val="008C02C4"/>
    <w:rsid w:val="008C0E34"/>
    <w:rsid w:val="008C2C5E"/>
    <w:rsid w:val="008C6494"/>
    <w:rsid w:val="008C79F5"/>
    <w:rsid w:val="008D03FF"/>
    <w:rsid w:val="008D0B29"/>
    <w:rsid w:val="008D159D"/>
    <w:rsid w:val="008D2231"/>
    <w:rsid w:val="008D7BBD"/>
    <w:rsid w:val="008E0A5B"/>
    <w:rsid w:val="008E47A1"/>
    <w:rsid w:val="008E6BE7"/>
    <w:rsid w:val="008F0265"/>
    <w:rsid w:val="008F08D7"/>
    <w:rsid w:val="008F1544"/>
    <w:rsid w:val="008F1762"/>
    <w:rsid w:val="008F2EF8"/>
    <w:rsid w:val="008F3C84"/>
    <w:rsid w:val="008F6854"/>
    <w:rsid w:val="008F6F60"/>
    <w:rsid w:val="00900597"/>
    <w:rsid w:val="0090393A"/>
    <w:rsid w:val="00903C49"/>
    <w:rsid w:val="00903E5E"/>
    <w:rsid w:val="00906B9E"/>
    <w:rsid w:val="00906F33"/>
    <w:rsid w:val="00914320"/>
    <w:rsid w:val="009148D4"/>
    <w:rsid w:val="00916F15"/>
    <w:rsid w:val="00924D3A"/>
    <w:rsid w:val="009251C5"/>
    <w:rsid w:val="00927634"/>
    <w:rsid w:val="0092783C"/>
    <w:rsid w:val="00927D24"/>
    <w:rsid w:val="00927F18"/>
    <w:rsid w:val="00930EFE"/>
    <w:rsid w:val="009318DF"/>
    <w:rsid w:val="00931E14"/>
    <w:rsid w:val="00931FA5"/>
    <w:rsid w:val="00933E37"/>
    <w:rsid w:val="009346C1"/>
    <w:rsid w:val="009353C4"/>
    <w:rsid w:val="00935852"/>
    <w:rsid w:val="00936133"/>
    <w:rsid w:val="0094026C"/>
    <w:rsid w:val="00940339"/>
    <w:rsid w:val="00940B31"/>
    <w:rsid w:val="00941421"/>
    <w:rsid w:val="0094362F"/>
    <w:rsid w:val="009453C7"/>
    <w:rsid w:val="00945A3A"/>
    <w:rsid w:val="00946513"/>
    <w:rsid w:val="00946DF3"/>
    <w:rsid w:val="00947228"/>
    <w:rsid w:val="009501C5"/>
    <w:rsid w:val="00952A30"/>
    <w:rsid w:val="00952F2D"/>
    <w:rsid w:val="00953A65"/>
    <w:rsid w:val="00956FDC"/>
    <w:rsid w:val="009601A0"/>
    <w:rsid w:val="00960C6D"/>
    <w:rsid w:val="009623A8"/>
    <w:rsid w:val="00962EF0"/>
    <w:rsid w:val="009656E0"/>
    <w:rsid w:val="00966259"/>
    <w:rsid w:val="00966474"/>
    <w:rsid w:val="00966B1B"/>
    <w:rsid w:val="00967F66"/>
    <w:rsid w:val="00970FA3"/>
    <w:rsid w:val="00972587"/>
    <w:rsid w:val="009729F1"/>
    <w:rsid w:val="0097398E"/>
    <w:rsid w:val="009739F1"/>
    <w:rsid w:val="00974C3B"/>
    <w:rsid w:val="009760F1"/>
    <w:rsid w:val="00976D30"/>
    <w:rsid w:val="009771EA"/>
    <w:rsid w:val="00977294"/>
    <w:rsid w:val="009774FD"/>
    <w:rsid w:val="00980DB9"/>
    <w:rsid w:val="009822C6"/>
    <w:rsid w:val="009831AD"/>
    <w:rsid w:val="00985284"/>
    <w:rsid w:val="00985853"/>
    <w:rsid w:val="0099144E"/>
    <w:rsid w:val="009921AA"/>
    <w:rsid w:val="00993FDF"/>
    <w:rsid w:val="00995E0D"/>
    <w:rsid w:val="009A004F"/>
    <w:rsid w:val="009A00DE"/>
    <w:rsid w:val="009A1411"/>
    <w:rsid w:val="009A1E7C"/>
    <w:rsid w:val="009A2679"/>
    <w:rsid w:val="009A2B75"/>
    <w:rsid w:val="009A2C99"/>
    <w:rsid w:val="009A2F9B"/>
    <w:rsid w:val="009A5F1F"/>
    <w:rsid w:val="009A6F59"/>
    <w:rsid w:val="009A72DB"/>
    <w:rsid w:val="009B7AB2"/>
    <w:rsid w:val="009C041B"/>
    <w:rsid w:val="009C20D4"/>
    <w:rsid w:val="009C349C"/>
    <w:rsid w:val="009C3895"/>
    <w:rsid w:val="009C537D"/>
    <w:rsid w:val="009C5698"/>
    <w:rsid w:val="009C5DFF"/>
    <w:rsid w:val="009D02CB"/>
    <w:rsid w:val="009D0EC6"/>
    <w:rsid w:val="009D0F7F"/>
    <w:rsid w:val="009D1269"/>
    <w:rsid w:val="009D2604"/>
    <w:rsid w:val="009D45E4"/>
    <w:rsid w:val="009E0E5B"/>
    <w:rsid w:val="009E5316"/>
    <w:rsid w:val="009E6808"/>
    <w:rsid w:val="009E7472"/>
    <w:rsid w:val="009E7DCA"/>
    <w:rsid w:val="009F252D"/>
    <w:rsid w:val="009F4EE6"/>
    <w:rsid w:val="00A02E25"/>
    <w:rsid w:val="00A065F7"/>
    <w:rsid w:val="00A076EF"/>
    <w:rsid w:val="00A07F86"/>
    <w:rsid w:val="00A10024"/>
    <w:rsid w:val="00A10072"/>
    <w:rsid w:val="00A119B0"/>
    <w:rsid w:val="00A137EF"/>
    <w:rsid w:val="00A13BD8"/>
    <w:rsid w:val="00A15E99"/>
    <w:rsid w:val="00A208C2"/>
    <w:rsid w:val="00A20A4A"/>
    <w:rsid w:val="00A2160E"/>
    <w:rsid w:val="00A2240A"/>
    <w:rsid w:val="00A2361D"/>
    <w:rsid w:val="00A23730"/>
    <w:rsid w:val="00A23B00"/>
    <w:rsid w:val="00A24106"/>
    <w:rsid w:val="00A2424B"/>
    <w:rsid w:val="00A26370"/>
    <w:rsid w:val="00A26498"/>
    <w:rsid w:val="00A26971"/>
    <w:rsid w:val="00A30249"/>
    <w:rsid w:val="00A32259"/>
    <w:rsid w:val="00A326D2"/>
    <w:rsid w:val="00A376D7"/>
    <w:rsid w:val="00A41791"/>
    <w:rsid w:val="00A4384B"/>
    <w:rsid w:val="00A45682"/>
    <w:rsid w:val="00A47FAD"/>
    <w:rsid w:val="00A5024E"/>
    <w:rsid w:val="00A509B6"/>
    <w:rsid w:val="00A51002"/>
    <w:rsid w:val="00A52940"/>
    <w:rsid w:val="00A534AB"/>
    <w:rsid w:val="00A538A4"/>
    <w:rsid w:val="00A5510F"/>
    <w:rsid w:val="00A555F3"/>
    <w:rsid w:val="00A61A51"/>
    <w:rsid w:val="00A622FF"/>
    <w:rsid w:val="00A646BC"/>
    <w:rsid w:val="00A65D95"/>
    <w:rsid w:val="00A66850"/>
    <w:rsid w:val="00A700E0"/>
    <w:rsid w:val="00A708B2"/>
    <w:rsid w:val="00A73EF4"/>
    <w:rsid w:val="00A74CE9"/>
    <w:rsid w:val="00A75969"/>
    <w:rsid w:val="00A762F6"/>
    <w:rsid w:val="00A76941"/>
    <w:rsid w:val="00A8140B"/>
    <w:rsid w:val="00A82307"/>
    <w:rsid w:val="00A8479F"/>
    <w:rsid w:val="00A84BC5"/>
    <w:rsid w:val="00A86D95"/>
    <w:rsid w:val="00A8723C"/>
    <w:rsid w:val="00A87A6C"/>
    <w:rsid w:val="00A913F0"/>
    <w:rsid w:val="00A92520"/>
    <w:rsid w:val="00A943C4"/>
    <w:rsid w:val="00A97A7E"/>
    <w:rsid w:val="00AA0564"/>
    <w:rsid w:val="00AA0E00"/>
    <w:rsid w:val="00AA283E"/>
    <w:rsid w:val="00AA3488"/>
    <w:rsid w:val="00AA5C9A"/>
    <w:rsid w:val="00AA6179"/>
    <w:rsid w:val="00AA7670"/>
    <w:rsid w:val="00AA785A"/>
    <w:rsid w:val="00AA7C1D"/>
    <w:rsid w:val="00AB2323"/>
    <w:rsid w:val="00AB2D48"/>
    <w:rsid w:val="00AB32F9"/>
    <w:rsid w:val="00AB4092"/>
    <w:rsid w:val="00AC0773"/>
    <w:rsid w:val="00AC28F9"/>
    <w:rsid w:val="00AC3BAF"/>
    <w:rsid w:val="00AC4E39"/>
    <w:rsid w:val="00AC5121"/>
    <w:rsid w:val="00AC5B60"/>
    <w:rsid w:val="00AD03E2"/>
    <w:rsid w:val="00AD09AF"/>
    <w:rsid w:val="00AD25D5"/>
    <w:rsid w:val="00AD3512"/>
    <w:rsid w:val="00AE001B"/>
    <w:rsid w:val="00AE0B2D"/>
    <w:rsid w:val="00AE19AC"/>
    <w:rsid w:val="00AE4482"/>
    <w:rsid w:val="00AE5F91"/>
    <w:rsid w:val="00AE7A0D"/>
    <w:rsid w:val="00AE7E4E"/>
    <w:rsid w:val="00AF17E6"/>
    <w:rsid w:val="00AF541D"/>
    <w:rsid w:val="00AF7973"/>
    <w:rsid w:val="00B000F7"/>
    <w:rsid w:val="00B00FF8"/>
    <w:rsid w:val="00B0196C"/>
    <w:rsid w:val="00B023E8"/>
    <w:rsid w:val="00B025E6"/>
    <w:rsid w:val="00B02B7D"/>
    <w:rsid w:val="00B04841"/>
    <w:rsid w:val="00B04E23"/>
    <w:rsid w:val="00B0525D"/>
    <w:rsid w:val="00B05306"/>
    <w:rsid w:val="00B05B21"/>
    <w:rsid w:val="00B0656F"/>
    <w:rsid w:val="00B14113"/>
    <w:rsid w:val="00B14143"/>
    <w:rsid w:val="00B153D7"/>
    <w:rsid w:val="00B16EE7"/>
    <w:rsid w:val="00B17C02"/>
    <w:rsid w:val="00B20098"/>
    <w:rsid w:val="00B206ED"/>
    <w:rsid w:val="00B208DE"/>
    <w:rsid w:val="00B212E1"/>
    <w:rsid w:val="00B246B9"/>
    <w:rsid w:val="00B25B25"/>
    <w:rsid w:val="00B274DD"/>
    <w:rsid w:val="00B30FAE"/>
    <w:rsid w:val="00B3228E"/>
    <w:rsid w:val="00B3389D"/>
    <w:rsid w:val="00B33EB9"/>
    <w:rsid w:val="00B346F7"/>
    <w:rsid w:val="00B34D19"/>
    <w:rsid w:val="00B37636"/>
    <w:rsid w:val="00B4118C"/>
    <w:rsid w:val="00B4345D"/>
    <w:rsid w:val="00B44CC9"/>
    <w:rsid w:val="00B45044"/>
    <w:rsid w:val="00B4555F"/>
    <w:rsid w:val="00B4754C"/>
    <w:rsid w:val="00B47B3C"/>
    <w:rsid w:val="00B52B6F"/>
    <w:rsid w:val="00B53A68"/>
    <w:rsid w:val="00B5634C"/>
    <w:rsid w:val="00B566C1"/>
    <w:rsid w:val="00B616C4"/>
    <w:rsid w:val="00B65009"/>
    <w:rsid w:val="00B6571B"/>
    <w:rsid w:val="00B66B62"/>
    <w:rsid w:val="00B67B96"/>
    <w:rsid w:val="00B71310"/>
    <w:rsid w:val="00B7244B"/>
    <w:rsid w:val="00B814BA"/>
    <w:rsid w:val="00B823A9"/>
    <w:rsid w:val="00B82A39"/>
    <w:rsid w:val="00B83FD5"/>
    <w:rsid w:val="00B868F0"/>
    <w:rsid w:val="00B86A2A"/>
    <w:rsid w:val="00B90D40"/>
    <w:rsid w:val="00B90DF9"/>
    <w:rsid w:val="00B927F2"/>
    <w:rsid w:val="00B93B49"/>
    <w:rsid w:val="00B9462C"/>
    <w:rsid w:val="00B95BD4"/>
    <w:rsid w:val="00B97970"/>
    <w:rsid w:val="00BA3B49"/>
    <w:rsid w:val="00BA4C5C"/>
    <w:rsid w:val="00BA5B01"/>
    <w:rsid w:val="00BA7B3D"/>
    <w:rsid w:val="00BA7C08"/>
    <w:rsid w:val="00BB07E6"/>
    <w:rsid w:val="00BB3324"/>
    <w:rsid w:val="00BB3654"/>
    <w:rsid w:val="00BB3B24"/>
    <w:rsid w:val="00BB3D89"/>
    <w:rsid w:val="00BB5513"/>
    <w:rsid w:val="00BB6337"/>
    <w:rsid w:val="00BC116C"/>
    <w:rsid w:val="00BC19D2"/>
    <w:rsid w:val="00BC2031"/>
    <w:rsid w:val="00BC2826"/>
    <w:rsid w:val="00BC36E2"/>
    <w:rsid w:val="00BC51D6"/>
    <w:rsid w:val="00BC5994"/>
    <w:rsid w:val="00BC74FD"/>
    <w:rsid w:val="00BC7661"/>
    <w:rsid w:val="00BC7ADA"/>
    <w:rsid w:val="00BD029F"/>
    <w:rsid w:val="00BD1C8F"/>
    <w:rsid w:val="00BD1CC5"/>
    <w:rsid w:val="00BD2744"/>
    <w:rsid w:val="00BD396A"/>
    <w:rsid w:val="00BD51B4"/>
    <w:rsid w:val="00BD5D46"/>
    <w:rsid w:val="00BD5F43"/>
    <w:rsid w:val="00BD6220"/>
    <w:rsid w:val="00BD6290"/>
    <w:rsid w:val="00BD69D7"/>
    <w:rsid w:val="00BD7ED3"/>
    <w:rsid w:val="00BD7F9E"/>
    <w:rsid w:val="00BE03C3"/>
    <w:rsid w:val="00BE6B02"/>
    <w:rsid w:val="00BE6B2B"/>
    <w:rsid w:val="00BF0124"/>
    <w:rsid w:val="00BF0ECB"/>
    <w:rsid w:val="00BF40D4"/>
    <w:rsid w:val="00BF4F88"/>
    <w:rsid w:val="00BF646D"/>
    <w:rsid w:val="00BF6EDC"/>
    <w:rsid w:val="00BF7CCB"/>
    <w:rsid w:val="00C043D7"/>
    <w:rsid w:val="00C050CB"/>
    <w:rsid w:val="00C06778"/>
    <w:rsid w:val="00C1091C"/>
    <w:rsid w:val="00C11E7D"/>
    <w:rsid w:val="00C14850"/>
    <w:rsid w:val="00C150A2"/>
    <w:rsid w:val="00C1573B"/>
    <w:rsid w:val="00C165A7"/>
    <w:rsid w:val="00C174D6"/>
    <w:rsid w:val="00C17881"/>
    <w:rsid w:val="00C2120F"/>
    <w:rsid w:val="00C23009"/>
    <w:rsid w:val="00C243D8"/>
    <w:rsid w:val="00C2472D"/>
    <w:rsid w:val="00C24BEA"/>
    <w:rsid w:val="00C264CF"/>
    <w:rsid w:val="00C30FF0"/>
    <w:rsid w:val="00C3150C"/>
    <w:rsid w:val="00C35CDE"/>
    <w:rsid w:val="00C365F6"/>
    <w:rsid w:val="00C40A22"/>
    <w:rsid w:val="00C4245D"/>
    <w:rsid w:val="00C43E75"/>
    <w:rsid w:val="00C43F9A"/>
    <w:rsid w:val="00C44297"/>
    <w:rsid w:val="00C4475F"/>
    <w:rsid w:val="00C453EB"/>
    <w:rsid w:val="00C4626C"/>
    <w:rsid w:val="00C47910"/>
    <w:rsid w:val="00C5030D"/>
    <w:rsid w:val="00C50B3E"/>
    <w:rsid w:val="00C52508"/>
    <w:rsid w:val="00C53066"/>
    <w:rsid w:val="00C53421"/>
    <w:rsid w:val="00C53E0C"/>
    <w:rsid w:val="00C56140"/>
    <w:rsid w:val="00C57CC9"/>
    <w:rsid w:val="00C61636"/>
    <w:rsid w:val="00C62322"/>
    <w:rsid w:val="00C66CA1"/>
    <w:rsid w:val="00C7196E"/>
    <w:rsid w:val="00C73242"/>
    <w:rsid w:val="00C754B0"/>
    <w:rsid w:val="00C7566B"/>
    <w:rsid w:val="00C766C2"/>
    <w:rsid w:val="00C76BD0"/>
    <w:rsid w:val="00C802F6"/>
    <w:rsid w:val="00C804E1"/>
    <w:rsid w:val="00C8356F"/>
    <w:rsid w:val="00C84E7B"/>
    <w:rsid w:val="00C86844"/>
    <w:rsid w:val="00C8688F"/>
    <w:rsid w:val="00C90704"/>
    <w:rsid w:val="00C90E36"/>
    <w:rsid w:val="00C927E5"/>
    <w:rsid w:val="00C93828"/>
    <w:rsid w:val="00C95021"/>
    <w:rsid w:val="00CA14B7"/>
    <w:rsid w:val="00CA571B"/>
    <w:rsid w:val="00CA62CF"/>
    <w:rsid w:val="00CB1DFF"/>
    <w:rsid w:val="00CB1E19"/>
    <w:rsid w:val="00CB28A7"/>
    <w:rsid w:val="00CB4A18"/>
    <w:rsid w:val="00CB5684"/>
    <w:rsid w:val="00CB7914"/>
    <w:rsid w:val="00CB79F9"/>
    <w:rsid w:val="00CB7E8F"/>
    <w:rsid w:val="00CC0220"/>
    <w:rsid w:val="00CC2A28"/>
    <w:rsid w:val="00CC3376"/>
    <w:rsid w:val="00CC4EF9"/>
    <w:rsid w:val="00CC5DD7"/>
    <w:rsid w:val="00CC680E"/>
    <w:rsid w:val="00CC7DF8"/>
    <w:rsid w:val="00CD3EE0"/>
    <w:rsid w:val="00CD6F76"/>
    <w:rsid w:val="00CD706C"/>
    <w:rsid w:val="00CD7219"/>
    <w:rsid w:val="00CE163A"/>
    <w:rsid w:val="00CE2799"/>
    <w:rsid w:val="00CE5C1E"/>
    <w:rsid w:val="00CE7F2B"/>
    <w:rsid w:val="00CF01DB"/>
    <w:rsid w:val="00CF05D1"/>
    <w:rsid w:val="00CF06E3"/>
    <w:rsid w:val="00CF0AF6"/>
    <w:rsid w:val="00CF166E"/>
    <w:rsid w:val="00CF36B4"/>
    <w:rsid w:val="00CF4350"/>
    <w:rsid w:val="00D01753"/>
    <w:rsid w:val="00D02C33"/>
    <w:rsid w:val="00D030F2"/>
    <w:rsid w:val="00D075E0"/>
    <w:rsid w:val="00D1027C"/>
    <w:rsid w:val="00D106E3"/>
    <w:rsid w:val="00D1296F"/>
    <w:rsid w:val="00D1579C"/>
    <w:rsid w:val="00D15D7B"/>
    <w:rsid w:val="00D164FB"/>
    <w:rsid w:val="00D17F23"/>
    <w:rsid w:val="00D2092E"/>
    <w:rsid w:val="00D21758"/>
    <w:rsid w:val="00D21EFD"/>
    <w:rsid w:val="00D22468"/>
    <w:rsid w:val="00D2443A"/>
    <w:rsid w:val="00D24556"/>
    <w:rsid w:val="00D25924"/>
    <w:rsid w:val="00D269F2"/>
    <w:rsid w:val="00D27FDC"/>
    <w:rsid w:val="00D30695"/>
    <w:rsid w:val="00D32CFF"/>
    <w:rsid w:val="00D33418"/>
    <w:rsid w:val="00D34729"/>
    <w:rsid w:val="00D368AA"/>
    <w:rsid w:val="00D374B3"/>
    <w:rsid w:val="00D439E3"/>
    <w:rsid w:val="00D51386"/>
    <w:rsid w:val="00D52B9F"/>
    <w:rsid w:val="00D5339A"/>
    <w:rsid w:val="00D54CF0"/>
    <w:rsid w:val="00D60993"/>
    <w:rsid w:val="00D613A3"/>
    <w:rsid w:val="00D61F27"/>
    <w:rsid w:val="00D627CF"/>
    <w:rsid w:val="00D62883"/>
    <w:rsid w:val="00D632DA"/>
    <w:rsid w:val="00D6481B"/>
    <w:rsid w:val="00D64BA7"/>
    <w:rsid w:val="00D651C6"/>
    <w:rsid w:val="00D7266F"/>
    <w:rsid w:val="00D72D10"/>
    <w:rsid w:val="00D7353B"/>
    <w:rsid w:val="00D73D69"/>
    <w:rsid w:val="00D74E01"/>
    <w:rsid w:val="00D76E51"/>
    <w:rsid w:val="00D76FE9"/>
    <w:rsid w:val="00D8023A"/>
    <w:rsid w:val="00D81083"/>
    <w:rsid w:val="00D8112F"/>
    <w:rsid w:val="00D8148C"/>
    <w:rsid w:val="00D84F77"/>
    <w:rsid w:val="00D85CE3"/>
    <w:rsid w:val="00D878A6"/>
    <w:rsid w:val="00D9188D"/>
    <w:rsid w:val="00D91B36"/>
    <w:rsid w:val="00D92B4A"/>
    <w:rsid w:val="00D9429A"/>
    <w:rsid w:val="00D94C91"/>
    <w:rsid w:val="00D97703"/>
    <w:rsid w:val="00DA0975"/>
    <w:rsid w:val="00DA1653"/>
    <w:rsid w:val="00DA1B7E"/>
    <w:rsid w:val="00DA1C11"/>
    <w:rsid w:val="00DA1E72"/>
    <w:rsid w:val="00DA365E"/>
    <w:rsid w:val="00DA4737"/>
    <w:rsid w:val="00DA6E10"/>
    <w:rsid w:val="00DA73C5"/>
    <w:rsid w:val="00DA78F8"/>
    <w:rsid w:val="00DB0942"/>
    <w:rsid w:val="00DB0C02"/>
    <w:rsid w:val="00DB265E"/>
    <w:rsid w:val="00DB33B6"/>
    <w:rsid w:val="00DB3A6B"/>
    <w:rsid w:val="00DB3FC1"/>
    <w:rsid w:val="00DB5089"/>
    <w:rsid w:val="00DB5A46"/>
    <w:rsid w:val="00DB5C7F"/>
    <w:rsid w:val="00DB7AA1"/>
    <w:rsid w:val="00DC0E11"/>
    <w:rsid w:val="00DC1C8E"/>
    <w:rsid w:val="00DC1DD5"/>
    <w:rsid w:val="00DC2DB3"/>
    <w:rsid w:val="00DC480C"/>
    <w:rsid w:val="00DC4BEA"/>
    <w:rsid w:val="00DC589A"/>
    <w:rsid w:val="00DC5AFB"/>
    <w:rsid w:val="00DC60B5"/>
    <w:rsid w:val="00DD08DF"/>
    <w:rsid w:val="00DD095E"/>
    <w:rsid w:val="00DD0CA5"/>
    <w:rsid w:val="00DD1B42"/>
    <w:rsid w:val="00DD4B20"/>
    <w:rsid w:val="00DD76B1"/>
    <w:rsid w:val="00DE0253"/>
    <w:rsid w:val="00DE0B79"/>
    <w:rsid w:val="00DE234D"/>
    <w:rsid w:val="00DE2588"/>
    <w:rsid w:val="00DE2E85"/>
    <w:rsid w:val="00DE6C78"/>
    <w:rsid w:val="00DF0D1B"/>
    <w:rsid w:val="00DF2042"/>
    <w:rsid w:val="00DF4024"/>
    <w:rsid w:val="00DF5012"/>
    <w:rsid w:val="00DF5B9B"/>
    <w:rsid w:val="00E00D04"/>
    <w:rsid w:val="00E03DD2"/>
    <w:rsid w:val="00E0419E"/>
    <w:rsid w:val="00E047AB"/>
    <w:rsid w:val="00E05C4E"/>
    <w:rsid w:val="00E070C2"/>
    <w:rsid w:val="00E102FC"/>
    <w:rsid w:val="00E116B0"/>
    <w:rsid w:val="00E12A08"/>
    <w:rsid w:val="00E13BFF"/>
    <w:rsid w:val="00E20436"/>
    <w:rsid w:val="00E2166A"/>
    <w:rsid w:val="00E22DE5"/>
    <w:rsid w:val="00E25FFD"/>
    <w:rsid w:val="00E261C7"/>
    <w:rsid w:val="00E308E0"/>
    <w:rsid w:val="00E30A90"/>
    <w:rsid w:val="00E31527"/>
    <w:rsid w:val="00E34111"/>
    <w:rsid w:val="00E34C04"/>
    <w:rsid w:val="00E434A7"/>
    <w:rsid w:val="00E443BA"/>
    <w:rsid w:val="00E44D46"/>
    <w:rsid w:val="00E47CDA"/>
    <w:rsid w:val="00E50758"/>
    <w:rsid w:val="00E51FA8"/>
    <w:rsid w:val="00E52E9D"/>
    <w:rsid w:val="00E5446A"/>
    <w:rsid w:val="00E54AA2"/>
    <w:rsid w:val="00E54D14"/>
    <w:rsid w:val="00E63165"/>
    <w:rsid w:val="00E63384"/>
    <w:rsid w:val="00E6407C"/>
    <w:rsid w:val="00E671D1"/>
    <w:rsid w:val="00E67B30"/>
    <w:rsid w:val="00E67E35"/>
    <w:rsid w:val="00E7030D"/>
    <w:rsid w:val="00E72014"/>
    <w:rsid w:val="00E72863"/>
    <w:rsid w:val="00E7370E"/>
    <w:rsid w:val="00E74F00"/>
    <w:rsid w:val="00E7589B"/>
    <w:rsid w:val="00E7650E"/>
    <w:rsid w:val="00E76BB7"/>
    <w:rsid w:val="00E76FDB"/>
    <w:rsid w:val="00E80A5F"/>
    <w:rsid w:val="00E80B72"/>
    <w:rsid w:val="00E80C52"/>
    <w:rsid w:val="00E81251"/>
    <w:rsid w:val="00E81501"/>
    <w:rsid w:val="00E81D65"/>
    <w:rsid w:val="00E82BE2"/>
    <w:rsid w:val="00E84B32"/>
    <w:rsid w:val="00E85869"/>
    <w:rsid w:val="00E87CA3"/>
    <w:rsid w:val="00E90C2A"/>
    <w:rsid w:val="00E9345A"/>
    <w:rsid w:val="00E95A72"/>
    <w:rsid w:val="00E95F53"/>
    <w:rsid w:val="00E96CA9"/>
    <w:rsid w:val="00EA0BB4"/>
    <w:rsid w:val="00EA3629"/>
    <w:rsid w:val="00EA3950"/>
    <w:rsid w:val="00EB2C13"/>
    <w:rsid w:val="00EB5FF6"/>
    <w:rsid w:val="00EB68F7"/>
    <w:rsid w:val="00EC1D43"/>
    <w:rsid w:val="00EC1E59"/>
    <w:rsid w:val="00EC37ED"/>
    <w:rsid w:val="00EC3B3C"/>
    <w:rsid w:val="00EC4B30"/>
    <w:rsid w:val="00EC633D"/>
    <w:rsid w:val="00EC6828"/>
    <w:rsid w:val="00EC7019"/>
    <w:rsid w:val="00ED167C"/>
    <w:rsid w:val="00ED26C3"/>
    <w:rsid w:val="00ED2753"/>
    <w:rsid w:val="00ED388D"/>
    <w:rsid w:val="00ED4E0C"/>
    <w:rsid w:val="00ED6046"/>
    <w:rsid w:val="00ED6995"/>
    <w:rsid w:val="00ED79A0"/>
    <w:rsid w:val="00EE01C5"/>
    <w:rsid w:val="00EE1542"/>
    <w:rsid w:val="00EE24F7"/>
    <w:rsid w:val="00EE3381"/>
    <w:rsid w:val="00EE3535"/>
    <w:rsid w:val="00EE533F"/>
    <w:rsid w:val="00EF2BF0"/>
    <w:rsid w:val="00EF3551"/>
    <w:rsid w:val="00EF471B"/>
    <w:rsid w:val="00EF4887"/>
    <w:rsid w:val="00EF787C"/>
    <w:rsid w:val="00EF7A25"/>
    <w:rsid w:val="00F038B3"/>
    <w:rsid w:val="00F056D8"/>
    <w:rsid w:val="00F118C9"/>
    <w:rsid w:val="00F1646E"/>
    <w:rsid w:val="00F16770"/>
    <w:rsid w:val="00F17887"/>
    <w:rsid w:val="00F21010"/>
    <w:rsid w:val="00F21557"/>
    <w:rsid w:val="00F23B80"/>
    <w:rsid w:val="00F24587"/>
    <w:rsid w:val="00F24BCC"/>
    <w:rsid w:val="00F24D45"/>
    <w:rsid w:val="00F2791D"/>
    <w:rsid w:val="00F27C6F"/>
    <w:rsid w:val="00F305FC"/>
    <w:rsid w:val="00F309D0"/>
    <w:rsid w:val="00F30D86"/>
    <w:rsid w:val="00F312E8"/>
    <w:rsid w:val="00F33BF4"/>
    <w:rsid w:val="00F36959"/>
    <w:rsid w:val="00F36E9D"/>
    <w:rsid w:val="00F40827"/>
    <w:rsid w:val="00F419C7"/>
    <w:rsid w:val="00F44435"/>
    <w:rsid w:val="00F44766"/>
    <w:rsid w:val="00F44785"/>
    <w:rsid w:val="00F466A0"/>
    <w:rsid w:val="00F4778C"/>
    <w:rsid w:val="00F542CF"/>
    <w:rsid w:val="00F54485"/>
    <w:rsid w:val="00F544E2"/>
    <w:rsid w:val="00F56196"/>
    <w:rsid w:val="00F569AC"/>
    <w:rsid w:val="00F578C9"/>
    <w:rsid w:val="00F60A6A"/>
    <w:rsid w:val="00F612A7"/>
    <w:rsid w:val="00F61AA1"/>
    <w:rsid w:val="00F71130"/>
    <w:rsid w:val="00F71A62"/>
    <w:rsid w:val="00F72389"/>
    <w:rsid w:val="00F746F2"/>
    <w:rsid w:val="00F751B0"/>
    <w:rsid w:val="00F80D1E"/>
    <w:rsid w:val="00F82EA3"/>
    <w:rsid w:val="00F839B0"/>
    <w:rsid w:val="00F83E1D"/>
    <w:rsid w:val="00F83F74"/>
    <w:rsid w:val="00F84DA6"/>
    <w:rsid w:val="00F8520C"/>
    <w:rsid w:val="00F86058"/>
    <w:rsid w:val="00F86181"/>
    <w:rsid w:val="00F86CA4"/>
    <w:rsid w:val="00F8763B"/>
    <w:rsid w:val="00F87924"/>
    <w:rsid w:val="00F87F6B"/>
    <w:rsid w:val="00F90C3B"/>
    <w:rsid w:val="00F93994"/>
    <w:rsid w:val="00F940CC"/>
    <w:rsid w:val="00F96DAB"/>
    <w:rsid w:val="00F96E7A"/>
    <w:rsid w:val="00FA17D3"/>
    <w:rsid w:val="00FA1BE3"/>
    <w:rsid w:val="00FA34B6"/>
    <w:rsid w:val="00FA3D39"/>
    <w:rsid w:val="00FA4D72"/>
    <w:rsid w:val="00FA600D"/>
    <w:rsid w:val="00FA79E5"/>
    <w:rsid w:val="00FB0689"/>
    <w:rsid w:val="00FB1034"/>
    <w:rsid w:val="00FB2595"/>
    <w:rsid w:val="00FB606A"/>
    <w:rsid w:val="00FC058A"/>
    <w:rsid w:val="00FC1C25"/>
    <w:rsid w:val="00FC278A"/>
    <w:rsid w:val="00FC2BCD"/>
    <w:rsid w:val="00FC3BA3"/>
    <w:rsid w:val="00FC4D05"/>
    <w:rsid w:val="00FC54A4"/>
    <w:rsid w:val="00FC65CB"/>
    <w:rsid w:val="00FC6A17"/>
    <w:rsid w:val="00FD0BFE"/>
    <w:rsid w:val="00FD1783"/>
    <w:rsid w:val="00FD18FF"/>
    <w:rsid w:val="00FD39C9"/>
    <w:rsid w:val="00FD6851"/>
    <w:rsid w:val="00FD7AE1"/>
    <w:rsid w:val="00FE0362"/>
    <w:rsid w:val="00FE0F78"/>
    <w:rsid w:val="00FE2838"/>
    <w:rsid w:val="00FE502E"/>
    <w:rsid w:val="00FE5427"/>
    <w:rsid w:val="00FE5A08"/>
    <w:rsid w:val="00FE5EE8"/>
    <w:rsid w:val="00FE7704"/>
    <w:rsid w:val="00FE7D65"/>
    <w:rsid w:val="00FF18FE"/>
    <w:rsid w:val="00FF2798"/>
    <w:rsid w:val="00FF2960"/>
    <w:rsid w:val="00FF3814"/>
    <w:rsid w:val="00FF3DD5"/>
    <w:rsid w:val="00FF5825"/>
    <w:rsid w:val="00FF5C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C26A28D-BBBE-4829-A2B3-EC06F59C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AC0"/>
    <w:pPr>
      <w:spacing w:after="200" w:line="276" w:lineRule="auto"/>
    </w:pPr>
    <w:rPr>
      <w:rFonts w:ascii="Calibri" w:hAnsi="Calibri"/>
      <w:sz w:val="22"/>
      <w:szCs w:val="22"/>
      <w:lang w:eastAsia="en-US"/>
    </w:rPr>
  </w:style>
  <w:style w:type="paragraph" w:styleId="Heading1">
    <w:name w:val="heading 1"/>
    <w:basedOn w:val="Normal"/>
    <w:next w:val="Normal"/>
    <w:link w:val="Heading1Char"/>
    <w:uiPriority w:val="99"/>
    <w:qFormat/>
    <w:rsid w:val="00A2410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rsid w:val="00DC2D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4AF0"/>
    <w:rPr>
      <w:rFonts w:ascii="Cambria" w:hAnsi="Cambria" w:cs="Times New Roman"/>
      <w:b/>
      <w:kern w:val="32"/>
      <w:sz w:val="32"/>
      <w:lang w:eastAsia="en-US"/>
    </w:rPr>
  </w:style>
  <w:style w:type="paragraph" w:styleId="BalloonText">
    <w:name w:val="Balloon Text"/>
    <w:basedOn w:val="Normal"/>
    <w:link w:val="BalloonTextChar"/>
    <w:uiPriority w:val="99"/>
    <w:rsid w:val="00FA3D39"/>
    <w:pPr>
      <w:spacing w:after="0" w:line="240" w:lineRule="auto"/>
    </w:pPr>
    <w:rPr>
      <w:rFonts w:ascii="Tahoma" w:hAnsi="Tahoma"/>
      <w:sz w:val="16"/>
      <w:szCs w:val="20"/>
    </w:rPr>
  </w:style>
  <w:style w:type="character" w:customStyle="1" w:styleId="BalloonTextChar">
    <w:name w:val="Balloon Text Char"/>
    <w:link w:val="BalloonText"/>
    <w:uiPriority w:val="99"/>
    <w:locked/>
    <w:rsid w:val="00FA3D39"/>
    <w:rPr>
      <w:rFonts w:ascii="Tahoma" w:hAnsi="Tahoma" w:cs="Times New Roman"/>
      <w:sz w:val="16"/>
      <w:lang w:eastAsia="en-US"/>
    </w:rPr>
  </w:style>
  <w:style w:type="paragraph" w:customStyle="1" w:styleId="tv2131">
    <w:name w:val="tv2131"/>
    <w:basedOn w:val="Normal"/>
    <w:rsid w:val="00DA1C11"/>
    <w:pPr>
      <w:spacing w:after="0" w:line="360" w:lineRule="auto"/>
      <w:ind w:firstLine="300"/>
    </w:pPr>
    <w:rPr>
      <w:rFonts w:ascii="Times New Roman" w:hAnsi="Times New Roman"/>
      <w:color w:val="414142"/>
      <w:sz w:val="20"/>
      <w:szCs w:val="20"/>
      <w:lang w:eastAsia="lv-LV"/>
    </w:rPr>
  </w:style>
  <w:style w:type="character" w:styleId="CommentReference">
    <w:name w:val="annotation reference"/>
    <w:uiPriority w:val="99"/>
    <w:rsid w:val="00FA3D39"/>
    <w:rPr>
      <w:rFonts w:cs="Times New Roman"/>
      <w:sz w:val="16"/>
    </w:rPr>
  </w:style>
  <w:style w:type="paragraph" w:styleId="CommentText">
    <w:name w:val="annotation text"/>
    <w:basedOn w:val="Normal"/>
    <w:link w:val="CommentTextChar"/>
    <w:rsid w:val="00FA3D39"/>
    <w:rPr>
      <w:sz w:val="20"/>
      <w:szCs w:val="20"/>
    </w:rPr>
  </w:style>
  <w:style w:type="character" w:customStyle="1" w:styleId="CommentTextChar">
    <w:name w:val="Comment Text Char"/>
    <w:link w:val="CommentText"/>
    <w:locked/>
    <w:rsid w:val="00FA3D39"/>
    <w:rPr>
      <w:rFonts w:ascii="Calibri" w:hAnsi="Calibri" w:cs="Times New Roman"/>
      <w:lang w:eastAsia="en-US"/>
    </w:rPr>
  </w:style>
  <w:style w:type="paragraph" w:styleId="CommentSubject">
    <w:name w:val="annotation subject"/>
    <w:basedOn w:val="CommentText"/>
    <w:next w:val="CommentText"/>
    <w:link w:val="CommentSubjectChar"/>
    <w:uiPriority w:val="99"/>
    <w:rsid w:val="00FA3D39"/>
    <w:rPr>
      <w:b/>
    </w:rPr>
  </w:style>
  <w:style w:type="character" w:customStyle="1" w:styleId="CommentSubjectChar">
    <w:name w:val="Comment Subject Char"/>
    <w:link w:val="CommentSubject"/>
    <w:uiPriority w:val="99"/>
    <w:locked/>
    <w:rsid w:val="00FA3D39"/>
    <w:rPr>
      <w:rFonts w:ascii="Calibri" w:hAnsi="Calibri" w:cs="Times New Roman"/>
      <w:b/>
      <w:lang w:eastAsia="en-US"/>
    </w:rPr>
  </w:style>
  <w:style w:type="character" w:styleId="Hyperlink">
    <w:name w:val="Hyperlink"/>
    <w:uiPriority w:val="99"/>
    <w:rsid w:val="00512972"/>
    <w:rPr>
      <w:rFonts w:cs="Times New Roman"/>
      <w:color w:val="0000FF"/>
      <w:u w:val="single"/>
    </w:rPr>
  </w:style>
  <w:style w:type="character" w:customStyle="1" w:styleId="null">
    <w:name w:val="null"/>
    <w:uiPriority w:val="99"/>
    <w:rsid w:val="001E63FB"/>
  </w:style>
  <w:style w:type="paragraph" w:styleId="ListParagraph">
    <w:name w:val="List Paragraph"/>
    <w:aliases w:val="2,Strip,H&amp;P List Paragraph"/>
    <w:basedOn w:val="Normal"/>
    <w:link w:val="ListParagraphChar"/>
    <w:uiPriority w:val="34"/>
    <w:qFormat/>
    <w:rsid w:val="0005577D"/>
    <w:pPr>
      <w:spacing w:after="0" w:line="240" w:lineRule="auto"/>
      <w:ind w:left="720"/>
    </w:pPr>
    <w:rPr>
      <w:rFonts w:cs="Calibri"/>
      <w:lang w:eastAsia="lv-LV"/>
    </w:rPr>
  </w:style>
  <w:style w:type="paragraph" w:styleId="NoSpacing">
    <w:name w:val="No Spacing"/>
    <w:uiPriority w:val="1"/>
    <w:qFormat/>
    <w:rsid w:val="00E44D46"/>
    <w:pPr>
      <w:widowControl w:val="0"/>
      <w:overflowPunct w:val="0"/>
      <w:autoSpaceDE w:val="0"/>
      <w:autoSpaceDN w:val="0"/>
      <w:adjustRightInd w:val="0"/>
    </w:pPr>
    <w:rPr>
      <w:kern w:val="28"/>
      <w:lang w:val="en-GB"/>
    </w:rPr>
  </w:style>
  <w:style w:type="character" w:styleId="Strong">
    <w:name w:val="Strong"/>
    <w:uiPriority w:val="22"/>
    <w:qFormat/>
    <w:rsid w:val="00E44D46"/>
    <w:rPr>
      <w:rFonts w:cs="Times New Roman"/>
      <w:b/>
    </w:rPr>
  </w:style>
  <w:style w:type="paragraph" w:styleId="Footer">
    <w:name w:val="footer"/>
    <w:basedOn w:val="Normal"/>
    <w:link w:val="FooterChar"/>
    <w:uiPriority w:val="99"/>
    <w:rsid w:val="00CB1E19"/>
    <w:pPr>
      <w:tabs>
        <w:tab w:val="center" w:pos="4153"/>
        <w:tab w:val="right" w:pos="8306"/>
      </w:tabs>
    </w:pPr>
    <w:rPr>
      <w:sz w:val="20"/>
      <w:szCs w:val="20"/>
    </w:rPr>
  </w:style>
  <w:style w:type="character" w:customStyle="1" w:styleId="FooterChar">
    <w:name w:val="Footer Char"/>
    <w:link w:val="Footer"/>
    <w:uiPriority w:val="99"/>
    <w:semiHidden/>
    <w:locked/>
    <w:rsid w:val="000A4AF0"/>
    <w:rPr>
      <w:rFonts w:ascii="Calibri" w:hAnsi="Calibri" w:cs="Times New Roman"/>
      <w:lang w:eastAsia="en-US"/>
    </w:rPr>
  </w:style>
  <w:style w:type="character" w:styleId="PageNumber">
    <w:name w:val="page number"/>
    <w:uiPriority w:val="99"/>
    <w:rsid w:val="00CB1E19"/>
    <w:rPr>
      <w:rFonts w:cs="Times New Roman"/>
    </w:rPr>
  </w:style>
  <w:style w:type="paragraph" w:styleId="Header">
    <w:name w:val="header"/>
    <w:basedOn w:val="Normal"/>
    <w:link w:val="HeaderChar"/>
    <w:uiPriority w:val="99"/>
    <w:rsid w:val="00CB1E19"/>
    <w:pPr>
      <w:tabs>
        <w:tab w:val="center" w:pos="4153"/>
        <w:tab w:val="right" w:pos="8306"/>
      </w:tabs>
    </w:pPr>
    <w:rPr>
      <w:sz w:val="20"/>
      <w:szCs w:val="20"/>
    </w:rPr>
  </w:style>
  <w:style w:type="character" w:customStyle="1" w:styleId="HeaderChar">
    <w:name w:val="Header Char"/>
    <w:link w:val="Header"/>
    <w:uiPriority w:val="99"/>
    <w:semiHidden/>
    <w:locked/>
    <w:rsid w:val="000A4AF0"/>
    <w:rPr>
      <w:rFonts w:ascii="Calibri" w:hAnsi="Calibri" w:cs="Times New Roman"/>
      <w:lang w:eastAsia="en-US"/>
    </w:rPr>
  </w:style>
  <w:style w:type="paragraph" w:styleId="TOC1">
    <w:name w:val="toc 1"/>
    <w:basedOn w:val="Normal"/>
    <w:next w:val="Normal"/>
    <w:autoRedefine/>
    <w:uiPriority w:val="39"/>
    <w:rsid w:val="00A24106"/>
  </w:style>
  <w:style w:type="character" w:styleId="SubtleEmphasis">
    <w:name w:val="Subtle Emphasis"/>
    <w:uiPriority w:val="99"/>
    <w:qFormat/>
    <w:rsid w:val="00A75969"/>
    <w:rPr>
      <w:rFonts w:cs="Times New Roman"/>
      <w:i/>
      <w:color w:val="808080"/>
    </w:rPr>
  </w:style>
  <w:style w:type="character" w:styleId="Emphasis">
    <w:name w:val="Emphasis"/>
    <w:uiPriority w:val="20"/>
    <w:qFormat/>
    <w:rsid w:val="00FC65CB"/>
    <w:rPr>
      <w:rFonts w:cs="Times New Roman"/>
      <w:i/>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rsid w:val="006F4E5A"/>
    <w:pPr>
      <w:spacing w:after="0" w:line="240" w:lineRule="auto"/>
    </w:pPr>
    <w:rPr>
      <w:rFonts w:ascii="Times New Roman" w:hAnsi="Times New Roman"/>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locked/>
    <w:rsid w:val="006F4E5A"/>
    <w:rPr>
      <w:rFonts w:cs="Times New Roman"/>
      <w:lang w:val="lv-LV" w:eastAsia="lv-LV"/>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E Fußnotenzeichen,E,E FNZ,fr"/>
    <w:link w:val="CharCharCharChar"/>
    <w:uiPriority w:val="99"/>
    <w:rsid w:val="006F4E5A"/>
    <w:rPr>
      <w:rFonts w:cs="Times New Roman"/>
      <w:vertAlign w:val="superscript"/>
    </w:rPr>
  </w:style>
  <w:style w:type="paragraph" w:styleId="NormalWeb">
    <w:name w:val="Normal (Web)"/>
    <w:basedOn w:val="Normal"/>
    <w:uiPriority w:val="99"/>
    <w:rsid w:val="00D9429A"/>
    <w:pPr>
      <w:spacing w:before="100" w:beforeAutospacing="1" w:after="100" w:afterAutospacing="1" w:line="240" w:lineRule="auto"/>
    </w:pPr>
    <w:rPr>
      <w:rFonts w:ascii="Times New Roman" w:hAnsi="Times New Roman"/>
      <w:sz w:val="24"/>
      <w:szCs w:val="24"/>
      <w:lang w:eastAsia="lv-LV"/>
    </w:rPr>
  </w:style>
  <w:style w:type="character" w:customStyle="1" w:styleId="apple-converted-space">
    <w:name w:val="apple-converted-space"/>
    <w:basedOn w:val="DefaultParagraphFont"/>
    <w:rsid w:val="00D72D10"/>
  </w:style>
  <w:style w:type="paragraph" w:styleId="Title">
    <w:name w:val="Title"/>
    <w:basedOn w:val="Normal"/>
    <w:next w:val="Normal"/>
    <w:link w:val="TitleChar"/>
    <w:qFormat/>
    <w:locked/>
    <w:rsid w:val="00DC2D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C2DB3"/>
    <w:rPr>
      <w:rFonts w:asciiTheme="majorHAnsi" w:eastAsiaTheme="majorEastAsia" w:hAnsiTheme="majorHAnsi" w:cstheme="majorBidi"/>
      <w:spacing w:val="-10"/>
      <w:kern w:val="28"/>
      <w:sz w:val="56"/>
      <w:szCs w:val="56"/>
      <w:lang w:eastAsia="en-US"/>
    </w:rPr>
  </w:style>
  <w:style w:type="character" w:customStyle="1" w:styleId="Heading2Char">
    <w:name w:val="Heading 2 Char"/>
    <w:basedOn w:val="DefaultParagraphFont"/>
    <w:link w:val="Heading2"/>
    <w:semiHidden/>
    <w:rsid w:val="00DC2DB3"/>
    <w:rPr>
      <w:rFonts w:asciiTheme="majorHAnsi" w:eastAsiaTheme="majorEastAsia" w:hAnsiTheme="majorHAnsi" w:cstheme="majorBidi"/>
      <w:color w:val="365F91" w:themeColor="accent1" w:themeShade="BF"/>
      <w:sz w:val="26"/>
      <w:szCs w:val="26"/>
      <w:lang w:eastAsia="en-US"/>
    </w:rPr>
  </w:style>
  <w:style w:type="paragraph" w:customStyle="1" w:styleId="naisf">
    <w:name w:val="naisf"/>
    <w:basedOn w:val="Normal"/>
    <w:rsid w:val="00050F49"/>
    <w:pPr>
      <w:spacing w:before="75" w:after="75" w:line="240" w:lineRule="auto"/>
      <w:ind w:firstLine="375"/>
      <w:jc w:val="both"/>
    </w:pPr>
    <w:rPr>
      <w:rFonts w:ascii="Times New Roman" w:hAnsi="Times New Roman"/>
      <w:sz w:val="24"/>
      <w:szCs w:val="24"/>
      <w:lang w:eastAsia="lv-LV"/>
    </w:rPr>
  </w:style>
  <w:style w:type="table" w:styleId="TableGrid">
    <w:name w:val="Table Grid"/>
    <w:basedOn w:val="TableNormal"/>
    <w:locked/>
    <w:rsid w:val="00D61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DE2588"/>
    <w:pPr>
      <w:spacing w:before="100" w:beforeAutospacing="1" w:after="100" w:afterAutospacing="1" w:line="240" w:lineRule="auto"/>
    </w:pPr>
    <w:rPr>
      <w:rFonts w:ascii="Times New Roman" w:hAnsi="Times New Roman"/>
      <w:sz w:val="24"/>
      <w:szCs w:val="24"/>
      <w:lang w:eastAsia="lv-LV" w:bidi="lo-LA"/>
    </w:rPr>
  </w:style>
  <w:style w:type="character" w:customStyle="1" w:styleId="ListParagraphChar">
    <w:name w:val="List Paragraph Char"/>
    <w:aliases w:val="2 Char,Strip Char,H&amp;P List Paragraph Char"/>
    <w:link w:val="ListParagraph"/>
    <w:uiPriority w:val="34"/>
    <w:qFormat/>
    <w:rsid w:val="00021937"/>
    <w:rPr>
      <w:rFonts w:ascii="Calibri" w:hAnsi="Calibri" w:cs="Calibri"/>
      <w:sz w:val="22"/>
      <w:szCs w:val="22"/>
    </w:rPr>
  </w:style>
  <w:style w:type="paragraph" w:customStyle="1" w:styleId="CharCharCharChar">
    <w:name w:val="Char Char Char Char"/>
    <w:aliases w:val="Char2"/>
    <w:basedOn w:val="Normal"/>
    <w:next w:val="Normal"/>
    <w:link w:val="FootnoteReference"/>
    <w:uiPriority w:val="99"/>
    <w:rsid w:val="000B3C93"/>
    <w:pPr>
      <w:spacing w:after="160" w:line="240" w:lineRule="exact"/>
      <w:jc w:val="both"/>
      <w:textAlignment w:val="baseline"/>
    </w:pPr>
    <w:rPr>
      <w:rFonts w:ascii="Times New Roman" w:hAnsi="Times New Roman"/>
      <w:sz w:val="20"/>
      <w:szCs w:val="20"/>
      <w:vertAlign w:val="superscript"/>
      <w:lang w:eastAsia="lv-LV"/>
    </w:rPr>
  </w:style>
  <w:style w:type="paragraph" w:customStyle="1" w:styleId="Default">
    <w:name w:val="Default"/>
    <w:rsid w:val="002B790C"/>
    <w:pPr>
      <w:autoSpaceDE w:val="0"/>
      <w:autoSpaceDN w:val="0"/>
      <w:adjustRightInd w:val="0"/>
    </w:pPr>
    <w:rPr>
      <w:color w:val="000000"/>
      <w:sz w:val="24"/>
      <w:szCs w:val="24"/>
      <w:lang w:bidi="lo-LA"/>
    </w:rPr>
  </w:style>
  <w:style w:type="paragraph" w:styleId="BodyText">
    <w:name w:val="Body Text"/>
    <w:basedOn w:val="Normal"/>
    <w:link w:val="BodyTextChar"/>
    <w:rsid w:val="00AD09AF"/>
    <w:pPr>
      <w:widowControl w:val="0"/>
      <w:spacing w:after="0" w:line="240" w:lineRule="auto"/>
      <w:jc w:val="center"/>
    </w:pPr>
    <w:rPr>
      <w:rFonts w:ascii="Times New Roman" w:hAnsi="Times New Roman"/>
      <w:b/>
      <w:sz w:val="24"/>
      <w:szCs w:val="20"/>
      <w:lang w:val="en-US"/>
    </w:rPr>
  </w:style>
  <w:style w:type="character" w:customStyle="1" w:styleId="BodyTextChar">
    <w:name w:val="Body Text Char"/>
    <w:basedOn w:val="DefaultParagraphFont"/>
    <w:link w:val="BodyText"/>
    <w:rsid w:val="00AD09AF"/>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461570">
      <w:bodyDiv w:val="1"/>
      <w:marLeft w:val="0"/>
      <w:marRight w:val="0"/>
      <w:marTop w:val="0"/>
      <w:marBottom w:val="0"/>
      <w:divBdr>
        <w:top w:val="none" w:sz="0" w:space="0" w:color="auto"/>
        <w:left w:val="none" w:sz="0" w:space="0" w:color="auto"/>
        <w:bottom w:val="none" w:sz="0" w:space="0" w:color="auto"/>
        <w:right w:val="none" w:sz="0" w:space="0" w:color="auto"/>
      </w:divBdr>
    </w:div>
    <w:div w:id="774977607">
      <w:bodyDiv w:val="1"/>
      <w:marLeft w:val="0"/>
      <w:marRight w:val="0"/>
      <w:marTop w:val="0"/>
      <w:marBottom w:val="0"/>
      <w:divBdr>
        <w:top w:val="none" w:sz="0" w:space="0" w:color="auto"/>
        <w:left w:val="none" w:sz="0" w:space="0" w:color="auto"/>
        <w:bottom w:val="none" w:sz="0" w:space="0" w:color="auto"/>
        <w:right w:val="none" w:sz="0" w:space="0" w:color="auto"/>
      </w:divBdr>
    </w:div>
    <w:div w:id="1057124764">
      <w:bodyDiv w:val="1"/>
      <w:marLeft w:val="0"/>
      <w:marRight w:val="0"/>
      <w:marTop w:val="0"/>
      <w:marBottom w:val="0"/>
      <w:divBdr>
        <w:top w:val="none" w:sz="0" w:space="0" w:color="auto"/>
        <w:left w:val="none" w:sz="0" w:space="0" w:color="auto"/>
        <w:bottom w:val="none" w:sz="0" w:space="0" w:color="auto"/>
        <w:right w:val="none" w:sz="0" w:space="0" w:color="auto"/>
      </w:divBdr>
    </w:div>
    <w:div w:id="1136608524">
      <w:bodyDiv w:val="1"/>
      <w:marLeft w:val="0"/>
      <w:marRight w:val="0"/>
      <w:marTop w:val="0"/>
      <w:marBottom w:val="0"/>
      <w:divBdr>
        <w:top w:val="none" w:sz="0" w:space="0" w:color="auto"/>
        <w:left w:val="none" w:sz="0" w:space="0" w:color="auto"/>
        <w:bottom w:val="none" w:sz="0" w:space="0" w:color="auto"/>
        <w:right w:val="none" w:sz="0" w:space="0" w:color="auto"/>
      </w:divBdr>
    </w:div>
    <w:div w:id="1542087803">
      <w:bodyDiv w:val="1"/>
      <w:marLeft w:val="0"/>
      <w:marRight w:val="0"/>
      <w:marTop w:val="0"/>
      <w:marBottom w:val="0"/>
      <w:divBdr>
        <w:top w:val="none" w:sz="0" w:space="0" w:color="auto"/>
        <w:left w:val="none" w:sz="0" w:space="0" w:color="auto"/>
        <w:bottom w:val="none" w:sz="0" w:space="0" w:color="auto"/>
        <w:right w:val="none" w:sz="0" w:space="0" w:color="auto"/>
      </w:divBdr>
    </w:div>
    <w:div w:id="1665426087">
      <w:marLeft w:val="0"/>
      <w:marRight w:val="0"/>
      <w:marTop w:val="0"/>
      <w:marBottom w:val="0"/>
      <w:divBdr>
        <w:top w:val="none" w:sz="0" w:space="0" w:color="auto"/>
        <w:left w:val="none" w:sz="0" w:space="0" w:color="auto"/>
        <w:bottom w:val="none" w:sz="0" w:space="0" w:color="auto"/>
        <w:right w:val="none" w:sz="0" w:space="0" w:color="auto"/>
      </w:divBdr>
    </w:div>
    <w:div w:id="1665426088">
      <w:marLeft w:val="0"/>
      <w:marRight w:val="0"/>
      <w:marTop w:val="0"/>
      <w:marBottom w:val="0"/>
      <w:divBdr>
        <w:top w:val="none" w:sz="0" w:space="0" w:color="auto"/>
        <w:left w:val="none" w:sz="0" w:space="0" w:color="auto"/>
        <w:bottom w:val="none" w:sz="0" w:space="0" w:color="auto"/>
        <w:right w:val="none" w:sz="0" w:space="0" w:color="auto"/>
      </w:divBdr>
    </w:div>
    <w:div w:id="1665426091">
      <w:marLeft w:val="0"/>
      <w:marRight w:val="0"/>
      <w:marTop w:val="0"/>
      <w:marBottom w:val="0"/>
      <w:divBdr>
        <w:top w:val="none" w:sz="0" w:space="0" w:color="auto"/>
        <w:left w:val="none" w:sz="0" w:space="0" w:color="auto"/>
        <w:bottom w:val="none" w:sz="0" w:space="0" w:color="auto"/>
        <w:right w:val="none" w:sz="0" w:space="0" w:color="auto"/>
      </w:divBdr>
      <w:divsChild>
        <w:div w:id="1665426089">
          <w:marLeft w:val="0"/>
          <w:marRight w:val="0"/>
          <w:marTop w:val="0"/>
          <w:marBottom w:val="0"/>
          <w:divBdr>
            <w:top w:val="none" w:sz="0" w:space="0" w:color="auto"/>
            <w:left w:val="none" w:sz="0" w:space="0" w:color="auto"/>
            <w:bottom w:val="none" w:sz="0" w:space="0" w:color="auto"/>
            <w:right w:val="none" w:sz="0" w:space="0" w:color="auto"/>
          </w:divBdr>
        </w:div>
        <w:div w:id="1665426090">
          <w:marLeft w:val="0"/>
          <w:marRight w:val="0"/>
          <w:marTop w:val="0"/>
          <w:marBottom w:val="0"/>
          <w:divBdr>
            <w:top w:val="none" w:sz="0" w:space="0" w:color="auto"/>
            <w:left w:val="none" w:sz="0" w:space="0" w:color="auto"/>
            <w:bottom w:val="none" w:sz="0" w:space="0" w:color="auto"/>
            <w:right w:val="none" w:sz="0" w:space="0" w:color="auto"/>
          </w:divBdr>
        </w:div>
      </w:divsChild>
    </w:div>
    <w:div w:id="1665426092">
      <w:marLeft w:val="0"/>
      <w:marRight w:val="0"/>
      <w:marTop w:val="0"/>
      <w:marBottom w:val="0"/>
      <w:divBdr>
        <w:top w:val="none" w:sz="0" w:space="0" w:color="auto"/>
        <w:left w:val="none" w:sz="0" w:space="0" w:color="auto"/>
        <w:bottom w:val="none" w:sz="0" w:space="0" w:color="auto"/>
        <w:right w:val="none" w:sz="0" w:space="0" w:color="auto"/>
      </w:divBdr>
    </w:div>
    <w:div w:id="1665426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imonds.Bridaks@lm.gov.lv" TargetMode="External"/><Relationship Id="rId4" Type="http://schemas.openxmlformats.org/officeDocument/2006/relationships/settings" Target="settings.xml"/><Relationship Id="rId9" Type="http://schemas.openxmlformats.org/officeDocument/2006/relationships/hyperlink" Target="http://www.nva.gov.lv/index.php?cid=44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A7238-2D0D-4CA2-BAF2-A139980B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24</Pages>
  <Words>31983</Words>
  <Characters>18231</Characters>
  <Application>Microsoft Office Word</Application>
  <DocSecurity>0</DocSecurity>
  <Lines>151</Lines>
  <Paragraphs>100</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LaBmin</Company>
  <LinksUpToDate>false</LinksUpToDate>
  <CharactersWithSpaces>50114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Raimonds Bridaks</dc:creator>
  <cp:keywords/>
  <dc:description/>
  <cp:lastModifiedBy>Raimonds Bridaks</cp:lastModifiedBy>
  <cp:revision>8</cp:revision>
  <cp:lastPrinted>2017-02-27T11:40:00Z</cp:lastPrinted>
  <dcterms:created xsi:type="dcterms:W3CDTF">2017-02-16T08:19:00Z</dcterms:created>
  <dcterms:modified xsi:type="dcterms:W3CDTF">2017-02-27T12:10:00Z</dcterms:modified>
</cp:coreProperties>
</file>