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7B" w:rsidRDefault="0040247B" w:rsidP="0040247B">
      <w:pPr>
        <w:ind w:firstLine="300"/>
        <w:jc w:val="center"/>
        <w:rPr>
          <w:b/>
          <w:sz w:val="26"/>
          <w:szCs w:val="26"/>
        </w:rPr>
      </w:pPr>
      <w:r>
        <w:rPr>
          <w:b/>
          <w:sz w:val="26"/>
          <w:szCs w:val="26"/>
        </w:rPr>
        <w:t>Likumprojekta „Grozījums Sociālo pakalpojumu un sociālās palīdzības likumā” sākotnējās ietekmes novērtējuma ziņojums (anotācija)</w:t>
      </w:r>
    </w:p>
    <w:p w:rsidR="0040247B" w:rsidRDefault="0040247B" w:rsidP="0040247B">
      <w:pPr>
        <w:rPr>
          <w:lang w:eastAsia="en-US"/>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477"/>
        <w:gridCol w:w="6442"/>
      </w:tblGrid>
      <w:tr w:rsidR="0040247B" w:rsidTr="000D497C">
        <w:trPr>
          <w:jc w:val="center"/>
        </w:trPr>
        <w:tc>
          <w:tcPr>
            <w:tcW w:w="9447" w:type="dxa"/>
            <w:gridSpan w:val="3"/>
            <w:tcBorders>
              <w:top w:val="single" w:sz="4" w:space="0" w:color="auto"/>
              <w:left w:val="single" w:sz="4" w:space="0" w:color="auto"/>
              <w:bottom w:val="single" w:sz="4" w:space="0" w:color="auto"/>
              <w:right w:val="single" w:sz="4" w:space="0" w:color="auto"/>
            </w:tcBorders>
            <w:hideMark/>
          </w:tcPr>
          <w:p w:rsidR="0040247B" w:rsidRDefault="0040247B">
            <w:pPr>
              <w:pStyle w:val="naisc"/>
              <w:spacing w:line="276" w:lineRule="auto"/>
              <w:rPr>
                <w:lang w:eastAsia="en-US"/>
              </w:rPr>
            </w:pPr>
            <w:r>
              <w:rPr>
                <w:lang w:eastAsia="en-US"/>
              </w:rPr>
              <w:t> </w:t>
            </w:r>
            <w:r>
              <w:rPr>
                <w:b/>
                <w:bCs/>
                <w:lang w:eastAsia="en-US"/>
              </w:rPr>
              <w:t> I. Tiesību akta projekta izstrādes nepieciešamība</w:t>
            </w:r>
          </w:p>
        </w:tc>
      </w:tr>
      <w:tr w:rsidR="0040247B" w:rsidTr="000D497C">
        <w:trPr>
          <w:trHeight w:val="630"/>
          <w:jc w:val="center"/>
        </w:trPr>
        <w:tc>
          <w:tcPr>
            <w:tcW w:w="528"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1.</w:t>
            </w:r>
          </w:p>
        </w:tc>
        <w:tc>
          <w:tcPr>
            <w:tcW w:w="2477" w:type="dxa"/>
            <w:tcBorders>
              <w:top w:val="single" w:sz="4" w:space="0" w:color="auto"/>
              <w:left w:val="single" w:sz="4" w:space="0" w:color="auto"/>
              <w:bottom w:val="single" w:sz="4" w:space="0" w:color="auto"/>
              <w:right w:val="single" w:sz="4" w:space="0" w:color="auto"/>
            </w:tcBorders>
            <w:hideMark/>
          </w:tcPr>
          <w:p w:rsidR="0040247B" w:rsidRDefault="0040247B">
            <w:pPr>
              <w:pStyle w:val="naislab"/>
              <w:spacing w:line="276" w:lineRule="auto"/>
              <w:jc w:val="both"/>
              <w:rPr>
                <w:lang w:eastAsia="en-US"/>
              </w:rPr>
            </w:pPr>
            <w:r>
              <w:rPr>
                <w:lang w:eastAsia="en-US"/>
              </w:rPr>
              <w:t>Pamatojums</w:t>
            </w:r>
          </w:p>
        </w:tc>
        <w:tc>
          <w:tcPr>
            <w:tcW w:w="6442" w:type="dxa"/>
            <w:tcBorders>
              <w:top w:val="single" w:sz="4" w:space="0" w:color="auto"/>
              <w:left w:val="single" w:sz="4" w:space="0" w:color="auto"/>
              <w:bottom w:val="single" w:sz="4" w:space="0" w:color="auto"/>
              <w:right w:val="single" w:sz="4" w:space="0" w:color="auto"/>
            </w:tcBorders>
            <w:hideMark/>
          </w:tcPr>
          <w:p w:rsidR="0040247B" w:rsidRDefault="0040247B" w:rsidP="004B477D">
            <w:pPr>
              <w:spacing w:before="120" w:after="120" w:line="276" w:lineRule="auto"/>
              <w:jc w:val="both"/>
              <w:rPr>
                <w:lang w:eastAsia="en-US"/>
              </w:rPr>
            </w:pPr>
            <w:r>
              <w:rPr>
                <w:bCs/>
                <w:lang w:eastAsia="en-US"/>
              </w:rPr>
              <w:t xml:space="preserve">Likumprojekts „Grozījums Sociālo pakalpojumu un sociālās palīdzības likumā” (turpmāk – Likumprojekts) izstrādāts atbilstoši Ministru kabineta </w:t>
            </w:r>
            <w:r>
              <w:rPr>
                <w:lang w:eastAsia="en-US"/>
              </w:rPr>
              <w:t xml:space="preserve">2014.gada 22.aprīļa </w:t>
            </w:r>
            <w:r>
              <w:rPr>
                <w:bCs/>
                <w:lang w:eastAsia="en-US"/>
              </w:rPr>
              <w:t>sēdes protokola</w:t>
            </w:r>
            <w:r>
              <w:rPr>
                <w:lang w:eastAsia="en-US"/>
              </w:rPr>
              <w:t xml:space="preserve"> (Nr.24 26.§)</w:t>
            </w:r>
            <w:r>
              <w:rPr>
                <w:bCs/>
                <w:lang w:eastAsia="en-US"/>
              </w:rPr>
              <w:t xml:space="preserve"> „</w:t>
            </w:r>
            <w:r>
              <w:rPr>
                <w:lang w:eastAsia="en-US"/>
              </w:rPr>
              <w:t>Informatīvais ziņojums „Nozaru administratīvo pārkāpumu kodifikācijas ieviešanas sistēma”” 2.punktā dotajam uzdevumam</w:t>
            </w:r>
            <w:r w:rsidR="004B477D">
              <w:rPr>
                <w:lang w:eastAsia="en-US"/>
              </w:rPr>
              <w:t>.</w:t>
            </w:r>
            <w:r>
              <w:rPr>
                <w:lang w:eastAsia="en-US"/>
              </w:rPr>
              <w:t xml:space="preserve"> </w:t>
            </w:r>
          </w:p>
        </w:tc>
      </w:tr>
      <w:tr w:rsidR="0040247B" w:rsidTr="000D497C">
        <w:trPr>
          <w:trHeight w:val="472"/>
          <w:jc w:val="center"/>
        </w:trPr>
        <w:tc>
          <w:tcPr>
            <w:tcW w:w="528" w:type="dxa"/>
            <w:tcBorders>
              <w:top w:val="single" w:sz="4" w:space="0" w:color="auto"/>
              <w:left w:val="single" w:sz="4" w:space="0" w:color="auto"/>
              <w:bottom w:val="single" w:sz="4" w:space="0" w:color="auto"/>
              <w:right w:val="single" w:sz="4" w:space="0" w:color="auto"/>
            </w:tcBorders>
            <w:hideMark/>
          </w:tcPr>
          <w:p w:rsidR="0040247B" w:rsidRDefault="0040247B">
            <w:pPr>
              <w:spacing w:line="276" w:lineRule="auto"/>
              <w:rPr>
                <w:lang w:eastAsia="en-US"/>
              </w:rPr>
            </w:pPr>
            <w:r>
              <w:rPr>
                <w:lang w:eastAsia="en-US"/>
              </w:rPr>
              <w:t> 2.</w:t>
            </w:r>
          </w:p>
        </w:tc>
        <w:tc>
          <w:tcPr>
            <w:tcW w:w="2477" w:type="dxa"/>
            <w:tcBorders>
              <w:top w:val="single" w:sz="4" w:space="0" w:color="auto"/>
              <w:left w:val="single" w:sz="4" w:space="0" w:color="auto"/>
              <w:bottom w:val="single" w:sz="4" w:space="0" w:color="auto"/>
              <w:right w:val="single" w:sz="4" w:space="0" w:color="auto"/>
            </w:tcBorders>
            <w:hideMark/>
          </w:tcPr>
          <w:p w:rsidR="0040247B" w:rsidRDefault="0040247B">
            <w:pPr>
              <w:spacing w:line="276" w:lineRule="auto"/>
              <w:jc w:val="both"/>
              <w:rPr>
                <w:lang w:eastAsia="en-US"/>
              </w:rPr>
            </w:pPr>
            <w:r>
              <w:rPr>
                <w:lang w:eastAsia="en-US"/>
              </w:rPr>
              <w:t xml:space="preserve">Pašreizējā situācija un problēmas, kuru risināšanai tiesību akta projekts izstrādāts, tiesiskā regulējuma mērķis un būtība </w:t>
            </w:r>
          </w:p>
        </w:tc>
        <w:tc>
          <w:tcPr>
            <w:tcW w:w="6442" w:type="dxa"/>
            <w:tcBorders>
              <w:top w:val="single" w:sz="4" w:space="0" w:color="auto"/>
              <w:left w:val="single" w:sz="4" w:space="0" w:color="auto"/>
              <w:bottom w:val="single" w:sz="4" w:space="0" w:color="auto"/>
              <w:right w:val="single" w:sz="4" w:space="0" w:color="auto"/>
            </w:tcBorders>
            <w:hideMark/>
          </w:tcPr>
          <w:p w:rsidR="0040247B" w:rsidRDefault="0040247B">
            <w:pPr>
              <w:widowControl w:val="0"/>
              <w:tabs>
                <w:tab w:val="left" w:pos="560"/>
              </w:tabs>
              <w:spacing w:line="276" w:lineRule="auto"/>
              <w:jc w:val="both"/>
              <w:outlineLvl w:val="2"/>
              <w:rPr>
                <w:lang w:eastAsia="en-US"/>
              </w:rPr>
            </w:pPr>
            <w:r>
              <w:rPr>
                <w:lang w:eastAsia="en-US"/>
              </w:rPr>
              <w:t xml:space="preserve">Latvijā pastāvošais administratīvās atbildības regulējums ietverts Latvijas Administratīvo pārkāpumu kodeksā (turpmāk – kodekss), kurš ir spēkā no 1985.gada 1.jūlija un līdz šim laikam tas ir grozīts aptuveni 150 reižu. Tādējādi ir izveidojusies situācija, ka turpmāki grozījumi kodeksā nespēs nodrošināt mūsdienu prasībām atbilstošu administratīvo sodu sistēmas attīstību. Ministru kabinets 2013.gada 4.februārī izdeva rīkojumu Nr.38 „Par Administratīvo sodu sistēmas attīstības koncepciju” (turpmāk – rīkojums) ar kuru tika atbalstīti koncepcijas kopsavilkumā ietvertie risinājumi, tai skaitā nozaru administratīvo pārkāpumu kodifikācija. </w:t>
            </w:r>
          </w:p>
          <w:p w:rsidR="0040247B" w:rsidRDefault="0040247B">
            <w:pPr>
              <w:widowControl w:val="0"/>
              <w:tabs>
                <w:tab w:val="left" w:pos="560"/>
              </w:tabs>
              <w:spacing w:line="276" w:lineRule="auto"/>
              <w:jc w:val="both"/>
              <w:outlineLvl w:val="2"/>
              <w:rPr>
                <w:lang w:eastAsia="en-US"/>
              </w:rPr>
            </w:pPr>
            <w:r>
              <w:rPr>
                <w:lang w:eastAsia="en-US"/>
              </w:rPr>
              <w:t>Kā izriet no Ministru kabineta 2014.gada 22.aprīļa sēdes protokollēmuma (prot. Nr.24 26.§) „Informatīvais ziņojums „Nozaru administratīvo pārkāpumu kodifikācijas ieviešanas sistēma”” (turpmāk – informatīvais ziņojums) nozaru ministrijām, kuras šobrīd piemēro administratīvos sodus, atbilstoši protokollēmumam jāizvērtē kompetencē esošie administratīvie pārkāpumi, jāsniedz priekšlikumi par šo pārkāpumu turpmāku saglabāšanu administratīvo pārkāpumu sistēmā.</w:t>
            </w:r>
          </w:p>
          <w:p w:rsidR="0040247B" w:rsidRDefault="0040247B">
            <w:pPr>
              <w:widowControl w:val="0"/>
              <w:tabs>
                <w:tab w:val="left" w:pos="560"/>
              </w:tabs>
              <w:spacing w:line="276" w:lineRule="auto"/>
              <w:jc w:val="both"/>
              <w:outlineLvl w:val="2"/>
              <w:rPr>
                <w:color w:val="00B050"/>
                <w:lang w:eastAsia="en-US"/>
              </w:rPr>
            </w:pPr>
            <w:r>
              <w:rPr>
                <w:lang w:eastAsia="en-US"/>
              </w:rPr>
              <w:t xml:space="preserve">Viens no Sociālo pakalpojumu un sociālās palīdzības likuma (turpmāk – likums) </w:t>
            </w:r>
            <w:r>
              <w:rPr>
                <w:bCs/>
                <w:lang w:eastAsia="en-US"/>
              </w:rPr>
              <w:t>14.pantā Labklājības ministrijai</w:t>
            </w:r>
            <w:r>
              <w:rPr>
                <w:b/>
                <w:bCs/>
                <w:lang w:eastAsia="en-US"/>
              </w:rPr>
              <w:t xml:space="preserve"> </w:t>
            </w:r>
            <w:r>
              <w:rPr>
                <w:bCs/>
                <w:lang w:eastAsia="en-US"/>
              </w:rPr>
              <w:t xml:space="preserve">noteiktajiem uzdevumiem </w:t>
            </w:r>
            <w:r>
              <w:rPr>
                <w:lang w:eastAsia="en-US"/>
              </w:rPr>
              <w:t xml:space="preserve">sociālo pakalpojumu un sociālās palīdzības jomā ir pārraudzīt šā likuma īstenošanu, kontrolēt sociālo pakalpojumu sniegšanu regulējošo normatīvo aktu ievērošanu, kā arī sociālo pakalpojumu kvalitāti un sociālo pakalpojumu sniedzēju atbilstību normatīvo aktu prasībām un </w:t>
            </w:r>
            <w:r>
              <w:rPr>
                <w:u w:val="single"/>
                <w:lang w:eastAsia="en-US"/>
              </w:rPr>
              <w:t>administratīvi sodīt sociālo pakalpojumu sniedzējus par izdarītajiem pārkāpumiem.</w:t>
            </w:r>
          </w:p>
          <w:p w:rsidR="0040247B" w:rsidRDefault="0040247B">
            <w:pPr>
              <w:pStyle w:val="tv213"/>
              <w:spacing w:before="0" w:beforeAutospacing="0" w:after="0" w:afterAutospacing="0" w:line="276" w:lineRule="auto"/>
              <w:jc w:val="both"/>
              <w:rPr>
                <w:u w:val="single"/>
                <w:lang w:eastAsia="en-US"/>
              </w:rPr>
            </w:pPr>
            <w:r>
              <w:rPr>
                <w:lang w:eastAsia="en-US"/>
              </w:rPr>
              <w:t xml:space="preserve">Ministru kabineta 2003.gada 3.jūnija noteikumi Nr.291 „Prasības sociālo pakalpojumu sniedzējiem” nosaka vispārējās un speciālās prasības sociālo pakalpojumu sniedzējiem, kuru neievērošanas un būtisku pārkāpumu gadījumā var iestāties Sociālo pakalpojumu un sociālās palīdzības 14.panta pirmās </w:t>
            </w:r>
            <w:r>
              <w:rPr>
                <w:lang w:eastAsia="en-US"/>
              </w:rPr>
              <w:lastRenderedPageBreak/>
              <w:t xml:space="preserve">daļas 4.punktā noteiktās sekas - Labklājības ministrija administratīvi soda sociālo pakalpojumu sniedzēju. </w:t>
            </w:r>
          </w:p>
          <w:p w:rsidR="0040247B" w:rsidRPr="00C54225" w:rsidRDefault="0040247B">
            <w:pPr>
              <w:pStyle w:val="tv213"/>
              <w:spacing w:before="0" w:beforeAutospacing="0" w:after="0" w:afterAutospacing="0" w:line="276" w:lineRule="auto"/>
              <w:jc w:val="both"/>
              <w:rPr>
                <w:lang w:eastAsia="en-US"/>
              </w:rPr>
            </w:pPr>
            <w:r>
              <w:rPr>
                <w:lang w:eastAsia="en-US"/>
              </w:rPr>
              <w:t>Savukārt kodekss nosaka tiesības Labklājības ministrijai sastādīt administratīvo pārkāpumu protokolus, izskatīt administratīvo pārkāpumu lietas un uzlikt administratīvos sodus (kodeksa 204.</w:t>
            </w:r>
            <w:r>
              <w:rPr>
                <w:vertAlign w:val="superscript"/>
                <w:lang w:eastAsia="en-US"/>
              </w:rPr>
              <w:t>13</w:t>
            </w:r>
            <w:r>
              <w:rPr>
                <w:lang w:eastAsia="en-US"/>
              </w:rPr>
              <w:t xml:space="preserve"> pants) par normatīvajos aktos noteiktās sociālo pakalpojumu kvalitātes nenodrošināšanu vai sociālo pakalpojumu sniedzēja neatbilstību normatīvo aktu prasībām, vai par </w:t>
            </w:r>
            <w:r w:rsidRPr="00C54225">
              <w:rPr>
                <w:lang w:eastAsia="en-US"/>
              </w:rPr>
              <w:t xml:space="preserve">sociālās aprūpes vai sociālās rehabilitācijas pakalpojuma sniegšanu bez reģistrēšanās sociālo pakalpojumu sniedzēju reģistrā. </w:t>
            </w:r>
          </w:p>
          <w:p w:rsidR="0040247B" w:rsidRPr="00C54225" w:rsidRDefault="0040247B">
            <w:pPr>
              <w:pStyle w:val="tv213"/>
              <w:spacing w:before="0" w:beforeAutospacing="0" w:after="0" w:afterAutospacing="0" w:line="276" w:lineRule="auto"/>
              <w:jc w:val="both"/>
              <w:rPr>
                <w:lang w:eastAsia="en-US"/>
              </w:rPr>
            </w:pPr>
            <w:r w:rsidRPr="00C54225">
              <w:rPr>
                <w:lang w:eastAsia="en-US"/>
              </w:rPr>
              <w:t xml:space="preserve">Saskaņā ar Iekšlietu ministrijas Informācijas centra </w:t>
            </w:r>
            <w:r w:rsidRPr="00C54225">
              <w:rPr>
                <w:noProof/>
                <w:lang w:eastAsia="en-US"/>
              </w:rPr>
              <w:t>datiem Sodu reģistrā laika periodā no 2010.gada</w:t>
            </w:r>
            <w:r w:rsidR="004B477D" w:rsidRPr="00C54225">
              <w:rPr>
                <w:noProof/>
                <w:lang w:eastAsia="en-US"/>
              </w:rPr>
              <w:t xml:space="preserve"> 1.janvāra</w:t>
            </w:r>
            <w:r w:rsidR="00FC7612" w:rsidRPr="00C54225">
              <w:rPr>
                <w:noProof/>
                <w:lang w:eastAsia="en-US"/>
              </w:rPr>
              <w:t xml:space="preserve"> </w:t>
            </w:r>
            <w:r w:rsidR="004B477D" w:rsidRPr="00C54225">
              <w:rPr>
                <w:noProof/>
                <w:lang w:eastAsia="en-US"/>
              </w:rPr>
              <w:t>līdz 2016</w:t>
            </w:r>
            <w:r w:rsidR="00FC7612" w:rsidRPr="00C54225">
              <w:rPr>
                <w:noProof/>
                <w:lang w:eastAsia="en-US"/>
              </w:rPr>
              <w:t xml:space="preserve">.gada </w:t>
            </w:r>
            <w:r w:rsidR="004B477D" w:rsidRPr="00C54225">
              <w:rPr>
                <w:noProof/>
                <w:lang w:eastAsia="en-US"/>
              </w:rPr>
              <w:t>31.decembrim</w:t>
            </w:r>
            <w:r w:rsidRPr="00C54225">
              <w:rPr>
                <w:noProof/>
                <w:lang w:eastAsia="en-US"/>
              </w:rPr>
              <w:t xml:space="preserve"> </w:t>
            </w:r>
            <w:r w:rsidRPr="00C54225">
              <w:rPr>
                <w:lang w:eastAsia="en-US"/>
              </w:rPr>
              <w:t xml:space="preserve">par kodeksa </w:t>
            </w:r>
            <w:r w:rsidRPr="00C54225">
              <w:rPr>
                <w:bCs/>
                <w:lang w:eastAsia="en-US"/>
              </w:rPr>
              <w:t>204.</w:t>
            </w:r>
            <w:r w:rsidRPr="00C54225">
              <w:rPr>
                <w:bCs/>
                <w:vertAlign w:val="superscript"/>
                <w:lang w:eastAsia="en-US"/>
              </w:rPr>
              <w:t>13</w:t>
            </w:r>
            <w:r w:rsidRPr="00C54225">
              <w:rPr>
                <w:b/>
                <w:bCs/>
                <w:lang w:eastAsia="en-US"/>
              </w:rPr>
              <w:t xml:space="preserve"> </w:t>
            </w:r>
            <w:r w:rsidRPr="00C54225">
              <w:rPr>
                <w:lang w:eastAsia="en-US"/>
              </w:rPr>
              <w:t>panta pirmajā daļā noteikto administratīvo pārkāpumu (par normatīvajos aktos noteiktās sociālo pakalpojumu kvalitātes nenodrošināšanu vai sociālo pakalpojumu sniedzēja neatbilstību normatīvo aktu prasībām</w:t>
            </w:r>
            <w:r w:rsidRPr="00C54225">
              <w:rPr>
                <w:bCs/>
                <w:lang w:eastAsia="en-US"/>
              </w:rPr>
              <w:t>)</w:t>
            </w:r>
            <w:r w:rsidRPr="00C54225">
              <w:rPr>
                <w:lang w:eastAsia="en-US"/>
              </w:rPr>
              <w:t xml:space="preserve"> ir reģistrētas </w:t>
            </w:r>
            <w:r w:rsidR="004B477D" w:rsidRPr="00C54225">
              <w:rPr>
                <w:lang w:eastAsia="en-US"/>
              </w:rPr>
              <w:t>10</w:t>
            </w:r>
            <w:r w:rsidRPr="00C54225">
              <w:rPr>
                <w:lang w:eastAsia="en-US"/>
              </w:rPr>
              <w:t xml:space="preserve"> administratīvo pārkāpumu lietas, par kodeksa </w:t>
            </w:r>
            <w:r w:rsidRPr="00C54225">
              <w:rPr>
                <w:bCs/>
                <w:lang w:eastAsia="en-US"/>
              </w:rPr>
              <w:t>204.</w:t>
            </w:r>
            <w:r w:rsidRPr="00C54225">
              <w:rPr>
                <w:bCs/>
                <w:vertAlign w:val="superscript"/>
                <w:lang w:eastAsia="en-US"/>
              </w:rPr>
              <w:t>13</w:t>
            </w:r>
            <w:r w:rsidRPr="00C54225">
              <w:rPr>
                <w:b/>
                <w:bCs/>
                <w:lang w:eastAsia="en-US"/>
              </w:rPr>
              <w:t xml:space="preserve"> </w:t>
            </w:r>
            <w:r w:rsidRPr="00C54225">
              <w:rPr>
                <w:lang w:eastAsia="en-US"/>
              </w:rPr>
              <w:t>panta trešajā daļā noteikto administratīvo pārkāpumu (par sociālās aprūpes vai sociālās rehabilitācijas pakalpojuma sniegšanu bez reģistrēšanās sociālo pakalpojumu sniedzēju reģistrā) ir reģistrētas 13 administratīvā pārkāpuma lietas.</w:t>
            </w:r>
          </w:p>
          <w:p w:rsidR="0040247B" w:rsidRPr="00C54225" w:rsidRDefault="0040247B">
            <w:pPr>
              <w:widowControl w:val="0"/>
              <w:tabs>
                <w:tab w:val="left" w:pos="560"/>
              </w:tabs>
              <w:spacing w:line="276" w:lineRule="auto"/>
              <w:jc w:val="both"/>
              <w:outlineLvl w:val="2"/>
              <w:rPr>
                <w:lang w:eastAsia="en-US"/>
              </w:rPr>
            </w:pPr>
            <w:r w:rsidRPr="00C54225">
              <w:rPr>
                <w:lang w:eastAsia="en-US"/>
              </w:rPr>
              <w:t>Labklājības ministrija, kontrolējot sociālo pakalpojumu sniedzēju sniegto sociālo pakalpojumu kvalitāti un atbilstību normatīvo aktu prasībām, administratīvo sodu piemēro tikai gadījumos, kad sociālā pakalpojuma sniedzējs neievēro vai pārkāpj vairākas normatīvajos aktos noteiktās prasības konkrētajam sociālo pakalpojumu sniedzējam</w:t>
            </w:r>
            <w:r w:rsidR="007C0B1A" w:rsidRPr="00C54225">
              <w:rPr>
                <w:lang w:eastAsia="en-US"/>
              </w:rPr>
              <w:t>, kas var radīt</w:t>
            </w:r>
            <w:r w:rsidR="00B318A9" w:rsidRPr="00C54225">
              <w:rPr>
                <w:lang w:eastAsia="en-US"/>
              </w:rPr>
              <w:t xml:space="preserve"> vai rada </w:t>
            </w:r>
            <w:r w:rsidR="007C0B1A" w:rsidRPr="00C54225">
              <w:rPr>
                <w:lang w:eastAsia="en-US"/>
              </w:rPr>
              <w:t xml:space="preserve">draudus </w:t>
            </w:r>
            <w:r w:rsidR="00B318A9" w:rsidRPr="00C54225">
              <w:rPr>
                <w:lang w:eastAsia="en-US"/>
              </w:rPr>
              <w:t xml:space="preserve">sociālā </w:t>
            </w:r>
            <w:r w:rsidR="007C0B1A" w:rsidRPr="00C54225">
              <w:rPr>
                <w:lang w:eastAsia="en-US"/>
              </w:rPr>
              <w:t>pakalpojuma saņēmēja drošībai</w:t>
            </w:r>
            <w:r w:rsidR="00B318A9" w:rsidRPr="00C54225">
              <w:rPr>
                <w:lang w:eastAsia="en-US"/>
              </w:rPr>
              <w:t xml:space="preserve"> vai</w:t>
            </w:r>
            <w:r w:rsidR="007C0B1A" w:rsidRPr="00C54225">
              <w:rPr>
                <w:lang w:eastAsia="en-US"/>
              </w:rPr>
              <w:t xml:space="preserve"> </w:t>
            </w:r>
            <w:r w:rsidR="00B318A9" w:rsidRPr="00C54225">
              <w:rPr>
                <w:lang w:eastAsia="en-US"/>
              </w:rPr>
              <w:t xml:space="preserve">veselībai, </w:t>
            </w:r>
            <w:r w:rsidRPr="00C54225">
              <w:rPr>
                <w:lang w:eastAsia="en-US"/>
              </w:rPr>
              <w:t>vai ilgstošā laika periodā neievieš Labklājības ministrijas ieteikumus pakalpojuma atbilstības normatīvo aktu prasībām nodrošināšanai. Lietvedība administratīvā pārkāpuma lietā tiek uzsākta nekavējoties, ja pārbaudes laikā tiek konstatēts pakalpojuma saņēmēja</w:t>
            </w:r>
            <w:r w:rsidR="003235D0" w:rsidRPr="00C54225">
              <w:rPr>
                <w:lang w:eastAsia="en-US"/>
              </w:rPr>
              <w:t xml:space="preserve"> drošībai vai</w:t>
            </w:r>
            <w:r w:rsidRPr="00C54225">
              <w:rPr>
                <w:lang w:eastAsia="en-US"/>
              </w:rPr>
              <w:t xml:space="preserve"> veselībai bīstams stāvoklis, kas saistīts ar pakalpojuma sniegšanu. Piemēram, ja ilgstošas sociālās aprūpes un sociālās rehabilitācijas iestāde pensijas vecuma personām sniedz pakalpojumu nepiemērotās telpās, nodrošina nekvalitatīvu personas aprūpi ar neatbilstoša skaita un neatbilstošas kvalifikācijas vai izglītības darbiniekiem, nenodrošina ēdināšanu normatīvajos aktos noteiktajā kvalitātē un apjomā, nenodrošina medicīnisko aprūpi, tas rada risku šajā institūcijā dzīvojošo personu veselībai un </w:t>
            </w:r>
            <w:r w:rsidR="000C7365" w:rsidRPr="00C54225">
              <w:rPr>
                <w:lang w:eastAsia="en-US"/>
              </w:rPr>
              <w:t>drošībai</w:t>
            </w:r>
            <w:r w:rsidRPr="00C54225">
              <w:rPr>
                <w:lang w:eastAsia="en-US"/>
              </w:rPr>
              <w:t>. Administratīvā soda galvenais mērķis ir novērst tādu sociālo pakalpojumu sniegšanu, kas var radīt</w:t>
            </w:r>
            <w:r w:rsidR="00B318A9" w:rsidRPr="00C54225">
              <w:rPr>
                <w:lang w:eastAsia="en-US"/>
              </w:rPr>
              <w:t xml:space="preserve"> vai rada draudus</w:t>
            </w:r>
            <w:r w:rsidRPr="00C54225">
              <w:rPr>
                <w:lang w:eastAsia="en-US"/>
              </w:rPr>
              <w:t xml:space="preserve"> </w:t>
            </w:r>
            <w:r w:rsidRPr="00C54225">
              <w:rPr>
                <w:lang w:eastAsia="en-US"/>
              </w:rPr>
              <w:lastRenderedPageBreak/>
              <w:t>pakalpojuma saņēmēja – konkrētas personas vai personu grupas</w:t>
            </w:r>
            <w:r w:rsidR="00B318A9" w:rsidRPr="00C54225">
              <w:rPr>
                <w:lang w:eastAsia="en-US"/>
              </w:rPr>
              <w:t xml:space="preserve"> drošībai vai</w:t>
            </w:r>
            <w:r w:rsidRPr="00C54225">
              <w:rPr>
                <w:lang w:eastAsia="en-US"/>
              </w:rPr>
              <w:t xml:space="preserve"> veselībai.</w:t>
            </w:r>
          </w:p>
          <w:p w:rsidR="0040247B" w:rsidRDefault="0040247B">
            <w:pPr>
              <w:widowControl w:val="0"/>
              <w:tabs>
                <w:tab w:val="left" w:pos="560"/>
              </w:tabs>
              <w:spacing w:line="276" w:lineRule="auto"/>
              <w:jc w:val="both"/>
              <w:outlineLvl w:val="2"/>
              <w:rPr>
                <w:lang w:eastAsia="en-US"/>
              </w:rPr>
            </w:pPr>
            <w:r>
              <w:rPr>
                <w:lang w:eastAsia="en-US"/>
              </w:rPr>
              <w:t>Atbilstoši informatīvā ziņojuma 1.pielikuma “Nozaru administratīvo pārkāpumu ieviešanas shēma” noteiktajam, kodeksā ietvertie administratīvo pārkāpumu sastāvi tiek saglabāti un integrēti likumā, pēc to atbilstības Tieslietu ministrijas noteiktajiem kritērijiem (nodarījuma bīstamība, sabiedriskais kaitīgums, nodarījuma sekas, nodarījuma aktualitāte, nodarījuma attiecināmība uz publiski tiesiskajām attiecībām) izvērtēšanas Labklājības ministrijā.</w:t>
            </w:r>
          </w:p>
          <w:p w:rsidR="0040247B" w:rsidRDefault="0040247B">
            <w:pPr>
              <w:widowControl w:val="0"/>
              <w:tabs>
                <w:tab w:val="left" w:pos="560"/>
              </w:tabs>
              <w:spacing w:line="276" w:lineRule="auto"/>
              <w:jc w:val="both"/>
              <w:outlineLvl w:val="2"/>
              <w:rPr>
                <w:lang w:eastAsia="en-US"/>
              </w:rPr>
            </w:pPr>
            <w:r>
              <w:rPr>
                <w:lang w:eastAsia="en-US"/>
              </w:rPr>
              <w:t xml:space="preserve">Ar Likumprojektu likums tiek papildināts ar atsevišķu nodaļu – „VII nodaļa Administratīvā atbildība </w:t>
            </w:r>
            <w:r>
              <w:rPr>
                <w:bCs/>
                <w:lang w:eastAsia="en-US"/>
              </w:rPr>
              <w:t>sociālo pakalpojumu jomā un kompetence sodu piemērošanā”.</w:t>
            </w:r>
            <w:r>
              <w:rPr>
                <w:lang w:eastAsia="en-US"/>
              </w:rPr>
              <w:t xml:space="preserve"> </w:t>
            </w:r>
          </w:p>
          <w:p w:rsidR="0040247B" w:rsidRPr="00C54225" w:rsidRDefault="0040247B">
            <w:pPr>
              <w:widowControl w:val="0"/>
              <w:tabs>
                <w:tab w:val="left" w:pos="560"/>
              </w:tabs>
              <w:spacing w:line="276" w:lineRule="auto"/>
              <w:jc w:val="both"/>
              <w:outlineLvl w:val="2"/>
              <w:rPr>
                <w:lang w:eastAsia="en-US"/>
              </w:rPr>
            </w:pPr>
            <w:r>
              <w:rPr>
                <w:lang w:eastAsia="en-US"/>
              </w:rPr>
              <w:t xml:space="preserve">Likumprojekts paredz papildināt </w:t>
            </w:r>
            <w:r w:rsidRPr="00C54225">
              <w:rPr>
                <w:lang w:eastAsia="en-US"/>
              </w:rPr>
              <w:t xml:space="preserve">likumu ar 49.pantu, kas nosaka administratīvo atbildību </w:t>
            </w:r>
            <w:r w:rsidRPr="00C54225">
              <w:rPr>
                <w:bCs/>
                <w:lang w:eastAsia="en-US"/>
              </w:rPr>
              <w:t>p</w:t>
            </w:r>
            <w:r w:rsidRPr="00C54225">
              <w:rPr>
                <w:lang w:eastAsia="en-US"/>
              </w:rPr>
              <w:t>ar normatīvajos aktos noteiktās sociālo pakalpojumu kvalitātes nenodrošināšanu vai sociālo pakalpojumu sniedzēja neatbilstību normatīvo aktu prasībām,</w:t>
            </w:r>
            <w:r w:rsidR="003235D0" w:rsidRPr="00C54225">
              <w:rPr>
                <w:lang w:eastAsia="en-US"/>
              </w:rPr>
              <w:t xml:space="preserve"> kas var radīt vai rada sociālā pakalpojuma saņēmēja drošībai vai veselībai,</w:t>
            </w:r>
            <w:r w:rsidRPr="00C54225">
              <w:rPr>
                <w:lang w:eastAsia="en-US"/>
              </w:rPr>
              <w:t xml:space="preserve"> piemērojot naudas sodu sociālo pakalpojumu sniedzējam - fiziskajai personai vai amatpersonai </w:t>
            </w:r>
            <w:r w:rsidR="00171D67" w:rsidRPr="00C54225">
              <w:rPr>
                <w:lang w:eastAsia="en-US"/>
              </w:rPr>
              <w:t xml:space="preserve">no </w:t>
            </w:r>
            <w:r w:rsidR="000C7365" w:rsidRPr="00C54225">
              <w:rPr>
                <w:lang w:eastAsia="en-US"/>
              </w:rPr>
              <w:t>12</w:t>
            </w:r>
            <w:r w:rsidR="00B318A9" w:rsidRPr="00C54225">
              <w:rPr>
                <w:lang w:eastAsia="en-US"/>
              </w:rPr>
              <w:t xml:space="preserve"> </w:t>
            </w:r>
            <w:r w:rsidRPr="00C54225">
              <w:rPr>
                <w:lang w:eastAsia="en-US"/>
              </w:rPr>
              <w:t>līdz</w:t>
            </w:r>
            <w:r w:rsidR="000C7365" w:rsidRPr="00C54225">
              <w:rPr>
                <w:lang w:eastAsia="en-US"/>
              </w:rPr>
              <w:t xml:space="preserve"> 128</w:t>
            </w:r>
            <w:r w:rsidRPr="00C54225">
              <w:rPr>
                <w:lang w:eastAsia="en-US"/>
              </w:rPr>
              <w:t xml:space="preserve"> naudas soda vienībām, juridiskajai personai</w:t>
            </w:r>
            <w:r w:rsidR="00B318A9" w:rsidRPr="00C54225">
              <w:rPr>
                <w:lang w:eastAsia="en-US"/>
              </w:rPr>
              <w:t xml:space="preserve"> no </w:t>
            </w:r>
            <w:r w:rsidR="000C7365" w:rsidRPr="00C54225">
              <w:rPr>
                <w:lang w:eastAsia="en-US"/>
              </w:rPr>
              <w:t>16</w:t>
            </w:r>
            <w:r w:rsidRPr="00C54225">
              <w:rPr>
                <w:lang w:eastAsia="en-US"/>
              </w:rPr>
              <w:t xml:space="preserve"> līdz </w:t>
            </w:r>
            <w:r w:rsidR="000C7365" w:rsidRPr="00C54225">
              <w:rPr>
                <w:lang w:eastAsia="en-US"/>
              </w:rPr>
              <w:t>260</w:t>
            </w:r>
            <w:r w:rsidRPr="00C54225">
              <w:rPr>
                <w:lang w:eastAsia="en-US"/>
              </w:rPr>
              <w:t xml:space="preserve"> naudas soda vienībām. </w:t>
            </w:r>
          </w:p>
          <w:p w:rsidR="0040247B" w:rsidRPr="00C54225" w:rsidRDefault="0040247B">
            <w:pPr>
              <w:pStyle w:val="tv213"/>
              <w:spacing w:before="0" w:beforeAutospacing="0" w:after="0" w:afterAutospacing="0" w:line="276" w:lineRule="auto"/>
              <w:jc w:val="both"/>
              <w:rPr>
                <w:lang w:eastAsia="en-US"/>
              </w:rPr>
            </w:pPr>
            <w:r w:rsidRPr="00C54225">
              <w:rPr>
                <w:lang w:eastAsia="en-US"/>
              </w:rPr>
              <w:t xml:space="preserve">Likumprojektā paredzētais likuma 50.pants nosaka administratīvo atbildību </w:t>
            </w:r>
            <w:r w:rsidRPr="00C54225">
              <w:rPr>
                <w:bCs/>
                <w:lang w:eastAsia="en-US"/>
              </w:rPr>
              <w:t>p</w:t>
            </w:r>
            <w:r w:rsidRPr="00C54225">
              <w:rPr>
                <w:lang w:eastAsia="en-US"/>
              </w:rPr>
              <w:t xml:space="preserve">ar sociālā pakalpojuma sniegšanu bez reģistrēšanās sociālo pakalpojumu sniedzēju reģistrā: piemēro naudas sodu sociālo pakalpojumu sniedzējam - fiziskajai personai vai amatpersonai </w:t>
            </w:r>
            <w:r w:rsidR="00B318A9" w:rsidRPr="00C54225">
              <w:rPr>
                <w:lang w:eastAsia="en-US"/>
              </w:rPr>
              <w:t xml:space="preserve">no </w:t>
            </w:r>
            <w:r w:rsidR="000C7365" w:rsidRPr="00C54225">
              <w:rPr>
                <w:lang w:eastAsia="en-US"/>
              </w:rPr>
              <w:t>8</w:t>
            </w:r>
            <w:r w:rsidR="00B318A9" w:rsidRPr="00C54225">
              <w:rPr>
                <w:lang w:eastAsia="en-US"/>
              </w:rPr>
              <w:t xml:space="preserve"> </w:t>
            </w:r>
            <w:r w:rsidRPr="00C54225">
              <w:rPr>
                <w:lang w:eastAsia="en-US"/>
              </w:rPr>
              <w:t>līdz 128 naudas soda vienībām, juridiskajai personai</w:t>
            </w:r>
            <w:r w:rsidR="00B318A9" w:rsidRPr="00C54225">
              <w:rPr>
                <w:lang w:eastAsia="en-US"/>
              </w:rPr>
              <w:t xml:space="preserve"> no </w:t>
            </w:r>
            <w:r w:rsidR="000C7365" w:rsidRPr="00C54225">
              <w:rPr>
                <w:lang w:eastAsia="en-US"/>
              </w:rPr>
              <w:t>14</w:t>
            </w:r>
            <w:r w:rsidRPr="00C54225">
              <w:rPr>
                <w:lang w:eastAsia="en-US"/>
              </w:rPr>
              <w:t xml:space="preserve"> līdz 260 naudas soda vienībām. </w:t>
            </w:r>
          </w:p>
          <w:p w:rsidR="0040247B" w:rsidRPr="00C54225" w:rsidRDefault="0040247B">
            <w:pPr>
              <w:pStyle w:val="tv213"/>
              <w:spacing w:before="0" w:beforeAutospacing="0" w:after="0" w:afterAutospacing="0" w:line="276" w:lineRule="auto"/>
              <w:jc w:val="both"/>
              <w:rPr>
                <w:bCs/>
                <w:lang w:eastAsia="en-US"/>
              </w:rPr>
            </w:pPr>
            <w:r w:rsidRPr="00C54225">
              <w:rPr>
                <w:lang w:eastAsia="en-US"/>
              </w:rPr>
              <w:t xml:space="preserve">Kodeksa </w:t>
            </w:r>
            <w:r w:rsidRPr="00C54225">
              <w:rPr>
                <w:bCs/>
                <w:lang w:eastAsia="en-US"/>
              </w:rPr>
              <w:t>204.</w:t>
            </w:r>
            <w:r w:rsidRPr="00C54225">
              <w:rPr>
                <w:bCs/>
                <w:vertAlign w:val="superscript"/>
                <w:lang w:eastAsia="en-US"/>
              </w:rPr>
              <w:t>13</w:t>
            </w:r>
            <w:r w:rsidRPr="00C54225">
              <w:rPr>
                <w:bCs/>
                <w:lang w:eastAsia="en-US"/>
              </w:rPr>
              <w:t xml:space="preserve"> panta trešajā daļā sociālo pakalpojumu sniegšanas noteikumu pārkāpšanas gadījumos administratīvie sodi noteikti fiziskām personām, amatpersonām un juridiskām personām. Minētais regulējums tiek saglabāts arī Likumprojektā.</w:t>
            </w:r>
          </w:p>
          <w:p w:rsidR="0040247B" w:rsidRPr="00C54225" w:rsidRDefault="003235D0">
            <w:pPr>
              <w:pStyle w:val="tv213"/>
              <w:spacing w:before="0" w:beforeAutospacing="0" w:after="0" w:afterAutospacing="0" w:line="276" w:lineRule="auto"/>
              <w:jc w:val="both"/>
              <w:rPr>
                <w:lang w:eastAsia="en-US"/>
              </w:rPr>
            </w:pPr>
            <w:r>
              <w:rPr>
                <w:lang w:eastAsia="en-US"/>
              </w:rPr>
              <w:t>K</w:t>
            </w:r>
            <w:r w:rsidR="0040247B">
              <w:rPr>
                <w:lang w:eastAsia="en-US"/>
              </w:rPr>
              <w:t xml:space="preserve">odeksa </w:t>
            </w:r>
            <w:r w:rsidR="0040247B">
              <w:rPr>
                <w:bCs/>
                <w:lang w:eastAsia="en-US"/>
              </w:rPr>
              <w:t>204.</w:t>
            </w:r>
            <w:r w:rsidR="0040247B">
              <w:rPr>
                <w:bCs/>
                <w:vertAlign w:val="superscript"/>
                <w:lang w:eastAsia="en-US"/>
              </w:rPr>
              <w:t>13</w:t>
            </w:r>
            <w:r w:rsidR="0040247B">
              <w:rPr>
                <w:bCs/>
                <w:lang w:eastAsia="en-US"/>
              </w:rPr>
              <w:t xml:space="preserve"> panta trešajā daļā noteikts, ka</w:t>
            </w:r>
            <w:r w:rsidR="0040247B">
              <w:rPr>
                <w:b/>
                <w:bCs/>
                <w:lang w:eastAsia="en-US"/>
              </w:rPr>
              <w:t xml:space="preserve"> </w:t>
            </w:r>
            <w:r w:rsidR="0040247B">
              <w:rPr>
                <w:lang w:eastAsia="en-US"/>
              </w:rPr>
              <w:t xml:space="preserve">par sociālās aprūpes vai </w:t>
            </w:r>
            <w:r w:rsidR="0040247B" w:rsidRPr="00C54225">
              <w:rPr>
                <w:lang w:eastAsia="en-US"/>
              </w:rPr>
              <w:t>sociālās rehabilitācijas pakalpojuma sniegšanu bez reģistrēšanās sociālo pakalpojumu sniedzēju reģistrā administratīvo sodu uzliek</w:t>
            </w:r>
            <w:r w:rsidR="000C7365" w:rsidRPr="00C54225">
              <w:rPr>
                <w:lang w:eastAsia="en-US"/>
              </w:rPr>
              <w:t xml:space="preserve"> sociālās </w:t>
            </w:r>
            <w:r w:rsidR="0040247B" w:rsidRPr="00C54225">
              <w:rPr>
                <w:lang w:eastAsia="en-US"/>
              </w:rPr>
              <w:t xml:space="preserve">aprūpes vai sociālās rehabilitācijas pakalpojumu sniedzējam. </w:t>
            </w:r>
          </w:p>
          <w:p w:rsidR="0040247B" w:rsidRPr="00C54225" w:rsidRDefault="0040247B">
            <w:pPr>
              <w:pStyle w:val="tv213"/>
              <w:spacing w:before="0" w:beforeAutospacing="0" w:after="0" w:afterAutospacing="0" w:line="276" w:lineRule="auto"/>
              <w:jc w:val="both"/>
              <w:rPr>
                <w:lang w:eastAsia="en-US"/>
              </w:rPr>
            </w:pPr>
            <w:r w:rsidRPr="00C54225">
              <w:rPr>
                <w:lang w:eastAsia="en-US"/>
              </w:rPr>
              <w:t>Likumprojektā likuma 50.pants paredz paplašināt sociālo pakalpojumu sniedzēju lok</w:t>
            </w:r>
            <w:r w:rsidR="003235D0" w:rsidRPr="00C54225">
              <w:rPr>
                <w:lang w:eastAsia="en-US"/>
              </w:rPr>
              <w:t>u</w:t>
            </w:r>
            <w:r w:rsidRPr="00C54225">
              <w:rPr>
                <w:lang w:eastAsia="en-US"/>
              </w:rPr>
              <w:t>, kuri var tikt administratīvi sodīti par nereģistrēšanos sociālo pakalpojumu sniedzēju reģistrā.  Ministru kabineta 2008</w:t>
            </w:r>
            <w:r>
              <w:rPr>
                <w:lang w:eastAsia="en-US"/>
              </w:rPr>
              <w:t xml:space="preserve">.gada 20.novembra noteikumu Nr.951 „Kārtība, kādā sociālo pakalpojumu sniedzējs tiek reģistrēts sociālo pakalpojumu sniedzēju reģistrā un izslēgts no tā” </w:t>
            </w:r>
            <w:r>
              <w:rPr>
                <w:lang w:eastAsia="en-US"/>
              </w:rPr>
              <w:lastRenderedPageBreak/>
              <w:t xml:space="preserve">3.punktā noteikts, ka sociālo pakalpojumu sniedzēju reģistrā reģistrē privātpersonas, valsts un pašvaldību iestādes un to institūcijas, filiāles un struktūrvienības, kuras sniedz </w:t>
            </w:r>
            <w:hyperlink r:id="rId7" w:tgtFrame="_blank" w:history="1">
              <w:r>
                <w:rPr>
                  <w:rStyle w:val="Hyperlink"/>
                  <w:color w:val="auto"/>
                  <w:u w:val="none"/>
                  <w:lang w:eastAsia="en-US"/>
                </w:rPr>
                <w:t xml:space="preserve"> likumā</w:t>
              </w:r>
            </w:hyperlink>
            <w:r>
              <w:rPr>
                <w:lang w:eastAsia="en-US"/>
              </w:rPr>
              <w:t xml:space="preserve"> noteiktos sociālos pakalpojumus. Savukārt likuma 1.panta 24.punktā skaidrots termins - sociālā pakalpojuma sniedzējs. Tā ir persona, kas sniedz sociālās aprūpes, sociālās rehabilitācijas, profesionālās rehabilitācijas un sociālā darba pakalpojumus. Tādējādi sociālo </w:t>
            </w:r>
            <w:r w:rsidRPr="00C54225">
              <w:rPr>
                <w:lang w:eastAsia="en-US"/>
              </w:rPr>
              <w:t xml:space="preserve">pakalpojumu sniedzēju administratīvā atbildība attiecināma uz visiem sociālo pakalpojumu sniedzējiem, arī uz profesionālās sociālās rehabilitācijas un sociālā darba pakalpojumu sniedzējiem. </w:t>
            </w:r>
          </w:p>
          <w:p w:rsidR="0040247B" w:rsidRPr="00AA3245" w:rsidRDefault="0071093E">
            <w:pPr>
              <w:spacing w:line="276" w:lineRule="auto"/>
              <w:jc w:val="both"/>
              <w:rPr>
                <w:lang w:eastAsia="en-US"/>
              </w:rPr>
            </w:pPr>
            <w:r w:rsidRPr="00C54225">
              <w:rPr>
                <w:lang w:eastAsia="en-US"/>
              </w:rPr>
              <w:t>Likumprojektā</w:t>
            </w:r>
            <w:r w:rsidR="00BB4848" w:rsidRPr="00C54225">
              <w:rPr>
                <w:lang w:eastAsia="en-US"/>
              </w:rPr>
              <w:t>,</w:t>
            </w:r>
            <w:r w:rsidRPr="00C54225">
              <w:rPr>
                <w:lang w:eastAsia="en-US"/>
              </w:rPr>
              <w:t xml:space="preserve"> </w:t>
            </w:r>
            <w:r w:rsidR="00BB4848" w:rsidRPr="00C54225">
              <w:rPr>
                <w:lang w:eastAsia="en-US"/>
              </w:rPr>
              <w:t xml:space="preserve">lai nodrošinātu soda sankcijas atbilstību pārkāpuma kaitējumam, iepriekš piemērojamā brīdinājuma vietā </w:t>
            </w:r>
            <w:r w:rsidRPr="00C54225">
              <w:rPr>
                <w:lang w:eastAsia="en-US"/>
              </w:rPr>
              <w:t xml:space="preserve">paredzēts minimālais </w:t>
            </w:r>
            <w:r w:rsidRPr="00AA3245">
              <w:rPr>
                <w:lang w:eastAsia="en-US"/>
              </w:rPr>
              <w:t>soda apmērs.</w:t>
            </w:r>
            <w:r w:rsidR="00BB4848" w:rsidRPr="00AA3245">
              <w:rPr>
                <w:lang w:eastAsia="en-US"/>
              </w:rPr>
              <w:t xml:space="preserve"> </w:t>
            </w:r>
            <w:r w:rsidR="0040247B" w:rsidRPr="00AA3245">
              <w:rPr>
                <w:lang w:eastAsia="en-US"/>
              </w:rPr>
              <w:t>Likumprojektā soda maksimālais apmērs tiek noteikts atbilstoši maksimālajam apmēram, kāds bija noteikts par atkārtoti izdarītu administratīvo pārkāpumu attiecībā nereģistrēšanos sociālo pakalpojumu sniedzēju reģistrā.</w:t>
            </w:r>
          </w:p>
          <w:p w:rsidR="0040247B" w:rsidRPr="00AA3245" w:rsidRDefault="0040247B">
            <w:pPr>
              <w:spacing w:line="276" w:lineRule="auto"/>
              <w:jc w:val="both"/>
              <w:rPr>
                <w:bCs/>
                <w:lang w:eastAsia="en-US"/>
              </w:rPr>
            </w:pPr>
            <w:r w:rsidRPr="00AA3245">
              <w:rPr>
                <w:bCs/>
                <w:lang w:eastAsia="en-US"/>
              </w:rPr>
              <w:t xml:space="preserve">Kompetentā institūcija, kas piemēro administratīvos sodus ir Labklājības ministrija. </w:t>
            </w:r>
          </w:p>
          <w:p w:rsidR="0040247B" w:rsidRDefault="0040247B">
            <w:pPr>
              <w:spacing w:line="276" w:lineRule="auto"/>
              <w:jc w:val="both"/>
              <w:rPr>
                <w:bCs/>
                <w:lang w:eastAsia="en-US"/>
              </w:rPr>
            </w:pPr>
            <w:r>
              <w:rPr>
                <w:bCs/>
                <w:lang w:eastAsia="en-US"/>
              </w:rPr>
              <w:t>Naudas sodus, kas piemēroti par paredzētajiem administratīvajiem pārkāpumiem sociālo pakalpojumu jomā, ieskaita valsts budžetā.</w:t>
            </w:r>
          </w:p>
          <w:p w:rsidR="0040247B" w:rsidRDefault="0040247B">
            <w:pPr>
              <w:spacing w:line="276" w:lineRule="auto"/>
              <w:jc w:val="both"/>
              <w:rPr>
                <w:b/>
                <w:bCs/>
                <w:lang w:eastAsia="en-US"/>
              </w:rPr>
            </w:pPr>
            <w:r>
              <w:rPr>
                <w:lang w:eastAsia="en-US"/>
              </w:rPr>
              <w:t>Paredzēts, ka Likumprojekts stājas spēkā vienlaikus ar Administratīvo pārkāpumu procesa likumu.</w:t>
            </w:r>
          </w:p>
          <w:p w:rsidR="0040247B" w:rsidRDefault="0040247B">
            <w:pPr>
              <w:widowControl w:val="0"/>
              <w:tabs>
                <w:tab w:val="left" w:pos="560"/>
              </w:tabs>
              <w:spacing w:line="276" w:lineRule="auto"/>
              <w:jc w:val="both"/>
              <w:outlineLvl w:val="2"/>
              <w:rPr>
                <w:lang w:eastAsia="en-US"/>
              </w:rPr>
            </w:pPr>
            <w:r>
              <w:rPr>
                <w:bCs/>
                <w:lang w:eastAsia="en-US"/>
              </w:rPr>
              <w:t xml:space="preserve"> </w:t>
            </w:r>
          </w:p>
        </w:tc>
      </w:tr>
      <w:tr w:rsidR="0040247B" w:rsidTr="000D497C">
        <w:trPr>
          <w:trHeight w:val="690"/>
          <w:jc w:val="center"/>
        </w:trPr>
        <w:tc>
          <w:tcPr>
            <w:tcW w:w="528"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lastRenderedPageBreak/>
              <w:t> 3.</w:t>
            </w:r>
          </w:p>
        </w:tc>
        <w:tc>
          <w:tcPr>
            <w:tcW w:w="2477"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both"/>
              <w:rPr>
                <w:lang w:eastAsia="en-US"/>
              </w:rPr>
            </w:pPr>
            <w:r>
              <w:rPr>
                <w:lang w:eastAsia="en-US"/>
              </w:rPr>
              <w:t>Projekta izstrādē iesaistītās institūcijas</w:t>
            </w:r>
          </w:p>
        </w:tc>
        <w:tc>
          <w:tcPr>
            <w:tcW w:w="6442" w:type="dxa"/>
            <w:tcBorders>
              <w:top w:val="single" w:sz="4" w:space="0" w:color="auto"/>
              <w:left w:val="single" w:sz="4" w:space="0" w:color="auto"/>
              <w:bottom w:val="single" w:sz="4" w:space="0" w:color="auto"/>
              <w:right w:val="single" w:sz="4" w:space="0" w:color="auto"/>
            </w:tcBorders>
            <w:hideMark/>
          </w:tcPr>
          <w:p w:rsidR="00E14A18" w:rsidRPr="00C54225" w:rsidRDefault="0040247B" w:rsidP="003D77DE">
            <w:pPr>
              <w:spacing w:line="276" w:lineRule="auto"/>
              <w:rPr>
                <w:rFonts w:eastAsiaTheme="minorHAnsi"/>
                <w:lang w:eastAsia="en-US"/>
              </w:rPr>
            </w:pPr>
            <w:r w:rsidRPr="00C54225">
              <w:rPr>
                <w:rFonts w:eastAsiaTheme="minorHAnsi"/>
                <w:lang w:eastAsia="en-US"/>
              </w:rPr>
              <w:t>Likumprojekts tika iesniegts vērtēšanai Tieslietu ministrijas organizētajā darba grupā un 2016.gada 24.novembrī un 2017.gada</w:t>
            </w:r>
            <w:r w:rsidR="00B318A9" w:rsidRPr="00C54225">
              <w:rPr>
                <w:rFonts w:eastAsiaTheme="minorHAnsi"/>
                <w:lang w:eastAsia="en-US"/>
              </w:rPr>
              <w:t xml:space="preserve"> 9.</w:t>
            </w:r>
            <w:r w:rsidR="003D77DE" w:rsidRPr="00C54225">
              <w:rPr>
                <w:rFonts w:eastAsiaTheme="minorHAnsi"/>
                <w:lang w:eastAsia="en-US"/>
              </w:rPr>
              <w:t>februārī</w:t>
            </w:r>
            <w:r w:rsidR="00635F0C" w:rsidRPr="00C54225">
              <w:rPr>
                <w:rFonts w:eastAsiaTheme="minorHAnsi"/>
                <w:lang w:eastAsia="en-US"/>
              </w:rPr>
              <w:t xml:space="preserve">  </w:t>
            </w:r>
            <w:r w:rsidRPr="00C54225">
              <w:rPr>
                <w:rFonts w:eastAsiaTheme="minorHAnsi"/>
                <w:lang w:eastAsia="en-US"/>
              </w:rPr>
              <w:t>izskatīts darba grupas sēdē.  Likumprojekta tālāka virzība atbalstīta</w:t>
            </w:r>
            <w:r w:rsidR="003235D0" w:rsidRPr="00C54225">
              <w:rPr>
                <w:rFonts w:eastAsiaTheme="minorHAnsi"/>
                <w:lang w:eastAsia="en-US"/>
              </w:rPr>
              <w:t xml:space="preserve"> </w:t>
            </w:r>
            <w:r w:rsidR="003D77DE" w:rsidRPr="00C54225">
              <w:rPr>
                <w:rFonts w:eastAsiaTheme="minorHAnsi"/>
                <w:lang w:eastAsia="en-US"/>
              </w:rPr>
              <w:t>2017.gada 9.februāra darba grupas sēdē.</w:t>
            </w:r>
          </w:p>
        </w:tc>
      </w:tr>
      <w:tr w:rsidR="0040247B" w:rsidTr="000D497C">
        <w:trPr>
          <w:jc w:val="center"/>
        </w:trPr>
        <w:tc>
          <w:tcPr>
            <w:tcW w:w="528"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4.</w:t>
            </w:r>
          </w:p>
        </w:tc>
        <w:tc>
          <w:tcPr>
            <w:tcW w:w="2477"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Cita informācija</w:t>
            </w:r>
          </w:p>
        </w:tc>
        <w:tc>
          <w:tcPr>
            <w:tcW w:w="6442" w:type="dxa"/>
            <w:tcBorders>
              <w:top w:val="single" w:sz="4" w:space="0" w:color="auto"/>
              <w:left w:val="single" w:sz="4" w:space="0" w:color="auto"/>
              <w:bottom w:val="single" w:sz="4" w:space="0" w:color="auto"/>
              <w:right w:val="single" w:sz="4" w:space="0" w:color="auto"/>
            </w:tcBorders>
            <w:hideMark/>
          </w:tcPr>
          <w:p w:rsidR="0040247B" w:rsidRPr="00C54225" w:rsidRDefault="0040247B">
            <w:pPr>
              <w:pStyle w:val="naiskr"/>
              <w:spacing w:line="276" w:lineRule="auto"/>
              <w:jc w:val="both"/>
              <w:rPr>
                <w:sz w:val="22"/>
                <w:szCs w:val="22"/>
                <w:highlight w:val="yellow"/>
                <w:lang w:eastAsia="en-US"/>
              </w:rPr>
            </w:pPr>
            <w:r w:rsidRPr="00C54225">
              <w:rPr>
                <w:sz w:val="22"/>
                <w:szCs w:val="22"/>
                <w:lang w:eastAsia="en-US"/>
              </w:rPr>
              <w:t>Nav</w:t>
            </w:r>
          </w:p>
        </w:tc>
      </w:tr>
    </w:tbl>
    <w:p w:rsidR="0040247B" w:rsidRDefault="0040247B" w:rsidP="0040247B">
      <w:pPr>
        <w:pStyle w:val="naisf"/>
      </w:pPr>
      <w:r>
        <w:t>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0247B" w:rsidTr="00BF043C">
        <w:tc>
          <w:tcPr>
            <w:tcW w:w="9356" w:type="dxa"/>
            <w:tcBorders>
              <w:top w:val="single" w:sz="4" w:space="0" w:color="auto"/>
              <w:left w:val="single" w:sz="4" w:space="0" w:color="auto"/>
              <w:bottom w:val="single" w:sz="4" w:space="0" w:color="auto"/>
              <w:right w:val="single" w:sz="4" w:space="0" w:color="auto"/>
            </w:tcBorders>
            <w:hideMark/>
          </w:tcPr>
          <w:p w:rsidR="0040247B" w:rsidRDefault="0040247B">
            <w:pPr>
              <w:pStyle w:val="naisnod"/>
              <w:spacing w:line="276" w:lineRule="auto"/>
              <w:rPr>
                <w:lang w:eastAsia="en-US"/>
              </w:rPr>
            </w:pPr>
            <w:r>
              <w:rPr>
                <w:lang w:eastAsia="en-US"/>
              </w:rPr>
              <w:t>II. Tiesību akta projekta ietekme uz sabiedrību, tautsaimniecības attīstību un administratīvo slogu</w:t>
            </w:r>
          </w:p>
        </w:tc>
      </w:tr>
    </w:tbl>
    <w:p w:rsidR="0040247B" w:rsidRDefault="0040247B" w:rsidP="00E14A18">
      <w:pPr>
        <w:pStyle w:val="naisf"/>
        <w:ind w:firstLine="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8"/>
        <w:gridCol w:w="6059"/>
      </w:tblGrid>
      <w:tr w:rsidR="0040247B" w:rsidTr="00BF043C">
        <w:trPr>
          <w:trHeight w:val="467"/>
        </w:trPr>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1.</w:t>
            </w:r>
          </w:p>
        </w:tc>
        <w:tc>
          <w:tcPr>
            <w:tcW w:w="2588"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Sabiedrības mērķgrupas, kuras tiesiskais regulējums ietekmē vai varētu ietekmēt</w:t>
            </w:r>
          </w:p>
        </w:tc>
        <w:tc>
          <w:tcPr>
            <w:tcW w:w="605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both"/>
              <w:rPr>
                <w:lang w:eastAsia="en-US"/>
              </w:rPr>
            </w:pPr>
            <w:r>
              <w:rPr>
                <w:lang w:eastAsia="en-US"/>
              </w:rPr>
              <w:t>Likumprojekts attiecināms uz Labklājības ministriju, juridiskām un fiziskām personām, kas sniedz sociālos pakalpojumus.</w:t>
            </w:r>
          </w:p>
        </w:tc>
      </w:tr>
      <w:tr w:rsidR="0040247B" w:rsidTr="00BF043C">
        <w:trPr>
          <w:trHeight w:val="523"/>
        </w:trPr>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lastRenderedPageBreak/>
              <w:t> 2.</w:t>
            </w:r>
          </w:p>
        </w:tc>
        <w:tc>
          <w:tcPr>
            <w:tcW w:w="2588"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Tiesiskā regulējuma ietekme uz tautsaimniecību un administratīvo slogu</w:t>
            </w:r>
          </w:p>
        </w:tc>
        <w:tc>
          <w:tcPr>
            <w:tcW w:w="605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Likumprojekta tiesiskais regulējums nemaina Likumprojektā noteikto administratīvo pārkāpumu subjektu tiesības un pienākumus, kā arī veicamās darbības.</w:t>
            </w:r>
          </w:p>
        </w:tc>
      </w:tr>
      <w:tr w:rsidR="0040247B" w:rsidTr="00BF043C">
        <w:trPr>
          <w:trHeight w:val="517"/>
        </w:trPr>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3.</w:t>
            </w:r>
          </w:p>
        </w:tc>
        <w:tc>
          <w:tcPr>
            <w:tcW w:w="2588"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Administratīvo izmaksu monetārs novērtējums</w:t>
            </w:r>
          </w:p>
        </w:tc>
        <w:tc>
          <w:tcPr>
            <w:tcW w:w="605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Projekts šo jomu neskar.</w:t>
            </w:r>
          </w:p>
        </w:tc>
      </w:tr>
      <w:tr w:rsidR="0040247B" w:rsidTr="00BF043C">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4</w:t>
            </w:r>
          </w:p>
        </w:tc>
        <w:tc>
          <w:tcPr>
            <w:tcW w:w="2588"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Cita informācija</w:t>
            </w:r>
          </w:p>
        </w:tc>
        <w:tc>
          <w:tcPr>
            <w:tcW w:w="605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Nav</w:t>
            </w:r>
          </w:p>
        </w:tc>
      </w:tr>
    </w:tbl>
    <w:p w:rsidR="0040247B" w:rsidRDefault="0040247B" w:rsidP="0040247B">
      <w:pPr>
        <w:pStyle w:val="naisf"/>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40247B" w:rsidTr="0040247B">
        <w:trPr>
          <w:trHeight w:val="652"/>
          <w:jc w:val="center"/>
        </w:trPr>
        <w:tc>
          <w:tcPr>
            <w:tcW w:w="9347" w:type="dxa"/>
            <w:tcBorders>
              <w:top w:val="single" w:sz="4" w:space="0" w:color="auto"/>
              <w:left w:val="single" w:sz="4" w:space="0" w:color="auto"/>
              <w:bottom w:val="single" w:sz="4" w:space="0" w:color="auto"/>
              <w:right w:val="single" w:sz="4" w:space="0" w:color="auto"/>
            </w:tcBorders>
            <w:hideMark/>
          </w:tcPr>
          <w:p w:rsidR="0040247B" w:rsidRDefault="0040247B">
            <w:pPr>
              <w:pStyle w:val="naisnod"/>
              <w:spacing w:line="276" w:lineRule="auto"/>
              <w:rPr>
                <w:lang w:eastAsia="en-US"/>
              </w:rPr>
            </w:pPr>
            <w:r>
              <w:rPr>
                <w:lang w:eastAsia="en-US"/>
              </w:rPr>
              <w:t>III. Tiesību akta projekta ietekme uz valsts budžetu un pašvaldību budžetiem</w:t>
            </w:r>
          </w:p>
        </w:tc>
      </w:tr>
      <w:tr w:rsidR="0040247B" w:rsidTr="0040247B">
        <w:trPr>
          <w:trHeight w:val="652"/>
          <w:jc w:val="center"/>
        </w:trPr>
        <w:tc>
          <w:tcPr>
            <w:tcW w:w="9347" w:type="dxa"/>
            <w:tcBorders>
              <w:top w:val="single" w:sz="4" w:space="0" w:color="auto"/>
              <w:left w:val="single" w:sz="4" w:space="0" w:color="auto"/>
              <w:bottom w:val="single" w:sz="4" w:space="0" w:color="auto"/>
              <w:right w:val="single" w:sz="4" w:space="0" w:color="auto"/>
            </w:tcBorders>
            <w:hideMark/>
          </w:tcPr>
          <w:p w:rsidR="0040247B" w:rsidRDefault="0040247B">
            <w:pPr>
              <w:pStyle w:val="naisnod"/>
              <w:spacing w:line="276" w:lineRule="auto"/>
              <w:rPr>
                <w:b w:val="0"/>
                <w:lang w:eastAsia="en-US"/>
              </w:rPr>
            </w:pPr>
            <w:r>
              <w:rPr>
                <w:b w:val="0"/>
                <w:iCs/>
                <w:lang w:eastAsia="en-US"/>
              </w:rPr>
              <w:t>Projekts šo jomu neskar.</w:t>
            </w:r>
          </w:p>
        </w:tc>
      </w:tr>
    </w:tbl>
    <w:p w:rsidR="0040247B" w:rsidRDefault="0040247B" w:rsidP="0040247B">
      <w:pPr>
        <w:pStyle w:val="naiskr"/>
        <w:rPr>
          <w:i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84"/>
        <w:gridCol w:w="5563"/>
      </w:tblGrid>
      <w:tr w:rsidR="0040247B" w:rsidTr="00BF043C">
        <w:tc>
          <w:tcPr>
            <w:tcW w:w="9356" w:type="dxa"/>
            <w:gridSpan w:val="3"/>
            <w:tcBorders>
              <w:top w:val="single" w:sz="4" w:space="0" w:color="auto"/>
              <w:left w:val="single" w:sz="4" w:space="0" w:color="auto"/>
              <w:bottom w:val="single" w:sz="4" w:space="0" w:color="auto"/>
              <w:right w:val="single" w:sz="4" w:space="0" w:color="auto"/>
            </w:tcBorders>
            <w:hideMark/>
          </w:tcPr>
          <w:p w:rsidR="0040247B" w:rsidRDefault="0040247B">
            <w:pPr>
              <w:pStyle w:val="naisnod"/>
              <w:spacing w:line="276" w:lineRule="auto"/>
              <w:rPr>
                <w:lang w:eastAsia="en-US"/>
              </w:rPr>
            </w:pPr>
            <w:r>
              <w:rPr>
                <w:i/>
                <w:iCs/>
                <w:lang w:eastAsia="en-US"/>
              </w:rPr>
              <w:t> </w:t>
            </w:r>
            <w:r>
              <w:rPr>
                <w:lang w:eastAsia="en-US"/>
              </w:rPr>
              <w:t> IV. Tiesību akta projekta ietekme uz spēkā esošo tiesību normu sistēmu</w:t>
            </w:r>
          </w:p>
        </w:tc>
      </w:tr>
      <w:tr w:rsidR="0040247B" w:rsidTr="00BF043C">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center"/>
              <w:rPr>
                <w:lang w:eastAsia="en-US"/>
              </w:rPr>
            </w:pPr>
            <w:r>
              <w:rPr>
                <w:lang w:eastAsia="en-US"/>
              </w:rPr>
              <w:t>1.</w:t>
            </w:r>
          </w:p>
        </w:tc>
        <w:tc>
          <w:tcPr>
            <w:tcW w:w="3084"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both"/>
              <w:rPr>
                <w:lang w:eastAsia="en-US"/>
              </w:rPr>
            </w:pPr>
            <w:r>
              <w:rPr>
                <w:lang w:eastAsia="en-US"/>
              </w:rPr>
              <w:t>Nepieciešamie saistītie tiesību aktu projekti</w:t>
            </w:r>
          </w:p>
        </w:tc>
        <w:tc>
          <w:tcPr>
            <w:tcW w:w="5563"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both"/>
              <w:rPr>
                <w:highlight w:val="yellow"/>
                <w:lang w:eastAsia="en-US"/>
              </w:rPr>
            </w:pPr>
            <w:r>
              <w:rPr>
                <w:lang w:eastAsia="en-US"/>
              </w:rPr>
              <w:t>Likumprojektā noteikts, ka tas stājas spēkā vienlaikus ar Administratīvo pārkāpumu procesa likumu.</w:t>
            </w:r>
          </w:p>
        </w:tc>
      </w:tr>
      <w:tr w:rsidR="0040247B" w:rsidTr="00BF043C">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center"/>
              <w:rPr>
                <w:lang w:eastAsia="en-US"/>
              </w:rPr>
            </w:pPr>
            <w:r>
              <w:rPr>
                <w:lang w:eastAsia="en-US"/>
              </w:rPr>
              <w:t>2.</w:t>
            </w:r>
          </w:p>
        </w:tc>
        <w:tc>
          <w:tcPr>
            <w:tcW w:w="3084"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Atbildīgā institūcija</w:t>
            </w:r>
          </w:p>
        </w:tc>
        <w:tc>
          <w:tcPr>
            <w:tcW w:w="5563"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xml:space="preserve">Administratīvo pārkāpumu procesa likums 2016.gada 6.oktobrī pieņemts Saeimā 2.lasījumā (Nr.16/Lp12). </w:t>
            </w:r>
          </w:p>
        </w:tc>
      </w:tr>
      <w:tr w:rsidR="0040247B" w:rsidTr="00BF043C">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center"/>
              <w:rPr>
                <w:lang w:eastAsia="en-US"/>
              </w:rPr>
            </w:pPr>
            <w:r>
              <w:rPr>
                <w:lang w:eastAsia="en-US"/>
              </w:rPr>
              <w:t>3</w:t>
            </w:r>
          </w:p>
        </w:tc>
        <w:tc>
          <w:tcPr>
            <w:tcW w:w="3084"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Cita informācija</w:t>
            </w:r>
          </w:p>
        </w:tc>
        <w:tc>
          <w:tcPr>
            <w:tcW w:w="5563"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Nav</w:t>
            </w:r>
          </w:p>
        </w:tc>
      </w:tr>
      <w:tr w:rsidR="0040247B" w:rsidTr="00BF043C">
        <w:tc>
          <w:tcPr>
            <w:tcW w:w="9356" w:type="dxa"/>
            <w:gridSpan w:val="3"/>
            <w:tcBorders>
              <w:top w:val="single" w:sz="4" w:space="0" w:color="auto"/>
              <w:left w:val="nil"/>
              <w:bottom w:val="nil"/>
              <w:right w:val="nil"/>
            </w:tcBorders>
          </w:tcPr>
          <w:p w:rsidR="0040247B" w:rsidRDefault="0040247B">
            <w:pPr>
              <w:pStyle w:val="naiskr"/>
              <w:spacing w:line="276" w:lineRule="auto"/>
              <w:rPr>
                <w:lang w:eastAsia="en-US"/>
              </w:rPr>
            </w:pPr>
          </w:p>
        </w:tc>
      </w:tr>
      <w:tr w:rsidR="0040247B" w:rsidTr="00BF043C">
        <w:tc>
          <w:tcPr>
            <w:tcW w:w="9356" w:type="dxa"/>
            <w:gridSpan w:val="3"/>
            <w:tcBorders>
              <w:top w:val="single" w:sz="4" w:space="0" w:color="auto"/>
              <w:left w:val="single" w:sz="4" w:space="0" w:color="auto"/>
              <w:bottom w:val="single" w:sz="4" w:space="0" w:color="auto"/>
              <w:right w:val="single" w:sz="4" w:space="0" w:color="auto"/>
            </w:tcBorders>
            <w:hideMark/>
          </w:tcPr>
          <w:p w:rsidR="0040247B" w:rsidRDefault="0040247B">
            <w:pPr>
              <w:pStyle w:val="naisnod"/>
              <w:spacing w:line="276" w:lineRule="auto"/>
              <w:rPr>
                <w:lang w:eastAsia="en-US"/>
              </w:rPr>
            </w:pPr>
            <w:r>
              <w:rPr>
                <w:lang w:eastAsia="en-US"/>
              </w:rPr>
              <w:t>V. Tiesību akta projekta atbilstība Latvijas Republikas starptautiskajām saistībām</w:t>
            </w:r>
          </w:p>
        </w:tc>
      </w:tr>
      <w:tr w:rsidR="0040247B" w:rsidTr="00BF043C">
        <w:tc>
          <w:tcPr>
            <w:tcW w:w="9356" w:type="dxa"/>
            <w:gridSpan w:val="3"/>
            <w:tcBorders>
              <w:top w:val="single" w:sz="4" w:space="0" w:color="auto"/>
              <w:left w:val="single" w:sz="4" w:space="0" w:color="auto"/>
              <w:bottom w:val="single" w:sz="4" w:space="0" w:color="auto"/>
              <w:right w:val="single" w:sz="4" w:space="0" w:color="auto"/>
            </w:tcBorders>
            <w:hideMark/>
          </w:tcPr>
          <w:p w:rsidR="0040247B" w:rsidRDefault="0040247B">
            <w:pPr>
              <w:pStyle w:val="naisnod"/>
              <w:spacing w:line="276" w:lineRule="auto"/>
              <w:rPr>
                <w:b w:val="0"/>
                <w:lang w:eastAsia="en-US"/>
              </w:rPr>
            </w:pPr>
            <w:r>
              <w:rPr>
                <w:b w:val="0"/>
                <w:iCs/>
                <w:lang w:eastAsia="en-US"/>
              </w:rPr>
              <w:t>Projekts šo jomu neskar.</w:t>
            </w:r>
          </w:p>
        </w:tc>
      </w:tr>
    </w:tbl>
    <w:p w:rsidR="0040247B" w:rsidRDefault="0040247B" w:rsidP="0040247B">
      <w:pPr>
        <w:pStyle w:val="naisc"/>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89"/>
        <w:gridCol w:w="4358"/>
      </w:tblGrid>
      <w:tr w:rsidR="0040247B" w:rsidTr="00BF043C">
        <w:tc>
          <w:tcPr>
            <w:tcW w:w="9356" w:type="dxa"/>
            <w:gridSpan w:val="3"/>
            <w:tcBorders>
              <w:top w:val="single" w:sz="4" w:space="0" w:color="auto"/>
              <w:left w:val="single" w:sz="4" w:space="0" w:color="auto"/>
              <w:bottom w:val="single" w:sz="4" w:space="0" w:color="auto"/>
              <w:right w:val="single" w:sz="4" w:space="0" w:color="auto"/>
            </w:tcBorders>
            <w:hideMark/>
          </w:tcPr>
          <w:p w:rsidR="0040247B" w:rsidRDefault="0040247B">
            <w:pPr>
              <w:pStyle w:val="naisc"/>
              <w:spacing w:line="276" w:lineRule="auto"/>
              <w:rPr>
                <w:lang w:eastAsia="en-US"/>
              </w:rPr>
            </w:pPr>
            <w:r>
              <w:rPr>
                <w:b/>
                <w:bCs/>
                <w:lang w:eastAsia="en-US"/>
              </w:rPr>
              <w:t> VI. Sabiedrības līdzdalība un komunikācijas aktivitātes</w:t>
            </w:r>
          </w:p>
        </w:tc>
      </w:tr>
      <w:tr w:rsidR="0040247B" w:rsidTr="00BF043C">
        <w:trPr>
          <w:trHeight w:val="553"/>
        </w:trPr>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1.</w:t>
            </w:r>
          </w:p>
        </w:tc>
        <w:tc>
          <w:tcPr>
            <w:tcW w:w="428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both"/>
              <w:rPr>
                <w:lang w:eastAsia="en-US"/>
              </w:rPr>
            </w:pPr>
            <w:r>
              <w:rPr>
                <w:lang w:eastAsia="en-US"/>
              </w:rPr>
              <w:t>Plānotās sabiedrības līdzdalības un komunikācijas aktivitātes saistībā ar projektu</w:t>
            </w:r>
          </w:p>
        </w:tc>
        <w:tc>
          <w:tcPr>
            <w:tcW w:w="4358" w:type="dxa"/>
            <w:tcBorders>
              <w:top w:val="single" w:sz="4" w:space="0" w:color="auto"/>
              <w:left w:val="single" w:sz="4" w:space="0" w:color="auto"/>
              <w:bottom w:val="single" w:sz="4" w:space="0" w:color="auto"/>
              <w:right w:val="single" w:sz="4" w:space="0" w:color="auto"/>
            </w:tcBorders>
            <w:hideMark/>
          </w:tcPr>
          <w:p w:rsidR="0040247B" w:rsidRPr="00C54225" w:rsidRDefault="00E14A18" w:rsidP="00635F0C">
            <w:pPr>
              <w:pStyle w:val="naiskr"/>
              <w:spacing w:line="276" w:lineRule="auto"/>
              <w:jc w:val="both"/>
              <w:rPr>
                <w:lang w:eastAsia="en-US"/>
              </w:rPr>
            </w:pPr>
            <w:r w:rsidRPr="00C54225">
              <w:rPr>
                <w:lang w:eastAsia="en-US"/>
              </w:rPr>
              <w:t xml:space="preserve">Likumprojekts 2017.gada 8.februārī ievietots Labklājības ministrijas tīmekļvietnē sabiedrības viedokļa </w:t>
            </w:r>
            <w:r w:rsidR="000C7365" w:rsidRPr="00C54225">
              <w:rPr>
                <w:lang w:eastAsia="en-US"/>
              </w:rPr>
              <w:t xml:space="preserve">noskaidrošanai ar termiņu līdz </w:t>
            </w:r>
            <w:r w:rsidRPr="00C54225">
              <w:rPr>
                <w:lang w:eastAsia="en-US"/>
              </w:rPr>
              <w:t>2017.gada 22.februārim.</w:t>
            </w:r>
          </w:p>
        </w:tc>
      </w:tr>
      <w:tr w:rsidR="0040247B" w:rsidTr="00BF043C">
        <w:trPr>
          <w:trHeight w:val="339"/>
        </w:trPr>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2.</w:t>
            </w:r>
          </w:p>
        </w:tc>
        <w:tc>
          <w:tcPr>
            <w:tcW w:w="428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both"/>
              <w:rPr>
                <w:lang w:eastAsia="en-US"/>
              </w:rPr>
            </w:pPr>
            <w:r>
              <w:rPr>
                <w:lang w:eastAsia="en-US"/>
              </w:rPr>
              <w:t>Sabiedrības līdzdalība projekta izstrādē</w:t>
            </w:r>
          </w:p>
        </w:tc>
        <w:tc>
          <w:tcPr>
            <w:tcW w:w="4358" w:type="dxa"/>
            <w:tcBorders>
              <w:top w:val="single" w:sz="4" w:space="0" w:color="auto"/>
              <w:left w:val="single" w:sz="4" w:space="0" w:color="auto"/>
              <w:bottom w:val="single" w:sz="4" w:space="0" w:color="auto"/>
              <w:right w:val="single" w:sz="4" w:space="0" w:color="auto"/>
            </w:tcBorders>
            <w:hideMark/>
          </w:tcPr>
          <w:p w:rsidR="0040247B" w:rsidRPr="00C54225" w:rsidRDefault="00E14A18" w:rsidP="00635F0C">
            <w:pPr>
              <w:autoSpaceDE w:val="0"/>
              <w:autoSpaceDN w:val="0"/>
              <w:adjustRightInd w:val="0"/>
              <w:spacing w:line="276" w:lineRule="auto"/>
              <w:rPr>
                <w:rFonts w:eastAsiaTheme="minorHAnsi"/>
                <w:lang w:eastAsia="en-US"/>
              </w:rPr>
            </w:pPr>
            <w:r w:rsidRPr="00C54225">
              <w:rPr>
                <w:rFonts w:eastAsiaTheme="minorHAnsi"/>
                <w:lang w:eastAsia="en-US"/>
              </w:rPr>
              <w:t>Līdz 2017.gada 22.februārim viedokļi par projektu netika iesniegti.</w:t>
            </w:r>
          </w:p>
        </w:tc>
      </w:tr>
      <w:tr w:rsidR="0040247B" w:rsidTr="00BF043C">
        <w:trPr>
          <w:trHeight w:val="375"/>
        </w:trPr>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3.</w:t>
            </w:r>
          </w:p>
        </w:tc>
        <w:tc>
          <w:tcPr>
            <w:tcW w:w="428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both"/>
              <w:rPr>
                <w:lang w:eastAsia="en-US"/>
              </w:rPr>
            </w:pPr>
            <w:r>
              <w:rPr>
                <w:lang w:eastAsia="en-US"/>
              </w:rPr>
              <w:t>Sabiedrības līdzdalības rezultāti</w:t>
            </w:r>
          </w:p>
        </w:tc>
        <w:tc>
          <w:tcPr>
            <w:tcW w:w="4358" w:type="dxa"/>
            <w:tcBorders>
              <w:top w:val="single" w:sz="4" w:space="0" w:color="auto"/>
              <w:left w:val="single" w:sz="4" w:space="0" w:color="auto"/>
              <w:bottom w:val="single" w:sz="4" w:space="0" w:color="auto"/>
              <w:right w:val="single" w:sz="4" w:space="0" w:color="auto"/>
            </w:tcBorders>
            <w:hideMark/>
          </w:tcPr>
          <w:p w:rsidR="0040247B" w:rsidRPr="00C54225" w:rsidRDefault="00880890" w:rsidP="00635F0C">
            <w:pPr>
              <w:spacing w:line="276" w:lineRule="auto"/>
              <w:jc w:val="both"/>
              <w:rPr>
                <w:rFonts w:asciiTheme="minorHAnsi" w:eastAsiaTheme="minorHAnsi" w:hAnsiTheme="minorHAnsi"/>
                <w:sz w:val="22"/>
                <w:szCs w:val="22"/>
                <w:lang w:eastAsia="en-US"/>
              </w:rPr>
            </w:pPr>
            <w:r w:rsidRPr="00C54225">
              <w:rPr>
                <w:lang w:eastAsia="en-US"/>
              </w:rPr>
              <w:t>Priekšlikumi netika saņemti.</w:t>
            </w:r>
          </w:p>
        </w:tc>
      </w:tr>
      <w:tr w:rsidR="0040247B" w:rsidTr="00BF043C">
        <w:trPr>
          <w:trHeight w:val="476"/>
        </w:trPr>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4.</w:t>
            </w:r>
          </w:p>
        </w:tc>
        <w:tc>
          <w:tcPr>
            <w:tcW w:w="428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both"/>
              <w:rPr>
                <w:lang w:eastAsia="en-US"/>
              </w:rPr>
            </w:pPr>
            <w:r>
              <w:rPr>
                <w:lang w:eastAsia="en-US"/>
              </w:rPr>
              <w:t>Cita informācija</w:t>
            </w:r>
          </w:p>
        </w:tc>
        <w:tc>
          <w:tcPr>
            <w:tcW w:w="4358"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xml:space="preserve">Nav </w:t>
            </w:r>
          </w:p>
        </w:tc>
      </w:tr>
    </w:tbl>
    <w:p w:rsidR="0040247B" w:rsidRDefault="0040247B" w:rsidP="0040247B">
      <w:pPr>
        <w:pStyle w:val="naisf"/>
      </w:pPr>
      <w:r>
        <w:t>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80"/>
        <w:gridCol w:w="4667"/>
      </w:tblGrid>
      <w:tr w:rsidR="0040247B" w:rsidTr="00BF043C">
        <w:tc>
          <w:tcPr>
            <w:tcW w:w="9356" w:type="dxa"/>
            <w:gridSpan w:val="3"/>
            <w:tcBorders>
              <w:top w:val="single" w:sz="4" w:space="0" w:color="auto"/>
              <w:left w:val="single" w:sz="4" w:space="0" w:color="auto"/>
              <w:bottom w:val="single" w:sz="4" w:space="0" w:color="auto"/>
              <w:right w:val="single" w:sz="4" w:space="0" w:color="auto"/>
            </w:tcBorders>
            <w:hideMark/>
          </w:tcPr>
          <w:p w:rsidR="0040247B" w:rsidRDefault="0040247B">
            <w:pPr>
              <w:pStyle w:val="naisc"/>
              <w:spacing w:line="276" w:lineRule="auto"/>
              <w:rPr>
                <w:lang w:eastAsia="en-US"/>
              </w:rPr>
            </w:pPr>
            <w:r>
              <w:rPr>
                <w:b/>
                <w:bCs/>
                <w:lang w:eastAsia="en-US"/>
              </w:rPr>
              <w:lastRenderedPageBreak/>
              <w:t> VII. Tiesību akta projekta izpildes nodrošināšana un tās ietekme uz institūcijām</w:t>
            </w:r>
          </w:p>
        </w:tc>
      </w:tr>
      <w:tr w:rsidR="0040247B" w:rsidTr="00BF043C">
        <w:trPr>
          <w:trHeight w:val="427"/>
        </w:trPr>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1.</w:t>
            </w:r>
          </w:p>
        </w:tc>
        <w:tc>
          <w:tcPr>
            <w:tcW w:w="3980"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Projekta izpildē iesaistītās institūcijas</w:t>
            </w:r>
          </w:p>
        </w:tc>
        <w:tc>
          <w:tcPr>
            <w:tcW w:w="4667"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both"/>
              <w:rPr>
                <w:lang w:eastAsia="en-US"/>
              </w:rPr>
            </w:pPr>
            <w:r>
              <w:rPr>
                <w:lang w:eastAsia="en-US"/>
              </w:rPr>
              <w:t>Labklājības ministrija</w:t>
            </w:r>
          </w:p>
        </w:tc>
      </w:tr>
      <w:tr w:rsidR="0040247B" w:rsidTr="00BF043C">
        <w:trPr>
          <w:trHeight w:val="463"/>
        </w:trPr>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2.</w:t>
            </w:r>
          </w:p>
        </w:tc>
        <w:tc>
          <w:tcPr>
            <w:tcW w:w="3980" w:type="dxa"/>
            <w:tcBorders>
              <w:top w:val="single" w:sz="4" w:space="0" w:color="auto"/>
              <w:left w:val="single" w:sz="4" w:space="0" w:color="auto"/>
              <w:bottom w:val="single" w:sz="4" w:space="0" w:color="auto"/>
              <w:right w:val="single" w:sz="4" w:space="0" w:color="auto"/>
            </w:tcBorders>
            <w:hideMark/>
          </w:tcPr>
          <w:p w:rsidR="0040247B" w:rsidRDefault="0040247B">
            <w:pPr>
              <w:spacing w:line="276" w:lineRule="auto"/>
              <w:rPr>
                <w:lang w:eastAsia="en-US"/>
              </w:rPr>
            </w:pPr>
            <w:r>
              <w:rPr>
                <w:lang w:eastAsia="en-US"/>
              </w:rPr>
              <w:t xml:space="preserve">Projekta izpildes ietekme uz pārvaldes funkcijām un institucionālo struktūru. </w:t>
            </w:r>
          </w:p>
          <w:p w:rsidR="0040247B" w:rsidRDefault="0040247B">
            <w:pPr>
              <w:pStyle w:val="naiskr"/>
              <w:spacing w:line="276" w:lineRule="auto"/>
              <w:jc w:val="both"/>
              <w:rPr>
                <w:lang w:eastAsia="en-US"/>
              </w:rPr>
            </w:pPr>
            <w:r>
              <w:rPr>
                <w:lang w:eastAsia="en-US"/>
              </w:rPr>
              <w:t>Jaunu institūciju izveide, esošu institūciju likvidācija vai reorganizācija, to ietekme uz institūcijas cilvēkresursiem</w:t>
            </w:r>
          </w:p>
        </w:tc>
        <w:tc>
          <w:tcPr>
            <w:tcW w:w="4667" w:type="dxa"/>
            <w:tcBorders>
              <w:top w:val="single" w:sz="4" w:space="0" w:color="auto"/>
              <w:left w:val="single" w:sz="4" w:space="0" w:color="auto"/>
              <w:bottom w:val="single" w:sz="4" w:space="0" w:color="auto"/>
              <w:right w:val="single" w:sz="4" w:space="0" w:color="auto"/>
            </w:tcBorders>
            <w:hideMark/>
          </w:tcPr>
          <w:p w:rsidR="0040247B" w:rsidRDefault="0040247B">
            <w:pPr>
              <w:pStyle w:val="naisf"/>
              <w:spacing w:line="276" w:lineRule="auto"/>
              <w:ind w:firstLine="0"/>
              <w:rPr>
                <w:lang w:eastAsia="en-US"/>
              </w:rPr>
            </w:pPr>
            <w:r>
              <w:rPr>
                <w:lang w:eastAsia="en-US"/>
              </w:rPr>
              <w:t>Pārvaldes funkciju un uzdevumu apjoms netiek mainīts, jaunas institūcijas netiek veidotas, reorganizētas vai likvidētas.</w:t>
            </w:r>
          </w:p>
        </w:tc>
      </w:tr>
      <w:tr w:rsidR="0040247B" w:rsidTr="00BF043C">
        <w:trPr>
          <w:trHeight w:val="476"/>
        </w:trPr>
        <w:tc>
          <w:tcPr>
            <w:tcW w:w="709"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 3.</w:t>
            </w:r>
          </w:p>
        </w:tc>
        <w:tc>
          <w:tcPr>
            <w:tcW w:w="3980"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jc w:val="both"/>
              <w:rPr>
                <w:lang w:eastAsia="en-US"/>
              </w:rPr>
            </w:pPr>
            <w:r>
              <w:rPr>
                <w:lang w:eastAsia="en-US"/>
              </w:rPr>
              <w:t>Cita informācija</w:t>
            </w:r>
          </w:p>
        </w:tc>
        <w:tc>
          <w:tcPr>
            <w:tcW w:w="4667" w:type="dxa"/>
            <w:tcBorders>
              <w:top w:val="single" w:sz="4" w:space="0" w:color="auto"/>
              <w:left w:val="single" w:sz="4" w:space="0" w:color="auto"/>
              <w:bottom w:val="single" w:sz="4" w:space="0" w:color="auto"/>
              <w:right w:val="single" w:sz="4" w:space="0" w:color="auto"/>
            </w:tcBorders>
            <w:hideMark/>
          </w:tcPr>
          <w:p w:rsidR="0040247B" w:rsidRDefault="0040247B">
            <w:pPr>
              <w:pStyle w:val="naiskr"/>
              <w:spacing w:line="276" w:lineRule="auto"/>
              <w:rPr>
                <w:lang w:eastAsia="en-US"/>
              </w:rPr>
            </w:pPr>
            <w:r>
              <w:rPr>
                <w:lang w:eastAsia="en-US"/>
              </w:rPr>
              <w:t>Nav</w:t>
            </w:r>
          </w:p>
        </w:tc>
      </w:tr>
    </w:tbl>
    <w:p w:rsidR="0040247B" w:rsidRDefault="0040247B" w:rsidP="0040247B">
      <w:pPr>
        <w:pStyle w:val="BodyTextIndent3"/>
        <w:tabs>
          <w:tab w:val="left" w:pos="1440"/>
        </w:tabs>
        <w:spacing w:before="120"/>
        <w:ind w:left="0"/>
        <w:rPr>
          <w:b/>
          <w:sz w:val="28"/>
          <w:szCs w:val="28"/>
          <w:lang w:val="lv-LV"/>
        </w:rPr>
      </w:pPr>
    </w:p>
    <w:p w:rsidR="0040247B" w:rsidRDefault="0040247B" w:rsidP="0040247B">
      <w:pPr>
        <w:pStyle w:val="BodyTextIndent3"/>
        <w:tabs>
          <w:tab w:val="left" w:pos="1440"/>
        </w:tabs>
        <w:spacing w:before="120"/>
        <w:ind w:left="0"/>
        <w:rPr>
          <w:sz w:val="28"/>
          <w:szCs w:val="28"/>
          <w:lang w:val="lv-LV"/>
        </w:rPr>
      </w:pPr>
      <w:r>
        <w:rPr>
          <w:sz w:val="28"/>
          <w:szCs w:val="28"/>
          <w:lang w:val="lv-LV"/>
        </w:rPr>
        <w:t>Labklājības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Jānis Reirs</w:t>
      </w:r>
    </w:p>
    <w:p w:rsidR="0040247B" w:rsidRDefault="0040247B" w:rsidP="003D77DE">
      <w:pPr>
        <w:pStyle w:val="BodyTextIndent"/>
        <w:spacing w:after="0"/>
        <w:ind w:left="0"/>
      </w:pPr>
    </w:p>
    <w:p w:rsidR="00BF043C" w:rsidRDefault="00BF043C" w:rsidP="003D77DE">
      <w:pPr>
        <w:pStyle w:val="BodyTextIndent"/>
        <w:spacing w:after="0"/>
        <w:ind w:left="0"/>
      </w:pPr>
    </w:p>
    <w:p w:rsidR="00BF043C" w:rsidRDefault="00BF043C" w:rsidP="003D77DE">
      <w:pPr>
        <w:pStyle w:val="BodyTextIndent"/>
        <w:spacing w:after="0"/>
        <w:ind w:left="0"/>
      </w:pPr>
    </w:p>
    <w:p w:rsidR="00047E46" w:rsidRDefault="00047E46" w:rsidP="003D77DE">
      <w:pPr>
        <w:pStyle w:val="BodyTextIndent"/>
        <w:spacing w:after="0"/>
        <w:ind w:left="0"/>
      </w:pPr>
    </w:p>
    <w:p w:rsidR="00047E46" w:rsidRDefault="00047E46" w:rsidP="003D77DE">
      <w:pPr>
        <w:pStyle w:val="BodyTextIndent"/>
        <w:spacing w:after="0"/>
        <w:ind w:left="0"/>
      </w:pPr>
    </w:p>
    <w:p w:rsidR="00047E46" w:rsidRDefault="00047E46" w:rsidP="003D77DE">
      <w:pPr>
        <w:pStyle w:val="BodyTextIndent"/>
        <w:spacing w:after="0"/>
        <w:ind w:left="0"/>
      </w:pPr>
      <w:bookmarkStart w:id="0" w:name="_GoBack"/>
      <w:bookmarkEnd w:id="0"/>
    </w:p>
    <w:p w:rsidR="0040247B" w:rsidRDefault="0040247B" w:rsidP="0040247B">
      <w:pPr>
        <w:pStyle w:val="BodyTextIndent"/>
        <w:spacing w:after="0"/>
        <w:ind w:left="0"/>
      </w:pPr>
    </w:p>
    <w:p w:rsidR="0040247B" w:rsidRPr="00047E46" w:rsidRDefault="00BF043C" w:rsidP="0040247B">
      <w:pPr>
        <w:pStyle w:val="BodyTextIndent"/>
        <w:spacing w:after="0"/>
        <w:ind w:left="284" w:hanging="284"/>
        <w:rPr>
          <w:sz w:val="22"/>
          <w:szCs w:val="22"/>
        </w:rPr>
      </w:pPr>
      <w:r w:rsidRPr="00047E46">
        <w:rPr>
          <w:sz w:val="22"/>
          <w:szCs w:val="22"/>
        </w:rPr>
        <w:t>01.03.2017</w:t>
      </w:r>
      <w:r w:rsidR="0040247B" w:rsidRPr="00047E46">
        <w:rPr>
          <w:sz w:val="22"/>
          <w:szCs w:val="22"/>
        </w:rPr>
        <w:t xml:space="preserve">. </w:t>
      </w:r>
      <w:r w:rsidR="00047E46" w:rsidRPr="00047E46">
        <w:rPr>
          <w:sz w:val="22"/>
          <w:szCs w:val="22"/>
        </w:rPr>
        <w:t>16:00</w:t>
      </w:r>
    </w:p>
    <w:p w:rsidR="0040247B" w:rsidRPr="00047E46" w:rsidRDefault="003D77DE" w:rsidP="0040247B">
      <w:pPr>
        <w:pStyle w:val="BodyTextIndent"/>
        <w:spacing w:after="0"/>
        <w:ind w:left="0"/>
        <w:rPr>
          <w:sz w:val="22"/>
          <w:szCs w:val="22"/>
        </w:rPr>
      </w:pPr>
      <w:r w:rsidRPr="00047E46">
        <w:rPr>
          <w:sz w:val="22"/>
          <w:szCs w:val="22"/>
        </w:rPr>
        <w:t>13</w:t>
      </w:r>
      <w:r w:rsidR="00BF043C" w:rsidRPr="00047E46">
        <w:rPr>
          <w:sz w:val="22"/>
          <w:szCs w:val="22"/>
        </w:rPr>
        <w:t>03</w:t>
      </w:r>
    </w:p>
    <w:p w:rsidR="0040247B" w:rsidRPr="00047E46" w:rsidRDefault="0040247B" w:rsidP="0040247B">
      <w:pPr>
        <w:pStyle w:val="BodyTextIndent"/>
        <w:spacing w:after="0"/>
        <w:ind w:left="284" w:hanging="284"/>
        <w:rPr>
          <w:sz w:val="22"/>
          <w:szCs w:val="22"/>
        </w:rPr>
      </w:pPr>
      <w:r w:rsidRPr="00047E46">
        <w:rPr>
          <w:sz w:val="22"/>
          <w:szCs w:val="22"/>
        </w:rPr>
        <w:t>Slaidiņa 67021646</w:t>
      </w:r>
    </w:p>
    <w:p w:rsidR="0040247B" w:rsidRPr="00047E46" w:rsidRDefault="00047E46" w:rsidP="0040247B">
      <w:pPr>
        <w:pStyle w:val="BodyTextIndent"/>
        <w:spacing w:after="0"/>
        <w:ind w:left="284" w:hanging="284"/>
        <w:rPr>
          <w:sz w:val="22"/>
          <w:szCs w:val="22"/>
        </w:rPr>
      </w:pPr>
      <w:hyperlink r:id="rId8" w:history="1">
        <w:r w:rsidR="0040247B" w:rsidRPr="00047E46">
          <w:rPr>
            <w:rStyle w:val="Hyperlink"/>
            <w:sz w:val="22"/>
            <w:szCs w:val="22"/>
          </w:rPr>
          <w:t>Inta.Slaidina@lm.gov.lv</w:t>
        </w:r>
      </w:hyperlink>
      <w:r w:rsidR="0040247B" w:rsidRPr="00047E46">
        <w:rPr>
          <w:sz w:val="22"/>
          <w:szCs w:val="22"/>
        </w:rPr>
        <w:t xml:space="preserve"> </w:t>
      </w:r>
    </w:p>
    <w:p w:rsidR="0040247B" w:rsidRDefault="0040247B" w:rsidP="0040247B"/>
    <w:p w:rsidR="00E017F5" w:rsidRDefault="00E017F5"/>
    <w:sectPr w:rsidR="00E017F5" w:rsidSect="00BF043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EC" w:rsidRDefault="00035DEC" w:rsidP="00035DEC">
      <w:r>
        <w:separator/>
      </w:r>
    </w:p>
  </w:endnote>
  <w:endnote w:type="continuationSeparator" w:id="0">
    <w:p w:rsidR="00035DEC" w:rsidRDefault="00035DEC" w:rsidP="000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EC" w:rsidRPr="00035DEC" w:rsidRDefault="00035DEC" w:rsidP="009F6C5B">
    <w:pPr>
      <w:jc w:val="both"/>
    </w:pPr>
    <w:r>
      <w:rPr>
        <w:sz w:val="22"/>
        <w:szCs w:val="22"/>
      </w:rPr>
      <w:t>LManot_01032017; Likumprojekts</w:t>
    </w:r>
    <w:r w:rsidRPr="00035DEC">
      <w:rPr>
        <w:sz w:val="22"/>
        <w:szCs w:val="22"/>
      </w:rPr>
      <w:t xml:space="preserve"> „Grozījums Sociālo pakalpojumu un sociālās palīdzības likumā”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EC" w:rsidRDefault="00035DEC" w:rsidP="009F6C5B">
    <w:pPr>
      <w:jc w:val="both"/>
    </w:pPr>
    <w:r>
      <w:rPr>
        <w:sz w:val="22"/>
        <w:szCs w:val="22"/>
      </w:rPr>
      <w:t>LManot_01032017; Likumprojekts</w:t>
    </w:r>
    <w:r w:rsidRPr="00035DEC">
      <w:rPr>
        <w:sz w:val="22"/>
        <w:szCs w:val="22"/>
      </w:rPr>
      <w:t xml:space="preserve"> „Grozījums Sociālo pakalpojumu un sociālās palīdzības likumā”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EC" w:rsidRDefault="00035DEC" w:rsidP="00035DEC">
      <w:r>
        <w:separator/>
      </w:r>
    </w:p>
  </w:footnote>
  <w:footnote w:type="continuationSeparator" w:id="0">
    <w:p w:rsidR="00035DEC" w:rsidRDefault="00035DEC" w:rsidP="00035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994337"/>
      <w:docPartObj>
        <w:docPartGallery w:val="Page Numbers (Top of Page)"/>
        <w:docPartUnique/>
      </w:docPartObj>
    </w:sdtPr>
    <w:sdtEndPr>
      <w:rPr>
        <w:noProof/>
      </w:rPr>
    </w:sdtEndPr>
    <w:sdtContent>
      <w:p w:rsidR="00035DEC" w:rsidRDefault="00035DEC">
        <w:pPr>
          <w:pStyle w:val="Header"/>
          <w:jc w:val="center"/>
        </w:pPr>
        <w:r>
          <w:fldChar w:fldCharType="begin"/>
        </w:r>
        <w:r>
          <w:instrText xml:space="preserve"> PAGE   \* MERGEFORMAT </w:instrText>
        </w:r>
        <w:r>
          <w:fldChar w:fldCharType="separate"/>
        </w:r>
        <w:r w:rsidR="00047E46">
          <w:rPr>
            <w:noProof/>
          </w:rPr>
          <w:t>6</w:t>
        </w:r>
        <w:r>
          <w:rPr>
            <w:noProof/>
          </w:rPr>
          <w:fldChar w:fldCharType="end"/>
        </w:r>
      </w:p>
    </w:sdtContent>
  </w:sdt>
  <w:p w:rsidR="00035DEC" w:rsidRDefault="00035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7B"/>
    <w:rsid w:val="00001DC7"/>
    <w:rsid w:val="00025290"/>
    <w:rsid w:val="00026FA4"/>
    <w:rsid w:val="00027827"/>
    <w:rsid w:val="00032FE5"/>
    <w:rsid w:val="0003576C"/>
    <w:rsid w:val="00035DEC"/>
    <w:rsid w:val="00046FBA"/>
    <w:rsid w:val="000478AF"/>
    <w:rsid w:val="00047E46"/>
    <w:rsid w:val="00064AD9"/>
    <w:rsid w:val="0006725E"/>
    <w:rsid w:val="000779F4"/>
    <w:rsid w:val="00080CB5"/>
    <w:rsid w:val="00086969"/>
    <w:rsid w:val="000A0C0A"/>
    <w:rsid w:val="000A2FA2"/>
    <w:rsid w:val="000A76CF"/>
    <w:rsid w:val="000B01FA"/>
    <w:rsid w:val="000B25B6"/>
    <w:rsid w:val="000B26D4"/>
    <w:rsid w:val="000B3B15"/>
    <w:rsid w:val="000B473A"/>
    <w:rsid w:val="000B4C6E"/>
    <w:rsid w:val="000B5B1D"/>
    <w:rsid w:val="000B683A"/>
    <w:rsid w:val="000C27D6"/>
    <w:rsid w:val="000C7365"/>
    <w:rsid w:val="000D0CBD"/>
    <w:rsid w:val="000D26BE"/>
    <w:rsid w:val="000D497C"/>
    <w:rsid w:val="000D6D41"/>
    <w:rsid w:val="000E41A4"/>
    <w:rsid w:val="000E4E1C"/>
    <w:rsid w:val="000E6F63"/>
    <w:rsid w:val="000F1D3E"/>
    <w:rsid w:val="000F7FEA"/>
    <w:rsid w:val="001001D8"/>
    <w:rsid w:val="00102B25"/>
    <w:rsid w:val="00121B7E"/>
    <w:rsid w:val="00125496"/>
    <w:rsid w:val="0012598F"/>
    <w:rsid w:val="001373F0"/>
    <w:rsid w:val="0014363F"/>
    <w:rsid w:val="0014436C"/>
    <w:rsid w:val="00150A76"/>
    <w:rsid w:val="0015159C"/>
    <w:rsid w:val="00154E55"/>
    <w:rsid w:val="00162946"/>
    <w:rsid w:val="0016568E"/>
    <w:rsid w:val="00171D67"/>
    <w:rsid w:val="00172D5F"/>
    <w:rsid w:val="00180EEE"/>
    <w:rsid w:val="0018685B"/>
    <w:rsid w:val="00190091"/>
    <w:rsid w:val="00193E1E"/>
    <w:rsid w:val="001A0E70"/>
    <w:rsid w:val="001A40E4"/>
    <w:rsid w:val="001A4564"/>
    <w:rsid w:val="001B15A0"/>
    <w:rsid w:val="001B6C14"/>
    <w:rsid w:val="001C005E"/>
    <w:rsid w:val="001C49B2"/>
    <w:rsid w:val="001D7B3F"/>
    <w:rsid w:val="001E4F17"/>
    <w:rsid w:val="001E506A"/>
    <w:rsid w:val="001F2BA4"/>
    <w:rsid w:val="001F2C75"/>
    <w:rsid w:val="001F3691"/>
    <w:rsid w:val="0020006C"/>
    <w:rsid w:val="00203009"/>
    <w:rsid w:val="00204EF4"/>
    <w:rsid w:val="00205AC0"/>
    <w:rsid w:val="002068F1"/>
    <w:rsid w:val="00212D89"/>
    <w:rsid w:val="002228EA"/>
    <w:rsid w:val="00243979"/>
    <w:rsid w:val="00246171"/>
    <w:rsid w:val="00257068"/>
    <w:rsid w:val="00264E69"/>
    <w:rsid w:val="00281622"/>
    <w:rsid w:val="00281E3A"/>
    <w:rsid w:val="002A353C"/>
    <w:rsid w:val="002B55AD"/>
    <w:rsid w:val="002C0264"/>
    <w:rsid w:val="002C2DD0"/>
    <w:rsid w:val="002D699F"/>
    <w:rsid w:val="002E45A3"/>
    <w:rsid w:val="002F7DD2"/>
    <w:rsid w:val="003037D0"/>
    <w:rsid w:val="00305B76"/>
    <w:rsid w:val="003235D0"/>
    <w:rsid w:val="00331EB2"/>
    <w:rsid w:val="00332952"/>
    <w:rsid w:val="00341241"/>
    <w:rsid w:val="00342918"/>
    <w:rsid w:val="00350ADF"/>
    <w:rsid w:val="00353841"/>
    <w:rsid w:val="00355E31"/>
    <w:rsid w:val="003603C6"/>
    <w:rsid w:val="00360BC1"/>
    <w:rsid w:val="0036100E"/>
    <w:rsid w:val="0036113B"/>
    <w:rsid w:val="00361B92"/>
    <w:rsid w:val="00364F67"/>
    <w:rsid w:val="00372840"/>
    <w:rsid w:val="00377E46"/>
    <w:rsid w:val="00393942"/>
    <w:rsid w:val="00396C21"/>
    <w:rsid w:val="003C559F"/>
    <w:rsid w:val="003D11C0"/>
    <w:rsid w:val="003D77DE"/>
    <w:rsid w:val="003F0D73"/>
    <w:rsid w:val="003F503B"/>
    <w:rsid w:val="0040247B"/>
    <w:rsid w:val="004040B9"/>
    <w:rsid w:val="00406508"/>
    <w:rsid w:val="004237C2"/>
    <w:rsid w:val="00423BFD"/>
    <w:rsid w:val="00432C52"/>
    <w:rsid w:val="00443432"/>
    <w:rsid w:val="00450176"/>
    <w:rsid w:val="00454EED"/>
    <w:rsid w:val="00462D35"/>
    <w:rsid w:val="004637C1"/>
    <w:rsid w:val="00463E0E"/>
    <w:rsid w:val="00464479"/>
    <w:rsid w:val="0047123F"/>
    <w:rsid w:val="00476093"/>
    <w:rsid w:val="00486851"/>
    <w:rsid w:val="004909AF"/>
    <w:rsid w:val="004916CA"/>
    <w:rsid w:val="004957D0"/>
    <w:rsid w:val="004A163F"/>
    <w:rsid w:val="004A7B30"/>
    <w:rsid w:val="004B1502"/>
    <w:rsid w:val="004B477D"/>
    <w:rsid w:val="004B71D4"/>
    <w:rsid w:val="004C293F"/>
    <w:rsid w:val="004D17C9"/>
    <w:rsid w:val="004D373D"/>
    <w:rsid w:val="004D46C9"/>
    <w:rsid w:val="004D6069"/>
    <w:rsid w:val="004E1150"/>
    <w:rsid w:val="004E53C4"/>
    <w:rsid w:val="004F0524"/>
    <w:rsid w:val="00515495"/>
    <w:rsid w:val="00521516"/>
    <w:rsid w:val="00524CC9"/>
    <w:rsid w:val="0053125E"/>
    <w:rsid w:val="005449D3"/>
    <w:rsid w:val="005450A4"/>
    <w:rsid w:val="005463E8"/>
    <w:rsid w:val="0055129B"/>
    <w:rsid w:val="005536D4"/>
    <w:rsid w:val="00555F55"/>
    <w:rsid w:val="00557690"/>
    <w:rsid w:val="00566F4C"/>
    <w:rsid w:val="005706AB"/>
    <w:rsid w:val="00570B67"/>
    <w:rsid w:val="0057760D"/>
    <w:rsid w:val="00581C04"/>
    <w:rsid w:val="00585B9D"/>
    <w:rsid w:val="00590A81"/>
    <w:rsid w:val="0059684F"/>
    <w:rsid w:val="005A7520"/>
    <w:rsid w:val="005A7A4D"/>
    <w:rsid w:val="005C01D6"/>
    <w:rsid w:val="005C1236"/>
    <w:rsid w:val="005C4189"/>
    <w:rsid w:val="005D6905"/>
    <w:rsid w:val="005E5155"/>
    <w:rsid w:val="005E6F54"/>
    <w:rsid w:val="005E7D06"/>
    <w:rsid w:val="00600614"/>
    <w:rsid w:val="006013FB"/>
    <w:rsid w:val="0060341D"/>
    <w:rsid w:val="00604251"/>
    <w:rsid w:val="00613B89"/>
    <w:rsid w:val="00614349"/>
    <w:rsid w:val="0062160E"/>
    <w:rsid w:val="00634998"/>
    <w:rsid w:val="00634CEC"/>
    <w:rsid w:val="00635F0C"/>
    <w:rsid w:val="00637331"/>
    <w:rsid w:val="006404EF"/>
    <w:rsid w:val="006422DE"/>
    <w:rsid w:val="00644BF6"/>
    <w:rsid w:val="00644DFB"/>
    <w:rsid w:val="006462E0"/>
    <w:rsid w:val="006467AF"/>
    <w:rsid w:val="00647FA9"/>
    <w:rsid w:val="0065353D"/>
    <w:rsid w:val="006557AC"/>
    <w:rsid w:val="00657A10"/>
    <w:rsid w:val="00667CDA"/>
    <w:rsid w:val="0067071A"/>
    <w:rsid w:val="00673576"/>
    <w:rsid w:val="006737E7"/>
    <w:rsid w:val="00674C08"/>
    <w:rsid w:val="006803E4"/>
    <w:rsid w:val="00690A3E"/>
    <w:rsid w:val="0069509E"/>
    <w:rsid w:val="006A12C7"/>
    <w:rsid w:val="006A5255"/>
    <w:rsid w:val="006B1AAE"/>
    <w:rsid w:val="006B4EA6"/>
    <w:rsid w:val="006C42D4"/>
    <w:rsid w:val="006D16DE"/>
    <w:rsid w:val="006D5564"/>
    <w:rsid w:val="006E1F82"/>
    <w:rsid w:val="0071093E"/>
    <w:rsid w:val="00730BC8"/>
    <w:rsid w:val="00734EE8"/>
    <w:rsid w:val="00752D70"/>
    <w:rsid w:val="00755B01"/>
    <w:rsid w:val="00770D7E"/>
    <w:rsid w:val="00777367"/>
    <w:rsid w:val="00792DAA"/>
    <w:rsid w:val="007949CD"/>
    <w:rsid w:val="007A3034"/>
    <w:rsid w:val="007C050F"/>
    <w:rsid w:val="007C06EF"/>
    <w:rsid w:val="007C0B1A"/>
    <w:rsid w:val="007C1E3D"/>
    <w:rsid w:val="007C3993"/>
    <w:rsid w:val="007C5307"/>
    <w:rsid w:val="007C6916"/>
    <w:rsid w:val="007E1BDF"/>
    <w:rsid w:val="007F4C05"/>
    <w:rsid w:val="007F4D8A"/>
    <w:rsid w:val="007F78D4"/>
    <w:rsid w:val="008057A9"/>
    <w:rsid w:val="00811854"/>
    <w:rsid w:val="0081196A"/>
    <w:rsid w:val="0081771A"/>
    <w:rsid w:val="00821D97"/>
    <w:rsid w:val="008324ED"/>
    <w:rsid w:val="00832A83"/>
    <w:rsid w:val="008347B9"/>
    <w:rsid w:val="00844FEB"/>
    <w:rsid w:val="00846874"/>
    <w:rsid w:val="0085264E"/>
    <w:rsid w:val="0085580F"/>
    <w:rsid w:val="00862EB7"/>
    <w:rsid w:val="00867E34"/>
    <w:rsid w:val="0087244B"/>
    <w:rsid w:val="00880890"/>
    <w:rsid w:val="00883CB7"/>
    <w:rsid w:val="00891D59"/>
    <w:rsid w:val="008A111C"/>
    <w:rsid w:val="008B1E54"/>
    <w:rsid w:val="008B78F2"/>
    <w:rsid w:val="008C42B7"/>
    <w:rsid w:val="008D51A8"/>
    <w:rsid w:val="008E1AC1"/>
    <w:rsid w:val="008E56E4"/>
    <w:rsid w:val="008F3254"/>
    <w:rsid w:val="008F34FE"/>
    <w:rsid w:val="008F67FB"/>
    <w:rsid w:val="0091265A"/>
    <w:rsid w:val="009157BE"/>
    <w:rsid w:val="009224ED"/>
    <w:rsid w:val="00936491"/>
    <w:rsid w:val="00940B5B"/>
    <w:rsid w:val="009412B1"/>
    <w:rsid w:val="009416C8"/>
    <w:rsid w:val="00941948"/>
    <w:rsid w:val="00946024"/>
    <w:rsid w:val="00955D68"/>
    <w:rsid w:val="00960656"/>
    <w:rsid w:val="009622BB"/>
    <w:rsid w:val="009635E2"/>
    <w:rsid w:val="00966A42"/>
    <w:rsid w:val="009753B7"/>
    <w:rsid w:val="0098793E"/>
    <w:rsid w:val="00990281"/>
    <w:rsid w:val="009902AE"/>
    <w:rsid w:val="009949B9"/>
    <w:rsid w:val="00996A9B"/>
    <w:rsid w:val="009A3D42"/>
    <w:rsid w:val="009C243F"/>
    <w:rsid w:val="009C377E"/>
    <w:rsid w:val="009D726A"/>
    <w:rsid w:val="009D77F1"/>
    <w:rsid w:val="009E22B5"/>
    <w:rsid w:val="009F15A5"/>
    <w:rsid w:val="009F67B4"/>
    <w:rsid w:val="009F6C5B"/>
    <w:rsid w:val="009F72D0"/>
    <w:rsid w:val="00A03AD4"/>
    <w:rsid w:val="00A073F7"/>
    <w:rsid w:val="00A12338"/>
    <w:rsid w:val="00A12FEF"/>
    <w:rsid w:val="00A15B09"/>
    <w:rsid w:val="00A23880"/>
    <w:rsid w:val="00A239A9"/>
    <w:rsid w:val="00A23DEC"/>
    <w:rsid w:val="00A26BCE"/>
    <w:rsid w:val="00A325F4"/>
    <w:rsid w:val="00A559AF"/>
    <w:rsid w:val="00A57EEE"/>
    <w:rsid w:val="00A62081"/>
    <w:rsid w:val="00A64B5A"/>
    <w:rsid w:val="00A70935"/>
    <w:rsid w:val="00A875FB"/>
    <w:rsid w:val="00A93ED0"/>
    <w:rsid w:val="00A94593"/>
    <w:rsid w:val="00A96EF6"/>
    <w:rsid w:val="00AA3245"/>
    <w:rsid w:val="00AA4995"/>
    <w:rsid w:val="00AB333F"/>
    <w:rsid w:val="00AB7C56"/>
    <w:rsid w:val="00AE5FB6"/>
    <w:rsid w:val="00AF0845"/>
    <w:rsid w:val="00B03419"/>
    <w:rsid w:val="00B04453"/>
    <w:rsid w:val="00B07537"/>
    <w:rsid w:val="00B07F0C"/>
    <w:rsid w:val="00B17F15"/>
    <w:rsid w:val="00B237CD"/>
    <w:rsid w:val="00B30BFD"/>
    <w:rsid w:val="00B318A9"/>
    <w:rsid w:val="00B37C81"/>
    <w:rsid w:val="00B422C7"/>
    <w:rsid w:val="00B4700B"/>
    <w:rsid w:val="00B50CF1"/>
    <w:rsid w:val="00B622C7"/>
    <w:rsid w:val="00B9358B"/>
    <w:rsid w:val="00B95483"/>
    <w:rsid w:val="00B95B28"/>
    <w:rsid w:val="00BA1496"/>
    <w:rsid w:val="00BA5C30"/>
    <w:rsid w:val="00BA5C81"/>
    <w:rsid w:val="00BA6DA4"/>
    <w:rsid w:val="00BB4848"/>
    <w:rsid w:val="00BB7041"/>
    <w:rsid w:val="00BC07C9"/>
    <w:rsid w:val="00BC7A8A"/>
    <w:rsid w:val="00BD1EB0"/>
    <w:rsid w:val="00BD6257"/>
    <w:rsid w:val="00BD62DE"/>
    <w:rsid w:val="00BD68C5"/>
    <w:rsid w:val="00BE4B1D"/>
    <w:rsid w:val="00BE4F9E"/>
    <w:rsid w:val="00BE70EA"/>
    <w:rsid w:val="00BE7759"/>
    <w:rsid w:val="00BF043C"/>
    <w:rsid w:val="00BF72CC"/>
    <w:rsid w:val="00C02C67"/>
    <w:rsid w:val="00C02FB0"/>
    <w:rsid w:val="00C12971"/>
    <w:rsid w:val="00C13BFF"/>
    <w:rsid w:val="00C15274"/>
    <w:rsid w:val="00C32A2B"/>
    <w:rsid w:val="00C41581"/>
    <w:rsid w:val="00C4699C"/>
    <w:rsid w:val="00C469A4"/>
    <w:rsid w:val="00C54225"/>
    <w:rsid w:val="00C6011E"/>
    <w:rsid w:val="00C72AD6"/>
    <w:rsid w:val="00C74714"/>
    <w:rsid w:val="00C8220A"/>
    <w:rsid w:val="00C84285"/>
    <w:rsid w:val="00C844B7"/>
    <w:rsid w:val="00C92F70"/>
    <w:rsid w:val="00C93766"/>
    <w:rsid w:val="00C96110"/>
    <w:rsid w:val="00CA3CD8"/>
    <w:rsid w:val="00CA650D"/>
    <w:rsid w:val="00CB208F"/>
    <w:rsid w:val="00CB45B4"/>
    <w:rsid w:val="00CE2C70"/>
    <w:rsid w:val="00CE3515"/>
    <w:rsid w:val="00CF1490"/>
    <w:rsid w:val="00D055AC"/>
    <w:rsid w:val="00D056A0"/>
    <w:rsid w:val="00D21708"/>
    <w:rsid w:val="00D270E6"/>
    <w:rsid w:val="00D52860"/>
    <w:rsid w:val="00D53ADE"/>
    <w:rsid w:val="00D9146A"/>
    <w:rsid w:val="00D91672"/>
    <w:rsid w:val="00DA2733"/>
    <w:rsid w:val="00DB004A"/>
    <w:rsid w:val="00DB07B2"/>
    <w:rsid w:val="00DB1BE6"/>
    <w:rsid w:val="00DB2C9D"/>
    <w:rsid w:val="00DB73F7"/>
    <w:rsid w:val="00DD06F4"/>
    <w:rsid w:val="00DD21E1"/>
    <w:rsid w:val="00DD53B0"/>
    <w:rsid w:val="00DD5F6B"/>
    <w:rsid w:val="00DF1628"/>
    <w:rsid w:val="00DF29B4"/>
    <w:rsid w:val="00DF4BB0"/>
    <w:rsid w:val="00E017F5"/>
    <w:rsid w:val="00E14A18"/>
    <w:rsid w:val="00E2737E"/>
    <w:rsid w:val="00E37EE0"/>
    <w:rsid w:val="00E402AD"/>
    <w:rsid w:val="00E4305D"/>
    <w:rsid w:val="00E476D4"/>
    <w:rsid w:val="00E50589"/>
    <w:rsid w:val="00E5079A"/>
    <w:rsid w:val="00E62DD2"/>
    <w:rsid w:val="00E666E8"/>
    <w:rsid w:val="00E702A6"/>
    <w:rsid w:val="00E81C59"/>
    <w:rsid w:val="00E82318"/>
    <w:rsid w:val="00E8366E"/>
    <w:rsid w:val="00EC225E"/>
    <w:rsid w:val="00EC2B02"/>
    <w:rsid w:val="00EC33FE"/>
    <w:rsid w:val="00EC4F2C"/>
    <w:rsid w:val="00EE44D7"/>
    <w:rsid w:val="00EE606C"/>
    <w:rsid w:val="00EF20A7"/>
    <w:rsid w:val="00EF2AB2"/>
    <w:rsid w:val="00EF7F55"/>
    <w:rsid w:val="00F0602F"/>
    <w:rsid w:val="00F13DE1"/>
    <w:rsid w:val="00F25711"/>
    <w:rsid w:val="00F35506"/>
    <w:rsid w:val="00F3610D"/>
    <w:rsid w:val="00F40372"/>
    <w:rsid w:val="00F465C4"/>
    <w:rsid w:val="00F50BF9"/>
    <w:rsid w:val="00F57296"/>
    <w:rsid w:val="00F57745"/>
    <w:rsid w:val="00F66471"/>
    <w:rsid w:val="00F75A0E"/>
    <w:rsid w:val="00F83D5D"/>
    <w:rsid w:val="00F95236"/>
    <w:rsid w:val="00F97203"/>
    <w:rsid w:val="00F9725B"/>
    <w:rsid w:val="00F97595"/>
    <w:rsid w:val="00FC06E5"/>
    <w:rsid w:val="00FC7612"/>
    <w:rsid w:val="00FE2171"/>
    <w:rsid w:val="00FE6CB3"/>
    <w:rsid w:val="00FE7A25"/>
    <w:rsid w:val="00FF4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0247B"/>
    <w:rPr>
      <w:color w:val="0000FF"/>
      <w:u w:val="single"/>
    </w:rPr>
  </w:style>
  <w:style w:type="paragraph" w:styleId="BodyTextIndent">
    <w:name w:val="Body Text Indent"/>
    <w:basedOn w:val="Normal"/>
    <w:link w:val="BodyTextIndentChar"/>
    <w:semiHidden/>
    <w:unhideWhenUsed/>
    <w:rsid w:val="0040247B"/>
    <w:pPr>
      <w:spacing w:after="120"/>
      <w:ind w:left="283"/>
    </w:pPr>
  </w:style>
  <w:style w:type="character" w:customStyle="1" w:styleId="BodyTextIndentChar">
    <w:name w:val="Body Text Indent Char"/>
    <w:basedOn w:val="DefaultParagraphFont"/>
    <w:link w:val="BodyTextIndent"/>
    <w:semiHidden/>
    <w:rsid w:val="0040247B"/>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semiHidden/>
    <w:unhideWhenUsed/>
    <w:rsid w:val="0040247B"/>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40247B"/>
    <w:rPr>
      <w:rFonts w:ascii="Times New Roman" w:eastAsia="Times New Roman" w:hAnsi="Times New Roman" w:cs="Times New Roman"/>
      <w:sz w:val="16"/>
      <w:szCs w:val="16"/>
      <w:lang w:val="en-US" w:eastAsia="lv-LV"/>
    </w:rPr>
  </w:style>
  <w:style w:type="paragraph" w:customStyle="1" w:styleId="naisf">
    <w:name w:val="naisf"/>
    <w:basedOn w:val="Normal"/>
    <w:rsid w:val="0040247B"/>
    <w:pPr>
      <w:spacing w:before="75" w:after="75"/>
      <w:ind w:firstLine="375"/>
      <w:jc w:val="both"/>
    </w:pPr>
  </w:style>
  <w:style w:type="paragraph" w:customStyle="1" w:styleId="naisnod">
    <w:name w:val="naisnod"/>
    <w:basedOn w:val="Normal"/>
    <w:rsid w:val="0040247B"/>
    <w:pPr>
      <w:spacing w:before="150" w:after="150"/>
      <w:jc w:val="center"/>
    </w:pPr>
    <w:rPr>
      <w:b/>
      <w:bCs/>
    </w:rPr>
  </w:style>
  <w:style w:type="paragraph" w:customStyle="1" w:styleId="naislab">
    <w:name w:val="naislab"/>
    <w:basedOn w:val="Normal"/>
    <w:rsid w:val="0040247B"/>
    <w:pPr>
      <w:spacing w:before="75" w:after="75"/>
      <w:jc w:val="right"/>
    </w:pPr>
  </w:style>
  <w:style w:type="paragraph" w:customStyle="1" w:styleId="naiskr">
    <w:name w:val="naiskr"/>
    <w:basedOn w:val="Normal"/>
    <w:rsid w:val="0040247B"/>
    <w:pPr>
      <w:spacing w:before="75" w:after="75"/>
    </w:pPr>
  </w:style>
  <w:style w:type="paragraph" w:customStyle="1" w:styleId="naisc">
    <w:name w:val="naisc"/>
    <w:basedOn w:val="Normal"/>
    <w:rsid w:val="0040247B"/>
    <w:pPr>
      <w:spacing w:before="75" w:after="75"/>
      <w:jc w:val="center"/>
    </w:pPr>
  </w:style>
  <w:style w:type="paragraph" w:customStyle="1" w:styleId="tv213">
    <w:name w:val="tv213"/>
    <w:basedOn w:val="Normal"/>
    <w:rsid w:val="0040247B"/>
    <w:pPr>
      <w:spacing w:before="100" w:beforeAutospacing="1" w:after="100" w:afterAutospacing="1"/>
    </w:pPr>
  </w:style>
  <w:style w:type="paragraph" w:styleId="BalloonText">
    <w:name w:val="Balloon Text"/>
    <w:basedOn w:val="Normal"/>
    <w:link w:val="BalloonTextChar"/>
    <w:uiPriority w:val="99"/>
    <w:semiHidden/>
    <w:unhideWhenUsed/>
    <w:rsid w:val="00BB4848"/>
    <w:rPr>
      <w:rFonts w:ascii="Tahoma" w:hAnsi="Tahoma" w:cs="Tahoma"/>
      <w:sz w:val="16"/>
      <w:szCs w:val="16"/>
    </w:rPr>
  </w:style>
  <w:style w:type="character" w:customStyle="1" w:styleId="BalloonTextChar">
    <w:name w:val="Balloon Text Char"/>
    <w:basedOn w:val="DefaultParagraphFont"/>
    <w:link w:val="BalloonText"/>
    <w:uiPriority w:val="99"/>
    <w:semiHidden/>
    <w:rsid w:val="00BB4848"/>
    <w:rPr>
      <w:rFonts w:ascii="Tahoma" w:eastAsia="Times New Roman" w:hAnsi="Tahoma" w:cs="Tahoma"/>
      <w:sz w:val="16"/>
      <w:szCs w:val="16"/>
      <w:lang w:eastAsia="lv-LV"/>
    </w:rPr>
  </w:style>
  <w:style w:type="paragraph" w:styleId="Header">
    <w:name w:val="header"/>
    <w:basedOn w:val="Normal"/>
    <w:link w:val="HeaderChar"/>
    <w:uiPriority w:val="99"/>
    <w:unhideWhenUsed/>
    <w:rsid w:val="00035DEC"/>
    <w:pPr>
      <w:tabs>
        <w:tab w:val="center" w:pos="4153"/>
        <w:tab w:val="right" w:pos="8306"/>
      </w:tabs>
    </w:pPr>
  </w:style>
  <w:style w:type="character" w:customStyle="1" w:styleId="HeaderChar">
    <w:name w:val="Header Char"/>
    <w:basedOn w:val="DefaultParagraphFont"/>
    <w:link w:val="Header"/>
    <w:uiPriority w:val="99"/>
    <w:rsid w:val="00035D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35DEC"/>
    <w:pPr>
      <w:tabs>
        <w:tab w:val="center" w:pos="4153"/>
        <w:tab w:val="right" w:pos="8306"/>
      </w:tabs>
    </w:pPr>
  </w:style>
  <w:style w:type="character" w:customStyle="1" w:styleId="FooterChar">
    <w:name w:val="Footer Char"/>
    <w:basedOn w:val="DefaultParagraphFont"/>
    <w:link w:val="Footer"/>
    <w:uiPriority w:val="99"/>
    <w:rsid w:val="00035DE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0247B"/>
    <w:rPr>
      <w:color w:val="0000FF"/>
      <w:u w:val="single"/>
    </w:rPr>
  </w:style>
  <w:style w:type="paragraph" w:styleId="BodyTextIndent">
    <w:name w:val="Body Text Indent"/>
    <w:basedOn w:val="Normal"/>
    <w:link w:val="BodyTextIndentChar"/>
    <w:semiHidden/>
    <w:unhideWhenUsed/>
    <w:rsid w:val="0040247B"/>
    <w:pPr>
      <w:spacing w:after="120"/>
      <w:ind w:left="283"/>
    </w:pPr>
  </w:style>
  <w:style w:type="character" w:customStyle="1" w:styleId="BodyTextIndentChar">
    <w:name w:val="Body Text Indent Char"/>
    <w:basedOn w:val="DefaultParagraphFont"/>
    <w:link w:val="BodyTextIndent"/>
    <w:semiHidden/>
    <w:rsid w:val="0040247B"/>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semiHidden/>
    <w:unhideWhenUsed/>
    <w:rsid w:val="0040247B"/>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40247B"/>
    <w:rPr>
      <w:rFonts w:ascii="Times New Roman" w:eastAsia="Times New Roman" w:hAnsi="Times New Roman" w:cs="Times New Roman"/>
      <w:sz w:val="16"/>
      <w:szCs w:val="16"/>
      <w:lang w:val="en-US" w:eastAsia="lv-LV"/>
    </w:rPr>
  </w:style>
  <w:style w:type="paragraph" w:customStyle="1" w:styleId="naisf">
    <w:name w:val="naisf"/>
    <w:basedOn w:val="Normal"/>
    <w:rsid w:val="0040247B"/>
    <w:pPr>
      <w:spacing w:before="75" w:after="75"/>
      <w:ind w:firstLine="375"/>
      <w:jc w:val="both"/>
    </w:pPr>
  </w:style>
  <w:style w:type="paragraph" w:customStyle="1" w:styleId="naisnod">
    <w:name w:val="naisnod"/>
    <w:basedOn w:val="Normal"/>
    <w:rsid w:val="0040247B"/>
    <w:pPr>
      <w:spacing w:before="150" w:after="150"/>
      <w:jc w:val="center"/>
    </w:pPr>
    <w:rPr>
      <w:b/>
      <w:bCs/>
    </w:rPr>
  </w:style>
  <w:style w:type="paragraph" w:customStyle="1" w:styleId="naislab">
    <w:name w:val="naislab"/>
    <w:basedOn w:val="Normal"/>
    <w:rsid w:val="0040247B"/>
    <w:pPr>
      <w:spacing w:before="75" w:after="75"/>
      <w:jc w:val="right"/>
    </w:pPr>
  </w:style>
  <w:style w:type="paragraph" w:customStyle="1" w:styleId="naiskr">
    <w:name w:val="naiskr"/>
    <w:basedOn w:val="Normal"/>
    <w:rsid w:val="0040247B"/>
    <w:pPr>
      <w:spacing w:before="75" w:after="75"/>
    </w:pPr>
  </w:style>
  <w:style w:type="paragraph" w:customStyle="1" w:styleId="naisc">
    <w:name w:val="naisc"/>
    <w:basedOn w:val="Normal"/>
    <w:rsid w:val="0040247B"/>
    <w:pPr>
      <w:spacing w:before="75" w:after="75"/>
      <w:jc w:val="center"/>
    </w:pPr>
  </w:style>
  <w:style w:type="paragraph" w:customStyle="1" w:styleId="tv213">
    <w:name w:val="tv213"/>
    <w:basedOn w:val="Normal"/>
    <w:rsid w:val="0040247B"/>
    <w:pPr>
      <w:spacing w:before="100" w:beforeAutospacing="1" w:after="100" w:afterAutospacing="1"/>
    </w:pPr>
  </w:style>
  <w:style w:type="paragraph" w:styleId="BalloonText">
    <w:name w:val="Balloon Text"/>
    <w:basedOn w:val="Normal"/>
    <w:link w:val="BalloonTextChar"/>
    <w:uiPriority w:val="99"/>
    <w:semiHidden/>
    <w:unhideWhenUsed/>
    <w:rsid w:val="00BB4848"/>
    <w:rPr>
      <w:rFonts w:ascii="Tahoma" w:hAnsi="Tahoma" w:cs="Tahoma"/>
      <w:sz w:val="16"/>
      <w:szCs w:val="16"/>
    </w:rPr>
  </w:style>
  <w:style w:type="character" w:customStyle="1" w:styleId="BalloonTextChar">
    <w:name w:val="Balloon Text Char"/>
    <w:basedOn w:val="DefaultParagraphFont"/>
    <w:link w:val="BalloonText"/>
    <w:uiPriority w:val="99"/>
    <w:semiHidden/>
    <w:rsid w:val="00BB4848"/>
    <w:rPr>
      <w:rFonts w:ascii="Tahoma" w:eastAsia="Times New Roman" w:hAnsi="Tahoma" w:cs="Tahoma"/>
      <w:sz w:val="16"/>
      <w:szCs w:val="16"/>
      <w:lang w:eastAsia="lv-LV"/>
    </w:rPr>
  </w:style>
  <w:style w:type="paragraph" w:styleId="Header">
    <w:name w:val="header"/>
    <w:basedOn w:val="Normal"/>
    <w:link w:val="HeaderChar"/>
    <w:uiPriority w:val="99"/>
    <w:unhideWhenUsed/>
    <w:rsid w:val="00035DEC"/>
    <w:pPr>
      <w:tabs>
        <w:tab w:val="center" w:pos="4153"/>
        <w:tab w:val="right" w:pos="8306"/>
      </w:tabs>
    </w:pPr>
  </w:style>
  <w:style w:type="character" w:customStyle="1" w:styleId="HeaderChar">
    <w:name w:val="Header Char"/>
    <w:basedOn w:val="DefaultParagraphFont"/>
    <w:link w:val="Header"/>
    <w:uiPriority w:val="99"/>
    <w:rsid w:val="00035D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35DEC"/>
    <w:pPr>
      <w:tabs>
        <w:tab w:val="center" w:pos="4153"/>
        <w:tab w:val="right" w:pos="8306"/>
      </w:tabs>
    </w:pPr>
  </w:style>
  <w:style w:type="character" w:customStyle="1" w:styleId="FooterChar">
    <w:name w:val="Footer Char"/>
    <w:basedOn w:val="DefaultParagraphFont"/>
    <w:link w:val="Footer"/>
    <w:uiPriority w:val="99"/>
    <w:rsid w:val="00035DE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laidina@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68488-socialo-pakalpojumu-un-socialas-palidzibas-liku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7442</Words>
  <Characters>4242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Slaidina</dc:creator>
  <cp:lastModifiedBy>Inta Slaidina</cp:lastModifiedBy>
  <cp:revision>18</cp:revision>
  <dcterms:created xsi:type="dcterms:W3CDTF">2017-02-24T08:38:00Z</dcterms:created>
  <dcterms:modified xsi:type="dcterms:W3CDTF">2017-03-01T13:31:00Z</dcterms:modified>
</cp:coreProperties>
</file>