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6525" w14:textId="174BB3E7" w:rsidR="00074799" w:rsidRPr="00122337" w:rsidRDefault="00527E0E" w:rsidP="0007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lv-LV"/>
        </w:rPr>
      </w:pPr>
      <w:r w:rsidRPr="00122337">
        <w:rPr>
          <w:rFonts w:ascii="Times New Roman" w:hAnsi="Times New Roman" w:cs="Times New Roman"/>
          <w:b/>
          <w:color w:val="000000" w:themeColor="text1"/>
          <w:sz w:val="26"/>
          <w:szCs w:val="26"/>
          <w:lang w:val="lv-LV"/>
        </w:rPr>
        <w:t xml:space="preserve">Noteikumu projekta “Grozījumi Ministru kabineta 2010. gada 21. decembra noteikumos Nr. 1164 “Ostas valsts kontroles kārtība”” </w:t>
      </w:r>
      <w:r w:rsidR="00074799" w:rsidRPr="0012233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lv-LV"/>
        </w:rPr>
        <w:t>sākotnējās ietekmes novērtējuma ziņojums (anotācija)</w:t>
      </w:r>
    </w:p>
    <w:p w14:paraId="1B93DEE9" w14:textId="77777777" w:rsidR="00074799" w:rsidRPr="00122337" w:rsidRDefault="00074799" w:rsidP="00074799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"/>
        <w:gridCol w:w="2919"/>
        <w:gridCol w:w="6079"/>
      </w:tblGrid>
      <w:tr w:rsidR="00074799" w:rsidRPr="00122337" w14:paraId="4CF8DD75" w14:textId="77777777" w:rsidTr="002356E4">
        <w:trPr>
          <w:trHeight w:val="405"/>
        </w:trPr>
        <w:tc>
          <w:tcPr>
            <w:tcW w:w="0" w:type="auto"/>
            <w:gridSpan w:val="3"/>
            <w:hideMark/>
          </w:tcPr>
          <w:p w14:paraId="12DB5968" w14:textId="77777777" w:rsidR="00074799" w:rsidRPr="00122337" w:rsidRDefault="00074799" w:rsidP="004D63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I. Tiesību akta projekta izstrādes nepieciešamība</w:t>
            </w:r>
          </w:p>
          <w:p w14:paraId="04019D36" w14:textId="77777777" w:rsidR="00687DF2" w:rsidRPr="00122337" w:rsidRDefault="00687DF2" w:rsidP="004D63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</w:tr>
      <w:tr w:rsidR="00074799" w:rsidRPr="00122337" w14:paraId="7934A759" w14:textId="77777777" w:rsidTr="00407760">
        <w:trPr>
          <w:trHeight w:val="405"/>
        </w:trPr>
        <w:tc>
          <w:tcPr>
            <w:tcW w:w="302" w:type="pct"/>
            <w:hideMark/>
          </w:tcPr>
          <w:p w14:paraId="0254BE3B" w14:textId="77777777" w:rsidR="00074799" w:rsidRPr="00122337" w:rsidRDefault="00074799" w:rsidP="004D63F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1524" w:type="pct"/>
            <w:hideMark/>
          </w:tcPr>
          <w:p w14:paraId="0812800E" w14:textId="77777777" w:rsidR="00074799" w:rsidRPr="00122337" w:rsidRDefault="00074799" w:rsidP="004D63F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3175" w:type="pct"/>
            <w:hideMark/>
          </w:tcPr>
          <w:p w14:paraId="48C7496B" w14:textId="7C70513A" w:rsidR="004D63F3" w:rsidRPr="00122337" w:rsidRDefault="004D63F3" w:rsidP="004D63F3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1) </w:t>
            </w:r>
            <w:r w:rsidR="002A4874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Eiropas Parlamenta un Padomes 2015.gada 29. aprīļa Regula Nr. 2015/757 par jūras transporta oglekļa dioksīda emisiju monitoringu, ziņošanu un verifikāciju un ar ko groza Direktīvu 2009/16/EK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;</w:t>
            </w:r>
          </w:p>
          <w:p w14:paraId="76B42D24" w14:textId="3B1B3FA8" w:rsidR="00B23BF5" w:rsidRPr="00122337" w:rsidRDefault="004D63F3" w:rsidP="009B383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2) </w:t>
            </w:r>
            <w:r w:rsidR="002A4874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Eiropas Parlamenta un Padomes 2013.gada 20. novembra Regula Nr. 1257/2013 par kuģu pārstrādi un ar ko groza Regulu (EK) Nr. 1013/2006 un Direktīvu 2009/16/EK. </w:t>
            </w:r>
          </w:p>
        </w:tc>
      </w:tr>
      <w:tr w:rsidR="00407760" w:rsidRPr="005C2CF5" w14:paraId="152D6606" w14:textId="77777777" w:rsidTr="00407760">
        <w:trPr>
          <w:trHeight w:val="465"/>
        </w:trPr>
        <w:tc>
          <w:tcPr>
            <w:tcW w:w="302" w:type="pct"/>
            <w:hideMark/>
          </w:tcPr>
          <w:p w14:paraId="74050979" w14:textId="77777777" w:rsidR="00407760" w:rsidRPr="00122337" w:rsidRDefault="00407760" w:rsidP="0040776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1524" w:type="pct"/>
            <w:hideMark/>
          </w:tcPr>
          <w:p w14:paraId="23439053" w14:textId="0358C08F" w:rsidR="00407760" w:rsidRPr="00122337" w:rsidRDefault="00407760" w:rsidP="002A4874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5" w:type="pct"/>
            <w:hideMark/>
          </w:tcPr>
          <w:p w14:paraId="1B469ECC" w14:textId="6812F864" w:rsidR="002A4874" w:rsidRPr="00122337" w:rsidRDefault="00BB410F" w:rsidP="002A4874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Ministru kabineta 2010.gada 21.decembra noteikumi Nr.1164 “Ostas valsts kontroles kārtība” (turpmāk – Noteikumi Nr.1164) nosaka ārvalstu kuģu kontroles kārtību Latvijas ostās.</w:t>
            </w:r>
          </w:p>
          <w:p w14:paraId="031B7ED4" w14:textId="079D5F6D" w:rsidR="00BB410F" w:rsidRPr="00122337" w:rsidRDefault="00BB410F" w:rsidP="002A4874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Eiropas Parlamenta un Padomes 2015.gada 29. aprīļa Regul</w:t>
            </w:r>
            <w:r w:rsidR="00240B72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Nr. 2015/757 par jūras transporta oglekļa dioksīda emisiju monitoringu, ziņošanu un verifikāciju un ar ko groza Direktīvu 2009/16/EK </w:t>
            </w:r>
            <w:r w:rsidR="00240B72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(turpmāk – Regula 2015/757) nosaka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kuģiem, kas ienāk Eiropas Savienības dalībvalstu </w:t>
            </w:r>
            <w:r w:rsidR="00240B72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ostās, uzturas tajās vai iziet no tām, monitoringa un ziņošanas pienākumu par oglekļa dioksīda emisijām un citu informāciju saskaņā ar Regulu 2015/757. Regula 2015/757 paredz, ka dalībvalstīm ir jāizveido sankciju sistēma par minētā ziņošanas pienākuma nepildīšanu un jāveic pasākumi, lai nodrošinātu, ka minētās sankcijas tiek piemērotas.</w:t>
            </w:r>
            <w:r w:rsidR="001131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1E1B0B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Lai izveidotu minēto sankciju sistēmu, ir jāveic grozījumi Noteikumos Nr.1164</w:t>
            </w:r>
            <w:r w:rsidR="00A12618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, paredzot, ka</w:t>
            </w:r>
            <w:r w:rsidR="001E1B0B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A12618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sākot no 2019. gada 1.jūlija</w:t>
            </w:r>
            <w:r w:rsidR="00A12618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1E1B0B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uz </w:t>
            </w:r>
            <w:r w:rsidR="00A12618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Latvijas ostās ienākošiem</w:t>
            </w:r>
            <w:r w:rsidR="001E1B0B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kuģ</w:t>
            </w:r>
            <w:r w:rsidR="00A12618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iem</w:t>
            </w:r>
            <w:r w:rsidR="001E1B0B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ir jābūt Regulā 2015/757 noteiktajiem dokumentiem. Projekts paredz, ka kuģis var tikt izraidīts no Latvijas ostas, ja nav izpildīts monitoringa un ziņošanas pienākums saskaņā ar Regulu 2015/757.</w:t>
            </w:r>
            <w:r w:rsidR="001131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Saskaņā ar </w:t>
            </w:r>
            <w:r w:rsidR="001131E3" w:rsidRPr="001131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Regulu 2015/757</w:t>
            </w:r>
            <w:r w:rsidR="001131E3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dalībvalstīm līdz 2017.gada 1.jūlijam ir jāpaziņo Komisijai par noteikumiem, kas paredz minētās sankciju sistēmas piemērošanu.</w:t>
            </w:r>
          </w:p>
          <w:p w14:paraId="486992B1" w14:textId="06B7464F" w:rsidR="00576876" w:rsidRPr="00122337" w:rsidRDefault="00122337" w:rsidP="00EF1874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Eiropas Parlamenta un Padomes 2013.gada 20. novembra Regula Nr. 1257/2013 par kuģu pārstrādi un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ar ko groza Regulu (EK) Nr. 10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13/2006 un Direktīvu 2009/16/EK (turpmāk – Regula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1257/2013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 paredz noteikumus</w:t>
            </w:r>
            <w:r w:rsidR="00C968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, lai nodrošinātu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kuģu pārstrādi drošā un videi nekaitīgā veidā</w:t>
            </w:r>
            <w:r w:rsidR="00497F3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. </w:t>
            </w:r>
            <w:r w:rsidR="00C968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</w:t>
            </w:r>
            <w:r w:rsidR="00497F3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egula</w:t>
            </w:r>
            <w:r w:rsidR="00C968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C96837" w:rsidRPr="00C968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1257/2013</w:t>
            </w:r>
            <w:r w:rsidR="00C968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</w:t>
            </w:r>
            <w:r w:rsidR="00497F3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paredz, ka Regulā </w:t>
            </w:r>
            <w:r w:rsidR="00497F3C" w:rsidRPr="00C968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1257/2013</w:t>
            </w:r>
            <w:r w:rsidR="00497F3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noteikto prasību ievērošana tiek </w:t>
            </w:r>
            <w:r w:rsidR="00497F3C" w:rsidRPr="00EF187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kontrolēta dalībvalstu ostas valsts kontroles sistēmas ietvaros. </w:t>
            </w:r>
            <w:r w:rsidR="005B2B70" w:rsidRPr="00EF187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Atbilstoši tam ir jāveic grozījumi Noteikumos Nr.1164, lai ostas valsts kontroles ietvaros varētu nodrošināt kontroli pār Regulā 1257/2013 noteikto prasību ievērošanu.</w:t>
            </w:r>
            <w:r w:rsidR="00EF1874" w:rsidRPr="00EF187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 Regulā 1257/2013 noteiktajam Bīstamo materiālu uzskaitījuma sertifikātam vai, attiecīgā gadījumā, paziņojumam par atbilstību ir jābūt uz kuģa sākot ar 2020.gada 31.decembri.</w:t>
            </w:r>
          </w:p>
        </w:tc>
      </w:tr>
      <w:tr w:rsidR="00407760" w:rsidRPr="00122337" w14:paraId="7A0E2CCA" w14:textId="77777777" w:rsidTr="00407760">
        <w:trPr>
          <w:trHeight w:val="465"/>
        </w:trPr>
        <w:tc>
          <w:tcPr>
            <w:tcW w:w="302" w:type="pct"/>
            <w:hideMark/>
          </w:tcPr>
          <w:p w14:paraId="09AF9FDE" w14:textId="0CCBD993" w:rsidR="00407760" w:rsidRPr="00122337" w:rsidRDefault="00407760" w:rsidP="0040776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1524" w:type="pct"/>
            <w:hideMark/>
          </w:tcPr>
          <w:p w14:paraId="3194B727" w14:textId="77777777" w:rsidR="00407760" w:rsidRPr="00122337" w:rsidRDefault="00407760" w:rsidP="0040776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izstrādē iesaistītās institūcijas</w:t>
            </w:r>
          </w:p>
        </w:tc>
        <w:tc>
          <w:tcPr>
            <w:tcW w:w="3175" w:type="pct"/>
            <w:hideMark/>
          </w:tcPr>
          <w:p w14:paraId="31433327" w14:textId="013ED54F" w:rsidR="00407760" w:rsidRPr="00122337" w:rsidRDefault="00E133CC" w:rsidP="00F5656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Satiksmes ministrija, </w:t>
            </w:r>
            <w:r w:rsidR="00407760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VAS “Latvijas Jūras administrācija”.</w:t>
            </w:r>
          </w:p>
        </w:tc>
      </w:tr>
      <w:tr w:rsidR="00407760" w:rsidRPr="00122337" w14:paraId="05FDF014" w14:textId="77777777" w:rsidTr="00407760">
        <w:tc>
          <w:tcPr>
            <w:tcW w:w="302" w:type="pct"/>
            <w:hideMark/>
          </w:tcPr>
          <w:p w14:paraId="0CD9487B" w14:textId="77777777" w:rsidR="00407760" w:rsidRPr="00122337" w:rsidRDefault="00407760" w:rsidP="0040776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4.</w:t>
            </w:r>
          </w:p>
        </w:tc>
        <w:tc>
          <w:tcPr>
            <w:tcW w:w="1524" w:type="pct"/>
            <w:hideMark/>
          </w:tcPr>
          <w:p w14:paraId="06BE5D58" w14:textId="77777777" w:rsidR="00407760" w:rsidRPr="00122337" w:rsidRDefault="00407760" w:rsidP="00407760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3175" w:type="pct"/>
          </w:tcPr>
          <w:p w14:paraId="500FB775" w14:textId="77777777" w:rsidR="00B23BF5" w:rsidRPr="00122337" w:rsidRDefault="00407760" w:rsidP="0038369B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</w:tc>
      </w:tr>
    </w:tbl>
    <w:p w14:paraId="79EFEA4E" w14:textId="77777777" w:rsidR="00074799" w:rsidRPr="00122337" w:rsidRDefault="00074799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"/>
        <w:gridCol w:w="2969"/>
        <w:gridCol w:w="6129"/>
      </w:tblGrid>
      <w:tr w:rsidR="00074799" w:rsidRPr="005C2CF5" w14:paraId="38B99DA9" w14:textId="77777777" w:rsidTr="002356E4">
        <w:trPr>
          <w:trHeight w:val="555"/>
        </w:trPr>
        <w:tc>
          <w:tcPr>
            <w:tcW w:w="0" w:type="auto"/>
            <w:gridSpan w:val="3"/>
            <w:hideMark/>
          </w:tcPr>
          <w:p w14:paraId="03FCB7A3" w14:textId="77777777" w:rsidR="00074799" w:rsidRPr="00122337" w:rsidRDefault="00074799" w:rsidP="007020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II. Tiesību akta projekta ietekme uz sabiedrību, tautsaimniecības attīstību un administratīvo slogu</w:t>
            </w:r>
          </w:p>
          <w:p w14:paraId="111DA117" w14:textId="77777777" w:rsidR="00687DF2" w:rsidRPr="00122337" w:rsidRDefault="00687DF2" w:rsidP="007020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</w:tr>
      <w:tr w:rsidR="00074799" w:rsidRPr="005C2CF5" w14:paraId="1230F456" w14:textId="77777777" w:rsidTr="002356E4">
        <w:trPr>
          <w:trHeight w:val="465"/>
        </w:trPr>
        <w:tc>
          <w:tcPr>
            <w:tcW w:w="250" w:type="pct"/>
            <w:hideMark/>
          </w:tcPr>
          <w:p w14:paraId="43E23FF9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1550" w:type="pct"/>
            <w:hideMark/>
          </w:tcPr>
          <w:p w14:paraId="59BD1CA8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hideMark/>
          </w:tcPr>
          <w:p w14:paraId="47AFCA6C" w14:textId="194FD10F" w:rsidR="007A5235" w:rsidRDefault="00883781" w:rsidP="007A523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  <w:t>Ā</w:t>
            </w:r>
            <w:r w:rsidR="007A5235"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  <w:t>rvalstu kuģi, kas ienāk Latvijas ostās.</w:t>
            </w:r>
          </w:p>
          <w:p w14:paraId="206554AC" w14:textId="77777777" w:rsidR="00883781" w:rsidRPr="007A5235" w:rsidRDefault="00883781" w:rsidP="007A523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lv-LV"/>
              </w:rPr>
            </w:pPr>
          </w:p>
          <w:p w14:paraId="16B0A830" w14:textId="48449320" w:rsidR="00B92B66" w:rsidRPr="00122337" w:rsidRDefault="00B92B66" w:rsidP="008228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074799" w:rsidRPr="00122337" w14:paraId="59B65A21" w14:textId="77777777" w:rsidTr="002356E4">
        <w:trPr>
          <w:trHeight w:val="510"/>
        </w:trPr>
        <w:tc>
          <w:tcPr>
            <w:tcW w:w="250" w:type="pct"/>
            <w:hideMark/>
          </w:tcPr>
          <w:p w14:paraId="7B1A31E0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1550" w:type="pct"/>
            <w:hideMark/>
          </w:tcPr>
          <w:p w14:paraId="36F845C7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hideMark/>
          </w:tcPr>
          <w:p w14:paraId="133B0187" w14:textId="65220E49" w:rsidR="00074799" w:rsidRPr="00122337" w:rsidRDefault="0095590C" w:rsidP="00EB0069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Administratīvais slogs nemainās.</w:t>
            </w:r>
          </w:p>
        </w:tc>
      </w:tr>
      <w:tr w:rsidR="00074799" w:rsidRPr="007A5235" w14:paraId="09E0820B" w14:textId="77777777" w:rsidTr="002356E4">
        <w:trPr>
          <w:trHeight w:val="510"/>
        </w:trPr>
        <w:tc>
          <w:tcPr>
            <w:tcW w:w="250" w:type="pct"/>
            <w:hideMark/>
          </w:tcPr>
          <w:p w14:paraId="43AC85C5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1550" w:type="pct"/>
            <w:hideMark/>
          </w:tcPr>
          <w:p w14:paraId="4C94B1FA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Administratīvo izmaksu monetārs novērtējums</w:t>
            </w:r>
          </w:p>
        </w:tc>
        <w:tc>
          <w:tcPr>
            <w:tcW w:w="3200" w:type="pct"/>
            <w:hideMark/>
          </w:tcPr>
          <w:p w14:paraId="6E2E863B" w14:textId="6261C22C" w:rsidR="00CF3A7C" w:rsidRPr="00122337" w:rsidRDefault="00EF1874" w:rsidP="008B67C6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Projekts šo jomu neskar.</w:t>
            </w:r>
          </w:p>
        </w:tc>
      </w:tr>
      <w:tr w:rsidR="00074799" w:rsidRPr="00122337" w14:paraId="1969EC44" w14:textId="77777777" w:rsidTr="002356E4">
        <w:trPr>
          <w:trHeight w:val="345"/>
        </w:trPr>
        <w:tc>
          <w:tcPr>
            <w:tcW w:w="250" w:type="pct"/>
            <w:hideMark/>
          </w:tcPr>
          <w:p w14:paraId="04E9962C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4.</w:t>
            </w:r>
          </w:p>
        </w:tc>
        <w:tc>
          <w:tcPr>
            <w:tcW w:w="1550" w:type="pct"/>
            <w:hideMark/>
          </w:tcPr>
          <w:p w14:paraId="1032D5FA" w14:textId="77777777" w:rsidR="00074799" w:rsidRPr="00122337" w:rsidRDefault="00074799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3200" w:type="pct"/>
            <w:hideMark/>
          </w:tcPr>
          <w:p w14:paraId="09478FF2" w14:textId="77777777" w:rsidR="00E43F98" w:rsidRPr="00122337" w:rsidRDefault="00E43F98" w:rsidP="007020AC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</w:tc>
      </w:tr>
    </w:tbl>
    <w:p w14:paraId="0F99ACC5" w14:textId="77777777" w:rsidR="00074799" w:rsidRPr="00122337" w:rsidRDefault="00074799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74799" w:rsidRPr="005C2CF5" w14:paraId="473CC49F" w14:textId="77777777" w:rsidTr="002356E4">
        <w:trPr>
          <w:trHeight w:val="360"/>
        </w:trPr>
        <w:tc>
          <w:tcPr>
            <w:tcW w:w="0" w:type="auto"/>
            <w:hideMark/>
          </w:tcPr>
          <w:p w14:paraId="1585C0A9" w14:textId="77777777" w:rsidR="00074799" w:rsidRPr="00122337" w:rsidRDefault="00074799" w:rsidP="003E7B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III. Tiesību akta projekta ietekme uz valsts budžetu un pašvaldību budžetiem</w:t>
            </w:r>
          </w:p>
        </w:tc>
      </w:tr>
      <w:tr w:rsidR="003E7BE1" w:rsidRPr="00122337" w14:paraId="727FEC3E" w14:textId="77777777" w:rsidTr="002356E4">
        <w:trPr>
          <w:trHeight w:val="360"/>
        </w:trPr>
        <w:tc>
          <w:tcPr>
            <w:tcW w:w="0" w:type="auto"/>
          </w:tcPr>
          <w:p w14:paraId="014FEE91" w14:textId="77777777" w:rsidR="003E7BE1" w:rsidRPr="00122337" w:rsidRDefault="003E7BE1" w:rsidP="003E7BE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Projekts šo jomu neskar.</w:t>
            </w:r>
          </w:p>
        </w:tc>
      </w:tr>
    </w:tbl>
    <w:p w14:paraId="3096EFE0" w14:textId="77777777" w:rsidR="00074799" w:rsidRPr="00122337" w:rsidRDefault="00074799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"/>
        <w:gridCol w:w="2777"/>
        <w:gridCol w:w="6320"/>
      </w:tblGrid>
      <w:tr w:rsidR="00074799" w:rsidRPr="005C2CF5" w14:paraId="42FCAA58" w14:textId="77777777" w:rsidTr="002356E4">
        <w:trPr>
          <w:trHeight w:val="450"/>
        </w:trPr>
        <w:tc>
          <w:tcPr>
            <w:tcW w:w="0" w:type="auto"/>
            <w:gridSpan w:val="3"/>
            <w:hideMark/>
          </w:tcPr>
          <w:p w14:paraId="297D323A" w14:textId="77777777" w:rsidR="00687DF2" w:rsidRPr="00122337" w:rsidRDefault="00074799" w:rsidP="00687D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IV. Tiesību akta projekta ietekme uz spēkā esošo tiesību normu sistēmu</w:t>
            </w:r>
          </w:p>
        </w:tc>
      </w:tr>
      <w:tr w:rsidR="00074799" w:rsidRPr="00122337" w14:paraId="1812A39D" w14:textId="77777777" w:rsidTr="002A4874">
        <w:trPr>
          <w:trHeight w:val="841"/>
        </w:trPr>
        <w:tc>
          <w:tcPr>
            <w:tcW w:w="250" w:type="pct"/>
            <w:hideMark/>
          </w:tcPr>
          <w:p w14:paraId="721FD28C" w14:textId="77777777" w:rsidR="00074799" w:rsidRPr="00122337" w:rsidRDefault="00074799" w:rsidP="004638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1450" w:type="pct"/>
            <w:hideMark/>
          </w:tcPr>
          <w:p w14:paraId="49DD4A3B" w14:textId="77777777" w:rsidR="00074799" w:rsidRPr="00122337" w:rsidRDefault="00074799" w:rsidP="004638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Nepieciešamie saistītie tiesību aktu projekti</w:t>
            </w:r>
          </w:p>
        </w:tc>
        <w:tc>
          <w:tcPr>
            <w:tcW w:w="3300" w:type="pct"/>
            <w:hideMark/>
          </w:tcPr>
          <w:p w14:paraId="04A0636B" w14:textId="3B8B57AF" w:rsidR="003640AF" w:rsidRPr="00122337" w:rsidRDefault="002A4874" w:rsidP="002A4874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Projekts šo jomu neskar.</w:t>
            </w:r>
          </w:p>
        </w:tc>
      </w:tr>
      <w:tr w:rsidR="00074799" w:rsidRPr="00122337" w14:paraId="7DFC780B" w14:textId="77777777" w:rsidTr="002356E4">
        <w:tc>
          <w:tcPr>
            <w:tcW w:w="250" w:type="pct"/>
            <w:hideMark/>
          </w:tcPr>
          <w:p w14:paraId="1E1B8A2A" w14:textId="346B7611" w:rsidR="00074799" w:rsidRPr="00122337" w:rsidRDefault="00074799" w:rsidP="004638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1450" w:type="pct"/>
            <w:hideMark/>
          </w:tcPr>
          <w:p w14:paraId="219035B7" w14:textId="77777777" w:rsidR="00074799" w:rsidRPr="00122337" w:rsidRDefault="00074799" w:rsidP="004638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Atbildīgā institūcija</w:t>
            </w:r>
          </w:p>
        </w:tc>
        <w:tc>
          <w:tcPr>
            <w:tcW w:w="3300" w:type="pct"/>
            <w:hideMark/>
          </w:tcPr>
          <w:p w14:paraId="4D70DDDE" w14:textId="2C3C50E1" w:rsidR="00C50BF2" w:rsidRPr="00122337" w:rsidRDefault="001E1B0B" w:rsidP="006F1C1B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122337">
              <w:rPr>
                <w:sz w:val="26"/>
                <w:szCs w:val="26"/>
              </w:rPr>
              <w:t>Projekts šo jomu neskar.</w:t>
            </w:r>
          </w:p>
        </w:tc>
      </w:tr>
      <w:tr w:rsidR="00074799" w:rsidRPr="00122337" w14:paraId="16486D57" w14:textId="77777777" w:rsidTr="003640AF">
        <w:tc>
          <w:tcPr>
            <w:tcW w:w="250" w:type="pct"/>
            <w:hideMark/>
          </w:tcPr>
          <w:p w14:paraId="59963B80" w14:textId="77777777" w:rsidR="00074799" w:rsidRPr="00122337" w:rsidRDefault="00074799" w:rsidP="004638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1450" w:type="pct"/>
            <w:hideMark/>
          </w:tcPr>
          <w:p w14:paraId="737580ED" w14:textId="77777777" w:rsidR="00074799" w:rsidRPr="00122337" w:rsidRDefault="00074799" w:rsidP="004638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3300" w:type="pct"/>
          </w:tcPr>
          <w:p w14:paraId="7DE005B8" w14:textId="77777777" w:rsidR="00FC2A7A" w:rsidRPr="00122337" w:rsidRDefault="003640AF" w:rsidP="003357E6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</w:tc>
      </w:tr>
    </w:tbl>
    <w:p w14:paraId="7E68B8AE" w14:textId="77777777" w:rsidR="00CC34D3" w:rsidRPr="00122337" w:rsidRDefault="00CC34D3" w:rsidP="008B67C6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1"/>
        <w:gridCol w:w="3515"/>
        <w:gridCol w:w="5419"/>
      </w:tblGrid>
      <w:tr w:rsidR="00190E45" w:rsidRPr="00122337" w14:paraId="52693232" w14:textId="77777777" w:rsidTr="00991B92">
        <w:tc>
          <w:tcPr>
            <w:tcW w:w="9355" w:type="dxa"/>
            <w:gridSpan w:val="3"/>
          </w:tcPr>
          <w:p w14:paraId="119A209D" w14:textId="77777777" w:rsidR="00190E45" w:rsidRPr="00122337" w:rsidRDefault="00190E45" w:rsidP="006216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V. Tiesību akta projekta atbilstība Latvijas Republikas starptautiskajām saistībām</w:t>
            </w:r>
          </w:p>
          <w:p w14:paraId="60E1D304" w14:textId="77777777" w:rsidR="00190E45" w:rsidRPr="00122337" w:rsidRDefault="00190E45" w:rsidP="006216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</w:tr>
      <w:tr w:rsidR="00190E45" w:rsidRPr="00122337" w14:paraId="6B0351A3" w14:textId="77777777" w:rsidTr="005B2B70">
        <w:tc>
          <w:tcPr>
            <w:tcW w:w="421" w:type="dxa"/>
          </w:tcPr>
          <w:p w14:paraId="28B777AA" w14:textId="77777777" w:rsidR="00190E45" w:rsidRPr="00122337" w:rsidRDefault="00190E45" w:rsidP="00190E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</w:tcPr>
          <w:p w14:paraId="217683E2" w14:textId="77777777" w:rsidR="00190E45" w:rsidRPr="00122337" w:rsidRDefault="00190E45" w:rsidP="0062167B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Saistības pret Eiropas Savienību</w:t>
            </w:r>
          </w:p>
        </w:tc>
        <w:tc>
          <w:tcPr>
            <w:tcW w:w="5419" w:type="dxa"/>
          </w:tcPr>
          <w:p w14:paraId="6521C581" w14:textId="77777777" w:rsidR="001E1B0B" w:rsidRPr="00122337" w:rsidRDefault="001E1B0B" w:rsidP="001E1B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1) Eiropas Parlamenta un Padomes 2015.gada 29. aprīļa Regula Nr. 2015/757 par jūras transporta oglekļa dioksīda emisiju monitoringu, ziņošanu un verifikāciju un ar ko groza Direktīvu 2009/16/EK;</w:t>
            </w:r>
          </w:p>
          <w:p w14:paraId="5AAE47BF" w14:textId="5BA2CE38" w:rsidR="00190E45" w:rsidRPr="00122337" w:rsidRDefault="001E1B0B" w:rsidP="001E1B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2) Eiropas Parlamenta un Padomes 2013.gada 20. novembra Regula Nr. 1257/2013 par kuģu pārstrādi un ar ko groza Regulu (EK) Nr. 1013/2006 un Direktīvu 2009/16/EK.</w:t>
            </w:r>
          </w:p>
        </w:tc>
      </w:tr>
      <w:tr w:rsidR="00190E45" w:rsidRPr="00122337" w14:paraId="737238DC" w14:textId="77777777" w:rsidTr="005B2B70">
        <w:tc>
          <w:tcPr>
            <w:tcW w:w="421" w:type="dxa"/>
          </w:tcPr>
          <w:p w14:paraId="795FBF97" w14:textId="77777777" w:rsidR="00190E45" w:rsidRPr="00122337" w:rsidRDefault="00190E45" w:rsidP="00190E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</w:tcPr>
          <w:p w14:paraId="6945FAEA" w14:textId="77777777" w:rsidR="00190E45" w:rsidRPr="00122337" w:rsidRDefault="00190E45" w:rsidP="0062167B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Citas starptautiskās saistības</w:t>
            </w:r>
          </w:p>
        </w:tc>
        <w:tc>
          <w:tcPr>
            <w:tcW w:w="5419" w:type="dxa"/>
          </w:tcPr>
          <w:p w14:paraId="3CB7D4F9" w14:textId="2DBA08CF" w:rsidR="002C05EA" w:rsidRPr="00122337" w:rsidRDefault="002A4874" w:rsidP="00DD262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Projekts šo jomu neskar.</w:t>
            </w:r>
          </w:p>
        </w:tc>
      </w:tr>
      <w:tr w:rsidR="00190E45" w:rsidRPr="00122337" w14:paraId="758C9788" w14:textId="77777777" w:rsidTr="005B2B70">
        <w:tc>
          <w:tcPr>
            <w:tcW w:w="421" w:type="dxa"/>
          </w:tcPr>
          <w:p w14:paraId="7FFC390B" w14:textId="77777777" w:rsidR="00190E45" w:rsidRPr="00122337" w:rsidRDefault="00190E45" w:rsidP="00190E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</w:tcPr>
          <w:p w14:paraId="0A255535" w14:textId="77777777" w:rsidR="00190E45" w:rsidRPr="00122337" w:rsidRDefault="00190E45" w:rsidP="0062167B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5419" w:type="dxa"/>
          </w:tcPr>
          <w:p w14:paraId="55428F9F" w14:textId="77777777" w:rsidR="00190E45" w:rsidRPr="00122337" w:rsidRDefault="00190E45" w:rsidP="00F865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</w:tc>
      </w:tr>
    </w:tbl>
    <w:p w14:paraId="2D9E3544" w14:textId="77777777" w:rsidR="001740FB" w:rsidRPr="00122337" w:rsidRDefault="001740FB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highlight w:val="yellow"/>
          <w:lang w:val="lv-LV"/>
        </w:rPr>
      </w:pPr>
    </w:p>
    <w:tbl>
      <w:tblPr>
        <w:tblW w:w="5025" w:type="pct"/>
        <w:tblInd w:w="-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3012"/>
        <w:gridCol w:w="2191"/>
        <w:gridCol w:w="2229"/>
      </w:tblGrid>
      <w:tr w:rsidR="00A30F29" w:rsidRPr="005C2CF5" w14:paraId="02A7ADA9" w14:textId="77777777" w:rsidTr="00A30F29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ABB13" w14:textId="77777777" w:rsidR="00A30F29" w:rsidRPr="00122337" w:rsidRDefault="00A30F29" w:rsidP="00A30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t>1.tabula</w:t>
            </w:r>
            <w:r w:rsidRPr="0012233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v-LV"/>
              </w:rPr>
              <w:br/>
              <w:t>Tiesību akta projekta atbilstība ES tiesību aktiem</w:t>
            </w:r>
          </w:p>
        </w:tc>
      </w:tr>
      <w:tr w:rsidR="00A30F29" w:rsidRPr="005C2CF5" w14:paraId="1DCFBBA2" w14:textId="77777777" w:rsidTr="00A30F29"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DD321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Attiecīgā ES tiesību akta datums, numurs un nosaukums</w:t>
            </w:r>
          </w:p>
        </w:tc>
        <w:tc>
          <w:tcPr>
            <w:tcW w:w="39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D8A3E" w14:textId="4673DF3C" w:rsidR="00A30F29" w:rsidRPr="00122337" w:rsidRDefault="00A30F29" w:rsidP="00A30F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Eiropas Parlamenta un Padomes 2015.gada 29. aprīļa Regula Nr. 2015/757 par jūras transporta oglekļa dioksīda emisiju monitoringu, ziņošanu un verifikāciju un ar ko groza Direktīvu 2009/16/EK (publicēta “Eiropas Savienības Oficiālajā Vēstnesī” L </w:t>
            </w:r>
            <w:r w:rsidR="005B2B7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123/55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, </w:t>
            </w:r>
            <w:r w:rsidR="005B2B7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19.05.2015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.).</w:t>
            </w:r>
          </w:p>
          <w:p w14:paraId="0E5995AD" w14:textId="7551DCD3" w:rsidR="00A30F29" w:rsidRPr="00122337" w:rsidRDefault="00A30F29" w:rsidP="005B2B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Eiropas Parlamenta un Padomes 2013.gada 20. novembra Regula Nr. 1257/2013 par kuģu pārstrādi un ar ko groza Regulu (EK) Nr. 1013/2006 un Direktīvu 2009/16/EK (publicēta “Eiropas Savienības Oficiālajā Vēstnesī” L </w:t>
            </w:r>
            <w:r w:rsidR="005B2B7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330/1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, </w:t>
            </w:r>
            <w:r w:rsidR="005B2B7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10.12.2013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.).</w:t>
            </w:r>
          </w:p>
        </w:tc>
      </w:tr>
      <w:tr w:rsidR="00A30F29" w:rsidRPr="005C2CF5" w14:paraId="3EB32E5A" w14:textId="77777777" w:rsidTr="00A30F29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5DE8A7" w14:textId="77777777" w:rsidR="00A30F29" w:rsidRPr="00122337" w:rsidRDefault="00A30F29" w:rsidP="00A30F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 </w:t>
            </w:r>
          </w:p>
        </w:tc>
      </w:tr>
      <w:tr w:rsidR="00A30F29" w:rsidRPr="00122337" w14:paraId="02C2B9F4" w14:textId="77777777" w:rsidTr="00A30F29"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60ACF" w14:textId="77777777" w:rsidR="00A30F29" w:rsidRPr="00122337" w:rsidRDefault="00A30F29" w:rsidP="00A30F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</w:t>
            </w:r>
          </w:p>
        </w:tc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D9986B" w14:textId="77777777" w:rsidR="00A30F29" w:rsidRPr="00122337" w:rsidRDefault="00A30F29" w:rsidP="00A30F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B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B90609" w14:textId="77777777" w:rsidR="00A30F29" w:rsidRPr="00122337" w:rsidRDefault="00A30F29" w:rsidP="00A30F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92D7B" w14:textId="77777777" w:rsidR="00A30F29" w:rsidRPr="00122337" w:rsidRDefault="00A30F29" w:rsidP="00A30F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</w:t>
            </w:r>
          </w:p>
        </w:tc>
      </w:tr>
      <w:tr w:rsidR="00A30F29" w:rsidRPr="005C2CF5" w14:paraId="1A8E61B8" w14:textId="77777777" w:rsidTr="00A30F29"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47945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Attiecīgā ES tiesību akta panta numurs (uzskaitot katru tiesību akta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br/>
              <w:t>vienību - pantu, daļu, punktu, apakšpunktu)</w:t>
            </w:r>
          </w:p>
        </w:tc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08D0550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5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D11B633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Informācija par to, vai šīs tabulas A ailē minētās ES tiesību akta vienības tiek pārņemtas vai ieviestas pilnībā vai daļēji.</w:t>
            </w:r>
          </w:p>
          <w:p w14:paraId="2B87C5E1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Ja attiecīgā ES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tiesību akta vienība tiek pārņemta vai ieviesta daļēji, - sniedz attiecīgu skaidrojumu, kā arī precīzi norāda, kad un kādā veidā ES tiesību akta vienība tiks pārņemta vai ieviesta pilnībā.</w:t>
            </w:r>
          </w:p>
          <w:p w14:paraId="12BF0C40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Norāda institūciju, kas ir atbildīga par šo saistību izpildi pilnībā</w:t>
            </w:r>
          </w:p>
        </w:tc>
        <w:tc>
          <w:tcPr>
            <w:tcW w:w="117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645BFFA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 xml:space="preserve">Informācija par to, vai šīs tabulas B ailē minētās projekta vienības paredz stingrākas prasības nekā šīs tabulas A ailē minētās ES tiesību akta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vienības.</w:t>
            </w:r>
          </w:p>
          <w:p w14:paraId="7CE2B3A8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Ja projekts satur stingrākas prasības nekā attiecīgais ES tiesību akts, - norāda pamatojumu un samērīgumu.</w:t>
            </w:r>
          </w:p>
          <w:p w14:paraId="20132C12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BE28B0" w:rsidRPr="00122337" w14:paraId="0762798F" w14:textId="77777777" w:rsidTr="00A30F29">
        <w:trPr>
          <w:trHeight w:val="423"/>
        </w:trPr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4785A4" w14:textId="09E11823" w:rsidR="00BE28B0" w:rsidRPr="00122337" w:rsidRDefault="00BE28B0" w:rsidP="00CC70E1">
            <w:pPr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Regulas Nr. 2015/757 20.pant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 3.punkts</w:t>
            </w:r>
          </w:p>
        </w:tc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CE74" w14:textId="0560AF61" w:rsidR="00BE28B0" w:rsidRPr="00122337" w:rsidDel="007966A8" w:rsidRDefault="00BE28B0" w:rsidP="00EA2C97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1.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1., 1.2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., 1.3.apakšpunkts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un 2.punkts</w:t>
            </w:r>
          </w:p>
        </w:tc>
        <w:tc>
          <w:tcPr>
            <w:tcW w:w="1157" w:type="pct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</w:tcPr>
          <w:p w14:paraId="03A304DF" w14:textId="648BE815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Regulas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normas pārņemtas pilnībā.</w:t>
            </w:r>
          </w:p>
          <w:p w14:paraId="59A8C666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177" w:type="pct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14:paraId="3AD00E6C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Projekts stingrākas prasības neparedz.</w:t>
            </w:r>
          </w:p>
          <w:p w14:paraId="45592162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BE28B0" w:rsidRPr="00122337" w14:paraId="7B6673B5" w14:textId="77777777" w:rsidTr="00B23111">
        <w:trPr>
          <w:trHeight w:val="755"/>
        </w:trPr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7DE04F7" w14:textId="6934DACD" w:rsidR="00BE28B0" w:rsidRPr="00122337" w:rsidRDefault="00BE28B0" w:rsidP="00122337">
            <w:pPr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 xml:space="preserve">Regulas </w:t>
            </w:r>
            <w:r w:rsidRPr="00883781"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>Nr. 2015/757 18.pants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>, 25.pants</w:t>
            </w:r>
          </w:p>
        </w:tc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6367" w14:textId="709B11B9" w:rsidR="00BE28B0" w:rsidRPr="00122337" w:rsidRDefault="00BE28B0" w:rsidP="00EA2C97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Projekta 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1.4.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apakšpunkts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un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2.punkts</w:t>
            </w: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0EE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766AD47B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BE28B0" w:rsidRPr="007A5235" w14:paraId="6C24F432" w14:textId="77777777" w:rsidTr="00B23111"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28346D" w14:textId="2BBADE03" w:rsidR="00BE28B0" w:rsidRPr="00122337" w:rsidRDefault="00BE28B0" w:rsidP="001B2FF9">
            <w:pPr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 xml:space="preserve">Regulas Nr. 1257/2013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>12.panta 1. un 8.punkts, 28.pants</w:t>
            </w:r>
          </w:p>
        </w:tc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F89D" w14:textId="221390C3" w:rsidR="00BE28B0" w:rsidRPr="00122337" w:rsidRDefault="00BE28B0" w:rsidP="007A5235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1.5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.apakšpunkts</w:t>
            </w: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16FA8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72456AF4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BE28B0" w:rsidRPr="007A5235" w14:paraId="294390F2" w14:textId="77777777" w:rsidTr="00B23111"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E01255B" w14:textId="13BEF90E" w:rsidR="00BE28B0" w:rsidRPr="00122337" w:rsidRDefault="00BE28B0" w:rsidP="001B2FF9">
            <w:pPr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 xml:space="preserve">Regulas Nr. 1257/2013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>8.panta 4.punkts, 28</w:t>
            </w:r>
            <w:r w:rsidRPr="00122337">
              <w:rPr>
                <w:rFonts w:ascii="Times New Roman" w:hAnsi="Times New Roman" w:cs="Times New Roman"/>
                <w:bCs/>
                <w:sz w:val="26"/>
                <w:szCs w:val="26"/>
                <w:lang w:val="lv-LV"/>
              </w:rPr>
              <w:t>.pants</w:t>
            </w:r>
          </w:p>
        </w:tc>
        <w:tc>
          <w:tcPr>
            <w:tcW w:w="15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E8B" w14:textId="5CF824E1" w:rsidR="00BE28B0" w:rsidRPr="00122337" w:rsidRDefault="00BE28B0" w:rsidP="00122337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2.punkts</w:t>
            </w:r>
          </w:p>
        </w:tc>
        <w:tc>
          <w:tcPr>
            <w:tcW w:w="1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4B3F6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  <w:right w:val="outset" w:sz="6" w:space="0" w:color="000000"/>
            </w:tcBorders>
          </w:tcPr>
          <w:p w14:paraId="4588B990" w14:textId="77777777" w:rsidR="00BE28B0" w:rsidRPr="00122337" w:rsidRDefault="00BE28B0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A30F29" w:rsidRPr="00122337" w14:paraId="60AF04B3" w14:textId="77777777" w:rsidTr="00A30F29"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C6005E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Kā ir izmantota ES tiesību aktā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paredzētā rīcības brīvība dalībvalstij pārņemt vai ieviest noteiktas ES tiesību akta normas.</w:t>
            </w:r>
          </w:p>
          <w:p w14:paraId="4308E9B2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Kādēļ?</w:t>
            </w:r>
          </w:p>
        </w:tc>
        <w:tc>
          <w:tcPr>
            <w:tcW w:w="39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A1972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Projekts šo jomu neskar</w:t>
            </w:r>
          </w:p>
        </w:tc>
      </w:tr>
      <w:tr w:rsidR="00A30F29" w:rsidRPr="00122337" w14:paraId="1647FA17" w14:textId="77777777" w:rsidTr="00A30F29"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44283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85C40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Projekts šo jomu neskar</w:t>
            </w:r>
          </w:p>
        </w:tc>
      </w:tr>
      <w:tr w:rsidR="00A30F29" w:rsidRPr="00122337" w14:paraId="112D974E" w14:textId="77777777" w:rsidTr="00A30F29">
        <w:trPr>
          <w:trHeight w:val="324"/>
        </w:trPr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51FB20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39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1BF25B" w14:textId="77777777" w:rsidR="00A30F29" w:rsidRPr="00122337" w:rsidRDefault="00A30F29" w:rsidP="00A30F2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</w:t>
            </w:r>
          </w:p>
        </w:tc>
      </w:tr>
    </w:tbl>
    <w:p w14:paraId="29066740" w14:textId="77777777" w:rsidR="001F1C05" w:rsidRPr="00122337" w:rsidRDefault="001F1C05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highlight w:val="yellow"/>
          <w:lang w:val="lv-LV"/>
        </w:rPr>
      </w:pPr>
    </w:p>
    <w:p w14:paraId="0BB47685" w14:textId="77777777" w:rsidR="00A30F29" w:rsidRPr="00122337" w:rsidRDefault="00A30F29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highlight w:val="yellow"/>
          <w:lang w:val="lv-LV"/>
        </w:rPr>
      </w:pPr>
    </w:p>
    <w:tbl>
      <w:tblPr>
        <w:tblW w:w="9324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324"/>
      </w:tblGrid>
      <w:tr w:rsidR="001740FB" w:rsidRPr="005C2CF5" w14:paraId="124B2C35" w14:textId="77777777" w:rsidTr="001A7B63">
        <w:trPr>
          <w:trHeight w:val="20"/>
        </w:trPr>
        <w:tc>
          <w:tcPr>
            <w:tcW w:w="932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5B3D7E4" w14:textId="77777777" w:rsidR="001740FB" w:rsidRPr="00122337" w:rsidRDefault="001740FB" w:rsidP="006216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2.tabula</w:t>
            </w:r>
          </w:p>
          <w:p w14:paraId="0F6E3746" w14:textId="77777777" w:rsidR="001740FB" w:rsidRPr="00122337" w:rsidRDefault="001740FB" w:rsidP="0015763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</w:tc>
      </w:tr>
      <w:tr w:rsidR="005B2B70" w:rsidRPr="007A5235" w14:paraId="54DF4A3B" w14:textId="77777777" w:rsidTr="001A7B63">
        <w:trPr>
          <w:trHeight w:val="20"/>
        </w:trPr>
        <w:tc>
          <w:tcPr>
            <w:tcW w:w="932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7C0A74F" w14:textId="5B231109" w:rsidR="005B2B70" w:rsidRPr="00883781" w:rsidRDefault="00883781" w:rsidP="0062167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</w:pPr>
            <w:r w:rsidRPr="00883781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Projekts šo jomu neskar.</w:t>
            </w:r>
          </w:p>
        </w:tc>
      </w:tr>
    </w:tbl>
    <w:p w14:paraId="2D43B02B" w14:textId="77777777" w:rsidR="003357E6" w:rsidRPr="00122337" w:rsidRDefault="003357E6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2873"/>
        <w:gridCol w:w="6224"/>
      </w:tblGrid>
      <w:tr w:rsidR="00074799" w:rsidRPr="005C2CF5" w14:paraId="1D0113A6" w14:textId="77777777" w:rsidTr="00426DD2">
        <w:trPr>
          <w:trHeight w:val="420"/>
          <w:jc w:val="center"/>
        </w:trPr>
        <w:tc>
          <w:tcPr>
            <w:tcW w:w="0" w:type="auto"/>
            <w:gridSpan w:val="3"/>
            <w:hideMark/>
          </w:tcPr>
          <w:p w14:paraId="18CA1B2B" w14:textId="77777777" w:rsidR="00074799" w:rsidRPr="00122337" w:rsidRDefault="00074799" w:rsidP="00426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VI. Sabiedrības līdzdalība un komunikācijas aktivitātes</w:t>
            </w:r>
          </w:p>
          <w:p w14:paraId="1C810748" w14:textId="77777777" w:rsidR="00687DF2" w:rsidRPr="00122337" w:rsidRDefault="00687DF2" w:rsidP="00426D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</w:p>
        </w:tc>
      </w:tr>
      <w:tr w:rsidR="00074799" w:rsidRPr="005C2CF5" w14:paraId="1C413433" w14:textId="77777777" w:rsidTr="00426DD2">
        <w:trPr>
          <w:trHeight w:val="540"/>
          <w:jc w:val="center"/>
        </w:trPr>
        <w:tc>
          <w:tcPr>
            <w:tcW w:w="250" w:type="pct"/>
            <w:hideMark/>
          </w:tcPr>
          <w:p w14:paraId="4D5B8D83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1500" w:type="pct"/>
            <w:hideMark/>
          </w:tcPr>
          <w:p w14:paraId="4C50BBFF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Plānotās sabiedrības līdzdalības un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komunikācijas aktivitātes saistībā ar projektu</w:t>
            </w:r>
          </w:p>
        </w:tc>
        <w:tc>
          <w:tcPr>
            <w:tcW w:w="3250" w:type="pct"/>
            <w:hideMark/>
          </w:tcPr>
          <w:p w14:paraId="50490492" w14:textId="4CF80BCF" w:rsidR="0091552C" w:rsidRPr="00122337" w:rsidRDefault="0091552C" w:rsidP="001E1B0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 xml:space="preserve">Atbilstoši Ministru kabineta 2009.gada 25.augusta noteikumiem Nr.970 „Sabiedrības līdzdalības kārtība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attīstības plānošanas procesā” par projekta izstrādi tika informēti sabiedrības pārstāvji, ievietojot Paziņojumu par līdzdalības iespējām tiesību akta izstrādes procesā Satiksmes mi</w:t>
            </w:r>
            <w:r w:rsidR="001E1B0B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nistrijas tīmekļa vietnē.</w:t>
            </w:r>
          </w:p>
        </w:tc>
      </w:tr>
      <w:tr w:rsidR="00074799" w:rsidRPr="005C2CF5" w14:paraId="766C25A9" w14:textId="77777777" w:rsidTr="00426DD2">
        <w:trPr>
          <w:trHeight w:val="330"/>
          <w:jc w:val="center"/>
        </w:trPr>
        <w:tc>
          <w:tcPr>
            <w:tcW w:w="250" w:type="pct"/>
            <w:hideMark/>
          </w:tcPr>
          <w:p w14:paraId="0C7C563B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>2.</w:t>
            </w:r>
          </w:p>
        </w:tc>
        <w:tc>
          <w:tcPr>
            <w:tcW w:w="1500" w:type="pct"/>
            <w:hideMark/>
          </w:tcPr>
          <w:p w14:paraId="1904D6C6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Sabiedrības līdzdalība projekta izstrādē</w:t>
            </w:r>
          </w:p>
        </w:tc>
        <w:tc>
          <w:tcPr>
            <w:tcW w:w="3250" w:type="pct"/>
          </w:tcPr>
          <w:p w14:paraId="26A3D697" w14:textId="2A3FD106" w:rsidR="0091552C" w:rsidRPr="00122337" w:rsidRDefault="005B0C40" w:rsidP="0017722A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Sabiedrības pārstāvjiem </w:t>
            </w:r>
            <w:r w:rsidR="003771EA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tika dota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iespēja līdzdarboties projekta izstrādē, rakstveidā sniedzot viedokli par projektu.</w:t>
            </w:r>
          </w:p>
        </w:tc>
      </w:tr>
      <w:tr w:rsidR="00074799" w:rsidRPr="00122337" w14:paraId="6528864B" w14:textId="77777777" w:rsidTr="00426DD2">
        <w:trPr>
          <w:trHeight w:val="465"/>
          <w:jc w:val="center"/>
        </w:trPr>
        <w:tc>
          <w:tcPr>
            <w:tcW w:w="250" w:type="pct"/>
            <w:hideMark/>
          </w:tcPr>
          <w:p w14:paraId="2DEDB730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1500" w:type="pct"/>
            <w:hideMark/>
          </w:tcPr>
          <w:p w14:paraId="13996A68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Sabiedrības līdzdalības rezultāti</w:t>
            </w:r>
          </w:p>
        </w:tc>
        <w:tc>
          <w:tcPr>
            <w:tcW w:w="3250" w:type="pct"/>
            <w:hideMark/>
          </w:tcPr>
          <w:p w14:paraId="7F93D392" w14:textId="6AED45BB" w:rsidR="00074799" w:rsidRPr="00122337" w:rsidRDefault="00454C14" w:rsidP="00EE4234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Iebildumi un priekšlikumi nav saņemti. </w:t>
            </w:r>
            <w:bookmarkStart w:id="0" w:name="_GoBack"/>
            <w:bookmarkEnd w:id="0"/>
          </w:p>
        </w:tc>
      </w:tr>
      <w:tr w:rsidR="00074799" w:rsidRPr="00122337" w14:paraId="52F2EBEC" w14:textId="77777777" w:rsidTr="00426DD2">
        <w:trPr>
          <w:trHeight w:val="465"/>
          <w:jc w:val="center"/>
        </w:trPr>
        <w:tc>
          <w:tcPr>
            <w:tcW w:w="250" w:type="pct"/>
            <w:hideMark/>
          </w:tcPr>
          <w:p w14:paraId="5EB4C7A2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4.</w:t>
            </w:r>
          </w:p>
        </w:tc>
        <w:tc>
          <w:tcPr>
            <w:tcW w:w="1500" w:type="pct"/>
            <w:hideMark/>
          </w:tcPr>
          <w:p w14:paraId="585B6A44" w14:textId="77777777" w:rsidR="00074799" w:rsidRPr="00122337" w:rsidRDefault="00074799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3250" w:type="pct"/>
          </w:tcPr>
          <w:p w14:paraId="4608996E" w14:textId="77777777" w:rsidR="00074799" w:rsidRPr="00122337" w:rsidRDefault="00426DD2" w:rsidP="00426DD2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</w:tc>
      </w:tr>
    </w:tbl>
    <w:p w14:paraId="4C51AA34" w14:textId="77777777" w:rsidR="00B92B66" w:rsidRPr="00122337" w:rsidRDefault="00B92B66" w:rsidP="006C3CAD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6"/>
          <w:szCs w:val="26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"/>
        <w:gridCol w:w="3639"/>
        <w:gridCol w:w="5458"/>
      </w:tblGrid>
      <w:tr w:rsidR="00074799" w:rsidRPr="005C2CF5" w14:paraId="70AB19AB" w14:textId="77777777" w:rsidTr="002356E4">
        <w:trPr>
          <w:trHeight w:val="375"/>
        </w:trPr>
        <w:tc>
          <w:tcPr>
            <w:tcW w:w="0" w:type="auto"/>
            <w:gridSpan w:val="3"/>
            <w:hideMark/>
          </w:tcPr>
          <w:p w14:paraId="73FB7530" w14:textId="77777777" w:rsidR="00074799" w:rsidRPr="00122337" w:rsidRDefault="00074799" w:rsidP="009045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  <w:p w14:paraId="10CBACA6" w14:textId="77777777" w:rsidR="00904543" w:rsidRPr="00122337" w:rsidRDefault="00904543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074799" w:rsidRPr="00122337" w14:paraId="53D46956" w14:textId="77777777" w:rsidTr="002356E4">
        <w:trPr>
          <w:trHeight w:val="420"/>
        </w:trPr>
        <w:tc>
          <w:tcPr>
            <w:tcW w:w="250" w:type="pct"/>
            <w:hideMark/>
          </w:tcPr>
          <w:p w14:paraId="6F04AC41" w14:textId="77777777" w:rsidR="00074799" w:rsidRPr="00122337" w:rsidRDefault="00074799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1900" w:type="pct"/>
            <w:hideMark/>
          </w:tcPr>
          <w:p w14:paraId="215132A0" w14:textId="77777777" w:rsidR="00074799" w:rsidRPr="00122337" w:rsidRDefault="00074799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2850" w:type="pct"/>
            <w:hideMark/>
          </w:tcPr>
          <w:p w14:paraId="430FE517" w14:textId="41A18FAD" w:rsidR="00074799" w:rsidRPr="00122337" w:rsidRDefault="00904543" w:rsidP="001E1B0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Projekta izpildi </w:t>
            </w:r>
            <w:r w:rsidR="00DB6817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nodrošinās </w:t>
            </w: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VAS </w:t>
            </w:r>
            <w:r w:rsidR="004001F9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“Latvijas Jūras administrācija”</w:t>
            </w:r>
            <w:r w:rsidR="001E1B0B"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.</w:t>
            </w:r>
          </w:p>
        </w:tc>
      </w:tr>
      <w:tr w:rsidR="00074799" w:rsidRPr="005C2CF5" w14:paraId="5D255216" w14:textId="77777777" w:rsidTr="00904543">
        <w:trPr>
          <w:trHeight w:val="450"/>
        </w:trPr>
        <w:tc>
          <w:tcPr>
            <w:tcW w:w="250" w:type="pct"/>
            <w:hideMark/>
          </w:tcPr>
          <w:p w14:paraId="16D9FB1C" w14:textId="77777777" w:rsidR="00074799" w:rsidRPr="00122337" w:rsidRDefault="00074799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1900" w:type="pct"/>
            <w:hideMark/>
          </w:tcPr>
          <w:p w14:paraId="4383261B" w14:textId="77777777" w:rsidR="00074799" w:rsidRPr="00122337" w:rsidRDefault="00074799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Projekta izpildes ietekme uz pārvaldes funkcijām un institucionālo struktūru. </w:t>
            </w:r>
          </w:p>
          <w:p w14:paraId="1959B7D9" w14:textId="77777777" w:rsidR="00074799" w:rsidRPr="00122337" w:rsidRDefault="00074799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</w:tcPr>
          <w:p w14:paraId="5FC75C04" w14:textId="2F02D000" w:rsidR="00C76F47" w:rsidRPr="00122337" w:rsidRDefault="00C76F47" w:rsidP="00F5656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Projekta īstenošana tiks veikta esošo cilvēkresursu ietvaros.</w:t>
            </w:r>
          </w:p>
          <w:p w14:paraId="7E21FC36" w14:textId="19F24C05" w:rsidR="00C76F47" w:rsidRPr="00122337" w:rsidRDefault="00C76F47" w:rsidP="00F5656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Saistībā ar projekta izpildi nebūs nepieciešams veidot jaunas institūcijas vai likvidēt, reorganizēt esošās.</w:t>
            </w:r>
          </w:p>
          <w:p w14:paraId="21EEB1BD" w14:textId="783E3503" w:rsidR="00B7545C" w:rsidRPr="00122337" w:rsidRDefault="00B7545C" w:rsidP="00F5656B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074799" w:rsidRPr="00122337" w14:paraId="11575BFB" w14:textId="77777777" w:rsidTr="00904543">
        <w:trPr>
          <w:trHeight w:val="390"/>
        </w:trPr>
        <w:tc>
          <w:tcPr>
            <w:tcW w:w="250" w:type="pct"/>
            <w:hideMark/>
          </w:tcPr>
          <w:p w14:paraId="7BCAF932" w14:textId="14A45F6A" w:rsidR="00074799" w:rsidRPr="00122337" w:rsidRDefault="00074799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1900" w:type="pct"/>
            <w:hideMark/>
          </w:tcPr>
          <w:p w14:paraId="34C6DFE3" w14:textId="77777777" w:rsidR="00074799" w:rsidRPr="00122337" w:rsidRDefault="00074799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2850" w:type="pct"/>
          </w:tcPr>
          <w:p w14:paraId="4C87D085" w14:textId="77777777" w:rsidR="00074799" w:rsidRPr="00122337" w:rsidRDefault="00904543" w:rsidP="0090454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122337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Nav.</w:t>
            </w:r>
          </w:p>
        </w:tc>
      </w:tr>
    </w:tbl>
    <w:p w14:paraId="5F70619B" w14:textId="77777777" w:rsidR="0042478A" w:rsidRPr="00122337" w:rsidRDefault="0042478A" w:rsidP="000B43B1">
      <w:pPr>
        <w:pStyle w:val="NoSpacing"/>
        <w:rPr>
          <w:rFonts w:ascii="Times New Roman" w:hAnsi="Times New Roman" w:cs="Times New Roman"/>
          <w:sz w:val="26"/>
          <w:szCs w:val="26"/>
          <w:lang w:val="lv-LV"/>
        </w:rPr>
      </w:pPr>
    </w:p>
    <w:p w14:paraId="755D64B3" w14:textId="77777777" w:rsidR="003357E6" w:rsidRPr="00122337" w:rsidRDefault="003357E6" w:rsidP="000B43B1">
      <w:pPr>
        <w:pStyle w:val="NoSpacing"/>
        <w:rPr>
          <w:rFonts w:ascii="Times New Roman" w:hAnsi="Times New Roman" w:cs="Times New Roman"/>
          <w:sz w:val="26"/>
          <w:szCs w:val="26"/>
          <w:lang w:val="lv-LV"/>
        </w:rPr>
      </w:pPr>
    </w:p>
    <w:p w14:paraId="18264740" w14:textId="77BC0552" w:rsidR="000B43B1" w:rsidRPr="00122337" w:rsidRDefault="00D02033" w:rsidP="00F5656B">
      <w:pPr>
        <w:pStyle w:val="NoSpacing"/>
        <w:ind w:firstLine="720"/>
        <w:rPr>
          <w:rFonts w:ascii="Times New Roman" w:hAnsi="Times New Roman" w:cs="Times New Roman"/>
          <w:sz w:val="26"/>
          <w:szCs w:val="26"/>
          <w:lang w:val="lv-LV"/>
        </w:rPr>
      </w:pPr>
      <w:r w:rsidRPr="00122337">
        <w:rPr>
          <w:rFonts w:ascii="Times New Roman" w:hAnsi="Times New Roman" w:cs="Times New Roman"/>
          <w:sz w:val="26"/>
          <w:szCs w:val="26"/>
          <w:lang w:val="lv-LV"/>
        </w:rPr>
        <w:t>Satiksmes ministr</w:t>
      </w:r>
      <w:r w:rsidR="00833619" w:rsidRPr="00122337">
        <w:rPr>
          <w:rFonts w:ascii="Times New Roman" w:hAnsi="Times New Roman" w:cs="Times New Roman"/>
          <w:sz w:val="26"/>
          <w:szCs w:val="26"/>
          <w:lang w:val="lv-LV"/>
        </w:rPr>
        <w:t>s</w:t>
      </w:r>
      <w:r w:rsidR="00255D53"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="00255D53"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="00255D53"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="00255D53"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="00255D53"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="003B11D6"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="00255D53" w:rsidRPr="00122337">
        <w:rPr>
          <w:rFonts w:ascii="Times New Roman" w:hAnsi="Times New Roman" w:cs="Times New Roman"/>
          <w:sz w:val="26"/>
          <w:szCs w:val="26"/>
          <w:lang w:val="lv-LV"/>
        </w:rPr>
        <w:t>U. Augulis</w:t>
      </w:r>
    </w:p>
    <w:p w14:paraId="0F882623" w14:textId="77777777" w:rsidR="008F000D" w:rsidRPr="00122337" w:rsidRDefault="008F000D" w:rsidP="000B43B1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752BD5EB" w14:textId="77777777" w:rsidR="003357E6" w:rsidRPr="00122337" w:rsidRDefault="003357E6" w:rsidP="000B43B1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2DBA83F8" w14:textId="77777777" w:rsidR="000B43B1" w:rsidRPr="00122337" w:rsidRDefault="000B43B1" w:rsidP="000B43B1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122337">
        <w:rPr>
          <w:rFonts w:ascii="Times New Roman" w:hAnsi="Times New Roman" w:cs="Times New Roman"/>
          <w:sz w:val="26"/>
          <w:szCs w:val="26"/>
          <w:lang w:val="lv-LV"/>
        </w:rPr>
        <w:t>Vīza:</w:t>
      </w:r>
    </w:p>
    <w:p w14:paraId="676594A3" w14:textId="77777777" w:rsidR="000B43B1" w:rsidRPr="00122337" w:rsidRDefault="000B43B1" w:rsidP="000B43B1">
      <w:pPr>
        <w:pStyle w:val="NoSpacing"/>
        <w:ind w:firstLine="720"/>
        <w:rPr>
          <w:rFonts w:ascii="Times New Roman" w:hAnsi="Times New Roman" w:cs="Times New Roman"/>
          <w:sz w:val="26"/>
          <w:szCs w:val="26"/>
          <w:lang w:val="lv-LV"/>
        </w:rPr>
      </w:pPr>
      <w:r w:rsidRPr="00122337">
        <w:rPr>
          <w:rFonts w:ascii="Times New Roman" w:hAnsi="Times New Roman" w:cs="Times New Roman"/>
          <w:sz w:val="26"/>
          <w:szCs w:val="26"/>
          <w:lang w:val="lv-LV"/>
        </w:rPr>
        <w:t>Valsts sekretārs</w:t>
      </w:r>
      <w:r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122337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122337">
        <w:rPr>
          <w:rFonts w:ascii="Times New Roman" w:hAnsi="Times New Roman" w:cs="Times New Roman"/>
          <w:sz w:val="26"/>
          <w:szCs w:val="26"/>
          <w:lang w:val="lv-LV"/>
        </w:rPr>
        <w:tab/>
        <w:t>K. Ozoliņš</w:t>
      </w:r>
    </w:p>
    <w:p w14:paraId="3F041F5C" w14:textId="77777777" w:rsidR="003357E6" w:rsidRPr="00122337" w:rsidRDefault="003357E6" w:rsidP="000B43B1">
      <w:pPr>
        <w:pStyle w:val="NoSpacing"/>
        <w:rPr>
          <w:rFonts w:ascii="Times New Roman" w:hAnsi="Times New Roman" w:cs="Times New Roman"/>
          <w:sz w:val="26"/>
          <w:szCs w:val="26"/>
          <w:lang w:val="lv-LV"/>
        </w:rPr>
      </w:pPr>
    </w:p>
    <w:p w14:paraId="782E1725" w14:textId="77777777" w:rsidR="0038569E" w:rsidRPr="00122337" w:rsidRDefault="0038569E" w:rsidP="000B43B1">
      <w:pPr>
        <w:pStyle w:val="NoSpacing"/>
        <w:rPr>
          <w:rFonts w:ascii="Times New Roman" w:hAnsi="Times New Roman" w:cs="Times New Roman"/>
          <w:sz w:val="26"/>
          <w:szCs w:val="26"/>
          <w:lang w:val="lv-LV"/>
        </w:rPr>
      </w:pPr>
    </w:p>
    <w:p w14:paraId="70F0B4D9" w14:textId="77777777" w:rsidR="006C3CAD" w:rsidRPr="00122337" w:rsidRDefault="006C3CAD" w:rsidP="000B43B1">
      <w:pPr>
        <w:pStyle w:val="NoSpacing"/>
        <w:rPr>
          <w:rFonts w:ascii="Times New Roman" w:hAnsi="Times New Roman" w:cs="Times New Roman"/>
          <w:sz w:val="26"/>
          <w:szCs w:val="26"/>
          <w:lang w:val="lv-LV"/>
        </w:rPr>
      </w:pPr>
    </w:p>
    <w:p w14:paraId="5D56D4A7" w14:textId="77777777" w:rsidR="006C3CAD" w:rsidRPr="00122337" w:rsidRDefault="006C3CAD" w:rsidP="000B43B1">
      <w:pPr>
        <w:pStyle w:val="NoSpacing"/>
        <w:rPr>
          <w:rFonts w:ascii="Times New Roman" w:hAnsi="Times New Roman" w:cs="Times New Roman"/>
          <w:sz w:val="26"/>
          <w:szCs w:val="26"/>
          <w:lang w:val="lv-LV"/>
        </w:rPr>
      </w:pPr>
    </w:p>
    <w:p w14:paraId="0E26A93D" w14:textId="77BF31AF" w:rsidR="006158D1" w:rsidRPr="00883781" w:rsidRDefault="0095590C" w:rsidP="000B43B1">
      <w:pPr>
        <w:pStyle w:val="NoSpacing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01.03.2017</w:t>
      </w:r>
      <w:r w:rsidR="00802DC0" w:rsidRPr="00883781">
        <w:rPr>
          <w:rFonts w:ascii="Times New Roman" w:hAnsi="Times New Roman" w:cs="Times New Roman"/>
          <w:lang w:val="lv-LV"/>
        </w:rPr>
        <w:t xml:space="preserve">.  </w:t>
      </w:r>
      <w:r w:rsidR="006158D1" w:rsidRPr="00883781">
        <w:rPr>
          <w:rFonts w:ascii="Times New Roman" w:hAnsi="Times New Roman" w:cs="Times New Roman"/>
          <w:lang w:val="lv-LV"/>
        </w:rPr>
        <w:t>14:30</w:t>
      </w:r>
    </w:p>
    <w:p w14:paraId="7C3749D2" w14:textId="2DFC625F" w:rsidR="00707042" w:rsidRPr="00883781" w:rsidRDefault="00294A7E" w:rsidP="000B43B1">
      <w:pPr>
        <w:pStyle w:val="NoSpacing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11</w:t>
      </w:r>
      <w:r w:rsidR="00454C14">
        <w:rPr>
          <w:rFonts w:ascii="Times New Roman" w:hAnsi="Times New Roman" w:cs="Times New Roman"/>
          <w:lang w:val="lv-LV"/>
        </w:rPr>
        <w:t>12</w:t>
      </w:r>
    </w:p>
    <w:p w14:paraId="3F2CD4CE" w14:textId="77777777" w:rsidR="00FA615F" w:rsidRPr="00883781" w:rsidRDefault="00FA615F" w:rsidP="00FA615F">
      <w:pPr>
        <w:pStyle w:val="NoSpacing"/>
        <w:rPr>
          <w:rFonts w:ascii="Times New Roman" w:hAnsi="Times New Roman" w:cs="Times New Roman"/>
          <w:lang w:val="lv-LV"/>
        </w:rPr>
      </w:pPr>
      <w:r w:rsidRPr="00883781">
        <w:rPr>
          <w:rFonts w:ascii="Times New Roman" w:hAnsi="Times New Roman" w:cs="Times New Roman"/>
          <w:lang w:val="lv-LV"/>
        </w:rPr>
        <w:t>A.Ošs, 67062166</w:t>
      </w:r>
    </w:p>
    <w:p w14:paraId="35ECC571" w14:textId="77777777" w:rsidR="00FA615F" w:rsidRPr="00883781" w:rsidRDefault="0068704A" w:rsidP="00FA615F">
      <w:pPr>
        <w:pStyle w:val="NoSpacing"/>
        <w:rPr>
          <w:rFonts w:ascii="Times New Roman" w:hAnsi="Times New Roman" w:cs="Times New Roman"/>
          <w:lang w:val="lv-LV"/>
        </w:rPr>
      </w:pPr>
      <w:hyperlink r:id="rId9" w:history="1">
        <w:r w:rsidR="00FA615F" w:rsidRPr="00883781">
          <w:rPr>
            <w:rStyle w:val="Hyperlink"/>
            <w:rFonts w:ascii="Times New Roman" w:hAnsi="Times New Roman" w:cs="Times New Roman"/>
            <w:lang w:val="lv-LV"/>
          </w:rPr>
          <w:t>arturs.oss@lja.lv</w:t>
        </w:r>
      </w:hyperlink>
    </w:p>
    <w:p w14:paraId="575F5B63" w14:textId="77777777" w:rsidR="00FA615F" w:rsidRPr="00883781" w:rsidRDefault="00FA615F" w:rsidP="00FA615F">
      <w:pPr>
        <w:pStyle w:val="NoSpacing"/>
        <w:rPr>
          <w:rFonts w:ascii="Times New Roman" w:hAnsi="Times New Roman" w:cs="Times New Roman"/>
          <w:lang w:val="lv-LV"/>
        </w:rPr>
      </w:pPr>
      <w:r w:rsidRPr="00883781">
        <w:rPr>
          <w:rFonts w:ascii="Times New Roman" w:hAnsi="Times New Roman" w:cs="Times New Roman"/>
          <w:lang w:val="lv-LV"/>
        </w:rPr>
        <w:t>S.Lielbārde, 67062187</w:t>
      </w:r>
    </w:p>
    <w:p w14:paraId="0041CEEB" w14:textId="77777777" w:rsidR="00FA615F" w:rsidRPr="00883781" w:rsidRDefault="00FA615F" w:rsidP="00FA615F">
      <w:pPr>
        <w:pStyle w:val="NoSpacing"/>
        <w:rPr>
          <w:rFonts w:ascii="Times New Roman" w:hAnsi="Times New Roman" w:cs="Times New Roman"/>
          <w:lang w:val="lv-LV"/>
        </w:rPr>
      </w:pPr>
      <w:r w:rsidRPr="00883781">
        <w:rPr>
          <w:rFonts w:ascii="Times New Roman" w:hAnsi="Times New Roman" w:cs="Times New Roman"/>
          <w:lang w:val="lv-LV"/>
        </w:rPr>
        <w:t>sandra.lielbarde@lja.lv</w:t>
      </w:r>
    </w:p>
    <w:p w14:paraId="36ABB769" w14:textId="77777777" w:rsidR="00122337" w:rsidRPr="00122337" w:rsidRDefault="00122337">
      <w:pPr>
        <w:pStyle w:val="NoSpacing"/>
        <w:rPr>
          <w:rFonts w:ascii="Times New Roman" w:hAnsi="Times New Roman" w:cs="Times New Roman"/>
          <w:sz w:val="26"/>
          <w:szCs w:val="26"/>
          <w:lang w:val="lv-LV"/>
        </w:rPr>
      </w:pPr>
    </w:p>
    <w:sectPr w:rsidR="00122337" w:rsidRPr="00122337" w:rsidSect="00707042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849B" w14:textId="77777777" w:rsidR="0068704A" w:rsidRDefault="0068704A" w:rsidP="00EB15B2">
      <w:pPr>
        <w:spacing w:after="0" w:line="240" w:lineRule="auto"/>
      </w:pPr>
      <w:r>
        <w:separator/>
      </w:r>
    </w:p>
  </w:endnote>
  <w:endnote w:type="continuationSeparator" w:id="0">
    <w:p w14:paraId="53C75076" w14:textId="77777777" w:rsidR="0068704A" w:rsidRDefault="0068704A" w:rsidP="00E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A66BA" w14:textId="0543482B" w:rsidR="00A12618" w:rsidRPr="00527E0E" w:rsidRDefault="00A12618" w:rsidP="00527E0E">
    <w:pPr>
      <w:pStyle w:val="Footer"/>
    </w:pPr>
    <w:r w:rsidRPr="00527E0E">
      <w:rPr>
        <w:rFonts w:ascii="Times New Roman" w:hAnsi="Times New Roman" w:cs="Times New Roman"/>
        <w:sz w:val="24"/>
        <w:szCs w:val="24"/>
        <w:lang w:val="lv-LV"/>
      </w:rPr>
      <w:t>SAMAnot_01</w:t>
    </w:r>
    <w:r>
      <w:rPr>
        <w:rFonts w:ascii="Times New Roman" w:hAnsi="Times New Roman" w:cs="Times New Roman"/>
        <w:sz w:val="24"/>
        <w:szCs w:val="24"/>
        <w:lang w:val="lv-LV"/>
      </w:rPr>
      <w:t>0</w:t>
    </w:r>
    <w:r w:rsidRPr="00527E0E">
      <w:rPr>
        <w:rFonts w:ascii="Times New Roman" w:hAnsi="Times New Roman" w:cs="Times New Roman"/>
        <w:sz w:val="24"/>
        <w:szCs w:val="24"/>
        <w:lang w:val="lv-LV"/>
      </w:rPr>
      <w:t>317_ groz1164; Ministru kabineta noteikumu projekts „Grozījumi Ministru kabineta 2010. gada 21. decembra noteikumos Nr.1164 "Ostas valsts kontroles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221D" w14:textId="4E5C0B4E" w:rsidR="00A12618" w:rsidRPr="00BA1036" w:rsidRDefault="00A12618" w:rsidP="00527E0E">
    <w:pPr>
      <w:pStyle w:val="NoSpacing"/>
      <w:jc w:val="both"/>
      <w:rPr>
        <w:lang w:val="lv-LV"/>
      </w:rPr>
    </w:pPr>
    <w:r w:rsidRPr="00CB0B42">
      <w:rPr>
        <w:rFonts w:ascii="Times New Roman" w:hAnsi="Times New Roman" w:cs="Times New Roman"/>
        <w:sz w:val="24"/>
        <w:szCs w:val="24"/>
        <w:lang w:val="lv-LV"/>
      </w:rPr>
      <w:t>SAMAnot_</w:t>
    </w:r>
    <w:r>
      <w:rPr>
        <w:rFonts w:ascii="Times New Roman" w:hAnsi="Times New Roman" w:cs="Times New Roman"/>
        <w:sz w:val="24"/>
        <w:szCs w:val="24"/>
        <w:lang w:val="lv-LV"/>
      </w:rPr>
      <w:t>010317</w:t>
    </w:r>
    <w:r w:rsidRPr="00CB0B42">
      <w:rPr>
        <w:rFonts w:ascii="Times New Roman" w:hAnsi="Times New Roman" w:cs="Times New Roman"/>
        <w:sz w:val="24"/>
        <w:szCs w:val="24"/>
        <w:lang w:val="lv-LV"/>
      </w:rPr>
      <w:t>_</w:t>
    </w:r>
    <w:r w:rsidRPr="00527E0E">
      <w:t xml:space="preserve"> </w:t>
    </w:r>
    <w:r w:rsidRPr="00527E0E">
      <w:rPr>
        <w:rFonts w:ascii="Times New Roman" w:hAnsi="Times New Roman" w:cs="Times New Roman"/>
        <w:sz w:val="24"/>
        <w:szCs w:val="24"/>
        <w:lang w:val="lv-LV"/>
      </w:rPr>
      <w:t>groz1164; Ministru kabineta noteikumu projekts „Grozījumi Ministru kabineta 2010. gada 21. decembra noteikumos Nr.1164 "Ostas valsts kontroles kārtība””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91E4" w14:textId="77777777" w:rsidR="0068704A" w:rsidRDefault="0068704A" w:rsidP="00EB15B2">
      <w:pPr>
        <w:spacing w:after="0" w:line="240" w:lineRule="auto"/>
      </w:pPr>
      <w:r>
        <w:separator/>
      </w:r>
    </w:p>
  </w:footnote>
  <w:footnote w:type="continuationSeparator" w:id="0">
    <w:p w14:paraId="347117E2" w14:textId="77777777" w:rsidR="0068704A" w:rsidRDefault="0068704A" w:rsidP="00E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836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E2BA56" w14:textId="77777777" w:rsidR="00A12618" w:rsidRDefault="00A126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4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136005" w14:textId="77777777" w:rsidR="00A12618" w:rsidRDefault="00A12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AA"/>
    <w:multiLevelType w:val="hybridMultilevel"/>
    <w:tmpl w:val="25DCF5FE"/>
    <w:lvl w:ilvl="0" w:tplc="BC0A71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4" w:hanging="360"/>
      </w:pPr>
    </w:lvl>
    <w:lvl w:ilvl="2" w:tplc="0426001B" w:tentative="1">
      <w:start w:val="1"/>
      <w:numFmt w:val="lowerRoman"/>
      <w:lvlText w:val="%3."/>
      <w:lvlJc w:val="right"/>
      <w:pPr>
        <w:ind w:left="2144" w:hanging="180"/>
      </w:pPr>
    </w:lvl>
    <w:lvl w:ilvl="3" w:tplc="0426000F" w:tentative="1">
      <w:start w:val="1"/>
      <w:numFmt w:val="decimal"/>
      <w:lvlText w:val="%4."/>
      <w:lvlJc w:val="left"/>
      <w:pPr>
        <w:ind w:left="2864" w:hanging="360"/>
      </w:pPr>
    </w:lvl>
    <w:lvl w:ilvl="4" w:tplc="04260019" w:tentative="1">
      <w:start w:val="1"/>
      <w:numFmt w:val="lowerLetter"/>
      <w:lvlText w:val="%5."/>
      <w:lvlJc w:val="left"/>
      <w:pPr>
        <w:ind w:left="3584" w:hanging="360"/>
      </w:pPr>
    </w:lvl>
    <w:lvl w:ilvl="5" w:tplc="0426001B" w:tentative="1">
      <w:start w:val="1"/>
      <w:numFmt w:val="lowerRoman"/>
      <w:lvlText w:val="%6."/>
      <w:lvlJc w:val="right"/>
      <w:pPr>
        <w:ind w:left="4304" w:hanging="180"/>
      </w:pPr>
    </w:lvl>
    <w:lvl w:ilvl="6" w:tplc="0426000F" w:tentative="1">
      <w:start w:val="1"/>
      <w:numFmt w:val="decimal"/>
      <w:lvlText w:val="%7."/>
      <w:lvlJc w:val="left"/>
      <w:pPr>
        <w:ind w:left="5024" w:hanging="360"/>
      </w:pPr>
    </w:lvl>
    <w:lvl w:ilvl="7" w:tplc="04260019" w:tentative="1">
      <w:start w:val="1"/>
      <w:numFmt w:val="lowerLetter"/>
      <w:lvlText w:val="%8."/>
      <w:lvlJc w:val="left"/>
      <w:pPr>
        <w:ind w:left="5744" w:hanging="360"/>
      </w:pPr>
    </w:lvl>
    <w:lvl w:ilvl="8" w:tplc="042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FB22607"/>
    <w:multiLevelType w:val="hybridMultilevel"/>
    <w:tmpl w:val="4932941C"/>
    <w:lvl w:ilvl="0" w:tplc="BC0A71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4" w:hanging="360"/>
      </w:pPr>
    </w:lvl>
    <w:lvl w:ilvl="2" w:tplc="0426001B" w:tentative="1">
      <w:start w:val="1"/>
      <w:numFmt w:val="lowerRoman"/>
      <w:lvlText w:val="%3."/>
      <w:lvlJc w:val="right"/>
      <w:pPr>
        <w:ind w:left="2144" w:hanging="180"/>
      </w:pPr>
    </w:lvl>
    <w:lvl w:ilvl="3" w:tplc="0426000F" w:tentative="1">
      <w:start w:val="1"/>
      <w:numFmt w:val="decimal"/>
      <w:lvlText w:val="%4."/>
      <w:lvlJc w:val="left"/>
      <w:pPr>
        <w:ind w:left="2864" w:hanging="360"/>
      </w:pPr>
    </w:lvl>
    <w:lvl w:ilvl="4" w:tplc="04260019" w:tentative="1">
      <w:start w:val="1"/>
      <w:numFmt w:val="lowerLetter"/>
      <w:lvlText w:val="%5."/>
      <w:lvlJc w:val="left"/>
      <w:pPr>
        <w:ind w:left="3584" w:hanging="360"/>
      </w:pPr>
    </w:lvl>
    <w:lvl w:ilvl="5" w:tplc="0426001B" w:tentative="1">
      <w:start w:val="1"/>
      <w:numFmt w:val="lowerRoman"/>
      <w:lvlText w:val="%6."/>
      <w:lvlJc w:val="right"/>
      <w:pPr>
        <w:ind w:left="4304" w:hanging="180"/>
      </w:pPr>
    </w:lvl>
    <w:lvl w:ilvl="6" w:tplc="0426000F" w:tentative="1">
      <w:start w:val="1"/>
      <w:numFmt w:val="decimal"/>
      <w:lvlText w:val="%7."/>
      <w:lvlJc w:val="left"/>
      <w:pPr>
        <w:ind w:left="5024" w:hanging="360"/>
      </w:pPr>
    </w:lvl>
    <w:lvl w:ilvl="7" w:tplc="04260019" w:tentative="1">
      <w:start w:val="1"/>
      <w:numFmt w:val="lowerLetter"/>
      <w:lvlText w:val="%8."/>
      <w:lvlJc w:val="left"/>
      <w:pPr>
        <w:ind w:left="5744" w:hanging="360"/>
      </w:pPr>
    </w:lvl>
    <w:lvl w:ilvl="8" w:tplc="042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381D664C"/>
    <w:multiLevelType w:val="hybridMultilevel"/>
    <w:tmpl w:val="AC442BA2"/>
    <w:lvl w:ilvl="0" w:tplc="4D38F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8622B"/>
    <w:multiLevelType w:val="hybridMultilevel"/>
    <w:tmpl w:val="06649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3"/>
    <w:rsid w:val="00002856"/>
    <w:rsid w:val="0000766A"/>
    <w:rsid w:val="00017BAA"/>
    <w:rsid w:val="00031E01"/>
    <w:rsid w:val="00037D64"/>
    <w:rsid w:val="00043239"/>
    <w:rsid w:val="000432F0"/>
    <w:rsid w:val="000545C5"/>
    <w:rsid w:val="00055802"/>
    <w:rsid w:val="00055EC5"/>
    <w:rsid w:val="00060B5F"/>
    <w:rsid w:val="00062E6E"/>
    <w:rsid w:val="00063DED"/>
    <w:rsid w:val="00066F9A"/>
    <w:rsid w:val="000717D4"/>
    <w:rsid w:val="00071941"/>
    <w:rsid w:val="00074799"/>
    <w:rsid w:val="000834AB"/>
    <w:rsid w:val="0009280D"/>
    <w:rsid w:val="0009393A"/>
    <w:rsid w:val="00096230"/>
    <w:rsid w:val="000A2C69"/>
    <w:rsid w:val="000A3479"/>
    <w:rsid w:val="000A6391"/>
    <w:rsid w:val="000A6C88"/>
    <w:rsid w:val="000A7B7B"/>
    <w:rsid w:val="000B393F"/>
    <w:rsid w:val="000B43B1"/>
    <w:rsid w:val="000B6649"/>
    <w:rsid w:val="000C2E51"/>
    <w:rsid w:val="000C35B7"/>
    <w:rsid w:val="000D23A5"/>
    <w:rsid w:val="000D4C3A"/>
    <w:rsid w:val="000E1D31"/>
    <w:rsid w:val="001023A6"/>
    <w:rsid w:val="001056DC"/>
    <w:rsid w:val="0011158E"/>
    <w:rsid w:val="001131E3"/>
    <w:rsid w:val="001215E2"/>
    <w:rsid w:val="00122337"/>
    <w:rsid w:val="001263A1"/>
    <w:rsid w:val="00126FC6"/>
    <w:rsid w:val="001274DF"/>
    <w:rsid w:val="00132C46"/>
    <w:rsid w:val="00145D58"/>
    <w:rsid w:val="0015398A"/>
    <w:rsid w:val="0015454D"/>
    <w:rsid w:val="00157633"/>
    <w:rsid w:val="0015792D"/>
    <w:rsid w:val="00165DB3"/>
    <w:rsid w:val="00172A9B"/>
    <w:rsid w:val="001740FB"/>
    <w:rsid w:val="0017722A"/>
    <w:rsid w:val="00184C47"/>
    <w:rsid w:val="00186449"/>
    <w:rsid w:val="001869BB"/>
    <w:rsid w:val="001873E0"/>
    <w:rsid w:val="00190E45"/>
    <w:rsid w:val="001940F0"/>
    <w:rsid w:val="00197C68"/>
    <w:rsid w:val="001A7B63"/>
    <w:rsid w:val="001B2FF9"/>
    <w:rsid w:val="001B31A3"/>
    <w:rsid w:val="001B44E4"/>
    <w:rsid w:val="001B6353"/>
    <w:rsid w:val="001C2E76"/>
    <w:rsid w:val="001C7B6E"/>
    <w:rsid w:val="001D595C"/>
    <w:rsid w:val="001E1B0B"/>
    <w:rsid w:val="001F1C05"/>
    <w:rsid w:val="001F4D11"/>
    <w:rsid w:val="002019B8"/>
    <w:rsid w:val="002307BD"/>
    <w:rsid w:val="0023113E"/>
    <w:rsid w:val="0023147C"/>
    <w:rsid w:val="002356E4"/>
    <w:rsid w:val="002409D9"/>
    <w:rsid w:val="00240B72"/>
    <w:rsid w:val="00242F90"/>
    <w:rsid w:val="00245201"/>
    <w:rsid w:val="00255D53"/>
    <w:rsid w:val="002767A7"/>
    <w:rsid w:val="002773FB"/>
    <w:rsid w:val="0028040F"/>
    <w:rsid w:val="00282788"/>
    <w:rsid w:val="00285BF6"/>
    <w:rsid w:val="00286C8D"/>
    <w:rsid w:val="00290522"/>
    <w:rsid w:val="002906CF"/>
    <w:rsid w:val="00294A7E"/>
    <w:rsid w:val="002951C2"/>
    <w:rsid w:val="00295570"/>
    <w:rsid w:val="002A345C"/>
    <w:rsid w:val="002A4874"/>
    <w:rsid w:val="002A79AA"/>
    <w:rsid w:val="002B0215"/>
    <w:rsid w:val="002B4ADE"/>
    <w:rsid w:val="002B658E"/>
    <w:rsid w:val="002B7DF8"/>
    <w:rsid w:val="002C05EA"/>
    <w:rsid w:val="002C0EDE"/>
    <w:rsid w:val="002C33CD"/>
    <w:rsid w:val="002D084A"/>
    <w:rsid w:val="002D1F1C"/>
    <w:rsid w:val="002D5CFB"/>
    <w:rsid w:val="002E03A5"/>
    <w:rsid w:val="002E0B92"/>
    <w:rsid w:val="002E0D6F"/>
    <w:rsid w:val="002F0F72"/>
    <w:rsid w:val="002F3DF5"/>
    <w:rsid w:val="002F4566"/>
    <w:rsid w:val="00300AA8"/>
    <w:rsid w:val="00301AAA"/>
    <w:rsid w:val="00316670"/>
    <w:rsid w:val="00316B5E"/>
    <w:rsid w:val="00323DB2"/>
    <w:rsid w:val="00325149"/>
    <w:rsid w:val="00326970"/>
    <w:rsid w:val="00330241"/>
    <w:rsid w:val="00333BF0"/>
    <w:rsid w:val="00334C4B"/>
    <w:rsid w:val="003357E6"/>
    <w:rsid w:val="0034055D"/>
    <w:rsid w:val="00351271"/>
    <w:rsid w:val="003517B3"/>
    <w:rsid w:val="00351DF0"/>
    <w:rsid w:val="00354CF6"/>
    <w:rsid w:val="0036068D"/>
    <w:rsid w:val="00361395"/>
    <w:rsid w:val="00362F86"/>
    <w:rsid w:val="003640AF"/>
    <w:rsid w:val="003643CA"/>
    <w:rsid w:val="0037543F"/>
    <w:rsid w:val="003771EA"/>
    <w:rsid w:val="00380596"/>
    <w:rsid w:val="0038369B"/>
    <w:rsid w:val="00384746"/>
    <w:rsid w:val="00384B86"/>
    <w:rsid w:val="0038569E"/>
    <w:rsid w:val="00386883"/>
    <w:rsid w:val="00386F7A"/>
    <w:rsid w:val="00390395"/>
    <w:rsid w:val="0039420E"/>
    <w:rsid w:val="00396024"/>
    <w:rsid w:val="003976AA"/>
    <w:rsid w:val="003A31D3"/>
    <w:rsid w:val="003A46B6"/>
    <w:rsid w:val="003B11D6"/>
    <w:rsid w:val="003B4169"/>
    <w:rsid w:val="003B5AAC"/>
    <w:rsid w:val="003B63E5"/>
    <w:rsid w:val="003C1454"/>
    <w:rsid w:val="003C319E"/>
    <w:rsid w:val="003C4812"/>
    <w:rsid w:val="003C6585"/>
    <w:rsid w:val="003D174F"/>
    <w:rsid w:val="003D3399"/>
    <w:rsid w:val="003D4297"/>
    <w:rsid w:val="003D4DBF"/>
    <w:rsid w:val="003D75C8"/>
    <w:rsid w:val="003E7BE1"/>
    <w:rsid w:val="003F5F4B"/>
    <w:rsid w:val="003F7839"/>
    <w:rsid w:val="004001F9"/>
    <w:rsid w:val="00402951"/>
    <w:rsid w:val="00407760"/>
    <w:rsid w:val="00412280"/>
    <w:rsid w:val="00414A2B"/>
    <w:rsid w:val="00416DF6"/>
    <w:rsid w:val="00420000"/>
    <w:rsid w:val="004217D3"/>
    <w:rsid w:val="004219A4"/>
    <w:rsid w:val="004228E0"/>
    <w:rsid w:val="004239CE"/>
    <w:rsid w:val="0042478A"/>
    <w:rsid w:val="00426DD2"/>
    <w:rsid w:val="00435498"/>
    <w:rsid w:val="00454AFF"/>
    <w:rsid w:val="00454C14"/>
    <w:rsid w:val="00456A4A"/>
    <w:rsid w:val="00463857"/>
    <w:rsid w:val="00466689"/>
    <w:rsid w:val="00470A0D"/>
    <w:rsid w:val="004907D1"/>
    <w:rsid w:val="004949EC"/>
    <w:rsid w:val="00497F3C"/>
    <w:rsid w:val="004B0323"/>
    <w:rsid w:val="004B3665"/>
    <w:rsid w:val="004B475E"/>
    <w:rsid w:val="004B61A5"/>
    <w:rsid w:val="004C3AC6"/>
    <w:rsid w:val="004C40E2"/>
    <w:rsid w:val="004C6778"/>
    <w:rsid w:val="004D45C3"/>
    <w:rsid w:val="004D63F3"/>
    <w:rsid w:val="004E5DCC"/>
    <w:rsid w:val="00504A06"/>
    <w:rsid w:val="005138AC"/>
    <w:rsid w:val="00515064"/>
    <w:rsid w:val="00517A3D"/>
    <w:rsid w:val="00527AAB"/>
    <w:rsid w:val="00527E0E"/>
    <w:rsid w:val="00530C61"/>
    <w:rsid w:val="00536364"/>
    <w:rsid w:val="0053746D"/>
    <w:rsid w:val="00537D88"/>
    <w:rsid w:val="00544B7E"/>
    <w:rsid w:val="00545D72"/>
    <w:rsid w:val="005502CF"/>
    <w:rsid w:val="0056101E"/>
    <w:rsid w:val="0056195D"/>
    <w:rsid w:val="00564CBB"/>
    <w:rsid w:val="00576876"/>
    <w:rsid w:val="00576BDE"/>
    <w:rsid w:val="00584999"/>
    <w:rsid w:val="005B0C40"/>
    <w:rsid w:val="005B0E74"/>
    <w:rsid w:val="005B2B70"/>
    <w:rsid w:val="005B5847"/>
    <w:rsid w:val="005B6D94"/>
    <w:rsid w:val="005B7256"/>
    <w:rsid w:val="005B7B1C"/>
    <w:rsid w:val="005C2CF5"/>
    <w:rsid w:val="005C3961"/>
    <w:rsid w:val="005C4A12"/>
    <w:rsid w:val="005D4F4A"/>
    <w:rsid w:val="005D5B72"/>
    <w:rsid w:val="005E0285"/>
    <w:rsid w:val="005E6FDE"/>
    <w:rsid w:val="006158D1"/>
    <w:rsid w:val="0062167B"/>
    <w:rsid w:val="00632C70"/>
    <w:rsid w:val="0063508E"/>
    <w:rsid w:val="00635DD8"/>
    <w:rsid w:val="006424B2"/>
    <w:rsid w:val="00642898"/>
    <w:rsid w:val="00650270"/>
    <w:rsid w:val="00651CBD"/>
    <w:rsid w:val="00652D80"/>
    <w:rsid w:val="006560AD"/>
    <w:rsid w:val="00663C4F"/>
    <w:rsid w:val="006721F4"/>
    <w:rsid w:val="00683030"/>
    <w:rsid w:val="00685EA5"/>
    <w:rsid w:val="00685F9F"/>
    <w:rsid w:val="0068704A"/>
    <w:rsid w:val="00687DF2"/>
    <w:rsid w:val="00691070"/>
    <w:rsid w:val="006917A0"/>
    <w:rsid w:val="006A011F"/>
    <w:rsid w:val="006A125B"/>
    <w:rsid w:val="006A1F4F"/>
    <w:rsid w:val="006B6BBB"/>
    <w:rsid w:val="006C3CAD"/>
    <w:rsid w:val="006C3E1D"/>
    <w:rsid w:val="006C4AE6"/>
    <w:rsid w:val="006D1530"/>
    <w:rsid w:val="006D3396"/>
    <w:rsid w:val="006D5825"/>
    <w:rsid w:val="006D6488"/>
    <w:rsid w:val="006E33F2"/>
    <w:rsid w:val="006F06BC"/>
    <w:rsid w:val="006F106C"/>
    <w:rsid w:val="006F19AA"/>
    <w:rsid w:val="006F1BEF"/>
    <w:rsid w:val="006F1C1B"/>
    <w:rsid w:val="006F6AA9"/>
    <w:rsid w:val="00700F29"/>
    <w:rsid w:val="007020AC"/>
    <w:rsid w:val="00707042"/>
    <w:rsid w:val="00707EA8"/>
    <w:rsid w:val="00717F6E"/>
    <w:rsid w:val="0073317D"/>
    <w:rsid w:val="007433A1"/>
    <w:rsid w:val="007434DF"/>
    <w:rsid w:val="00746406"/>
    <w:rsid w:val="00752DB4"/>
    <w:rsid w:val="007557B7"/>
    <w:rsid w:val="00765C0C"/>
    <w:rsid w:val="00777EF9"/>
    <w:rsid w:val="00777FB3"/>
    <w:rsid w:val="00795132"/>
    <w:rsid w:val="007A5235"/>
    <w:rsid w:val="007C4B01"/>
    <w:rsid w:val="007C659B"/>
    <w:rsid w:val="007D5A7F"/>
    <w:rsid w:val="007D60A0"/>
    <w:rsid w:val="007D7477"/>
    <w:rsid w:val="007D7D20"/>
    <w:rsid w:val="007E1ABC"/>
    <w:rsid w:val="007E20D9"/>
    <w:rsid w:val="007E78B7"/>
    <w:rsid w:val="00801E29"/>
    <w:rsid w:val="00802D0A"/>
    <w:rsid w:val="00802DC0"/>
    <w:rsid w:val="008078BF"/>
    <w:rsid w:val="0081077E"/>
    <w:rsid w:val="00814EA7"/>
    <w:rsid w:val="00820CFB"/>
    <w:rsid w:val="008227B9"/>
    <w:rsid w:val="00822815"/>
    <w:rsid w:val="00827C6F"/>
    <w:rsid w:val="00833308"/>
    <w:rsid w:val="00833619"/>
    <w:rsid w:val="008337E2"/>
    <w:rsid w:val="00836195"/>
    <w:rsid w:val="00842460"/>
    <w:rsid w:val="008460B5"/>
    <w:rsid w:val="00853B28"/>
    <w:rsid w:val="00854AAE"/>
    <w:rsid w:val="00856DD4"/>
    <w:rsid w:val="0086750E"/>
    <w:rsid w:val="008717DE"/>
    <w:rsid w:val="00875BE8"/>
    <w:rsid w:val="00883781"/>
    <w:rsid w:val="00890BB9"/>
    <w:rsid w:val="008920EB"/>
    <w:rsid w:val="008A30B2"/>
    <w:rsid w:val="008A36A8"/>
    <w:rsid w:val="008A6A2C"/>
    <w:rsid w:val="008B67C6"/>
    <w:rsid w:val="008B6E8F"/>
    <w:rsid w:val="008C4CF7"/>
    <w:rsid w:val="008F000D"/>
    <w:rsid w:val="008F1AE5"/>
    <w:rsid w:val="008F277C"/>
    <w:rsid w:val="008F33B9"/>
    <w:rsid w:val="00904543"/>
    <w:rsid w:val="00904B00"/>
    <w:rsid w:val="0090759A"/>
    <w:rsid w:val="0091186F"/>
    <w:rsid w:val="0091552C"/>
    <w:rsid w:val="00927395"/>
    <w:rsid w:val="00933B2B"/>
    <w:rsid w:val="00936148"/>
    <w:rsid w:val="00936F2D"/>
    <w:rsid w:val="009436C2"/>
    <w:rsid w:val="0095174E"/>
    <w:rsid w:val="00952039"/>
    <w:rsid w:val="0095590C"/>
    <w:rsid w:val="00967847"/>
    <w:rsid w:val="00970664"/>
    <w:rsid w:val="00972FC0"/>
    <w:rsid w:val="00991B92"/>
    <w:rsid w:val="00995CD2"/>
    <w:rsid w:val="009A2B9E"/>
    <w:rsid w:val="009A2DC3"/>
    <w:rsid w:val="009A43AC"/>
    <w:rsid w:val="009B2FFE"/>
    <w:rsid w:val="009B383B"/>
    <w:rsid w:val="009C2987"/>
    <w:rsid w:val="009D0A61"/>
    <w:rsid w:val="009D259D"/>
    <w:rsid w:val="009D507B"/>
    <w:rsid w:val="009E2AB8"/>
    <w:rsid w:val="009E41A4"/>
    <w:rsid w:val="009E7410"/>
    <w:rsid w:val="009E7DB3"/>
    <w:rsid w:val="00A021A8"/>
    <w:rsid w:val="00A03737"/>
    <w:rsid w:val="00A047A5"/>
    <w:rsid w:val="00A05DC6"/>
    <w:rsid w:val="00A1240E"/>
    <w:rsid w:val="00A12618"/>
    <w:rsid w:val="00A164D9"/>
    <w:rsid w:val="00A17901"/>
    <w:rsid w:val="00A205BB"/>
    <w:rsid w:val="00A22B32"/>
    <w:rsid w:val="00A239AD"/>
    <w:rsid w:val="00A24966"/>
    <w:rsid w:val="00A256F7"/>
    <w:rsid w:val="00A30F29"/>
    <w:rsid w:val="00A31161"/>
    <w:rsid w:val="00A335FC"/>
    <w:rsid w:val="00A350B7"/>
    <w:rsid w:val="00A37162"/>
    <w:rsid w:val="00A433A1"/>
    <w:rsid w:val="00A46D57"/>
    <w:rsid w:val="00A531CC"/>
    <w:rsid w:val="00A54659"/>
    <w:rsid w:val="00A562A0"/>
    <w:rsid w:val="00A63939"/>
    <w:rsid w:val="00A67A1F"/>
    <w:rsid w:val="00A716C6"/>
    <w:rsid w:val="00A72BB4"/>
    <w:rsid w:val="00A74661"/>
    <w:rsid w:val="00A81DB7"/>
    <w:rsid w:val="00A84E32"/>
    <w:rsid w:val="00A85D47"/>
    <w:rsid w:val="00A9511F"/>
    <w:rsid w:val="00A97E3C"/>
    <w:rsid w:val="00AA0BD5"/>
    <w:rsid w:val="00AA75FF"/>
    <w:rsid w:val="00AA7E9E"/>
    <w:rsid w:val="00AB17EB"/>
    <w:rsid w:val="00AC1C4D"/>
    <w:rsid w:val="00AD77B8"/>
    <w:rsid w:val="00AD7F31"/>
    <w:rsid w:val="00AE3704"/>
    <w:rsid w:val="00AF062D"/>
    <w:rsid w:val="00AF165F"/>
    <w:rsid w:val="00B002E7"/>
    <w:rsid w:val="00B0211E"/>
    <w:rsid w:val="00B06E64"/>
    <w:rsid w:val="00B1341C"/>
    <w:rsid w:val="00B14027"/>
    <w:rsid w:val="00B14470"/>
    <w:rsid w:val="00B21332"/>
    <w:rsid w:val="00B23AB6"/>
    <w:rsid w:val="00B23BF5"/>
    <w:rsid w:val="00B252FD"/>
    <w:rsid w:val="00B30234"/>
    <w:rsid w:val="00B304C6"/>
    <w:rsid w:val="00B3214F"/>
    <w:rsid w:val="00B344A0"/>
    <w:rsid w:val="00B375E7"/>
    <w:rsid w:val="00B4026F"/>
    <w:rsid w:val="00B41487"/>
    <w:rsid w:val="00B45F3B"/>
    <w:rsid w:val="00B468F4"/>
    <w:rsid w:val="00B60DB4"/>
    <w:rsid w:val="00B62C3B"/>
    <w:rsid w:val="00B63A5D"/>
    <w:rsid w:val="00B63B2E"/>
    <w:rsid w:val="00B64D49"/>
    <w:rsid w:val="00B7545C"/>
    <w:rsid w:val="00B77E04"/>
    <w:rsid w:val="00B800CE"/>
    <w:rsid w:val="00B92B66"/>
    <w:rsid w:val="00B95AB7"/>
    <w:rsid w:val="00BA1036"/>
    <w:rsid w:val="00BA7193"/>
    <w:rsid w:val="00BA7506"/>
    <w:rsid w:val="00BB019B"/>
    <w:rsid w:val="00BB2C56"/>
    <w:rsid w:val="00BB410F"/>
    <w:rsid w:val="00BC1D5F"/>
    <w:rsid w:val="00BD0BAE"/>
    <w:rsid w:val="00BE0CFC"/>
    <w:rsid w:val="00BE28B0"/>
    <w:rsid w:val="00BF0332"/>
    <w:rsid w:val="00BF0A98"/>
    <w:rsid w:val="00BF22B0"/>
    <w:rsid w:val="00BF3C07"/>
    <w:rsid w:val="00BF46F1"/>
    <w:rsid w:val="00C00132"/>
    <w:rsid w:val="00C015F8"/>
    <w:rsid w:val="00C018A8"/>
    <w:rsid w:val="00C019AD"/>
    <w:rsid w:val="00C307D0"/>
    <w:rsid w:val="00C31895"/>
    <w:rsid w:val="00C351AB"/>
    <w:rsid w:val="00C46918"/>
    <w:rsid w:val="00C50A64"/>
    <w:rsid w:val="00C50BF2"/>
    <w:rsid w:val="00C52867"/>
    <w:rsid w:val="00C54D75"/>
    <w:rsid w:val="00C55EC3"/>
    <w:rsid w:val="00C570DD"/>
    <w:rsid w:val="00C752B7"/>
    <w:rsid w:val="00C76F47"/>
    <w:rsid w:val="00C809DC"/>
    <w:rsid w:val="00C86FBA"/>
    <w:rsid w:val="00C87B0D"/>
    <w:rsid w:val="00C90FE8"/>
    <w:rsid w:val="00C96837"/>
    <w:rsid w:val="00CA00FB"/>
    <w:rsid w:val="00CB0B42"/>
    <w:rsid w:val="00CB2B87"/>
    <w:rsid w:val="00CB5349"/>
    <w:rsid w:val="00CB7F67"/>
    <w:rsid w:val="00CC25C7"/>
    <w:rsid w:val="00CC2E5E"/>
    <w:rsid w:val="00CC34D3"/>
    <w:rsid w:val="00CC69CD"/>
    <w:rsid w:val="00CC70E1"/>
    <w:rsid w:val="00CD4453"/>
    <w:rsid w:val="00CD46F7"/>
    <w:rsid w:val="00CD4C74"/>
    <w:rsid w:val="00CE4BF6"/>
    <w:rsid w:val="00CE794F"/>
    <w:rsid w:val="00CF3A7C"/>
    <w:rsid w:val="00CF4C64"/>
    <w:rsid w:val="00D0005C"/>
    <w:rsid w:val="00D02033"/>
    <w:rsid w:val="00D0775D"/>
    <w:rsid w:val="00D107CB"/>
    <w:rsid w:val="00D15467"/>
    <w:rsid w:val="00D20451"/>
    <w:rsid w:val="00D21C33"/>
    <w:rsid w:val="00D229DA"/>
    <w:rsid w:val="00D22E82"/>
    <w:rsid w:val="00D24414"/>
    <w:rsid w:val="00D3738A"/>
    <w:rsid w:val="00D373DD"/>
    <w:rsid w:val="00D439F5"/>
    <w:rsid w:val="00D50602"/>
    <w:rsid w:val="00D53507"/>
    <w:rsid w:val="00D75612"/>
    <w:rsid w:val="00D76815"/>
    <w:rsid w:val="00D7797E"/>
    <w:rsid w:val="00D8083A"/>
    <w:rsid w:val="00D93B3E"/>
    <w:rsid w:val="00DA1B31"/>
    <w:rsid w:val="00DB134B"/>
    <w:rsid w:val="00DB6817"/>
    <w:rsid w:val="00DD2172"/>
    <w:rsid w:val="00DD262B"/>
    <w:rsid w:val="00DD385A"/>
    <w:rsid w:val="00DE3F61"/>
    <w:rsid w:val="00E0651C"/>
    <w:rsid w:val="00E133CC"/>
    <w:rsid w:val="00E1491A"/>
    <w:rsid w:val="00E23620"/>
    <w:rsid w:val="00E24C22"/>
    <w:rsid w:val="00E25ED6"/>
    <w:rsid w:val="00E32963"/>
    <w:rsid w:val="00E34FBA"/>
    <w:rsid w:val="00E36DD0"/>
    <w:rsid w:val="00E37A27"/>
    <w:rsid w:val="00E40FAE"/>
    <w:rsid w:val="00E42313"/>
    <w:rsid w:val="00E43F98"/>
    <w:rsid w:val="00E46D97"/>
    <w:rsid w:val="00E50F05"/>
    <w:rsid w:val="00E565DE"/>
    <w:rsid w:val="00E57572"/>
    <w:rsid w:val="00E62CAA"/>
    <w:rsid w:val="00E62E1C"/>
    <w:rsid w:val="00E63BF1"/>
    <w:rsid w:val="00E6660E"/>
    <w:rsid w:val="00E6782E"/>
    <w:rsid w:val="00E73D17"/>
    <w:rsid w:val="00E760AE"/>
    <w:rsid w:val="00E82110"/>
    <w:rsid w:val="00E86C64"/>
    <w:rsid w:val="00E8773B"/>
    <w:rsid w:val="00E92B4E"/>
    <w:rsid w:val="00E937A0"/>
    <w:rsid w:val="00EA07C0"/>
    <w:rsid w:val="00EA2C97"/>
    <w:rsid w:val="00EA2F1F"/>
    <w:rsid w:val="00EA5198"/>
    <w:rsid w:val="00EB0069"/>
    <w:rsid w:val="00EB15B2"/>
    <w:rsid w:val="00EB3CAD"/>
    <w:rsid w:val="00EC1CAB"/>
    <w:rsid w:val="00EC4592"/>
    <w:rsid w:val="00EC5992"/>
    <w:rsid w:val="00EE4234"/>
    <w:rsid w:val="00EE7A18"/>
    <w:rsid w:val="00EF1874"/>
    <w:rsid w:val="00EF597F"/>
    <w:rsid w:val="00EF68D5"/>
    <w:rsid w:val="00F031D1"/>
    <w:rsid w:val="00F06D5A"/>
    <w:rsid w:val="00F077DA"/>
    <w:rsid w:val="00F26196"/>
    <w:rsid w:val="00F319EC"/>
    <w:rsid w:val="00F4446F"/>
    <w:rsid w:val="00F527DE"/>
    <w:rsid w:val="00F53731"/>
    <w:rsid w:val="00F5656B"/>
    <w:rsid w:val="00F63617"/>
    <w:rsid w:val="00F63FC4"/>
    <w:rsid w:val="00F653A2"/>
    <w:rsid w:val="00F65A5D"/>
    <w:rsid w:val="00F66862"/>
    <w:rsid w:val="00F71707"/>
    <w:rsid w:val="00F80531"/>
    <w:rsid w:val="00F82682"/>
    <w:rsid w:val="00F83F21"/>
    <w:rsid w:val="00F86018"/>
    <w:rsid w:val="00F86537"/>
    <w:rsid w:val="00F90BE1"/>
    <w:rsid w:val="00F935B9"/>
    <w:rsid w:val="00F93B96"/>
    <w:rsid w:val="00FA19D6"/>
    <w:rsid w:val="00FA2FD7"/>
    <w:rsid w:val="00FA3F81"/>
    <w:rsid w:val="00FA615F"/>
    <w:rsid w:val="00FB0420"/>
    <w:rsid w:val="00FB14E2"/>
    <w:rsid w:val="00FB6C5E"/>
    <w:rsid w:val="00FB6E87"/>
    <w:rsid w:val="00FB71DB"/>
    <w:rsid w:val="00FC2A7A"/>
    <w:rsid w:val="00FD5529"/>
    <w:rsid w:val="00FE20DD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E9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235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3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5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D63F3"/>
    <w:pPr>
      <w:spacing w:after="0" w:line="240" w:lineRule="auto"/>
    </w:pPr>
  </w:style>
  <w:style w:type="paragraph" w:customStyle="1" w:styleId="naiskr">
    <w:name w:val="naiskr"/>
    <w:basedOn w:val="Normal"/>
    <w:uiPriority w:val="99"/>
    <w:rsid w:val="004077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B2"/>
  </w:style>
  <w:style w:type="paragraph" w:styleId="Footer">
    <w:name w:val="footer"/>
    <w:basedOn w:val="Normal"/>
    <w:link w:val="Foot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B2"/>
  </w:style>
  <w:style w:type="paragraph" w:styleId="ListParagraph">
    <w:name w:val="List Paragraph"/>
    <w:basedOn w:val="Normal"/>
    <w:uiPriority w:val="34"/>
    <w:qFormat/>
    <w:rsid w:val="00190E45"/>
    <w:pPr>
      <w:spacing w:after="200" w:line="276" w:lineRule="auto"/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740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235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3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5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D63F3"/>
    <w:pPr>
      <w:spacing w:after="0" w:line="240" w:lineRule="auto"/>
    </w:pPr>
  </w:style>
  <w:style w:type="paragraph" w:customStyle="1" w:styleId="naiskr">
    <w:name w:val="naiskr"/>
    <w:basedOn w:val="Normal"/>
    <w:uiPriority w:val="99"/>
    <w:rsid w:val="0040776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B2"/>
  </w:style>
  <w:style w:type="paragraph" w:styleId="Footer">
    <w:name w:val="footer"/>
    <w:basedOn w:val="Normal"/>
    <w:link w:val="FooterChar"/>
    <w:uiPriority w:val="99"/>
    <w:unhideWhenUsed/>
    <w:rsid w:val="00EB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B2"/>
  </w:style>
  <w:style w:type="paragraph" w:styleId="ListParagraph">
    <w:name w:val="List Paragraph"/>
    <w:basedOn w:val="Normal"/>
    <w:uiPriority w:val="34"/>
    <w:qFormat/>
    <w:rsid w:val="00190E45"/>
    <w:pPr>
      <w:spacing w:after="200" w:line="276" w:lineRule="auto"/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740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987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47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11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urs.oss@lj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F10E-FF82-434B-B19A-EE99959E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5505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21.decembra noteikumos Nr.1164 "Ostas valsts kontroles kārtība"</vt:lpstr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 Nr.1164 "Ostas valsts kontroles kārtība"</dc:title>
  <dc:subject>Anotācija</dc:subject>
  <dc:creator>Laima Rituma, Sandra Lielbārde</dc:creator>
  <cp:keywords/>
  <dc:description>L.Rituma
67028198
S.Lielbārde</dc:description>
  <cp:lastModifiedBy>Laima Rituma</cp:lastModifiedBy>
  <cp:revision>11</cp:revision>
  <cp:lastPrinted>2017-03-13T08:00:00Z</cp:lastPrinted>
  <dcterms:created xsi:type="dcterms:W3CDTF">2017-03-06T08:51:00Z</dcterms:created>
  <dcterms:modified xsi:type="dcterms:W3CDTF">2017-03-27T05:57:00Z</dcterms:modified>
</cp:coreProperties>
</file>