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r w:rsidRPr="00D521B0">
        <w:rPr>
          <w:b/>
          <w:sz w:val="24"/>
          <w:szCs w:val="24"/>
        </w:rPr>
        <w:t>Ministru kabineta noteikumu projekta</w:t>
      </w:r>
    </w:p>
    <w:p w:rsidR="00BF1B85" w:rsidRDefault="00BF1B85" w:rsidP="004F5B81">
      <w:pPr>
        <w:ind w:right="-234" w:firstLine="0"/>
        <w:jc w:val="center"/>
        <w:rPr>
          <w:rFonts w:eastAsia="Times New Roman"/>
          <w:b/>
          <w:sz w:val="16"/>
          <w:szCs w:val="16"/>
          <w:lang w:eastAsia="lv-LV"/>
        </w:rPr>
      </w:pPr>
      <w:r w:rsidRPr="00D521B0">
        <w:rPr>
          <w:b/>
          <w:sz w:val="24"/>
          <w:szCs w:val="24"/>
        </w:rPr>
        <w:t>„Grozījumi Ministru kabineta 20</w:t>
      </w:r>
      <w:r w:rsidR="00F07E95" w:rsidRPr="00D521B0">
        <w:rPr>
          <w:b/>
          <w:sz w:val="24"/>
          <w:szCs w:val="24"/>
        </w:rPr>
        <w:t>10</w:t>
      </w:r>
      <w:r w:rsidRPr="00D521B0">
        <w:rPr>
          <w:b/>
          <w:sz w:val="24"/>
          <w:szCs w:val="24"/>
        </w:rPr>
        <w:t xml:space="preserve">.gada </w:t>
      </w:r>
      <w:r w:rsidR="00F07E95" w:rsidRPr="00D521B0">
        <w:rPr>
          <w:b/>
          <w:sz w:val="24"/>
          <w:szCs w:val="24"/>
        </w:rPr>
        <w:t>30</w:t>
      </w:r>
      <w:r w:rsidRPr="00D521B0">
        <w:rPr>
          <w:b/>
          <w:sz w:val="24"/>
          <w:szCs w:val="24"/>
        </w:rPr>
        <w:t>.</w:t>
      </w:r>
      <w:r w:rsidR="00F07E95" w:rsidRPr="00D521B0">
        <w:rPr>
          <w:b/>
          <w:sz w:val="24"/>
          <w:szCs w:val="24"/>
        </w:rPr>
        <w:t>nov</w:t>
      </w:r>
      <w:r w:rsidRPr="00D521B0">
        <w:rPr>
          <w:b/>
          <w:sz w:val="24"/>
          <w:szCs w:val="24"/>
        </w:rPr>
        <w:t>embra noteikumos Nr.</w:t>
      </w:r>
      <w:r w:rsidR="00F07E95" w:rsidRPr="00D521B0">
        <w:rPr>
          <w:b/>
          <w:sz w:val="24"/>
          <w:szCs w:val="24"/>
        </w:rPr>
        <w:t>1080</w:t>
      </w:r>
      <w:r w:rsidRPr="00D521B0">
        <w:rPr>
          <w:b/>
          <w:sz w:val="24"/>
          <w:szCs w:val="24"/>
        </w:rPr>
        <w:t xml:space="preserve"> „Transportlīdzekļu </w:t>
      </w:r>
      <w:r w:rsidR="00F07E95" w:rsidRPr="00D521B0">
        <w:rPr>
          <w:b/>
          <w:sz w:val="24"/>
          <w:szCs w:val="24"/>
        </w:rPr>
        <w:t>reģistrācij</w:t>
      </w:r>
      <w:r w:rsidRPr="00D521B0">
        <w:rPr>
          <w:b/>
          <w:sz w:val="24"/>
          <w:szCs w:val="24"/>
        </w:rPr>
        <w:t>as noteikumi”</w:t>
      </w:r>
      <w:r w:rsidR="0059615D">
        <w:rPr>
          <w:b/>
          <w:sz w:val="24"/>
          <w:szCs w:val="24"/>
        </w:rPr>
        <w:t>”</w:t>
      </w:r>
      <w:r w:rsidRPr="00D521B0">
        <w:rPr>
          <w:b/>
          <w:sz w:val="24"/>
          <w:szCs w:val="24"/>
        </w:rPr>
        <w:t xml:space="preserve"> sākotnējās ietekmes novērtējuma ziņojums (anotācija)</w:t>
      </w:r>
      <w:r w:rsidRPr="00D90274">
        <w:rPr>
          <w:rFonts w:eastAsia="Times New Roman"/>
          <w:b/>
          <w:sz w:val="16"/>
          <w:szCs w:val="16"/>
          <w:lang w:eastAsia="lv-LV"/>
        </w:rPr>
        <w:t xml:space="preserve"> </w:t>
      </w:r>
    </w:p>
    <w:p w:rsidR="0059615D" w:rsidRPr="004F5B81" w:rsidRDefault="0059615D" w:rsidP="004F5B81">
      <w:pPr>
        <w:ind w:right="-234" w:firstLine="0"/>
        <w:jc w:val="center"/>
        <w:rPr>
          <w:b/>
          <w:sz w:val="24"/>
          <w:szCs w:val="24"/>
        </w:rPr>
      </w:pPr>
    </w:p>
    <w:tbl>
      <w:tblPr>
        <w:tblW w:w="9495"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3301"/>
        <w:gridCol w:w="68"/>
        <w:gridCol w:w="5599"/>
      </w:tblGrid>
      <w:tr w:rsidR="00D521B0" w:rsidRPr="00D521B0" w:rsidTr="00967F6C">
        <w:trPr>
          <w:tblCellSpacing w:w="0" w:type="dxa"/>
        </w:trPr>
        <w:tc>
          <w:tcPr>
            <w:tcW w:w="9495" w:type="dxa"/>
            <w:gridSpan w:val="4"/>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967F6C">
        <w:trPr>
          <w:trHeight w:val="735"/>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301"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Pamatojums</w:t>
            </w:r>
          </w:p>
        </w:tc>
        <w:tc>
          <w:tcPr>
            <w:tcW w:w="5667" w:type="dxa"/>
            <w:gridSpan w:val="2"/>
            <w:tcBorders>
              <w:top w:val="outset" w:sz="6" w:space="0" w:color="auto"/>
              <w:left w:val="outset" w:sz="6" w:space="0" w:color="auto"/>
              <w:bottom w:val="outset" w:sz="6" w:space="0" w:color="auto"/>
              <w:right w:val="outset" w:sz="6" w:space="0" w:color="auto"/>
            </w:tcBorders>
          </w:tcPr>
          <w:p w:rsidR="003838F3" w:rsidRDefault="007C57A4" w:rsidP="00F07E95">
            <w:pPr>
              <w:spacing w:line="240" w:lineRule="auto"/>
              <w:ind w:firstLine="0"/>
              <w:rPr>
                <w:rFonts w:eastAsia="Times New Roman"/>
                <w:sz w:val="24"/>
                <w:szCs w:val="24"/>
                <w:lang w:eastAsia="lv-LV"/>
              </w:rPr>
            </w:pPr>
            <w:r w:rsidRPr="00D521B0">
              <w:rPr>
                <w:rFonts w:eastAsia="Times New Roman"/>
                <w:sz w:val="24"/>
                <w:szCs w:val="24"/>
                <w:lang w:eastAsia="lv-LV"/>
              </w:rPr>
              <w:t xml:space="preserve"> </w:t>
            </w:r>
            <w:r w:rsidR="00BF1B85" w:rsidRPr="00D521B0">
              <w:rPr>
                <w:rFonts w:eastAsia="Times New Roman"/>
                <w:sz w:val="24"/>
                <w:szCs w:val="24"/>
                <w:lang w:eastAsia="lv-LV"/>
              </w:rPr>
              <w:t xml:space="preserve">Ceļu satiksmes likuma </w:t>
            </w:r>
            <w:r w:rsidR="00F07E95" w:rsidRPr="00D521B0">
              <w:rPr>
                <w:rFonts w:eastAsia="Times New Roman"/>
                <w:sz w:val="24"/>
                <w:szCs w:val="24"/>
                <w:lang w:eastAsia="lv-LV"/>
              </w:rPr>
              <w:t>10</w:t>
            </w:r>
            <w:r w:rsidR="00BF1B85" w:rsidRPr="00D521B0">
              <w:rPr>
                <w:rFonts w:eastAsia="Times New Roman"/>
                <w:sz w:val="24"/>
                <w:szCs w:val="24"/>
                <w:lang w:eastAsia="lv-LV"/>
              </w:rPr>
              <w:t>.</w:t>
            </w:r>
            <w:r w:rsidR="00F07E95" w:rsidRPr="00D521B0">
              <w:rPr>
                <w:rFonts w:eastAsia="Times New Roman"/>
                <w:sz w:val="24"/>
                <w:szCs w:val="24"/>
                <w:lang w:eastAsia="lv-LV"/>
              </w:rPr>
              <w:t>panta 1.</w:t>
            </w:r>
            <w:r w:rsidR="00F07E95" w:rsidRPr="00D521B0">
              <w:rPr>
                <w:rFonts w:eastAsia="Times New Roman"/>
                <w:sz w:val="24"/>
                <w:szCs w:val="24"/>
                <w:vertAlign w:val="superscript"/>
                <w:lang w:eastAsia="lv-LV"/>
              </w:rPr>
              <w:t>4</w:t>
            </w:r>
            <w:r w:rsidR="00F07E95" w:rsidRPr="00D521B0">
              <w:rPr>
                <w:rFonts w:eastAsia="Times New Roman"/>
                <w:sz w:val="24"/>
                <w:szCs w:val="24"/>
                <w:lang w:eastAsia="lv-LV"/>
              </w:rPr>
              <w:t xml:space="preserve"> daļa un 10.</w:t>
            </w:r>
            <w:r w:rsidR="00F07E95" w:rsidRPr="00D521B0">
              <w:rPr>
                <w:rFonts w:eastAsia="Times New Roman"/>
                <w:sz w:val="24"/>
                <w:szCs w:val="24"/>
                <w:vertAlign w:val="superscript"/>
                <w:lang w:eastAsia="lv-LV"/>
              </w:rPr>
              <w:t>2</w:t>
            </w:r>
            <w:r w:rsidR="00BF1B85" w:rsidRPr="00D521B0">
              <w:rPr>
                <w:rFonts w:eastAsia="Times New Roman"/>
                <w:sz w:val="24"/>
                <w:szCs w:val="24"/>
                <w:lang w:eastAsia="lv-LV"/>
              </w:rPr>
              <w:t>panta ceturt</w:t>
            </w:r>
            <w:r w:rsidR="009E4FE9" w:rsidRPr="00D521B0">
              <w:rPr>
                <w:rFonts w:eastAsia="Times New Roman"/>
                <w:sz w:val="24"/>
                <w:szCs w:val="24"/>
                <w:lang w:eastAsia="lv-LV"/>
              </w:rPr>
              <w:t>ā</w:t>
            </w:r>
            <w:r w:rsidR="00961302">
              <w:rPr>
                <w:rFonts w:eastAsia="Times New Roman"/>
                <w:sz w:val="24"/>
                <w:szCs w:val="24"/>
                <w:lang w:eastAsia="lv-LV"/>
              </w:rPr>
              <w:t xml:space="preserve"> daļa. </w:t>
            </w:r>
          </w:p>
          <w:p w:rsidR="003838F3" w:rsidRPr="00D521B0" w:rsidRDefault="003838F3" w:rsidP="003838F3">
            <w:pPr>
              <w:spacing w:line="240" w:lineRule="auto"/>
              <w:ind w:firstLine="0"/>
              <w:rPr>
                <w:rFonts w:eastAsia="Times New Roman"/>
                <w:sz w:val="24"/>
                <w:szCs w:val="24"/>
                <w:lang w:eastAsia="lv-LV"/>
              </w:rPr>
            </w:pP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9"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0"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p>
        </w:tc>
      </w:tr>
      <w:tr w:rsidR="00D521B0" w:rsidRPr="00D521B0" w:rsidTr="0059615D">
        <w:trPr>
          <w:trHeight w:val="938"/>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301" w:type="dxa"/>
            <w:tcBorders>
              <w:top w:val="outset" w:sz="6" w:space="0" w:color="auto"/>
              <w:left w:val="outset" w:sz="6" w:space="0" w:color="auto"/>
              <w:bottom w:val="outset" w:sz="6" w:space="0" w:color="auto"/>
              <w:right w:val="outset" w:sz="6" w:space="0" w:color="auto"/>
            </w:tcBorders>
          </w:tcPr>
          <w:p w:rsidR="00A81D9B" w:rsidRPr="00D521B0" w:rsidRDefault="00BF1B85" w:rsidP="009E4FE9">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BF1B85" w:rsidRPr="00D521B0" w:rsidRDefault="00A81D9B" w:rsidP="00A81D9B">
            <w:pPr>
              <w:tabs>
                <w:tab w:val="left" w:pos="1728"/>
              </w:tabs>
              <w:rPr>
                <w:rFonts w:eastAsia="Times New Roman"/>
                <w:sz w:val="24"/>
                <w:szCs w:val="24"/>
                <w:lang w:eastAsia="lv-LV"/>
              </w:rPr>
            </w:pPr>
            <w:r w:rsidRPr="00D521B0">
              <w:rPr>
                <w:rFonts w:eastAsia="Times New Roman"/>
                <w:sz w:val="24"/>
                <w:szCs w:val="24"/>
                <w:lang w:eastAsia="lv-LV"/>
              </w:rPr>
              <w:tab/>
            </w:r>
          </w:p>
        </w:tc>
        <w:tc>
          <w:tcPr>
            <w:tcW w:w="5667" w:type="dxa"/>
            <w:gridSpan w:val="2"/>
            <w:tcBorders>
              <w:top w:val="outset" w:sz="6" w:space="0" w:color="auto"/>
              <w:left w:val="outset" w:sz="6" w:space="0" w:color="auto"/>
              <w:bottom w:val="outset" w:sz="6" w:space="0" w:color="auto"/>
              <w:right w:val="outset" w:sz="6" w:space="0" w:color="auto"/>
            </w:tcBorders>
          </w:tcPr>
          <w:p w:rsidR="003838F3" w:rsidRDefault="003838F3" w:rsidP="00C77464">
            <w:pPr>
              <w:spacing w:line="240" w:lineRule="auto"/>
              <w:ind w:firstLine="360"/>
              <w:rPr>
                <w:sz w:val="24"/>
                <w:szCs w:val="24"/>
              </w:rPr>
            </w:pPr>
            <w:r w:rsidRPr="003838F3">
              <w:rPr>
                <w:sz w:val="24"/>
                <w:szCs w:val="24"/>
              </w:rPr>
              <w:t>Latvijai jāpārņem</w:t>
            </w:r>
            <w:r>
              <w:rPr>
                <w:sz w:val="24"/>
                <w:szCs w:val="24"/>
              </w:rPr>
              <w:t xml:space="preserve"> </w:t>
            </w: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11"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2"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Pr>
                <w:rFonts w:eastAsia="Times New Roman"/>
                <w:sz w:val="24"/>
                <w:szCs w:val="24"/>
                <w:lang w:eastAsia="lv-LV"/>
              </w:rPr>
              <w:t xml:space="preserve"> (turpmāk – Direktīva). </w:t>
            </w:r>
          </w:p>
          <w:p w:rsidR="007F2AAB" w:rsidRPr="007F2AAB" w:rsidRDefault="007F2AAB" w:rsidP="00C77464">
            <w:pPr>
              <w:spacing w:line="240" w:lineRule="auto"/>
              <w:ind w:firstLine="360"/>
              <w:rPr>
                <w:sz w:val="24"/>
                <w:szCs w:val="24"/>
              </w:rPr>
            </w:pPr>
            <w:r>
              <w:rPr>
                <w:sz w:val="24"/>
                <w:szCs w:val="24"/>
              </w:rPr>
              <w:t xml:space="preserve">Direktīvā ietvertie jautājumi transportlīdzekļu reģistrācijas jomā jau laika gaitā </w:t>
            </w:r>
            <w:r w:rsidR="00150669">
              <w:rPr>
                <w:sz w:val="24"/>
                <w:szCs w:val="24"/>
              </w:rPr>
              <w:t xml:space="preserve">pēc </w:t>
            </w:r>
            <w:r>
              <w:rPr>
                <w:sz w:val="24"/>
                <w:szCs w:val="24"/>
              </w:rPr>
              <w:t xml:space="preserve">tās spēkā stāšanās </w:t>
            </w:r>
            <w:r w:rsidR="00150669">
              <w:rPr>
                <w:sz w:val="24"/>
                <w:szCs w:val="24"/>
              </w:rPr>
              <w:t xml:space="preserve">pamatā </w:t>
            </w:r>
            <w:r>
              <w:rPr>
                <w:sz w:val="24"/>
                <w:szCs w:val="24"/>
              </w:rPr>
              <w:t xml:space="preserve">ir pārņemti un ieviesti praksē, izdarot arī grozījumus un precizējumus </w:t>
            </w:r>
            <w:r w:rsidRPr="007F2AAB">
              <w:rPr>
                <w:sz w:val="24"/>
                <w:szCs w:val="24"/>
              </w:rPr>
              <w:t xml:space="preserve">normatīvajos aktos, taču līdz šim </w:t>
            </w:r>
            <w:r w:rsidR="00C77464" w:rsidRPr="007F2AAB">
              <w:rPr>
                <w:sz w:val="24"/>
                <w:szCs w:val="24"/>
              </w:rPr>
              <w:t xml:space="preserve">Ministru kabineta 2010.gada 30.novembra noteikumos Nr.1080 „Transportlīdzekļu reģistrācijas noteikumi” (turpmāk – Noteikumi) </w:t>
            </w:r>
            <w:r w:rsidRPr="007F2AAB">
              <w:rPr>
                <w:sz w:val="24"/>
                <w:szCs w:val="24"/>
              </w:rPr>
              <w:t>nav bijusi izdarīta atsauce par šīs Direktīvas pārņemšanu, līdz ar to atbilstoši ir precizēts Noteikumu projekts.</w:t>
            </w:r>
          </w:p>
          <w:p w:rsidR="00A6545D" w:rsidRPr="003838F3" w:rsidRDefault="00A6545D" w:rsidP="0059615D">
            <w:pPr>
              <w:spacing w:line="240" w:lineRule="auto"/>
              <w:ind w:firstLine="360"/>
              <w:rPr>
                <w:sz w:val="24"/>
                <w:szCs w:val="24"/>
              </w:rPr>
            </w:pPr>
            <w:r w:rsidRPr="003838F3">
              <w:rPr>
                <w:sz w:val="24"/>
                <w:szCs w:val="24"/>
              </w:rPr>
              <w:t>Izstrādājot</w:t>
            </w:r>
            <w:r w:rsidR="0059615D">
              <w:rPr>
                <w:sz w:val="24"/>
                <w:szCs w:val="24"/>
              </w:rPr>
              <w:t xml:space="preserve"> </w:t>
            </w:r>
            <w:r w:rsidR="0059615D" w:rsidRPr="0059615D">
              <w:rPr>
                <w:sz w:val="24"/>
                <w:szCs w:val="24"/>
              </w:rPr>
              <w:t>Mini</w:t>
            </w:r>
            <w:r w:rsidR="0059615D">
              <w:rPr>
                <w:sz w:val="24"/>
                <w:szCs w:val="24"/>
              </w:rPr>
              <w:t xml:space="preserve">stru kabineta noteikumu projektu </w:t>
            </w:r>
            <w:r w:rsidR="0059615D" w:rsidRPr="0059615D">
              <w:rPr>
                <w:sz w:val="24"/>
                <w:szCs w:val="24"/>
              </w:rPr>
              <w:t>„Grozījumi Ministru kabineta 2010.gada 30.novembra noteikumos Nr.1080 „Transportlīdzekļu reģistrācijas noteikumi””</w:t>
            </w:r>
            <w:r w:rsidR="0059615D">
              <w:rPr>
                <w:sz w:val="24"/>
                <w:szCs w:val="24"/>
              </w:rPr>
              <w:t xml:space="preserve"> (turpmāk-Noteikumu projekts)</w:t>
            </w:r>
            <w:r w:rsidRPr="003838F3">
              <w:rPr>
                <w:sz w:val="24"/>
                <w:szCs w:val="24"/>
              </w:rPr>
              <w:t>, saskaņā ar Ministru kabineta 2016.gada 21.septembra rīkojuma Nr.534 “Par konceptuālo ziņojumu “Par Latvijas nacionālās standartizācijas sistēmas pilnveidošanu”” 3.punktu, ir izvērtēta iespēja noteikumos tiešās atsauces uz standartiem aizstāt ar netiešajām, taču secināts, ka noteikumos ir saglabājamas tiešās atsauces, jo saskaņā ar noteikumos minētiem standartiem ir identificēts noteikts objekts uz kuru ir attiecināmas arī citos ceļu satiksmes drošību un nodokļu iekasēšanas kārtību reglamentējošos normatīv</w:t>
            </w:r>
            <w:r w:rsidR="00C838DA" w:rsidRPr="003838F3">
              <w:rPr>
                <w:sz w:val="24"/>
                <w:szCs w:val="24"/>
              </w:rPr>
              <w:t>aj</w:t>
            </w:r>
            <w:r w:rsidRPr="003838F3">
              <w:rPr>
                <w:sz w:val="24"/>
                <w:szCs w:val="24"/>
              </w:rPr>
              <w:t>os aktos noteiktās prasības un šāda aizstāšana radītu neviennozīmīgu priekšstatu par attiecīgo normatīvo aktu piemērošanu.</w:t>
            </w:r>
            <w:r w:rsidR="00D7275F">
              <w:rPr>
                <w:sz w:val="24"/>
                <w:szCs w:val="24"/>
              </w:rPr>
              <w:t xml:space="preserve"> Tomēr, lai neradītu domstarpības par piemērojamā standarta aktuālo versiju un neradītu lieku administratīvo slogu, nodrošinot normatīvo aktu projekta izstrādi, izdarot pareizās atsauces uz standarta vai tā grozījumu reģistrācijas gadu, Noteikumu projektā ir svītrotas atsauces uz obligāti piemērojamo standartu izstrādes un reģistrācijas gadu.</w:t>
            </w:r>
          </w:p>
          <w:p w:rsidR="00D7275F" w:rsidRPr="00666607" w:rsidRDefault="00041478" w:rsidP="00A6545D">
            <w:pPr>
              <w:spacing w:line="240" w:lineRule="auto"/>
              <w:ind w:firstLine="360"/>
              <w:rPr>
                <w:sz w:val="24"/>
                <w:szCs w:val="24"/>
              </w:rPr>
            </w:pPr>
            <w:r w:rsidRPr="00D7275F">
              <w:rPr>
                <w:sz w:val="24"/>
                <w:szCs w:val="24"/>
              </w:rPr>
              <w:t xml:space="preserve">Lai </w:t>
            </w:r>
            <w:r w:rsidR="00D7275F" w:rsidRPr="00D7275F">
              <w:rPr>
                <w:sz w:val="24"/>
                <w:szCs w:val="24"/>
              </w:rPr>
              <w:t xml:space="preserve">ierobežotu neatļautu valsts reģistrācijas numuru realizāciju, kā arī lai palielinātu valsts reģistrācijas numuru izvēles un reģistrācijas iespējas, Noteikumu projektā ir iekļauti vairāki grozījumi un papildinājumi </w:t>
            </w:r>
            <w:r w:rsidR="00D7275F" w:rsidRPr="00D7275F">
              <w:rPr>
                <w:sz w:val="24"/>
                <w:szCs w:val="24"/>
              </w:rPr>
              <w:lastRenderedPageBreak/>
              <w:t xml:space="preserve">valsts reģistrācijas numuru </w:t>
            </w:r>
            <w:r w:rsidR="00D7275F" w:rsidRPr="00666607">
              <w:rPr>
                <w:sz w:val="24"/>
                <w:szCs w:val="24"/>
              </w:rPr>
              <w:t>aprites un reģistrācijas kārtībā.</w:t>
            </w:r>
          </w:p>
          <w:p w:rsidR="00041478" w:rsidRPr="00666607" w:rsidRDefault="00B73698" w:rsidP="00A6545D">
            <w:pPr>
              <w:spacing w:line="240" w:lineRule="auto"/>
              <w:ind w:firstLine="360"/>
              <w:rPr>
                <w:sz w:val="24"/>
                <w:szCs w:val="24"/>
              </w:rPr>
            </w:pPr>
            <w:r w:rsidRPr="00666607">
              <w:rPr>
                <w:sz w:val="24"/>
                <w:szCs w:val="24"/>
              </w:rPr>
              <w:t>Nolūkā mazināt administratīvo slogu, veicot transportlīdzekļu reģistrāciju, kā arī ņemot vērā arvien plašāk pieejamos elektroniskos pakalpojumus un Transportlīdzekļu reģistrā elektroniski izdarītās atzīmes, Noteikumu projektā ir iekļauti vairāki grozījumi ar kuriem paredzēts atteikties no līdz šim nepieciešamo pilnvaru iesniegšanas reģistrācijas veikšanai, kā arī paplašinātas transportlīdzekļu izgatavotāju pārstāvjiem paredzētās sadarbības iespējas, nodrošinot klientiem pārdoto transportlīdzekļu reģistrāciju.</w:t>
            </w:r>
            <w:r w:rsidR="00666607" w:rsidRPr="00666607">
              <w:rPr>
                <w:sz w:val="24"/>
                <w:szCs w:val="24"/>
              </w:rPr>
              <w:t xml:space="preserve"> Vienlaikus, mazinot administratīvo slogu, ir paredzēts atteikties no agregātu numuru salīdzināšanas veikšanas nozaudētu dokumentu atjaunošanai, sakarā ar šādu nozaudētu dokumentu ievietošanu starptautiski izmantojamās informatīvās sistēmās un atkārtotas vai nelegālas izmantošanas aizlieguma nodrošināšanu.</w:t>
            </w:r>
          </w:p>
          <w:p w:rsidR="00666607" w:rsidRPr="00666607" w:rsidRDefault="00666607" w:rsidP="00A6545D">
            <w:pPr>
              <w:spacing w:line="240" w:lineRule="auto"/>
              <w:ind w:firstLine="360"/>
              <w:rPr>
                <w:sz w:val="24"/>
                <w:szCs w:val="24"/>
              </w:rPr>
            </w:pPr>
            <w:r w:rsidRPr="00666607">
              <w:rPr>
                <w:sz w:val="24"/>
                <w:szCs w:val="24"/>
              </w:rPr>
              <w:t xml:space="preserve">Tāpat Noteikumu projektā ir izdarīti atsevišķi precizējumi, svītrojot liekas atsauces vai labojot un precizējot Noteikumu tekstu sakarā ar iepriekš izdarītiem grozījumiem Noteikumos vai citos normatīvos aktos.  </w:t>
            </w:r>
          </w:p>
          <w:p w:rsidR="00AE49A3" w:rsidRPr="00AE49A3" w:rsidRDefault="0059615D" w:rsidP="00AE49A3">
            <w:pPr>
              <w:rPr>
                <w:sz w:val="24"/>
                <w:szCs w:val="24"/>
              </w:rPr>
            </w:pPr>
            <w:r>
              <w:rPr>
                <w:sz w:val="24"/>
                <w:szCs w:val="24"/>
              </w:rPr>
              <w:t>Noteikumu 76.</w:t>
            </w:r>
            <w:r w:rsidR="00AE49A3" w:rsidRPr="00666607">
              <w:rPr>
                <w:sz w:val="24"/>
                <w:szCs w:val="24"/>
              </w:rPr>
              <w:t>punktā  noteikts</w:t>
            </w:r>
            <w:r w:rsidR="00AE49A3" w:rsidRPr="00AE49A3">
              <w:rPr>
                <w:sz w:val="24"/>
                <w:szCs w:val="24"/>
              </w:rPr>
              <w:t>, ka transportlīdzeklim vēsturiskā spēkrata statusu piešķir, ja tas atbilst spēkā esošajiem FIVA starptautiskajiem tehniskajiem noteikumiem (</w:t>
            </w:r>
            <w:r w:rsidR="00AE49A3" w:rsidRPr="0061769D">
              <w:rPr>
                <w:i/>
                <w:iCs/>
                <w:sz w:val="24"/>
                <w:szCs w:val="24"/>
              </w:rPr>
              <w:t>FIVA International Technical Code</w:t>
            </w:r>
            <w:r w:rsidR="00AE49A3" w:rsidRPr="00AE49A3">
              <w:rPr>
                <w:sz w:val="24"/>
                <w:szCs w:val="24"/>
              </w:rPr>
              <w:t>). Šos teh</w:t>
            </w:r>
            <w:r>
              <w:rPr>
                <w:sz w:val="24"/>
                <w:szCs w:val="24"/>
              </w:rPr>
              <w:t>niskos noteikumus 2010.</w:t>
            </w:r>
            <w:r w:rsidR="00AE49A3" w:rsidRPr="00AE49A3">
              <w:rPr>
                <w:sz w:val="24"/>
                <w:szCs w:val="24"/>
              </w:rPr>
              <w:t xml:space="preserve">gadā izdevusi starptautiska nevalstiska organizācija – Starptautiskā Antīko spēkratu federācija, kurā Latviju pārstāv biedrība “Latvijas Antīko Automobiļu klubs”. Tehnisko noteikumu normas ir neskaidri formulētas un interpretējamas. Noteikumi ir novecojuši, bet to jaunā redakcija vēl nav akceptēta. </w:t>
            </w:r>
          </w:p>
          <w:p w:rsidR="00AE49A3" w:rsidRPr="003838F3" w:rsidRDefault="00AE49A3" w:rsidP="00AE49A3">
            <w:pPr>
              <w:spacing w:line="240" w:lineRule="auto"/>
              <w:ind w:firstLine="360"/>
              <w:rPr>
                <w:sz w:val="24"/>
                <w:szCs w:val="24"/>
              </w:rPr>
            </w:pPr>
            <w:r w:rsidRPr="00AE49A3">
              <w:rPr>
                <w:sz w:val="24"/>
                <w:szCs w:val="24"/>
              </w:rPr>
              <w:t xml:space="preserve">Vēsturiskā spēkrata statusu arvien vairāk mēģina iegūt transportlīdzekļu īpašnieki, kuru spēkrati ir sliktā tehniskā un vizuālā stāvoklī, bez būtiskas vēsturiskas vērtības, </w:t>
            </w:r>
            <w:r w:rsidR="00150669">
              <w:rPr>
                <w:sz w:val="24"/>
                <w:szCs w:val="24"/>
              </w:rPr>
              <w:t>bet šobrīd</w:t>
            </w:r>
            <w:r w:rsidR="00150669" w:rsidRPr="00AE49A3">
              <w:rPr>
                <w:sz w:val="24"/>
                <w:szCs w:val="24"/>
              </w:rPr>
              <w:t xml:space="preserve"> </w:t>
            </w:r>
            <w:r w:rsidRPr="00AE49A3">
              <w:rPr>
                <w:sz w:val="24"/>
                <w:szCs w:val="24"/>
              </w:rPr>
              <w:t>atteik</w:t>
            </w:r>
            <w:r w:rsidR="0059615D">
              <w:rPr>
                <w:sz w:val="24"/>
                <w:szCs w:val="24"/>
              </w:rPr>
              <w:t xml:space="preserve">umus ir grūti juridiski pamatot, ievērojot minēto, </w:t>
            </w:r>
            <w:r w:rsidRPr="00AE49A3">
              <w:rPr>
                <w:sz w:val="24"/>
                <w:szCs w:val="24"/>
              </w:rPr>
              <w:t xml:space="preserve">Noteikumu projekts precizē kritērijus pēc kādiem transportlīdzeklim piešķir vēsturiskā spēkrata statusu Latvijā. Tas novērsīs statusa piešķiršanu transportlīdzekļiem, </w:t>
            </w:r>
            <w:r>
              <w:rPr>
                <w:sz w:val="24"/>
                <w:szCs w:val="24"/>
              </w:rPr>
              <w:t xml:space="preserve">kuri ir nolietoti un sliktā tehniskā stāvoklī, un </w:t>
            </w:r>
            <w:r w:rsidRPr="00AE49A3">
              <w:rPr>
                <w:sz w:val="24"/>
                <w:szCs w:val="24"/>
              </w:rPr>
              <w:t>kuru īpašnieki cen</w:t>
            </w:r>
            <w:r w:rsidR="00150669">
              <w:rPr>
                <w:sz w:val="24"/>
                <w:szCs w:val="24"/>
              </w:rPr>
              <w:t>šas</w:t>
            </w:r>
            <w:r w:rsidRPr="00AE49A3">
              <w:rPr>
                <w:sz w:val="24"/>
                <w:szCs w:val="24"/>
              </w:rPr>
              <w:t xml:space="preserve"> iegūt vēsturiskā spēkrata statusu tikai </w:t>
            </w:r>
            <w:r>
              <w:rPr>
                <w:sz w:val="24"/>
                <w:szCs w:val="24"/>
              </w:rPr>
              <w:t xml:space="preserve">nolūkā izvairīties no </w:t>
            </w:r>
            <w:r w:rsidRPr="00AE49A3">
              <w:rPr>
                <w:sz w:val="24"/>
                <w:szCs w:val="24"/>
              </w:rPr>
              <w:t xml:space="preserve"> transportlīdzekļa ekspluatācijas nodok</w:t>
            </w:r>
            <w:r>
              <w:rPr>
                <w:sz w:val="24"/>
                <w:szCs w:val="24"/>
              </w:rPr>
              <w:t>ļa nomaksas</w:t>
            </w:r>
            <w:r w:rsidRPr="00AE49A3">
              <w:rPr>
                <w:sz w:val="24"/>
                <w:szCs w:val="24"/>
              </w:rPr>
              <w:t>.</w:t>
            </w:r>
          </w:p>
        </w:tc>
      </w:tr>
      <w:tr w:rsidR="00D521B0" w:rsidRPr="00D521B0" w:rsidTr="0059615D">
        <w:trPr>
          <w:trHeight w:val="681"/>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lastRenderedPageBreak/>
              <w:t> 3.</w:t>
            </w:r>
          </w:p>
        </w:tc>
        <w:tc>
          <w:tcPr>
            <w:tcW w:w="3301"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667" w:type="dxa"/>
            <w:gridSpan w:val="2"/>
            <w:tcBorders>
              <w:top w:val="outset" w:sz="6" w:space="0" w:color="auto"/>
              <w:left w:val="outset" w:sz="6" w:space="0" w:color="auto"/>
              <w:bottom w:val="outset" w:sz="6" w:space="0" w:color="auto"/>
              <w:right w:val="outset" w:sz="6" w:space="0" w:color="auto"/>
            </w:tcBorders>
          </w:tcPr>
          <w:p w:rsidR="00BF1B85" w:rsidRPr="00D521B0" w:rsidRDefault="00F356C7"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V</w:t>
            </w:r>
            <w:r w:rsidR="00BF1B85" w:rsidRPr="00D521B0">
              <w:rPr>
                <w:rFonts w:eastAsia="Times New Roman"/>
                <w:sz w:val="24"/>
                <w:szCs w:val="24"/>
                <w:lang w:eastAsia="lv-LV"/>
              </w:rPr>
              <w:t>alsts akciju sabiedrība „Ceļu satiksmes drošības direkcija”.</w:t>
            </w:r>
          </w:p>
        </w:tc>
      </w:tr>
      <w:tr w:rsidR="00D521B0" w:rsidRPr="00D521B0" w:rsidTr="0059615D">
        <w:trPr>
          <w:trHeight w:val="380"/>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301"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967F6C" w:rsidRPr="00D521B0" w:rsidTr="00967F6C">
        <w:trPr>
          <w:trHeight w:val="380"/>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67F6C" w:rsidRPr="00D521B0" w:rsidRDefault="00967F6C" w:rsidP="0059615D">
            <w:pPr>
              <w:spacing w:line="240" w:lineRule="auto"/>
              <w:ind w:firstLine="0"/>
              <w:jc w:val="left"/>
              <w:rPr>
                <w:rFonts w:eastAsia="Times New Roman"/>
                <w:sz w:val="24"/>
                <w:szCs w:val="24"/>
                <w:lang w:eastAsia="lv-LV"/>
              </w:rPr>
            </w:pPr>
          </w:p>
        </w:tc>
      </w:tr>
      <w:tr w:rsidR="00D521B0" w:rsidRPr="00D521B0" w:rsidTr="00967F6C">
        <w:trPr>
          <w:tblCellSpacing w:w="0" w:type="dxa"/>
        </w:trPr>
        <w:tc>
          <w:tcPr>
            <w:tcW w:w="9495" w:type="dxa"/>
            <w:gridSpan w:val="4"/>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b/>
                <w:sz w:val="24"/>
                <w:szCs w:val="24"/>
                <w:lang w:eastAsia="lv-LV"/>
              </w:rPr>
            </w:pPr>
            <w:r w:rsidRPr="00D521B0">
              <w:rPr>
                <w:rFonts w:eastAsia="Times New Roman"/>
                <w:sz w:val="24"/>
                <w:szCs w:val="24"/>
                <w:lang w:eastAsia="lv-LV"/>
              </w:rPr>
              <w:t> </w:t>
            </w:r>
            <w:r w:rsidRPr="00D521B0">
              <w:rPr>
                <w:rFonts w:eastAsia="Times New Roman"/>
                <w:b/>
                <w:bCs/>
                <w:sz w:val="24"/>
                <w:szCs w:val="24"/>
                <w:lang w:eastAsia="lv-LV"/>
              </w:rPr>
              <w:t>II. Tiesību akta projekta ietekme uz sabiedrību</w:t>
            </w:r>
            <w:r w:rsidRPr="00D521B0">
              <w:rPr>
                <w:b/>
                <w:bCs/>
                <w:sz w:val="24"/>
                <w:szCs w:val="24"/>
                <w:shd w:val="clear" w:color="auto" w:fill="FFFFFF"/>
              </w:rPr>
              <w:t xml:space="preserve">, tautsaimniecības attīstību un </w:t>
            </w:r>
            <w:r w:rsidRPr="00D521B0">
              <w:rPr>
                <w:b/>
                <w:bCs/>
                <w:sz w:val="24"/>
                <w:szCs w:val="24"/>
                <w:shd w:val="clear" w:color="auto" w:fill="FFFFFF"/>
              </w:rPr>
              <w:lastRenderedPageBreak/>
              <w:t>administratīvo slogu</w:t>
            </w:r>
          </w:p>
        </w:tc>
      </w:tr>
      <w:tr w:rsidR="00D521B0" w:rsidRPr="00D521B0" w:rsidTr="00967F6C">
        <w:trPr>
          <w:trHeight w:val="467"/>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1.</w:t>
            </w:r>
          </w:p>
        </w:tc>
        <w:tc>
          <w:tcPr>
            <w:tcW w:w="3369"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Sabiedrības mērķgrupas, kuras tiesiskais regulējums ietekmē vai varētu ietekmēt</w:t>
            </w:r>
          </w:p>
        </w:tc>
        <w:tc>
          <w:tcPr>
            <w:tcW w:w="5599" w:type="dxa"/>
            <w:tcBorders>
              <w:top w:val="outset" w:sz="6" w:space="0" w:color="auto"/>
              <w:left w:val="outset" w:sz="6" w:space="0" w:color="auto"/>
              <w:bottom w:val="outset" w:sz="6" w:space="0" w:color="auto"/>
              <w:right w:val="outset" w:sz="6" w:space="0" w:color="auto"/>
            </w:tcBorders>
          </w:tcPr>
          <w:p w:rsidR="00BF1B85" w:rsidRPr="00D521B0" w:rsidRDefault="00120A37" w:rsidP="008352D1">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Noteikumu projekts attiecas uz transportlīdzekļu īpašniekiem (turētājiem, valdītājiem)</w:t>
            </w:r>
            <w:r w:rsidR="008352D1">
              <w:rPr>
                <w:rFonts w:eastAsia="Times New Roman"/>
                <w:sz w:val="24"/>
                <w:szCs w:val="24"/>
                <w:lang w:eastAsia="lv-LV"/>
              </w:rPr>
              <w:t xml:space="preserve"> – fiziskām un juridiskām personām</w:t>
            </w:r>
            <w:r w:rsidR="00BF1B85" w:rsidRPr="00D521B0">
              <w:rPr>
                <w:rFonts w:eastAsia="Times New Roman"/>
                <w:sz w:val="24"/>
                <w:szCs w:val="24"/>
                <w:lang w:eastAsia="lv-LV"/>
              </w:rPr>
              <w:t>.</w:t>
            </w:r>
          </w:p>
        </w:tc>
      </w:tr>
      <w:tr w:rsidR="00147E1D" w:rsidRPr="00D521B0" w:rsidTr="00967F6C">
        <w:trPr>
          <w:trHeight w:val="467"/>
          <w:tblCellSpacing w:w="0" w:type="dxa"/>
        </w:trPr>
        <w:tc>
          <w:tcPr>
            <w:tcW w:w="527" w:type="dxa"/>
            <w:tcBorders>
              <w:top w:val="outset" w:sz="6" w:space="0" w:color="auto"/>
              <w:left w:val="outset" w:sz="6" w:space="0" w:color="auto"/>
              <w:bottom w:val="outset" w:sz="6" w:space="0" w:color="auto"/>
              <w:right w:val="outset" w:sz="6" w:space="0" w:color="auto"/>
            </w:tcBorders>
          </w:tcPr>
          <w:p w:rsidR="00147E1D" w:rsidRDefault="00147E1D" w:rsidP="009F0183">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2.</w:t>
            </w:r>
          </w:p>
          <w:p w:rsidR="00147E1D" w:rsidRPr="00D521B0" w:rsidRDefault="00147E1D" w:rsidP="009F0183">
            <w:pPr>
              <w:spacing w:before="100" w:beforeAutospacing="1" w:after="100" w:afterAutospacing="1" w:line="240" w:lineRule="auto"/>
              <w:ind w:firstLine="0"/>
              <w:jc w:val="left"/>
              <w:rPr>
                <w:rFonts w:eastAsia="Times New Roman"/>
                <w:sz w:val="24"/>
                <w:szCs w:val="24"/>
                <w:lang w:eastAsia="lv-LV"/>
              </w:rPr>
            </w:pPr>
          </w:p>
        </w:tc>
        <w:tc>
          <w:tcPr>
            <w:tcW w:w="3369" w:type="dxa"/>
            <w:gridSpan w:val="2"/>
            <w:tcBorders>
              <w:top w:val="outset" w:sz="6" w:space="0" w:color="auto"/>
              <w:left w:val="outset" w:sz="6" w:space="0" w:color="auto"/>
              <w:bottom w:val="outset" w:sz="6" w:space="0" w:color="auto"/>
              <w:right w:val="outset" w:sz="6" w:space="0" w:color="auto"/>
            </w:tcBorders>
          </w:tcPr>
          <w:p w:rsidR="00147E1D" w:rsidRPr="00D521B0" w:rsidRDefault="00147E1D"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shd w:val="clear" w:color="auto" w:fill="FFFFFF"/>
              </w:rPr>
              <w:t>Tiesiskā regulējuma ietekme uz tautsaimniecību un administratīvo slogu</w:t>
            </w:r>
          </w:p>
        </w:tc>
        <w:tc>
          <w:tcPr>
            <w:tcW w:w="5599" w:type="dxa"/>
            <w:tcBorders>
              <w:top w:val="outset" w:sz="6" w:space="0" w:color="auto"/>
              <w:left w:val="outset" w:sz="6" w:space="0" w:color="auto"/>
              <w:bottom w:val="outset" w:sz="6" w:space="0" w:color="auto"/>
              <w:right w:val="outset" w:sz="6" w:space="0" w:color="auto"/>
            </w:tcBorders>
          </w:tcPr>
          <w:p w:rsidR="00147E1D" w:rsidRPr="00D521B0" w:rsidRDefault="00147E1D" w:rsidP="008352D1">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Paredzams, ka ad</w:t>
            </w:r>
            <w:r w:rsidRPr="00D521B0">
              <w:rPr>
                <w:rFonts w:eastAsia="Times New Roman"/>
                <w:sz w:val="24"/>
                <w:szCs w:val="24"/>
                <w:lang w:eastAsia="lv-LV"/>
              </w:rPr>
              <w:t>ministratīvais slogs ti</w:t>
            </w:r>
            <w:r>
              <w:rPr>
                <w:rFonts w:eastAsia="Times New Roman"/>
                <w:sz w:val="24"/>
                <w:szCs w:val="24"/>
                <w:lang w:eastAsia="lv-LV"/>
              </w:rPr>
              <w:t>ks</w:t>
            </w:r>
            <w:r w:rsidRPr="00D521B0">
              <w:rPr>
                <w:rFonts w:eastAsia="Times New Roman"/>
                <w:sz w:val="24"/>
                <w:szCs w:val="24"/>
                <w:lang w:eastAsia="lv-LV"/>
              </w:rPr>
              <w:t xml:space="preserve"> samazināts gan transportlīdzekļu īpašniekiem</w:t>
            </w:r>
            <w:r>
              <w:rPr>
                <w:rFonts w:eastAsia="Times New Roman"/>
                <w:sz w:val="24"/>
                <w:szCs w:val="24"/>
                <w:lang w:eastAsia="lv-LV"/>
              </w:rPr>
              <w:t xml:space="preserve">, jo informācijas apmaiņu par nolietotiem transportlīdzekļiem ir paredzēts nodrošināt elektroniskā veidā, gan arī </w:t>
            </w:r>
            <w:r w:rsidRPr="00D521B0">
              <w:rPr>
                <w:rFonts w:eastAsia="Times New Roman"/>
                <w:sz w:val="24"/>
                <w:szCs w:val="24"/>
                <w:lang w:eastAsia="lv-LV"/>
              </w:rPr>
              <w:t>Valsts akciju sabiedrība</w:t>
            </w:r>
            <w:r>
              <w:rPr>
                <w:rFonts w:eastAsia="Times New Roman"/>
                <w:sz w:val="24"/>
                <w:szCs w:val="24"/>
                <w:lang w:eastAsia="lv-LV"/>
              </w:rPr>
              <w:t>i</w:t>
            </w:r>
            <w:r w:rsidRPr="00D521B0">
              <w:rPr>
                <w:rFonts w:eastAsia="Times New Roman"/>
                <w:sz w:val="24"/>
                <w:szCs w:val="24"/>
                <w:lang w:eastAsia="lv-LV"/>
              </w:rPr>
              <w:t xml:space="preserve"> „Ceļu satiksmes drošības direkcija”</w:t>
            </w:r>
            <w:r>
              <w:rPr>
                <w:rFonts w:eastAsia="Times New Roman"/>
                <w:sz w:val="24"/>
                <w:szCs w:val="24"/>
                <w:lang w:eastAsia="lv-LV"/>
              </w:rPr>
              <w:t>, jo tādējādi tiks samazināta gan papīra dokumentu aprite gan arī klientu plūsma to apkalpošanas vietās.</w:t>
            </w:r>
          </w:p>
        </w:tc>
      </w:tr>
      <w:tr w:rsidR="00D521B0" w:rsidRPr="00D521B0" w:rsidTr="00967F6C">
        <w:trPr>
          <w:trHeight w:val="517"/>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369"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599" w:type="dxa"/>
            <w:tcBorders>
              <w:top w:val="outset" w:sz="6" w:space="0" w:color="auto"/>
              <w:left w:val="outset" w:sz="6" w:space="0" w:color="auto"/>
              <w:bottom w:val="outset" w:sz="6" w:space="0" w:color="auto"/>
              <w:right w:val="outset" w:sz="6" w:space="0" w:color="auto"/>
            </w:tcBorders>
          </w:tcPr>
          <w:p w:rsidR="00F46BF8" w:rsidRPr="00D521B0" w:rsidRDefault="00F24732" w:rsidP="00F051C7">
            <w:pPr>
              <w:ind w:firstLine="0"/>
              <w:rPr>
                <w:rFonts w:eastAsia="Times New Roman"/>
                <w:sz w:val="24"/>
                <w:szCs w:val="24"/>
                <w:lang w:eastAsia="lv-LV"/>
              </w:rPr>
            </w:pPr>
            <w:r>
              <w:rPr>
                <w:rFonts w:eastAsia="Times New Roman"/>
                <w:sz w:val="24"/>
                <w:szCs w:val="24"/>
                <w:lang w:eastAsia="lv-LV"/>
              </w:rPr>
              <w:t>Projekts šo jomu neskar.</w:t>
            </w:r>
          </w:p>
        </w:tc>
      </w:tr>
      <w:tr w:rsidR="00D521B0" w:rsidRPr="00D521B0" w:rsidTr="00967F6C">
        <w:trPr>
          <w:trHeight w:val="366"/>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369"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599"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967F6C" w:rsidRPr="00D521B0" w:rsidTr="00967F6C">
        <w:trPr>
          <w:trHeight w:val="366"/>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67F6C" w:rsidRPr="00D521B0" w:rsidRDefault="00967F6C" w:rsidP="009F0183">
            <w:pPr>
              <w:spacing w:before="100" w:beforeAutospacing="1" w:after="100" w:afterAutospacing="1" w:line="240" w:lineRule="auto"/>
              <w:ind w:firstLine="0"/>
              <w:jc w:val="left"/>
              <w:rPr>
                <w:rFonts w:eastAsia="Times New Roman"/>
                <w:sz w:val="24"/>
                <w:szCs w:val="24"/>
                <w:lang w:eastAsia="lv-LV"/>
              </w:rPr>
            </w:pPr>
          </w:p>
        </w:tc>
      </w:tr>
      <w:tr w:rsidR="009F42E6" w:rsidRPr="00D521B0" w:rsidTr="00967F6C">
        <w:trPr>
          <w:trHeight w:val="366"/>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F42E6" w:rsidRPr="00D65DFE" w:rsidRDefault="009F42E6" w:rsidP="009F42E6">
            <w:pPr>
              <w:spacing w:before="100" w:beforeAutospacing="1" w:after="100" w:afterAutospacing="1" w:line="240" w:lineRule="auto"/>
              <w:ind w:firstLine="0"/>
              <w:jc w:val="center"/>
              <w:rPr>
                <w:i/>
                <w:sz w:val="24"/>
                <w:szCs w:val="24"/>
              </w:rPr>
            </w:pPr>
            <w:r w:rsidRPr="00E110B0">
              <w:rPr>
                <w:rFonts w:eastAsia="Times New Roman"/>
                <w:b/>
                <w:sz w:val="24"/>
                <w:szCs w:val="24"/>
                <w:lang w:eastAsia="lv-LV"/>
              </w:rPr>
              <w:t>V. Tiesību akta projekta atbilstība Latvijas Republikas starptautiskajām saistībām</w:t>
            </w:r>
          </w:p>
        </w:tc>
      </w:tr>
      <w:tr w:rsidR="009F42E6" w:rsidRPr="00D521B0" w:rsidTr="00967F6C">
        <w:trPr>
          <w:trHeight w:val="366"/>
          <w:tblCellSpacing w:w="0" w:type="dxa"/>
        </w:trPr>
        <w:tc>
          <w:tcPr>
            <w:tcW w:w="527"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1.</w:t>
            </w:r>
          </w:p>
        </w:tc>
        <w:tc>
          <w:tcPr>
            <w:tcW w:w="3301"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sidRPr="00E110B0">
              <w:rPr>
                <w:rFonts w:eastAsia="Times New Roman"/>
                <w:sz w:val="24"/>
                <w:szCs w:val="24"/>
                <w:lang w:eastAsia="lv-LV"/>
              </w:rPr>
              <w:t>Saistības pret Eiropas Savienību</w:t>
            </w:r>
          </w:p>
        </w:tc>
        <w:tc>
          <w:tcPr>
            <w:tcW w:w="5667" w:type="dxa"/>
            <w:gridSpan w:val="2"/>
            <w:tcBorders>
              <w:top w:val="outset" w:sz="6" w:space="0" w:color="auto"/>
              <w:left w:val="outset" w:sz="6" w:space="0" w:color="auto"/>
              <w:bottom w:val="outset" w:sz="6" w:space="0" w:color="auto"/>
              <w:right w:val="outset" w:sz="6" w:space="0" w:color="auto"/>
            </w:tcBorders>
          </w:tcPr>
          <w:p w:rsidR="009F42E6" w:rsidRPr="00D65DFE" w:rsidRDefault="009A5AFD" w:rsidP="00411C93">
            <w:pPr>
              <w:spacing w:before="100" w:beforeAutospacing="1" w:after="100" w:afterAutospacing="1" w:line="240" w:lineRule="auto"/>
              <w:ind w:firstLine="0"/>
              <w:rPr>
                <w:i/>
                <w:sz w:val="24"/>
                <w:szCs w:val="24"/>
              </w:rPr>
            </w:pP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13"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4"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Pr>
                <w:rFonts w:eastAsia="Times New Roman"/>
                <w:sz w:val="24"/>
                <w:szCs w:val="24"/>
                <w:lang w:eastAsia="lv-LV"/>
              </w:rPr>
              <w:t xml:space="preserve"> </w:t>
            </w:r>
            <w:r>
              <w:rPr>
                <w:sz w:val="24"/>
                <w:szCs w:val="24"/>
              </w:rPr>
              <w:t>(p</w:t>
            </w:r>
            <w:r w:rsidRPr="001E06FE">
              <w:rPr>
                <w:sz w:val="24"/>
                <w:szCs w:val="24"/>
              </w:rPr>
              <w:t xml:space="preserve">ublicēta “Eiropas </w:t>
            </w:r>
            <w:r>
              <w:rPr>
                <w:sz w:val="24"/>
                <w:szCs w:val="24"/>
              </w:rPr>
              <w:t>Savienības Oficiālajā Vēstnesī” L 127</w:t>
            </w:r>
            <w:r w:rsidRPr="00B83653">
              <w:rPr>
                <w:sz w:val="24"/>
                <w:szCs w:val="24"/>
              </w:rPr>
              <w:t>, 2</w:t>
            </w:r>
            <w:r>
              <w:rPr>
                <w:sz w:val="24"/>
                <w:szCs w:val="24"/>
              </w:rPr>
              <w:t>9.04.2014.)</w:t>
            </w:r>
          </w:p>
        </w:tc>
      </w:tr>
      <w:tr w:rsidR="009F42E6" w:rsidRPr="00D521B0" w:rsidTr="00967F6C">
        <w:trPr>
          <w:trHeight w:val="366"/>
          <w:tblCellSpacing w:w="0" w:type="dxa"/>
        </w:trPr>
        <w:tc>
          <w:tcPr>
            <w:tcW w:w="527"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2.</w:t>
            </w:r>
          </w:p>
        </w:tc>
        <w:tc>
          <w:tcPr>
            <w:tcW w:w="3301"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sidRPr="00E110B0">
              <w:rPr>
                <w:rFonts w:eastAsia="Times New Roman"/>
                <w:sz w:val="24"/>
                <w:szCs w:val="24"/>
                <w:lang w:eastAsia="lv-LV"/>
              </w:rPr>
              <w:t>Citas starptautiskās saistības</w:t>
            </w:r>
          </w:p>
        </w:tc>
        <w:tc>
          <w:tcPr>
            <w:tcW w:w="5667" w:type="dxa"/>
            <w:gridSpan w:val="2"/>
            <w:tcBorders>
              <w:top w:val="outset" w:sz="6" w:space="0" w:color="auto"/>
              <w:left w:val="outset" w:sz="6" w:space="0" w:color="auto"/>
              <w:bottom w:val="outset" w:sz="6" w:space="0" w:color="auto"/>
              <w:right w:val="outset" w:sz="6" w:space="0" w:color="auto"/>
            </w:tcBorders>
          </w:tcPr>
          <w:p w:rsidR="009F42E6" w:rsidRPr="009A5AFD" w:rsidRDefault="009A5AFD" w:rsidP="00411C93">
            <w:pPr>
              <w:spacing w:before="100" w:beforeAutospacing="1" w:after="100" w:afterAutospacing="1" w:line="240" w:lineRule="auto"/>
              <w:ind w:firstLine="0"/>
              <w:rPr>
                <w:sz w:val="24"/>
                <w:szCs w:val="24"/>
              </w:rPr>
            </w:pPr>
            <w:r w:rsidRPr="009A5AFD">
              <w:rPr>
                <w:sz w:val="24"/>
                <w:szCs w:val="24"/>
              </w:rPr>
              <w:t>Nav</w:t>
            </w:r>
          </w:p>
        </w:tc>
      </w:tr>
      <w:tr w:rsidR="009A5AFD" w:rsidRPr="00D521B0" w:rsidTr="00967F6C">
        <w:trPr>
          <w:trHeight w:val="366"/>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3.</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E110B0">
              <w:rPr>
                <w:rFonts w:eastAsia="Times New Roman"/>
                <w:sz w:val="24"/>
                <w:szCs w:val="24"/>
                <w:lang w:eastAsia="lv-LV"/>
              </w:rPr>
              <w:t>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9A5AFD" w:rsidRDefault="009A5AFD" w:rsidP="009A5AFD">
            <w:pPr>
              <w:spacing w:before="100" w:beforeAutospacing="1" w:after="100" w:afterAutospacing="1" w:line="240" w:lineRule="auto"/>
              <w:ind w:firstLine="0"/>
              <w:rPr>
                <w:sz w:val="24"/>
                <w:szCs w:val="24"/>
              </w:rPr>
            </w:pPr>
            <w:r w:rsidRPr="009A5AFD">
              <w:rPr>
                <w:sz w:val="24"/>
                <w:szCs w:val="24"/>
              </w:rPr>
              <w:t>Nav</w:t>
            </w:r>
          </w:p>
        </w:tc>
      </w:tr>
      <w:tr w:rsidR="00967F6C" w:rsidRPr="00D521B0" w:rsidTr="00967F6C">
        <w:trPr>
          <w:trHeight w:val="366"/>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67F6C" w:rsidRPr="009A5AFD" w:rsidRDefault="00967F6C" w:rsidP="009A5AFD">
            <w:pPr>
              <w:spacing w:before="100" w:beforeAutospacing="1" w:after="100" w:afterAutospacing="1" w:line="240" w:lineRule="auto"/>
              <w:ind w:firstLine="0"/>
              <w:rPr>
                <w:sz w:val="24"/>
                <w:szCs w:val="24"/>
              </w:rPr>
            </w:pPr>
          </w:p>
        </w:tc>
      </w:tr>
      <w:tr w:rsidR="009A5AFD" w:rsidRPr="00D521B0" w:rsidTr="00967F6C">
        <w:trPr>
          <w:trHeight w:val="366"/>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A5AFD" w:rsidRPr="00E110B0" w:rsidRDefault="009A5AFD" w:rsidP="009A5AFD">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1.tabula</w:t>
            </w:r>
          </w:p>
          <w:p w:rsidR="009A5AFD" w:rsidRPr="00D65DFE" w:rsidRDefault="009A5AFD" w:rsidP="009A5AFD">
            <w:pPr>
              <w:spacing w:before="100" w:beforeAutospacing="1" w:after="100" w:afterAutospacing="1" w:line="240" w:lineRule="auto"/>
              <w:ind w:firstLine="0"/>
              <w:jc w:val="center"/>
              <w:rPr>
                <w:i/>
                <w:sz w:val="24"/>
                <w:szCs w:val="24"/>
              </w:rPr>
            </w:pPr>
            <w:r w:rsidRPr="00E110B0">
              <w:rPr>
                <w:rFonts w:eastAsia="Times New Roman"/>
                <w:b/>
                <w:sz w:val="24"/>
                <w:szCs w:val="24"/>
                <w:lang w:eastAsia="lv-LV"/>
              </w:rPr>
              <w:t>Tiesību akta projekta atbilstība ES tiesību aktiem</w:t>
            </w:r>
          </w:p>
        </w:tc>
      </w:tr>
      <w:tr w:rsidR="009A5AFD" w:rsidRPr="00D521B0" w:rsidTr="00967F6C">
        <w:trPr>
          <w:trHeight w:val="277"/>
          <w:tblCellSpacing w:w="0" w:type="dxa"/>
        </w:trPr>
        <w:tc>
          <w:tcPr>
            <w:tcW w:w="9495" w:type="dxa"/>
            <w:gridSpan w:val="4"/>
            <w:tcBorders>
              <w:top w:val="outset" w:sz="6" w:space="0" w:color="auto"/>
              <w:left w:val="outset" w:sz="6" w:space="0" w:color="auto"/>
              <w:bottom w:val="outset" w:sz="6" w:space="0" w:color="auto"/>
              <w:right w:val="outset" w:sz="6" w:space="0" w:color="auto"/>
            </w:tcBorders>
          </w:tcPr>
          <w:tbl>
            <w:tblPr>
              <w:tblStyle w:val="TableGrid"/>
              <w:tblW w:w="9455" w:type="dxa"/>
              <w:tblLook w:val="04A0" w:firstRow="1" w:lastRow="0" w:firstColumn="1" w:lastColumn="0" w:noHBand="0" w:noVBand="1"/>
            </w:tblPr>
            <w:tblGrid>
              <w:gridCol w:w="2329"/>
              <w:gridCol w:w="1456"/>
              <w:gridCol w:w="2551"/>
              <w:gridCol w:w="3119"/>
            </w:tblGrid>
            <w:tr w:rsidR="009A5AFD" w:rsidTr="009A5AFD">
              <w:tc>
                <w:tcPr>
                  <w:tcW w:w="2329" w:type="dxa"/>
                </w:tcPr>
                <w:p w:rsidR="009A5AFD" w:rsidRDefault="009A5AFD" w:rsidP="009A5AFD">
                  <w:pPr>
                    <w:spacing w:before="100" w:beforeAutospacing="1" w:after="100" w:afterAutospacing="1" w:line="240" w:lineRule="auto"/>
                    <w:ind w:firstLine="0"/>
                    <w:rPr>
                      <w:rFonts w:eastAsia="Times New Roman"/>
                      <w:b/>
                      <w:sz w:val="24"/>
                      <w:szCs w:val="24"/>
                      <w:lang w:eastAsia="lv-LV"/>
                    </w:rPr>
                  </w:pPr>
                  <w:r w:rsidRPr="00E110B0">
                    <w:rPr>
                      <w:rFonts w:eastAsia="Times New Roman"/>
                      <w:sz w:val="24"/>
                      <w:szCs w:val="24"/>
                      <w:lang w:eastAsia="lv-LV"/>
                    </w:rPr>
                    <w:t>Attiecīgā ES tiesību akta datums, numurs un nosaukums</w:t>
                  </w:r>
                </w:p>
              </w:tc>
              <w:tc>
                <w:tcPr>
                  <w:tcW w:w="7126" w:type="dxa"/>
                  <w:gridSpan w:val="3"/>
                </w:tcPr>
                <w:p w:rsidR="009A5AFD" w:rsidRDefault="009A5AFD" w:rsidP="009A5AFD">
                  <w:pPr>
                    <w:spacing w:before="100" w:beforeAutospacing="1" w:after="100" w:afterAutospacing="1" w:line="240" w:lineRule="auto"/>
                    <w:ind w:firstLine="0"/>
                    <w:rPr>
                      <w:rFonts w:eastAsia="Times New Roman"/>
                      <w:b/>
                      <w:sz w:val="24"/>
                      <w:szCs w:val="24"/>
                      <w:lang w:eastAsia="lv-LV"/>
                    </w:rPr>
                  </w:pP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15"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6"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Pr>
                      <w:rFonts w:eastAsia="Times New Roman"/>
                      <w:sz w:val="24"/>
                      <w:szCs w:val="24"/>
                      <w:lang w:eastAsia="lv-LV"/>
                    </w:rPr>
                    <w:t xml:space="preserve"> </w:t>
                  </w:r>
                  <w:r>
                    <w:rPr>
                      <w:sz w:val="24"/>
                      <w:szCs w:val="24"/>
                    </w:rPr>
                    <w:t>(p</w:t>
                  </w:r>
                  <w:r w:rsidRPr="001E06FE">
                    <w:rPr>
                      <w:sz w:val="24"/>
                      <w:szCs w:val="24"/>
                    </w:rPr>
                    <w:t xml:space="preserve">ublicēta “Eiropas </w:t>
                  </w:r>
                  <w:r>
                    <w:rPr>
                      <w:sz w:val="24"/>
                      <w:szCs w:val="24"/>
                    </w:rPr>
                    <w:t>Savienības Oficiālajā Vēstnesī” L 127</w:t>
                  </w:r>
                  <w:r w:rsidRPr="00B83653">
                    <w:rPr>
                      <w:sz w:val="24"/>
                      <w:szCs w:val="24"/>
                    </w:rPr>
                    <w:t>, 2</w:t>
                  </w:r>
                  <w:r>
                    <w:rPr>
                      <w:sz w:val="24"/>
                      <w:szCs w:val="24"/>
                    </w:rPr>
                    <w:t>9.04.2014.)</w:t>
                  </w:r>
                </w:p>
              </w:tc>
            </w:tr>
            <w:tr w:rsidR="009A5AFD" w:rsidTr="009A5AFD">
              <w:tc>
                <w:tcPr>
                  <w:tcW w:w="2329"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A</w:t>
                  </w:r>
                </w:p>
              </w:tc>
              <w:tc>
                <w:tcPr>
                  <w:tcW w:w="1456"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B</w:t>
                  </w:r>
                </w:p>
              </w:tc>
              <w:tc>
                <w:tcPr>
                  <w:tcW w:w="2551"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C</w:t>
                  </w:r>
                </w:p>
              </w:tc>
              <w:tc>
                <w:tcPr>
                  <w:tcW w:w="3119"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D</w:t>
                  </w:r>
                </w:p>
              </w:tc>
            </w:tr>
            <w:tr w:rsidR="009A5AFD" w:rsidTr="009A5AFD">
              <w:tc>
                <w:tcPr>
                  <w:tcW w:w="2329" w:type="dxa"/>
                </w:tcPr>
                <w:p w:rsidR="009A5AFD" w:rsidRDefault="009A5AFD" w:rsidP="009A5AFD">
                  <w:pPr>
                    <w:spacing w:before="100" w:beforeAutospacing="1" w:after="100" w:afterAutospacing="1" w:line="240" w:lineRule="auto"/>
                    <w:ind w:firstLine="0"/>
                    <w:rPr>
                      <w:rFonts w:eastAsia="Times New Roman"/>
                      <w:b/>
                      <w:sz w:val="24"/>
                      <w:szCs w:val="24"/>
                      <w:lang w:eastAsia="lv-LV"/>
                    </w:rPr>
                  </w:pPr>
                  <w:r w:rsidRPr="00E110B0">
                    <w:rPr>
                      <w:sz w:val="24"/>
                      <w:szCs w:val="24"/>
                    </w:rPr>
                    <w:t>Attiecīgā ES tiesību akta panta numurs (uzskaitot katru tiesību akta vienību – pantu, daļu, punktu, apakšpunktu)</w:t>
                  </w:r>
                </w:p>
              </w:tc>
              <w:tc>
                <w:tcPr>
                  <w:tcW w:w="1456" w:type="dxa"/>
                </w:tcPr>
                <w:p w:rsidR="009A5AFD" w:rsidRDefault="009A5AFD" w:rsidP="009A5AFD">
                  <w:pPr>
                    <w:spacing w:before="100" w:beforeAutospacing="1" w:after="100" w:afterAutospacing="1" w:line="240" w:lineRule="auto"/>
                    <w:ind w:firstLine="0"/>
                    <w:rPr>
                      <w:rFonts w:eastAsia="Times New Roman"/>
                      <w:b/>
                      <w:sz w:val="24"/>
                      <w:szCs w:val="24"/>
                      <w:lang w:eastAsia="lv-LV"/>
                    </w:rPr>
                  </w:pPr>
                  <w:r w:rsidRPr="00E110B0">
                    <w:rPr>
                      <w:sz w:val="24"/>
                      <w:szCs w:val="24"/>
                    </w:rPr>
                    <w:t>Projekta vienība, kas pārņem vai ievieš katru šīs tabulas A ailē minēto ES tiesību akta vienību, vai tiesību akts, kur attiecīgā ES tiesību akta vienība pārņemta vai ieviesta</w:t>
                  </w:r>
                </w:p>
              </w:tc>
              <w:tc>
                <w:tcPr>
                  <w:tcW w:w="2551" w:type="dxa"/>
                </w:tcPr>
                <w:p w:rsidR="009A5AFD" w:rsidRDefault="009A5AFD" w:rsidP="009A5AFD">
                  <w:pPr>
                    <w:spacing w:line="240" w:lineRule="auto"/>
                    <w:ind w:firstLine="0"/>
                    <w:rPr>
                      <w:rFonts w:eastAsia="Times New Roman"/>
                      <w:b/>
                      <w:sz w:val="24"/>
                      <w:szCs w:val="24"/>
                      <w:lang w:eastAsia="lv-LV"/>
                    </w:rPr>
                  </w:pPr>
                  <w:r w:rsidRPr="00E110B0">
                    <w:rPr>
                      <w:sz w:val="24"/>
                      <w:szCs w:val="24"/>
                    </w:rPr>
                    <w:t xml:space="preserve">Informācija par to, vai šīs tabulas A ailē minētās ES tiesību akta vienības tiek pārņemtas vai ieviestas pilnībā vai daļēji. </w:t>
                  </w:r>
                  <w:r w:rsidRPr="00E110B0">
                    <w:rPr>
                      <w:rFonts w:eastAsia="Times New Roman"/>
                      <w:sz w:val="24"/>
                      <w:szCs w:val="24"/>
                      <w:lang w:eastAsia="lv-LV"/>
                    </w:rPr>
                    <w:t xml:space="preserve">Ja attiecīgā ES tiesību akta vienība tiek pārņemta vai ieviesta daļēji, sniedz attiecīgu </w:t>
                  </w:r>
                  <w:r>
                    <w:rPr>
                      <w:rFonts w:eastAsia="Times New Roman"/>
                      <w:sz w:val="24"/>
                      <w:szCs w:val="24"/>
                      <w:lang w:eastAsia="lv-LV"/>
                    </w:rPr>
                    <w:t>s</w:t>
                  </w:r>
                  <w:r w:rsidRPr="00E110B0">
                    <w:rPr>
                      <w:rFonts w:eastAsia="Times New Roman"/>
                      <w:sz w:val="24"/>
                      <w:szCs w:val="24"/>
                      <w:lang w:eastAsia="lv-LV"/>
                    </w:rPr>
                    <w:t>kaidrojumu, kā arī precīzi norāda, kad un kādā veidā ES tiesību akta vienība tiks pārņemta vai ieviesta pilnībā.</w:t>
                  </w:r>
                  <w:r>
                    <w:rPr>
                      <w:rFonts w:eastAsia="Times New Roman"/>
                      <w:sz w:val="24"/>
                      <w:szCs w:val="24"/>
                      <w:lang w:eastAsia="lv-LV"/>
                    </w:rPr>
                    <w:t xml:space="preserve"> </w:t>
                  </w:r>
                  <w:r w:rsidRPr="00E110B0">
                    <w:rPr>
                      <w:rFonts w:eastAsia="Times New Roman"/>
                      <w:sz w:val="24"/>
                      <w:szCs w:val="24"/>
                      <w:lang w:eastAsia="lv-LV"/>
                    </w:rPr>
                    <w:t xml:space="preserve">Norāda institūciju, kas ir </w:t>
                  </w:r>
                  <w:r w:rsidRPr="00E110B0">
                    <w:rPr>
                      <w:rFonts w:eastAsia="Times New Roman"/>
                      <w:sz w:val="24"/>
                      <w:szCs w:val="24"/>
                      <w:lang w:eastAsia="lv-LV"/>
                    </w:rPr>
                    <w:lastRenderedPageBreak/>
                    <w:t>atbildīga par šo saistību izpildi pilnībā</w:t>
                  </w:r>
                </w:p>
              </w:tc>
              <w:tc>
                <w:tcPr>
                  <w:tcW w:w="3119" w:type="dxa"/>
                </w:tcPr>
                <w:p w:rsidR="009A5AFD" w:rsidRDefault="009A5AFD" w:rsidP="009A5AFD">
                  <w:pPr>
                    <w:spacing w:line="240" w:lineRule="auto"/>
                    <w:ind w:firstLine="0"/>
                    <w:rPr>
                      <w:rFonts w:eastAsia="Times New Roman"/>
                      <w:b/>
                      <w:sz w:val="24"/>
                      <w:szCs w:val="24"/>
                      <w:lang w:eastAsia="lv-LV"/>
                    </w:rPr>
                  </w:pPr>
                  <w:r w:rsidRPr="00E110B0">
                    <w:rPr>
                      <w:sz w:val="24"/>
                      <w:szCs w:val="24"/>
                    </w:rPr>
                    <w:lastRenderedPageBreak/>
                    <w:t xml:space="preserve">Informācija par to, vai šīs tabulas B ailē minētās projekta vienības paredz stingrākas prasības nekā šīs tabulas A ailē minētās ES tiesību akta vienības. </w:t>
                  </w:r>
                  <w:r w:rsidRPr="00E110B0">
                    <w:rPr>
                      <w:rFonts w:eastAsia="Times New Roman"/>
                      <w:sz w:val="24"/>
                      <w:szCs w:val="24"/>
                      <w:lang w:eastAsia="lv-LV"/>
                    </w:rPr>
                    <w:t>Ja projekts satur stingrākas prasības nekā attiecīgais ES tiesību akts, norāda pamatojumu un samērīgumu.</w:t>
                  </w:r>
                  <w:r>
                    <w:rPr>
                      <w:rFonts w:eastAsia="Times New Roman"/>
                      <w:sz w:val="24"/>
                      <w:szCs w:val="24"/>
                      <w:lang w:eastAsia="lv-LV"/>
                    </w:rPr>
                    <w:t xml:space="preserve"> </w:t>
                  </w:r>
                  <w:r w:rsidRPr="00E110B0">
                    <w:rPr>
                      <w:rFonts w:eastAsia="Times New Roman"/>
                      <w:sz w:val="24"/>
                      <w:szCs w:val="24"/>
                      <w:lang w:eastAsia="lv-LV"/>
                    </w:rPr>
                    <w:t xml:space="preserve">Norāda iespējamās alternatīvas (t.sk. alternatīvas, kas neparedz tiesiskā regulējuma izstrādi) – kādos gadījumos būtu iespējams izvairīties no stingrāku </w:t>
                  </w:r>
                  <w:r w:rsidRPr="00E110B0">
                    <w:rPr>
                      <w:rFonts w:eastAsia="Times New Roman"/>
                      <w:sz w:val="24"/>
                      <w:szCs w:val="24"/>
                      <w:lang w:eastAsia="lv-LV"/>
                    </w:rPr>
                    <w:lastRenderedPageBreak/>
                    <w:t>prasību noteikšanas, nekā paredzēts attiecīgajos ES tiesību aktos</w:t>
                  </w:r>
                </w:p>
              </w:tc>
            </w:tr>
            <w:tr w:rsidR="004F778E" w:rsidTr="009A5AFD">
              <w:tc>
                <w:tcPr>
                  <w:tcW w:w="2329" w:type="dxa"/>
                </w:tcPr>
                <w:p w:rsidR="004F778E" w:rsidRPr="004F778E" w:rsidRDefault="00736D11" w:rsidP="0017531D">
                  <w:pPr>
                    <w:spacing w:before="100" w:beforeAutospacing="1" w:after="100" w:afterAutospacing="1" w:line="240" w:lineRule="auto"/>
                    <w:ind w:firstLine="0"/>
                    <w:rPr>
                      <w:rFonts w:eastAsia="Times New Roman"/>
                      <w:color w:val="000000"/>
                      <w:sz w:val="24"/>
                      <w:szCs w:val="24"/>
                      <w:lang w:eastAsia="lv-LV"/>
                    </w:rPr>
                  </w:pPr>
                  <w:r w:rsidRPr="00E110B0">
                    <w:rPr>
                      <w:rFonts w:eastAsia="Times New Roman"/>
                      <w:color w:val="000000"/>
                      <w:sz w:val="24"/>
                      <w:szCs w:val="24"/>
                      <w:lang w:eastAsia="lv-LV"/>
                    </w:rPr>
                    <w:lastRenderedPageBreak/>
                    <w:t xml:space="preserve">Direktīvas </w:t>
                  </w:r>
                  <w:r>
                    <w:rPr>
                      <w:rFonts w:eastAsia="Times New Roman"/>
                      <w:color w:val="000000"/>
                      <w:sz w:val="24"/>
                      <w:szCs w:val="24"/>
                      <w:lang w:eastAsia="lv-LV"/>
                    </w:rPr>
                    <w:t>201</w:t>
                  </w:r>
                  <w:r w:rsidR="0017531D">
                    <w:rPr>
                      <w:rFonts w:eastAsia="Times New Roman"/>
                      <w:color w:val="000000"/>
                      <w:sz w:val="24"/>
                      <w:szCs w:val="24"/>
                      <w:lang w:eastAsia="lv-LV"/>
                    </w:rPr>
                    <w:t>4</w:t>
                  </w:r>
                  <w:r>
                    <w:rPr>
                      <w:rFonts w:eastAsia="Times New Roman"/>
                      <w:color w:val="000000"/>
                      <w:sz w:val="24"/>
                      <w:szCs w:val="24"/>
                      <w:lang w:eastAsia="lv-LV"/>
                    </w:rPr>
                    <w:t>/</w:t>
                  </w:r>
                  <w:r w:rsidR="0017531D">
                    <w:rPr>
                      <w:rFonts w:eastAsia="Times New Roman"/>
                      <w:color w:val="000000"/>
                      <w:sz w:val="24"/>
                      <w:szCs w:val="24"/>
                      <w:lang w:eastAsia="lv-LV"/>
                    </w:rPr>
                    <w:t>4</w:t>
                  </w:r>
                  <w:r>
                    <w:rPr>
                      <w:rFonts w:eastAsia="Times New Roman"/>
                      <w:color w:val="000000"/>
                      <w:sz w:val="24"/>
                      <w:szCs w:val="24"/>
                      <w:lang w:eastAsia="lv-LV"/>
                    </w:rPr>
                    <w:t>6</w:t>
                  </w:r>
                  <w:r w:rsidRPr="0060275D">
                    <w:rPr>
                      <w:rFonts w:eastAsia="Times New Roman"/>
                      <w:color w:val="000000"/>
                      <w:sz w:val="24"/>
                      <w:szCs w:val="24"/>
                      <w:lang w:eastAsia="lv-LV"/>
                    </w:rPr>
                    <w:t xml:space="preserve">/ES </w:t>
                  </w:r>
                  <w:r>
                    <w:rPr>
                      <w:rFonts w:eastAsia="Times New Roman"/>
                      <w:color w:val="000000"/>
                      <w:sz w:val="24"/>
                      <w:szCs w:val="24"/>
                      <w:lang w:eastAsia="lv-LV"/>
                    </w:rPr>
                    <w:t>1.pant</w:t>
                  </w:r>
                  <w:r w:rsidR="004F778E">
                    <w:rPr>
                      <w:rFonts w:eastAsia="Times New Roman"/>
                      <w:color w:val="000000"/>
                      <w:sz w:val="24"/>
                      <w:szCs w:val="24"/>
                      <w:lang w:eastAsia="lv-LV"/>
                    </w:rPr>
                    <w:t>a 2.daļa</w:t>
                  </w:r>
                </w:p>
              </w:tc>
              <w:tc>
                <w:tcPr>
                  <w:tcW w:w="1456" w:type="dxa"/>
                </w:tcPr>
                <w:p w:rsidR="00736D11" w:rsidRPr="00392E7C" w:rsidRDefault="00736D11" w:rsidP="00392E7C">
                  <w:pPr>
                    <w:spacing w:line="240" w:lineRule="auto"/>
                    <w:ind w:firstLine="0"/>
                    <w:rPr>
                      <w:rFonts w:eastAsia="Times New Roman"/>
                      <w:sz w:val="24"/>
                      <w:szCs w:val="24"/>
                      <w:lang w:eastAsia="lv-LV"/>
                    </w:rPr>
                  </w:pPr>
                  <w:r w:rsidRPr="00392E7C">
                    <w:rPr>
                      <w:rFonts w:eastAsia="Times New Roman"/>
                      <w:sz w:val="24"/>
                      <w:szCs w:val="24"/>
                      <w:lang w:eastAsia="lv-LV"/>
                    </w:rPr>
                    <w:t xml:space="preserve">Projekta </w:t>
                  </w:r>
                  <w:r w:rsidR="00392E7C" w:rsidRPr="00392E7C">
                    <w:rPr>
                      <w:rFonts w:eastAsia="Times New Roman"/>
                      <w:sz w:val="24"/>
                      <w:szCs w:val="24"/>
                      <w:lang w:eastAsia="lv-LV"/>
                    </w:rPr>
                    <w:t>1.26</w:t>
                  </w:r>
                  <w:r w:rsidRPr="00392E7C">
                    <w:rPr>
                      <w:rFonts w:eastAsia="Times New Roman"/>
                      <w:sz w:val="24"/>
                      <w:szCs w:val="24"/>
                      <w:lang w:eastAsia="lv-LV"/>
                    </w:rPr>
                    <w:t>.punkts</w:t>
                  </w:r>
                </w:p>
              </w:tc>
              <w:tc>
                <w:tcPr>
                  <w:tcW w:w="2551" w:type="dxa"/>
                </w:tcPr>
                <w:p w:rsidR="00736D11" w:rsidRPr="00392E7C" w:rsidRDefault="00736D11" w:rsidP="00392E7C">
                  <w:pPr>
                    <w:spacing w:line="240" w:lineRule="auto"/>
                    <w:ind w:firstLine="0"/>
                    <w:rPr>
                      <w:rFonts w:eastAsia="Times New Roman"/>
                      <w:sz w:val="24"/>
                      <w:szCs w:val="24"/>
                      <w:lang w:eastAsia="lv-LV"/>
                    </w:rPr>
                  </w:pPr>
                  <w:r w:rsidRPr="00392E7C">
                    <w:rPr>
                      <w:rFonts w:eastAsia="Times New Roman"/>
                      <w:sz w:val="24"/>
                      <w:szCs w:val="24"/>
                      <w:lang w:eastAsia="lv-LV"/>
                    </w:rPr>
                    <w:t xml:space="preserve">Pārņemts </w:t>
                  </w:r>
                  <w:r w:rsidR="004F778E" w:rsidRPr="00392E7C">
                    <w:rPr>
                      <w:rFonts w:eastAsia="Times New Roman"/>
                      <w:sz w:val="24"/>
                      <w:szCs w:val="24"/>
                      <w:lang w:eastAsia="lv-LV"/>
                    </w:rPr>
                    <w:t>attiecībā uz reģistrācijas atcelšanu</w:t>
                  </w:r>
                </w:p>
              </w:tc>
              <w:tc>
                <w:tcPr>
                  <w:tcW w:w="3119" w:type="dxa"/>
                </w:tcPr>
                <w:p w:rsidR="00736D11" w:rsidRDefault="00736D11" w:rsidP="00736D11">
                  <w:pPr>
                    <w:spacing w:before="100" w:beforeAutospacing="1" w:after="100" w:afterAutospacing="1" w:line="240" w:lineRule="auto"/>
                    <w:ind w:firstLine="0"/>
                    <w:rPr>
                      <w:rFonts w:eastAsia="Times New Roman"/>
                      <w:b/>
                      <w:sz w:val="24"/>
                      <w:szCs w:val="24"/>
                      <w:lang w:eastAsia="lv-LV"/>
                    </w:rPr>
                  </w:pPr>
                  <w:r w:rsidRPr="00E110B0">
                    <w:rPr>
                      <w:sz w:val="24"/>
                      <w:szCs w:val="24"/>
                      <w:lang w:eastAsia="lv-LV"/>
                    </w:rPr>
                    <w:t>Stingrākas prasības neparedz</w:t>
                  </w:r>
                </w:p>
              </w:tc>
            </w:tr>
            <w:tr w:rsidR="004F778E" w:rsidTr="009A5AFD">
              <w:tc>
                <w:tcPr>
                  <w:tcW w:w="2329" w:type="dxa"/>
                </w:tcPr>
                <w:p w:rsidR="004F778E" w:rsidRDefault="004F778E" w:rsidP="004F778E">
                  <w:pPr>
                    <w:spacing w:before="100" w:beforeAutospacing="1" w:after="100" w:afterAutospacing="1" w:line="240" w:lineRule="auto"/>
                    <w:ind w:firstLine="0"/>
                    <w:rPr>
                      <w:rFonts w:eastAsia="Times New Roman"/>
                      <w:b/>
                      <w:sz w:val="24"/>
                      <w:szCs w:val="24"/>
                      <w:lang w:eastAsia="lv-LV"/>
                    </w:rPr>
                  </w:pPr>
                  <w:r w:rsidRPr="00E110B0">
                    <w:rPr>
                      <w:rFonts w:eastAsia="Times New Roman"/>
                      <w:color w:val="000000"/>
                      <w:sz w:val="24"/>
                      <w:szCs w:val="24"/>
                      <w:lang w:eastAsia="lv-LV"/>
                    </w:rPr>
                    <w:t xml:space="preserve">Direktīvas </w:t>
                  </w:r>
                  <w:r>
                    <w:rPr>
                      <w:rFonts w:eastAsia="Times New Roman"/>
                      <w:color w:val="000000"/>
                      <w:sz w:val="24"/>
                      <w:szCs w:val="24"/>
                      <w:lang w:eastAsia="lv-LV"/>
                    </w:rPr>
                    <w:t>2014/46</w:t>
                  </w:r>
                  <w:r w:rsidRPr="0060275D">
                    <w:rPr>
                      <w:rFonts w:eastAsia="Times New Roman"/>
                      <w:color w:val="000000"/>
                      <w:sz w:val="24"/>
                      <w:szCs w:val="24"/>
                      <w:lang w:eastAsia="lv-LV"/>
                    </w:rPr>
                    <w:t xml:space="preserve">/ES </w:t>
                  </w:r>
                  <w:r>
                    <w:rPr>
                      <w:rFonts w:eastAsia="Times New Roman"/>
                      <w:color w:val="000000"/>
                      <w:sz w:val="24"/>
                      <w:szCs w:val="24"/>
                      <w:lang w:eastAsia="lv-LV"/>
                    </w:rPr>
                    <w:t>1.panta 3.daļa</w:t>
                  </w:r>
                </w:p>
              </w:tc>
              <w:tc>
                <w:tcPr>
                  <w:tcW w:w="1456" w:type="dxa"/>
                </w:tcPr>
                <w:p w:rsidR="004F778E" w:rsidRPr="001E7948" w:rsidRDefault="001E7948" w:rsidP="004F778E">
                  <w:pPr>
                    <w:spacing w:before="100" w:beforeAutospacing="1" w:after="100" w:afterAutospacing="1" w:line="240" w:lineRule="auto"/>
                    <w:ind w:firstLine="0"/>
                    <w:rPr>
                      <w:rFonts w:eastAsia="Times New Roman"/>
                      <w:b/>
                      <w:sz w:val="24"/>
                      <w:szCs w:val="24"/>
                      <w:lang w:eastAsia="lv-LV"/>
                    </w:rPr>
                  </w:pPr>
                  <w:r w:rsidRPr="001E7948">
                    <w:rPr>
                      <w:sz w:val="24"/>
                      <w:szCs w:val="24"/>
                      <w:lang w:eastAsia="lv-LV"/>
                    </w:rPr>
                    <w:t>Noteikumu 3.punkts</w:t>
                  </w:r>
                </w:p>
              </w:tc>
              <w:tc>
                <w:tcPr>
                  <w:tcW w:w="2551" w:type="dxa"/>
                </w:tcPr>
                <w:p w:rsidR="004F778E" w:rsidRPr="001E7948" w:rsidRDefault="004F778E" w:rsidP="004F778E">
                  <w:pPr>
                    <w:spacing w:before="100" w:beforeAutospacing="1" w:after="100" w:afterAutospacing="1" w:line="240" w:lineRule="auto"/>
                    <w:ind w:firstLine="0"/>
                    <w:rPr>
                      <w:rFonts w:eastAsia="Times New Roman"/>
                      <w:b/>
                      <w:sz w:val="24"/>
                      <w:szCs w:val="24"/>
                      <w:lang w:eastAsia="lv-LV"/>
                    </w:rPr>
                  </w:pPr>
                  <w:r w:rsidRPr="001E7948">
                    <w:rPr>
                      <w:sz w:val="24"/>
                      <w:szCs w:val="24"/>
                      <w:lang w:eastAsia="lv-LV"/>
                    </w:rPr>
                    <w:t>Pārņemts</w:t>
                  </w:r>
                  <w:r w:rsidR="001E7948" w:rsidRPr="001E7948">
                    <w:rPr>
                      <w:sz w:val="24"/>
                      <w:szCs w:val="24"/>
                      <w:lang w:eastAsia="lv-LV"/>
                    </w:rPr>
                    <w:t xml:space="preserve"> jau iepriekš </w:t>
                  </w:r>
                  <w:r w:rsidRPr="001E7948">
                    <w:rPr>
                      <w:sz w:val="24"/>
                      <w:szCs w:val="24"/>
                      <w:lang w:eastAsia="lv-LV"/>
                    </w:rPr>
                    <w:t xml:space="preserve"> attiecībā uz elektronisku datu uzglabāšanu, veicot transportlīdzekļu reģistrāciju</w:t>
                  </w:r>
                </w:p>
              </w:tc>
              <w:tc>
                <w:tcPr>
                  <w:tcW w:w="3119" w:type="dxa"/>
                </w:tcPr>
                <w:p w:rsidR="004F778E" w:rsidRDefault="004F778E" w:rsidP="004F778E">
                  <w:pPr>
                    <w:spacing w:before="100" w:beforeAutospacing="1" w:after="100" w:afterAutospacing="1" w:line="240" w:lineRule="auto"/>
                    <w:ind w:firstLine="0"/>
                    <w:rPr>
                      <w:rFonts w:eastAsia="Times New Roman"/>
                      <w:b/>
                      <w:sz w:val="24"/>
                      <w:szCs w:val="24"/>
                      <w:lang w:eastAsia="lv-LV"/>
                    </w:rPr>
                  </w:pPr>
                  <w:r w:rsidRPr="00E110B0">
                    <w:rPr>
                      <w:sz w:val="24"/>
                      <w:szCs w:val="24"/>
                      <w:lang w:eastAsia="lv-LV"/>
                    </w:rPr>
                    <w:t>Stingrākas prasības neparedz</w:t>
                  </w:r>
                </w:p>
              </w:tc>
            </w:tr>
            <w:tr w:rsidR="001E7948" w:rsidTr="009A5AFD">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rFonts w:eastAsia="Times New Roman"/>
                      <w:color w:val="000000"/>
                      <w:sz w:val="24"/>
                      <w:szCs w:val="24"/>
                      <w:lang w:eastAsia="lv-LV"/>
                    </w:rPr>
                    <w:t xml:space="preserve">Direktīvas </w:t>
                  </w:r>
                  <w:r>
                    <w:rPr>
                      <w:rFonts w:eastAsia="Times New Roman"/>
                      <w:color w:val="000000"/>
                      <w:sz w:val="24"/>
                      <w:szCs w:val="24"/>
                      <w:lang w:eastAsia="lv-LV"/>
                    </w:rPr>
                    <w:t>2014/46</w:t>
                  </w:r>
                  <w:r w:rsidRPr="0060275D">
                    <w:rPr>
                      <w:rFonts w:eastAsia="Times New Roman"/>
                      <w:color w:val="000000"/>
                      <w:sz w:val="24"/>
                      <w:szCs w:val="24"/>
                      <w:lang w:eastAsia="lv-LV"/>
                    </w:rPr>
                    <w:t xml:space="preserve">/ES </w:t>
                  </w:r>
                  <w:r>
                    <w:rPr>
                      <w:rFonts w:eastAsia="Times New Roman"/>
                      <w:color w:val="000000"/>
                      <w:sz w:val="24"/>
                      <w:szCs w:val="24"/>
                      <w:lang w:eastAsia="lv-LV"/>
                    </w:rPr>
                    <w:t>1.panta 4.daļa</w:t>
                  </w:r>
                </w:p>
              </w:tc>
              <w:tc>
                <w:tcPr>
                  <w:tcW w:w="1456" w:type="dxa"/>
                </w:tcPr>
                <w:p w:rsidR="001E7948" w:rsidRPr="00392E7C" w:rsidRDefault="001E7948" w:rsidP="001E7948">
                  <w:pPr>
                    <w:spacing w:line="240" w:lineRule="auto"/>
                    <w:ind w:firstLine="0"/>
                    <w:rPr>
                      <w:rFonts w:eastAsia="Times New Roman"/>
                      <w:sz w:val="24"/>
                      <w:szCs w:val="24"/>
                      <w:lang w:eastAsia="lv-LV"/>
                    </w:rPr>
                  </w:pPr>
                  <w:r w:rsidRPr="00392E7C">
                    <w:rPr>
                      <w:rFonts w:eastAsia="Times New Roman"/>
                      <w:sz w:val="24"/>
                      <w:szCs w:val="24"/>
                      <w:lang w:eastAsia="lv-LV"/>
                    </w:rPr>
                    <w:t>Projekta 1.26.punkts</w:t>
                  </w:r>
                </w:p>
              </w:tc>
              <w:tc>
                <w:tcPr>
                  <w:tcW w:w="2551" w:type="dxa"/>
                </w:tcPr>
                <w:p w:rsidR="001E7948" w:rsidRPr="004F778E" w:rsidRDefault="001E7948" w:rsidP="001E7948">
                  <w:pPr>
                    <w:spacing w:before="100" w:beforeAutospacing="1" w:after="100" w:afterAutospacing="1" w:line="240" w:lineRule="auto"/>
                    <w:ind w:firstLine="0"/>
                    <w:rPr>
                      <w:rFonts w:eastAsia="Times New Roman"/>
                      <w:b/>
                      <w:sz w:val="24"/>
                      <w:szCs w:val="24"/>
                      <w:highlight w:val="yellow"/>
                      <w:lang w:eastAsia="lv-LV"/>
                    </w:rPr>
                  </w:pPr>
                  <w:r w:rsidRPr="001E7948">
                    <w:rPr>
                      <w:sz w:val="24"/>
                      <w:szCs w:val="24"/>
                      <w:lang w:eastAsia="lv-LV"/>
                    </w:rPr>
                    <w:t>Pārņemts attiecībā uz paziņojuma saņemšanu par reģistrācijas atcelšanu</w:t>
                  </w:r>
                </w:p>
              </w:tc>
              <w:tc>
                <w:tcPr>
                  <w:tcW w:w="311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sz w:val="24"/>
                      <w:szCs w:val="24"/>
                      <w:lang w:eastAsia="lv-LV"/>
                    </w:rPr>
                    <w:t>Stingrākas prasības neparedz</w:t>
                  </w:r>
                </w:p>
              </w:tc>
            </w:tr>
            <w:tr w:rsidR="001E7948" w:rsidTr="008546DB">
              <w:tc>
                <w:tcPr>
                  <w:tcW w:w="2329" w:type="dxa"/>
                </w:tcPr>
                <w:p w:rsidR="001E7948" w:rsidRPr="00E110B0" w:rsidRDefault="001E7948" w:rsidP="001E7948">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Kā ir izmantota ES tiesību aktā paredzētā rīcības brīvība dalībvalstij pārņemt vai ieviest noteiktas ES tiesību akta normas.</w:t>
                  </w:r>
                </w:p>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rFonts w:eastAsia="Times New Roman"/>
                      <w:sz w:val="24"/>
                      <w:szCs w:val="24"/>
                      <w:lang w:eastAsia="lv-LV"/>
                    </w:rPr>
                    <w:t>Kādēļ?</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0036A4">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rFonts w:eastAsia="Times New Roman"/>
                      <w:sz w:val="24"/>
                      <w:szCs w:val="24"/>
                      <w:lang w:eastAsia="lv-LV"/>
                    </w:rPr>
                    <w:t>Cita informācija</w:t>
                  </w:r>
                </w:p>
              </w:tc>
              <w:tc>
                <w:tcPr>
                  <w:tcW w:w="7126" w:type="dxa"/>
                  <w:gridSpan w:val="3"/>
                </w:tcPr>
                <w:p w:rsidR="001E7948" w:rsidRDefault="0061769D" w:rsidP="005227D6">
                  <w:pPr>
                    <w:spacing w:before="100" w:beforeAutospacing="1" w:after="100" w:afterAutospacing="1" w:line="240" w:lineRule="auto"/>
                    <w:ind w:firstLine="0"/>
                    <w:rPr>
                      <w:rFonts w:eastAsia="Times New Roman"/>
                      <w:b/>
                      <w:sz w:val="24"/>
                      <w:szCs w:val="24"/>
                      <w:lang w:eastAsia="lv-LV"/>
                    </w:rPr>
                  </w:pPr>
                  <w:r>
                    <w:rPr>
                      <w:sz w:val="24"/>
                      <w:szCs w:val="24"/>
                    </w:rPr>
                    <w:t>Pilnīga</w:t>
                  </w:r>
                  <w:r w:rsidR="009339A5" w:rsidRPr="00392E7C">
                    <w:rPr>
                      <w:sz w:val="24"/>
                      <w:szCs w:val="24"/>
                    </w:rPr>
                    <w:t xml:space="preserve"> </w:t>
                  </w:r>
                  <w:r w:rsidR="009339A5" w:rsidRPr="00392E7C">
                    <w:rPr>
                      <w:rFonts w:eastAsia="Times New Roman"/>
                      <w:sz w:val="24"/>
                      <w:szCs w:val="24"/>
                      <w:lang w:eastAsia="lv-LV"/>
                    </w:rPr>
                    <w:t>Eiropas Parlamenta un Padomes 2014.gada 3.aprīļa Direktīv</w:t>
                  </w:r>
                  <w:r w:rsidR="009339A5">
                    <w:rPr>
                      <w:rFonts w:eastAsia="Times New Roman"/>
                      <w:sz w:val="24"/>
                      <w:szCs w:val="24"/>
                      <w:lang w:eastAsia="lv-LV"/>
                    </w:rPr>
                    <w:t>ā</w:t>
                  </w:r>
                  <w:r w:rsidR="009339A5" w:rsidRPr="00392E7C">
                    <w:rPr>
                      <w:rFonts w:eastAsia="Times New Roman"/>
                      <w:sz w:val="24"/>
                      <w:szCs w:val="24"/>
                      <w:lang w:eastAsia="lv-LV"/>
                    </w:rPr>
                    <w:t> </w:t>
                  </w:r>
                  <w:hyperlink r:id="rId17" w:tgtFrame="_blank" w:history="1">
                    <w:r w:rsidR="009339A5" w:rsidRPr="00392E7C">
                      <w:rPr>
                        <w:rFonts w:eastAsia="Times New Roman"/>
                        <w:sz w:val="24"/>
                        <w:szCs w:val="24"/>
                        <w:lang w:eastAsia="lv-LV"/>
                      </w:rPr>
                      <w:t>2014/46/ES</w:t>
                    </w:r>
                  </w:hyperlink>
                  <w:r w:rsidR="009339A5" w:rsidRPr="00392E7C">
                    <w:rPr>
                      <w:rFonts w:eastAsia="Times New Roman"/>
                      <w:sz w:val="24"/>
                      <w:szCs w:val="24"/>
                      <w:lang w:eastAsia="lv-LV"/>
                    </w:rPr>
                    <w:t>, ar ko groza Padomes Direktīvu </w:t>
                  </w:r>
                  <w:hyperlink r:id="rId18" w:tgtFrame="_blank" w:history="1">
                    <w:r w:rsidR="009339A5" w:rsidRPr="00392E7C">
                      <w:rPr>
                        <w:rFonts w:eastAsia="Times New Roman"/>
                        <w:sz w:val="24"/>
                        <w:szCs w:val="24"/>
                        <w:lang w:eastAsia="lv-LV"/>
                      </w:rPr>
                      <w:t>1999/37/EK</w:t>
                    </w:r>
                  </w:hyperlink>
                  <w:r w:rsidR="009339A5" w:rsidRPr="00392E7C">
                    <w:rPr>
                      <w:rFonts w:eastAsia="Times New Roman"/>
                      <w:sz w:val="24"/>
                      <w:szCs w:val="24"/>
                      <w:lang w:eastAsia="lv-LV"/>
                    </w:rPr>
                    <w:t> par transportlīdzekļu reģistrācijas dokumentiem, iekļaut</w:t>
                  </w:r>
                  <w:r w:rsidR="009339A5">
                    <w:rPr>
                      <w:rFonts w:eastAsia="Times New Roman"/>
                      <w:sz w:val="24"/>
                      <w:szCs w:val="24"/>
                      <w:lang w:eastAsia="lv-LV"/>
                    </w:rPr>
                    <w:t>o</w:t>
                  </w:r>
                  <w:r w:rsidR="009339A5" w:rsidRPr="00392E7C">
                    <w:rPr>
                      <w:rFonts w:eastAsia="Times New Roman"/>
                      <w:sz w:val="24"/>
                      <w:szCs w:val="24"/>
                      <w:lang w:eastAsia="lv-LV"/>
                    </w:rPr>
                    <w:t xml:space="preserve"> prasīb</w:t>
                  </w:r>
                  <w:r w:rsidR="009339A5">
                    <w:rPr>
                      <w:rFonts w:eastAsia="Times New Roman"/>
                      <w:sz w:val="24"/>
                      <w:szCs w:val="24"/>
                      <w:lang w:eastAsia="lv-LV"/>
                    </w:rPr>
                    <w:t>u p</w:t>
                  </w:r>
                  <w:r>
                    <w:rPr>
                      <w:rFonts w:eastAsia="Times New Roman"/>
                      <w:sz w:val="24"/>
                      <w:szCs w:val="24"/>
                      <w:lang w:eastAsia="lv-LV"/>
                    </w:rPr>
                    <w:t xml:space="preserve">ārņemšana tiks </w:t>
                  </w:r>
                  <w:r w:rsidR="009339A5">
                    <w:rPr>
                      <w:rFonts w:eastAsia="Times New Roman"/>
                      <w:sz w:val="24"/>
                      <w:szCs w:val="24"/>
                      <w:lang w:eastAsia="lv-LV"/>
                    </w:rPr>
                    <w:t>nodrošināt</w:t>
                  </w:r>
                  <w:r>
                    <w:rPr>
                      <w:rFonts w:eastAsia="Times New Roman"/>
                      <w:sz w:val="24"/>
                      <w:szCs w:val="24"/>
                      <w:lang w:eastAsia="lv-LV"/>
                    </w:rPr>
                    <w:t>a</w:t>
                  </w:r>
                  <w:r w:rsidR="005227D6">
                    <w:rPr>
                      <w:rFonts w:eastAsia="Times New Roman"/>
                      <w:sz w:val="24"/>
                      <w:szCs w:val="24"/>
                      <w:lang w:eastAsia="lv-LV"/>
                    </w:rPr>
                    <w:t xml:space="preserve"> ar Ministru kabineta </w:t>
                  </w:r>
                  <w:r w:rsidR="005227D6">
                    <w:rPr>
                      <w:sz w:val="24"/>
                      <w:szCs w:val="24"/>
                    </w:rPr>
                    <w:t>noteikumu projektu “</w:t>
                  </w:r>
                  <w:r w:rsidR="005227D6" w:rsidRPr="005227D6">
                    <w:rPr>
                      <w:sz w:val="24"/>
                      <w:szCs w:val="24"/>
                    </w:rPr>
                    <w:t>Noteikumi par transportlīdzekļu valsts tehnisko apska</w:t>
                  </w:r>
                  <w:r w:rsidR="005227D6">
                    <w:rPr>
                      <w:sz w:val="24"/>
                      <w:szCs w:val="24"/>
                    </w:rPr>
                    <w:t>ti un tehnisko kontroli uz ceļa” (VSS-218).</w:t>
                  </w:r>
                </w:p>
              </w:tc>
            </w:tr>
            <w:tr w:rsidR="001E7948" w:rsidTr="00CE05C8">
              <w:tc>
                <w:tcPr>
                  <w:tcW w:w="9455" w:type="dxa"/>
                  <w:gridSpan w:val="4"/>
                </w:tcPr>
                <w:p w:rsidR="001E7948" w:rsidRPr="00E110B0" w:rsidRDefault="001E7948" w:rsidP="001E7948">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2.tabula</w:t>
                  </w:r>
                </w:p>
                <w:p w:rsidR="001E7948" w:rsidRPr="00E110B0" w:rsidRDefault="001E7948" w:rsidP="001E7948">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 xml:space="preserve">Ar tiesību akta projektu uzņemtās saistības, kas izriet no starptautiskajiem tiesību aktiem vai starptautiskas institūcijas vai organizācijas dokumentiem  </w:t>
                  </w:r>
                </w:p>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sidRPr="00E110B0">
                    <w:rPr>
                      <w:rFonts w:eastAsia="Times New Roman"/>
                      <w:b/>
                      <w:sz w:val="24"/>
                      <w:szCs w:val="24"/>
                      <w:lang w:eastAsia="lv-LV"/>
                    </w:rPr>
                    <w:t>Pasākumi šo saistību izpildei</w:t>
                  </w:r>
                </w:p>
              </w:tc>
            </w:tr>
            <w:tr w:rsidR="001E7948" w:rsidTr="00743B69">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Attiecīgā starptautiskā tiesību akta vai starptautiskas institūcijas vai organizācijas dokumenta (turpmāk – starptautiskais dokuments) datums, numurs un nosaukums</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F65F45">
              <w:tc>
                <w:tcPr>
                  <w:tcW w:w="2329" w:type="dxa"/>
                </w:tcPr>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A</w:t>
                  </w:r>
                </w:p>
              </w:tc>
              <w:tc>
                <w:tcPr>
                  <w:tcW w:w="4007" w:type="dxa"/>
                  <w:gridSpan w:val="2"/>
                </w:tcPr>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B</w:t>
                  </w:r>
                </w:p>
              </w:tc>
              <w:tc>
                <w:tcPr>
                  <w:tcW w:w="3119" w:type="dxa"/>
                </w:tcPr>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C</w:t>
                  </w:r>
                </w:p>
              </w:tc>
            </w:tr>
            <w:tr w:rsidR="001E7948" w:rsidTr="00383C2F">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 xml:space="preserve">Starptautiskās saistības (pēc </w:t>
                  </w:r>
                  <w:r w:rsidRPr="007D2C54">
                    <w:rPr>
                      <w:rFonts w:eastAsia="Times New Roman"/>
                      <w:sz w:val="24"/>
                      <w:szCs w:val="24"/>
                      <w:lang w:eastAsia="lv-LV"/>
                    </w:rPr>
                    <w:lastRenderedPageBreak/>
                    <w:t>būtības), kas izriet no nor</w:t>
                  </w:r>
                  <w:r>
                    <w:rPr>
                      <w:rFonts w:eastAsia="Times New Roman"/>
                      <w:sz w:val="24"/>
                      <w:szCs w:val="24"/>
                      <w:lang w:eastAsia="lv-LV"/>
                    </w:rPr>
                    <w:t xml:space="preserve">ādītā starptautiskā dokumenta. </w:t>
                  </w:r>
                  <w:r w:rsidRPr="007D2C54">
                    <w:rPr>
                      <w:rFonts w:eastAsia="Times New Roman"/>
                      <w:sz w:val="24"/>
                      <w:szCs w:val="24"/>
                      <w:lang w:eastAsia="lv-LV"/>
                    </w:rPr>
                    <w:t>Konkrēti veicamie pasākumi vai uzdevumi, kas nepieciešami šo starptautisko saistību izpildei</w:t>
                  </w:r>
                </w:p>
              </w:tc>
              <w:tc>
                <w:tcPr>
                  <w:tcW w:w="4007" w:type="dxa"/>
                  <w:gridSpan w:val="2"/>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lastRenderedPageBreak/>
                    <w:t xml:space="preserve">Ja pasākumi vai uzdevumi, ar ko tiks izpildītas starptautiskās saistības, tiek </w:t>
                  </w:r>
                  <w:r w:rsidRPr="007D2C54">
                    <w:rPr>
                      <w:rFonts w:eastAsia="Times New Roman"/>
                      <w:sz w:val="24"/>
                      <w:szCs w:val="24"/>
                      <w:lang w:eastAsia="lv-LV"/>
                    </w:rPr>
                    <w:lastRenderedPageBreak/>
                    <w:t>noteikti projektā, norāda attiecīgo projekta vienību vai dokumentu, kurā sniegts izvērsts skaidrojums, kādā veidā tiks nodrošināta starptautisko saistību izpilde</w:t>
                  </w:r>
                </w:p>
              </w:tc>
              <w:tc>
                <w:tcPr>
                  <w:tcW w:w="3119" w:type="dxa"/>
                </w:tcPr>
                <w:p w:rsidR="001E7948" w:rsidRPr="007D2C54" w:rsidRDefault="001E7948" w:rsidP="001E7948">
                  <w:pPr>
                    <w:spacing w:line="240" w:lineRule="auto"/>
                    <w:ind w:firstLine="0"/>
                    <w:rPr>
                      <w:rFonts w:eastAsia="Times New Roman"/>
                      <w:sz w:val="24"/>
                      <w:szCs w:val="24"/>
                      <w:lang w:eastAsia="lv-LV"/>
                    </w:rPr>
                  </w:pPr>
                  <w:r w:rsidRPr="007D2C54">
                    <w:rPr>
                      <w:rFonts w:eastAsia="Times New Roman"/>
                      <w:sz w:val="24"/>
                      <w:szCs w:val="24"/>
                      <w:lang w:eastAsia="lv-LV"/>
                    </w:rPr>
                    <w:lastRenderedPageBreak/>
                    <w:t xml:space="preserve">Informācija par to, vai starptautiskās saistības, kas </w:t>
                  </w:r>
                  <w:r w:rsidRPr="007D2C54">
                    <w:rPr>
                      <w:rFonts w:eastAsia="Times New Roman"/>
                      <w:sz w:val="24"/>
                      <w:szCs w:val="24"/>
                      <w:lang w:eastAsia="lv-LV"/>
                    </w:rPr>
                    <w:lastRenderedPageBreak/>
                    <w:t xml:space="preserve">minētas šīs tabulas A ailē, tiek izpildītas pilnībā vai daļēji. </w:t>
                  </w:r>
                </w:p>
                <w:p w:rsidR="001E7948" w:rsidRDefault="001E7948" w:rsidP="001E7948">
                  <w:pPr>
                    <w:spacing w:line="240" w:lineRule="auto"/>
                    <w:ind w:firstLine="0"/>
                    <w:rPr>
                      <w:rFonts w:eastAsia="Times New Roman"/>
                      <w:sz w:val="24"/>
                      <w:szCs w:val="24"/>
                      <w:lang w:eastAsia="lv-LV"/>
                    </w:rPr>
                  </w:pPr>
                  <w:r w:rsidRPr="007D2C54">
                    <w:rPr>
                      <w:rFonts w:eastAsia="Times New Roman"/>
                      <w:sz w:val="24"/>
                      <w:szCs w:val="24"/>
                      <w:lang w:eastAsia="lv-LV"/>
                    </w:rPr>
                    <w:t>Ja attiecīgās starptautiskās saistības tiek izpildītas daļēji, sniedz skaidrojumu, kā arī precīzi norāda, kad un kādā veidā starptautiskās saistības tiks izpildītas pilnībā.</w:t>
                  </w:r>
                </w:p>
                <w:p w:rsidR="001E7948" w:rsidRDefault="001E7948" w:rsidP="001E7948">
                  <w:pPr>
                    <w:spacing w:line="240" w:lineRule="auto"/>
                    <w:ind w:firstLine="0"/>
                    <w:rPr>
                      <w:rFonts w:eastAsia="Times New Roman"/>
                      <w:b/>
                      <w:sz w:val="24"/>
                      <w:szCs w:val="24"/>
                      <w:lang w:eastAsia="lv-LV"/>
                    </w:rPr>
                  </w:pPr>
                  <w:r w:rsidRPr="007D2C54">
                    <w:rPr>
                      <w:rFonts w:eastAsia="Times New Roman"/>
                      <w:sz w:val="24"/>
                      <w:szCs w:val="24"/>
                      <w:lang w:eastAsia="lv-LV"/>
                    </w:rPr>
                    <w:t>Norāda institūciju, kas ir atbildīga par šo saistību izpildi pilnībā</w:t>
                  </w:r>
                </w:p>
              </w:tc>
            </w:tr>
            <w:tr w:rsidR="001E7948" w:rsidTr="00002995">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lastRenderedPageBreak/>
                    <w:t>Projekts šo jomu neskar</w:t>
                  </w:r>
                  <w:r>
                    <w:rPr>
                      <w:rFonts w:eastAsia="Times New Roman"/>
                      <w:sz w:val="24"/>
                      <w:szCs w:val="24"/>
                      <w:lang w:eastAsia="lv-LV"/>
                    </w:rPr>
                    <w:t>.</w:t>
                  </w:r>
                </w:p>
              </w:tc>
              <w:tc>
                <w:tcPr>
                  <w:tcW w:w="4007" w:type="dxa"/>
                  <w:gridSpan w:val="2"/>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c>
                <w:tcPr>
                  <w:tcW w:w="311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2E655D">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Vai starptautiskajā dokumentā paredzētās saistības nav pretrunā ar jau esošajām Latvijas Republikas starptautiskajām saistībām</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932DCC">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Cita informācija</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Nav</w:t>
                  </w:r>
                </w:p>
              </w:tc>
            </w:tr>
          </w:tbl>
          <w:p w:rsidR="009A5AFD" w:rsidRPr="00E110B0" w:rsidRDefault="009A5AFD" w:rsidP="009A5AFD">
            <w:pPr>
              <w:spacing w:before="100" w:beforeAutospacing="1" w:after="100" w:afterAutospacing="1" w:line="240" w:lineRule="auto"/>
              <w:jc w:val="center"/>
              <w:rPr>
                <w:rFonts w:eastAsia="Times New Roman"/>
                <w:b/>
                <w:sz w:val="24"/>
                <w:szCs w:val="24"/>
                <w:lang w:eastAsia="lv-LV"/>
              </w:rPr>
            </w:pPr>
          </w:p>
        </w:tc>
      </w:tr>
      <w:tr w:rsidR="001C2C47" w:rsidRPr="00D521B0" w:rsidTr="00967F6C">
        <w:trPr>
          <w:trHeight w:val="366"/>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1C2C47" w:rsidRPr="00D65DFE" w:rsidRDefault="001C2C47" w:rsidP="009A5AFD">
            <w:pPr>
              <w:spacing w:before="100" w:beforeAutospacing="1" w:after="100" w:afterAutospacing="1" w:line="240" w:lineRule="auto"/>
              <w:ind w:firstLine="0"/>
              <w:rPr>
                <w:i/>
                <w:sz w:val="24"/>
                <w:szCs w:val="24"/>
              </w:rPr>
            </w:pPr>
          </w:p>
        </w:tc>
      </w:tr>
      <w:tr w:rsidR="009A5AFD" w:rsidRPr="00D521B0" w:rsidTr="00967F6C">
        <w:trPr>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sz w:val="24"/>
                <w:szCs w:val="24"/>
                <w:lang w:eastAsia="lv-LV"/>
              </w:rPr>
              <w:t>VI. Sabiedrības līdzdalība un komunikācijas aktivitātes</w:t>
            </w:r>
          </w:p>
        </w:tc>
      </w:tr>
      <w:tr w:rsidR="009A5AFD" w:rsidRPr="00D521B0" w:rsidTr="00967F6C">
        <w:trPr>
          <w:trHeight w:val="77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Plānotās sabiedrības līdzdalības un komunikācijas aktivitātes saistībā ar projektu</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B57405" w:rsidRDefault="009A5AFD" w:rsidP="00967F6C">
            <w:pPr>
              <w:spacing w:before="100" w:beforeAutospacing="1" w:after="100" w:afterAutospacing="1" w:line="240" w:lineRule="auto"/>
              <w:ind w:firstLine="0"/>
              <w:rPr>
                <w:bCs/>
                <w:color w:val="000000"/>
                <w:sz w:val="24"/>
                <w:szCs w:val="24"/>
              </w:rPr>
            </w:pPr>
            <w:r w:rsidRPr="00B57405">
              <w:rPr>
                <w:bCs/>
                <w:color w:val="000000"/>
                <w:sz w:val="24"/>
                <w:szCs w:val="24"/>
              </w:rPr>
              <w:t xml:space="preserve">Paziņojums par līdzdalības iespējām tiesību akta saskaņošanas procesā ievietots Satiksmes ministrijas </w:t>
            </w:r>
            <w:r w:rsidR="003C7F4D">
              <w:rPr>
                <w:bCs/>
                <w:color w:val="000000"/>
                <w:sz w:val="24"/>
                <w:szCs w:val="24"/>
              </w:rPr>
              <w:t>tīmekļa vietnē 2017</w:t>
            </w:r>
            <w:r w:rsidR="00967F6C">
              <w:rPr>
                <w:bCs/>
                <w:color w:val="000000"/>
                <w:sz w:val="24"/>
                <w:szCs w:val="24"/>
              </w:rPr>
              <w:t>.gada 27</w:t>
            </w:r>
            <w:r>
              <w:rPr>
                <w:bCs/>
                <w:color w:val="000000"/>
                <w:sz w:val="24"/>
                <w:szCs w:val="24"/>
              </w:rPr>
              <w:t>.</w:t>
            </w:r>
            <w:r w:rsidR="00967F6C">
              <w:rPr>
                <w:bCs/>
                <w:color w:val="000000"/>
                <w:sz w:val="24"/>
                <w:szCs w:val="24"/>
              </w:rPr>
              <w:t>februārī</w:t>
            </w:r>
            <w:r>
              <w:rPr>
                <w:bCs/>
                <w:color w:val="000000"/>
                <w:sz w:val="24"/>
                <w:szCs w:val="24"/>
              </w:rPr>
              <w:t>.</w:t>
            </w:r>
            <w:r w:rsidRPr="00D521B0">
              <w:rPr>
                <w:rFonts w:eastAsia="Times New Roman"/>
                <w:sz w:val="24"/>
                <w:szCs w:val="24"/>
                <w:lang w:eastAsia="lv-LV"/>
              </w:rPr>
              <w:t xml:space="preserve"> </w:t>
            </w:r>
          </w:p>
        </w:tc>
      </w:tr>
      <w:tr w:rsidR="009A5AFD" w:rsidRPr="00D521B0" w:rsidTr="00967F6C">
        <w:trPr>
          <w:trHeight w:val="463"/>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Sabiedrības līdzdalība projekta izstrādē</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ind w:firstLine="0"/>
              <w:rPr>
                <w:sz w:val="24"/>
                <w:szCs w:val="24"/>
              </w:rPr>
            </w:pPr>
            <w:r w:rsidRPr="00D521B0">
              <w:rPr>
                <w:sz w:val="24"/>
                <w:szCs w:val="24"/>
              </w:rPr>
              <w:t xml:space="preserve"> </w:t>
            </w:r>
            <w:r w:rsidRPr="00B57405">
              <w:rPr>
                <w:sz w:val="24"/>
                <w:szCs w:val="24"/>
              </w:rPr>
              <w:t>Atbilstoši Ministru kabineta 2009.gada 25.augusta noteikumu Nr.970 „Sabiedrības līdzdalības kārtība attīstības plānošanas procesā” 7.4.</w:t>
            </w:r>
            <w:r w:rsidRPr="00B57405">
              <w:rPr>
                <w:sz w:val="24"/>
                <w:szCs w:val="24"/>
                <w:vertAlign w:val="superscript"/>
              </w:rPr>
              <w:t xml:space="preserve">1 </w:t>
            </w:r>
            <w:r>
              <w:rPr>
                <w:sz w:val="24"/>
                <w:szCs w:val="24"/>
              </w:rPr>
              <w:t>apakšpunktam</w:t>
            </w:r>
            <w:r w:rsidRPr="00B57405">
              <w:rPr>
                <w:sz w:val="24"/>
                <w:szCs w:val="24"/>
              </w:rPr>
              <w:t xml:space="preserve"> sabiedrībai tiek dota iespēja rakstiski sniegt viedokli par noteikumu projektu tā saskaņošanas stadijā.</w:t>
            </w:r>
          </w:p>
        </w:tc>
      </w:tr>
      <w:tr w:rsidR="009A5AFD" w:rsidRPr="00D521B0" w:rsidTr="00967F6C">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3.</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Sabiedrības līdzdalības rezultāti</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39160F" w:rsidRDefault="009A5AFD" w:rsidP="00967F6C">
            <w:pPr>
              <w:spacing w:before="100" w:beforeAutospacing="1" w:after="100" w:afterAutospacing="1" w:line="240" w:lineRule="auto"/>
              <w:ind w:firstLine="0"/>
              <w:rPr>
                <w:sz w:val="24"/>
                <w:szCs w:val="24"/>
                <w:u w:val="single"/>
              </w:rPr>
            </w:pPr>
            <w:r w:rsidRPr="00D521B0">
              <w:rPr>
                <w:rFonts w:eastAsia="Times New Roman"/>
                <w:sz w:val="24"/>
                <w:szCs w:val="24"/>
                <w:lang w:eastAsia="lv-LV"/>
              </w:rPr>
              <w:t>Biedrība</w:t>
            </w:r>
            <w:r>
              <w:rPr>
                <w:rFonts w:eastAsia="Times New Roman"/>
                <w:sz w:val="24"/>
                <w:szCs w:val="24"/>
                <w:lang w:eastAsia="lv-LV"/>
              </w:rPr>
              <w:t>s</w:t>
            </w:r>
            <w:r w:rsidRPr="00D521B0">
              <w:rPr>
                <w:rFonts w:eastAsia="Times New Roman"/>
                <w:sz w:val="24"/>
                <w:szCs w:val="24"/>
                <w:lang w:eastAsia="lv-LV"/>
              </w:rPr>
              <w:t xml:space="preserve"> "Auto Asociācija" izteiktie priekšlikumi ir</w:t>
            </w:r>
            <w:r w:rsidRPr="00D521B0">
              <w:rPr>
                <w:sz w:val="24"/>
                <w:szCs w:val="24"/>
              </w:rPr>
              <w:t xml:space="preserve"> ņemti vērā</w:t>
            </w:r>
            <w:r>
              <w:rPr>
                <w:sz w:val="24"/>
                <w:szCs w:val="24"/>
              </w:rPr>
              <w:t>,</w:t>
            </w:r>
            <w:r w:rsidRPr="00D521B0">
              <w:rPr>
                <w:sz w:val="24"/>
                <w:szCs w:val="24"/>
              </w:rPr>
              <w:t xml:space="preserve"> izstrādājot noteikumu projektu</w:t>
            </w:r>
            <w:r>
              <w:rPr>
                <w:sz w:val="24"/>
                <w:szCs w:val="24"/>
              </w:rPr>
              <w:t>. Citi iebildumi un priekšlikumi netika saņemti.</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4.</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w:t>
            </w:r>
            <w:r w:rsidRPr="00D521B0">
              <w:rPr>
                <w:sz w:val="24"/>
                <w:szCs w:val="24"/>
              </w:rPr>
              <w:t>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Nav.</w:t>
            </w:r>
          </w:p>
        </w:tc>
      </w:tr>
      <w:tr w:rsidR="00967F6C" w:rsidRPr="00D521B0" w:rsidTr="00967F6C">
        <w:trPr>
          <w:trHeight w:val="351"/>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59615D" w:rsidRPr="00D521B0" w:rsidRDefault="0059615D" w:rsidP="009A5AFD">
            <w:pPr>
              <w:spacing w:before="100" w:beforeAutospacing="1" w:after="100" w:afterAutospacing="1" w:line="240" w:lineRule="auto"/>
              <w:ind w:firstLine="0"/>
              <w:jc w:val="left"/>
              <w:rPr>
                <w:rFonts w:eastAsia="Times New Roman"/>
                <w:sz w:val="24"/>
                <w:szCs w:val="24"/>
                <w:lang w:eastAsia="lv-LV"/>
              </w:rPr>
            </w:pPr>
          </w:p>
        </w:tc>
      </w:tr>
      <w:tr w:rsidR="009A5AFD" w:rsidRPr="00D521B0" w:rsidTr="00967F6C">
        <w:trPr>
          <w:trHeight w:val="351"/>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VII. Tiesību akta projekta izpildes nodrošināšana un tās ietekme uz institūcijām</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67F6C">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Valsts akciju sabiedrība „Ceļu satiksmes drošības direkcija”</w:t>
            </w:r>
            <w:r w:rsidR="00967F6C">
              <w:rPr>
                <w:rFonts w:eastAsia="Times New Roman"/>
                <w:sz w:val="24"/>
                <w:szCs w:val="24"/>
                <w:lang w:eastAsia="lv-LV"/>
              </w:rPr>
              <w:t>.</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2.</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left="1" w:firstLine="0"/>
              <w:rPr>
                <w:rFonts w:eastAsia="Times New Roman"/>
                <w:sz w:val="24"/>
                <w:szCs w:val="24"/>
                <w:lang w:eastAsia="lv-LV"/>
              </w:rPr>
            </w:pPr>
            <w:r w:rsidRPr="00D521B0">
              <w:rPr>
                <w:rFonts w:eastAsia="Times New Roman"/>
                <w:sz w:val="24"/>
                <w:szCs w:val="24"/>
                <w:lang w:eastAsia="lv-LV"/>
              </w:rPr>
              <w:t xml:space="preserve">Projekta izpilde tiks nodrošināta anotācijas </w:t>
            </w:r>
            <w:r w:rsidRPr="00D521B0">
              <w:rPr>
                <w:rFonts w:eastAsia="Times New Roman"/>
                <w:bCs/>
                <w:sz w:val="24"/>
                <w:szCs w:val="24"/>
                <w:lang w:eastAsia="lv-LV"/>
              </w:rPr>
              <w:t>VII.</w:t>
            </w:r>
            <w:r>
              <w:rPr>
                <w:rFonts w:eastAsia="Times New Roman"/>
                <w:bCs/>
                <w:sz w:val="24"/>
                <w:szCs w:val="24"/>
                <w:lang w:eastAsia="lv-LV"/>
              </w:rPr>
              <w:t xml:space="preserve"> </w:t>
            </w:r>
            <w:r w:rsidRPr="00D521B0">
              <w:rPr>
                <w:rFonts w:eastAsia="Times New Roman"/>
                <w:bCs/>
                <w:sz w:val="24"/>
                <w:szCs w:val="24"/>
                <w:lang w:eastAsia="lv-LV"/>
              </w:rPr>
              <w:t>sadaļas 1.punktā minēto institūciju līdzšinējo funkciju ietvaros un institūciju cilvēkresursus neietekmēs.</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xml:space="preserve"> 3.</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r>
              <w:rPr>
                <w:rFonts w:eastAsia="Times New Roman"/>
                <w:sz w:val="24"/>
                <w:szCs w:val="24"/>
                <w:lang w:eastAsia="lv-LV"/>
              </w:rPr>
              <w:t>.</w:t>
            </w:r>
          </w:p>
        </w:tc>
      </w:tr>
    </w:tbl>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59615D">
        <w:rPr>
          <w:rFonts w:eastAsia="Times New Roman"/>
          <w:sz w:val="24"/>
          <w:szCs w:val="24"/>
          <w:lang w:eastAsia="lv-LV"/>
        </w:rPr>
        <w:t xml:space="preserve">, IV </w:t>
      </w:r>
      <w:r w:rsidR="003373D7" w:rsidRPr="00D521B0">
        <w:rPr>
          <w:rFonts w:eastAsia="Times New Roman"/>
          <w:sz w:val="24"/>
          <w:szCs w:val="24"/>
          <w:lang w:eastAsia="lv-LV"/>
        </w:rPr>
        <w:t>un V sadaļa – projekts šīs jomas neskar.</w:t>
      </w:r>
    </w:p>
    <w:p w:rsidR="006137B2" w:rsidRDefault="006137B2" w:rsidP="0077138F">
      <w:pPr>
        <w:spacing w:line="240" w:lineRule="auto"/>
        <w:ind w:firstLine="0"/>
        <w:rPr>
          <w:rFonts w:eastAsia="Times New Roman"/>
          <w:sz w:val="16"/>
          <w:szCs w:val="16"/>
          <w:lang w:eastAsia="lv-LV"/>
        </w:rPr>
      </w:pPr>
    </w:p>
    <w:p w:rsidR="006137B2" w:rsidRDefault="006137B2" w:rsidP="0077138F">
      <w:pPr>
        <w:spacing w:line="240" w:lineRule="auto"/>
        <w:ind w:firstLine="0"/>
        <w:rPr>
          <w:rFonts w:eastAsia="Times New Roman"/>
          <w:sz w:val="16"/>
          <w:szCs w:val="16"/>
          <w:lang w:eastAsia="lv-LV"/>
        </w:rPr>
      </w:pPr>
    </w:p>
    <w:p w:rsidR="0039160F" w:rsidRPr="00D90274" w:rsidRDefault="0039160F" w:rsidP="0077138F">
      <w:pPr>
        <w:spacing w:line="240" w:lineRule="auto"/>
        <w:ind w:firstLine="0"/>
        <w:rPr>
          <w:rFonts w:eastAsia="Times New Roman"/>
          <w:sz w:val="16"/>
          <w:szCs w:val="16"/>
          <w:lang w:eastAsia="lv-LV"/>
        </w:rPr>
      </w:pPr>
    </w:p>
    <w:p w:rsidR="00D87D2E" w:rsidRPr="009E3B9C" w:rsidRDefault="00772142" w:rsidP="00D90274">
      <w:pPr>
        <w:spacing w:line="240" w:lineRule="auto"/>
        <w:ind w:right="-341" w:firstLine="0"/>
        <w:rPr>
          <w:sz w:val="24"/>
          <w:szCs w:val="24"/>
        </w:rPr>
      </w:pPr>
      <w:r w:rsidRPr="009E3B9C">
        <w:rPr>
          <w:sz w:val="24"/>
          <w:szCs w:val="24"/>
        </w:rPr>
        <w:t>Satiksmes ministr</w:t>
      </w:r>
      <w:r w:rsidR="00F051C7" w:rsidRPr="009E3B9C">
        <w:rPr>
          <w:sz w:val="24"/>
          <w:szCs w:val="24"/>
        </w:rPr>
        <w:t>s</w:t>
      </w:r>
      <w:r w:rsidR="00F051C7"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00F051C7" w:rsidRPr="009E3B9C">
        <w:rPr>
          <w:sz w:val="24"/>
          <w:szCs w:val="24"/>
        </w:rPr>
        <w:t>U</w:t>
      </w:r>
      <w:r w:rsidR="00D87D2E" w:rsidRPr="009E3B9C">
        <w:rPr>
          <w:sz w:val="24"/>
          <w:szCs w:val="24"/>
        </w:rPr>
        <w:t>.</w:t>
      </w:r>
      <w:r w:rsidR="00F051C7" w:rsidRPr="009E3B9C">
        <w:rPr>
          <w:sz w:val="24"/>
          <w:szCs w:val="24"/>
        </w:rPr>
        <w:t>Augulis</w:t>
      </w:r>
    </w:p>
    <w:p w:rsidR="006137B2" w:rsidRDefault="006137B2" w:rsidP="00D90274">
      <w:pPr>
        <w:spacing w:line="240" w:lineRule="auto"/>
        <w:ind w:right="-341" w:firstLine="709"/>
        <w:rPr>
          <w:sz w:val="16"/>
          <w:szCs w:val="16"/>
        </w:rPr>
      </w:pPr>
    </w:p>
    <w:p w:rsidR="0059615D" w:rsidRDefault="0059615D" w:rsidP="00D90274">
      <w:pPr>
        <w:spacing w:line="240" w:lineRule="auto"/>
        <w:ind w:right="-341" w:firstLine="709"/>
        <w:rPr>
          <w:sz w:val="16"/>
          <w:szCs w:val="16"/>
        </w:rPr>
      </w:pPr>
    </w:p>
    <w:p w:rsidR="00EB3112" w:rsidRPr="004F5B81" w:rsidRDefault="00EB3112" w:rsidP="00D90274">
      <w:pPr>
        <w:spacing w:line="240" w:lineRule="auto"/>
        <w:ind w:right="-341" w:firstLine="709"/>
        <w:rPr>
          <w:sz w:val="16"/>
          <w:szCs w:val="16"/>
        </w:rPr>
      </w:pPr>
    </w:p>
    <w:p w:rsidR="00EB3112" w:rsidRPr="00EB3112" w:rsidRDefault="00EB3112" w:rsidP="00EB3112">
      <w:pPr>
        <w:spacing w:line="240" w:lineRule="auto"/>
        <w:ind w:firstLine="0"/>
        <w:rPr>
          <w:sz w:val="24"/>
          <w:szCs w:val="24"/>
        </w:rPr>
      </w:pPr>
      <w:r w:rsidRPr="00EB3112">
        <w:rPr>
          <w:sz w:val="24"/>
          <w:szCs w:val="24"/>
        </w:rPr>
        <w:t xml:space="preserve">Vīza: </w:t>
      </w:r>
      <w:r w:rsidR="000A45D9">
        <w:rPr>
          <w:sz w:val="24"/>
          <w:szCs w:val="24"/>
        </w:rPr>
        <w:t>v</w:t>
      </w:r>
      <w:r w:rsidRPr="00EB3112">
        <w:rPr>
          <w:sz w:val="24"/>
          <w:szCs w:val="24"/>
        </w:rPr>
        <w:t>alsts sekretāra vietā</w:t>
      </w:r>
    </w:p>
    <w:p w:rsidR="00EB3112" w:rsidRPr="00EB3112" w:rsidRDefault="000A45D9" w:rsidP="00EB3112">
      <w:pPr>
        <w:spacing w:line="240" w:lineRule="auto"/>
        <w:ind w:firstLine="0"/>
        <w:rPr>
          <w:sz w:val="24"/>
          <w:szCs w:val="24"/>
        </w:rPr>
      </w:pPr>
      <w:r>
        <w:rPr>
          <w:sz w:val="24"/>
          <w:szCs w:val="24"/>
        </w:rPr>
        <w:t>v</w:t>
      </w:r>
      <w:r w:rsidR="00EB3112" w:rsidRPr="00EB3112">
        <w:rPr>
          <w:sz w:val="24"/>
          <w:szCs w:val="24"/>
        </w:rPr>
        <w:t>alsts sekretāra vietniece</w:t>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t>Dž.Innusa</w:t>
      </w:r>
    </w:p>
    <w:p w:rsidR="009E3B9C" w:rsidRPr="009E3B9C" w:rsidRDefault="009E3B9C" w:rsidP="00D90274">
      <w:pPr>
        <w:spacing w:line="240" w:lineRule="auto"/>
        <w:ind w:right="-341" w:firstLine="709"/>
        <w:rPr>
          <w:sz w:val="24"/>
          <w:szCs w:val="24"/>
        </w:rPr>
      </w:pPr>
    </w:p>
    <w:p w:rsidR="00B57405" w:rsidRPr="00D521B0" w:rsidRDefault="00B57405" w:rsidP="00D90274">
      <w:pPr>
        <w:pStyle w:val="Header"/>
        <w:spacing w:line="240" w:lineRule="auto"/>
        <w:ind w:firstLine="0"/>
        <w:rPr>
          <w:sz w:val="22"/>
          <w:lang w:val="lv-LV"/>
        </w:rPr>
      </w:pPr>
    </w:p>
    <w:p w:rsidR="00BF1B85" w:rsidRPr="004F5B81" w:rsidRDefault="00967F6C" w:rsidP="00D90274">
      <w:pPr>
        <w:spacing w:line="240" w:lineRule="auto"/>
        <w:ind w:firstLine="0"/>
        <w:rPr>
          <w:sz w:val="18"/>
          <w:szCs w:val="18"/>
        </w:rPr>
      </w:pPr>
      <w:r>
        <w:rPr>
          <w:sz w:val="18"/>
          <w:szCs w:val="18"/>
        </w:rPr>
        <w:t>13</w:t>
      </w:r>
      <w:r w:rsidR="00553F4A" w:rsidRPr="004F5B81">
        <w:rPr>
          <w:sz w:val="18"/>
          <w:szCs w:val="18"/>
        </w:rPr>
        <w:t>.</w:t>
      </w:r>
      <w:r>
        <w:rPr>
          <w:sz w:val="18"/>
          <w:szCs w:val="18"/>
        </w:rPr>
        <w:t>03.2017</w:t>
      </w:r>
      <w:r w:rsidR="00D90274" w:rsidRPr="004F5B81">
        <w:rPr>
          <w:sz w:val="18"/>
          <w:szCs w:val="18"/>
        </w:rPr>
        <w:t xml:space="preserve"> 1</w:t>
      </w:r>
      <w:r w:rsidR="009A1180">
        <w:rPr>
          <w:sz w:val="18"/>
          <w:szCs w:val="18"/>
        </w:rPr>
        <w:t>4</w:t>
      </w:r>
      <w:r w:rsidR="00C81BC4" w:rsidRPr="004F5B81">
        <w:rPr>
          <w:sz w:val="18"/>
          <w:szCs w:val="18"/>
        </w:rPr>
        <w:t>:</w:t>
      </w:r>
      <w:r>
        <w:rPr>
          <w:sz w:val="18"/>
          <w:szCs w:val="18"/>
        </w:rPr>
        <w:t>20</w:t>
      </w:r>
    </w:p>
    <w:p w:rsidR="00BF1B85" w:rsidRPr="004F5B81" w:rsidRDefault="0059615D" w:rsidP="00D90274">
      <w:pPr>
        <w:spacing w:line="240" w:lineRule="auto"/>
        <w:ind w:firstLine="0"/>
        <w:rPr>
          <w:sz w:val="18"/>
          <w:szCs w:val="18"/>
        </w:rPr>
      </w:pPr>
      <w:r>
        <w:rPr>
          <w:sz w:val="18"/>
          <w:szCs w:val="18"/>
        </w:rPr>
        <w:t>1418</w:t>
      </w:r>
      <w:bookmarkStart w:id="0" w:name="_GoBack"/>
      <w:bookmarkEnd w:id="0"/>
    </w:p>
    <w:p w:rsidR="00BF1B85" w:rsidRPr="004F5B81" w:rsidRDefault="00BF1B85" w:rsidP="00D90274">
      <w:pPr>
        <w:spacing w:line="240" w:lineRule="auto"/>
        <w:ind w:firstLine="0"/>
        <w:rPr>
          <w:sz w:val="18"/>
          <w:szCs w:val="18"/>
        </w:rPr>
      </w:pPr>
      <w:r w:rsidRPr="004F5B81">
        <w:rPr>
          <w:sz w:val="18"/>
          <w:szCs w:val="18"/>
        </w:rPr>
        <w:t>Edgars Ošenieks</w:t>
      </w:r>
    </w:p>
    <w:p w:rsidR="00BF1B85" w:rsidRPr="004F5B81" w:rsidRDefault="00BF1B85" w:rsidP="00D90274">
      <w:pPr>
        <w:spacing w:line="240" w:lineRule="auto"/>
        <w:ind w:firstLine="0"/>
        <w:rPr>
          <w:sz w:val="18"/>
          <w:szCs w:val="18"/>
        </w:rPr>
      </w:pPr>
      <w:r w:rsidRPr="004F5B81">
        <w:rPr>
          <w:sz w:val="18"/>
          <w:szCs w:val="18"/>
        </w:rPr>
        <w:t>67025723</w:t>
      </w:r>
    </w:p>
    <w:p w:rsidR="00281070" w:rsidRPr="004F5B81" w:rsidRDefault="00BF1B85" w:rsidP="00D90274">
      <w:pPr>
        <w:spacing w:line="240" w:lineRule="auto"/>
        <w:ind w:firstLine="0"/>
        <w:rPr>
          <w:sz w:val="18"/>
          <w:szCs w:val="18"/>
        </w:rPr>
      </w:pPr>
      <w:r w:rsidRPr="004F5B81">
        <w:rPr>
          <w:sz w:val="18"/>
          <w:szCs w:val="18"/>
        </w:rPr>
        <w:t>Edgars.Osenieks@csdd.gov.lv</w:t>
      </w:r>
    </w:p>
    <w:sectPr w:rsidR="00281070" w:rsidRPr="004F5B81" w:rsidSect="0059615D">
      <w:headerReference w:type="default" r:id="rId19"/>
      <w:footerReference w:type="default" r:id="rId20"/>
      <w:footerReference w:type="first" r:id="rId21"/>
      <w:pgSz w:w="11906" w:h="16838"/>
      <w:pgMar w:top="1134" w:right="1134" w:bottom="1134" w:left="1701" w:header="278"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F1" w:rsidRDefault="005560F1">
      <w:pPr>
        <w:spacing w:line="240" w:lineRule="auto"/>
      </w:pPr>
      <w:r>
        <w:separator/>
      </w:r>
    </w:p>
  </w:endnote>
  <w:endnote w:type="continuationSeparator" w:id="0">
    <w:p w:rsidR="005560F1" w:rsidRDefault="00556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Pr="0077138F" w:rsidRDefault="0039160F" w:rsidP="0077138F">
    <w:pPr>
      <w:tabs>
        <w:tab w:val="center" w:pos="4153"/>
        <w:tab w:val="right" w:pos="8306"/>
      </w:tabs>
      <w:ind w:firstLine="0"/>
      <w:rPr>
        <w:lang w:val="x-none"/>
      </w:rPr>
    </w:pPr>
    <w:r>
      <w:rPr>
        <w:sz w:val="20"/>
        <w:szCs w:val="20"/>
      </w:rPr>
      <w:t>SAMAnot_1303</w:t>
    </w:r>
    <w:r w:rsidR="00A65BA0">
      <w:rPr>
        <w:sz w:val="20"/>
        <w:szCs w:val="20"/>
      </w:rPr>
      <w:t>17</w:t>
    </w:r>
    <w:r w:rsidR="006A3E29">
      <w:rPr>
        <w:sz w:val="20"/>
        <w:szCs w:val="20"/>
      </w:rPr>
      <w:t>_reg</w:t>
    </w:r>
    <w:r w:rsidR="006A3E29" w:rsidRPr="00281070">
      <w:rPr>
        <w:sz w:val="20"/>
        <w:szCs w:val="20"/>
      </w:rPr>
      <w:t>not; Ministru kabineta noteikumu projekta “Grozījumi Ministru kabineta 20</w:t>
    </w:r>
    <w:r w:rsidR="006A3E29">
      <w:rPr>
        <w:sz w:val="20"/>
        <w:szCs w:val="20"/>
      </w:rPr>
      <w:t>10</w:t>
    </w:r>
    <w:r w:rsidR="006A3E29" w:rsidRPr="00281070">
      <w:rPr>
        <w:sz w:val="20"/>
        <w:szCs w:val="20"/>
      </w:rPr>
      <w:t xml:space="preserve">.gada </w:t>
    </w:r>
    <w:r w:rsidR="006A3E29">
      <w:rPr>
        <w:sz w:val="20"/>
        <w:szCs w:val="20"/>
      </w:rPr>
      <w:t>30</w:t>
    </w:r>
    <w:r w:rsidR="006A3E29" w:rsidRPr="00281070">
      <w:rPr>
        <w:sz w:val="20"/>
        <w:szCs w:val="20"/>
      </w:rPr>
      <w:t>.</w:t>
    </w:r>
    <w:r w:rsidR="006A3E29">
      <w:rPr>
        <w:sz w:val="20"/>
        <w:szCs w:val="20"/>
      </w:rPr>
      <w:t>nov</w:t>
    </w:r>
    <w:r w:rsidR="006A3E29" w:rsidRPr="00281070">
      <w:rPr>
        <w:sz w:val="20"/>
        <w:szCs w:val="20"/>
      </w:rPr>
      <w:t>embra noteikumos Nr.</w:t>
    </w:r>
    <w:r w:rsidR="006A3E29">
      <w:rPr>
        <w:sz w:val="20"/>
        <w:szCs w:val="20"/>
      </w:rPr>
      <w:t>1080</w:t>
    </w:r>
    <w:r w:rsidR="006A3E29" w:rsidRPr="00281070">
      <w:rPr>
        <w:sz w:val="20"/>
        <w:szCs w:val="20"/>
      </w:rPr>
      <w:t xml:space="preserve"> „Transportlīdzekļu </w:t>
    </w:r>
    <w:r w:rsidR="006A3E29">
      <w:rPr>
        <w:sz w:val="20"/>
        <w:szCs w:val="20"/>
      </w:rPr>
      <w:t>reģistrācij</w:t>
    </w:r>
    <w:r w:rsidR="006A3E29" w:rsidRPr="00281070">
      <w:rPr>
        <w:sz w:val="20"/>
        <w:szCs w:val="20"/>
      </w:rPr>
      <w:t>as noteikumi”” sākotnējās ietekmes novērtējuma ziņojums (anotācija)</w:t>
    </w:r>
  </w:p>
  <w:p w:rsidR="006A3E29" w:rsidRDefault="006A3E29"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A65BA0" w:rsidP="00281070">
    <w:pPr>
      <w:pStyle w:val="Footer"/>
      <w:ind w:firstLine="0"/>
    </w:pPr>
    <w:r>
      <w:rPr>
        <w:sz w:val="20"/>
        <w:szCs w:val="20"/>
        <w:lang w:val="lv-LV"/>
      </w:rPr>
      <w:t>SAMAnot_1</w:t>
    </w:r>
    <w:r w:rsidR="00FD653C">
      <w:rPr>
        <w:sz w:val="20"/>
        <w:szCs w:val="20"/>
        <w:lang w:val="lv-LV"/>
      </w:rPr>
      <w:t>3</w:t>
    </w:r>
    <w:r w:rsidR="0039160F">
      <w:rPr>
        <w:sz w:val="20"/>
        <w:szCs w:val="20"/>
        <w:lang w:val="lv-LV"/>
      </w:rPr>
      <w:t>03</w:t>
    </w:r>
    <w:r>
      <w:rPr>
        <w:sz w:val="20"/>
        <w:szCs w:val="20"/>
        <w:lang w:val="lv-LV"/>
      </w:rPr>
      <w:t>17</w:t>
    </w:r>
    <w:r w:rsidR="006A3E29">
      <w:rPr>
        <w:sz w:val="20"/>
        <w:szCs w:val="20"/>
        <w:lang w:val="lv-LV"/>
      </w:rPr>
      <w:t>_reg</w:t>
    </w:r>
    <w:r w:rsidR="006A3E29" w:rsidRPr="00281070">
      <w:rPr>
        <w:sz w:val="20"/>
        <w:szCs w:val="20"/>
        <w:lang w:val="lv-LV"/>
      </w:rPr>
      <w:t>not; Ministru kabineta noteikumu projekta “Grozījumi Ministru kabineta 20</w:t>
    </w:r>
    <w:r w:rsidR="006A3E29">
      <w:rPr>
        <w:sz w:val="20"/>
        <w:szCs w:val="20"/>
        <w:lang w:val="lv-LV"/>
      </w:rPr>
      <w:t>10</w:t>
    </w:r>
    <w:r w:rsidR="006A3E29" w:rsidRPr="00281070">
      <w:rPr>
        <w:sz w:val="20"/>
        <w:szCs w:val="20"/>
        <w:lang w:val="lv-LV"/>
      </w:rPr>
      <w:t xml:space="preserve">.gada </w:t>
    </w:r>
    <w:r w:rsidR="006A3E29">
      <w:rPr>
        <w:sz w:val="20"/>
        <w:szCs w:val="20"/>
        <w:lang w:val="lv-LV"/>
      </w:rPr>
      <w:t>30</w:t>
    </w:r>
    <w:r w:rsidR="006A3E29" w:rsidRPr="00281070">
      <w:rPr>
        <w:sz w:val="20"/>
        <w:szCs w:val="20"/>
        <w:lang w:val="lv-LV"/>
      </w:rPr>
      <w:t>.</w:t>
    </w:r>
    <w:r w:rsidR="006A3E29">
      <w:rPr>
        <w:sz w:val="20"/>
        <w:szCs w:val="20"/>
        <w:lang w:val="lv-LV"/>
      </w:rPr>
      <w:t>nov</w:t>
    </w:r>
    <w:r w:rsidR="006A3E29" w:rsidRPr="00281070">
      <w:rPr>
        <w:sz w:val="20"/>
        <w:szCs w:val="20"/>
        <w:lang w:val="lv-LV"/>
      </w:rPr>
      <w:t>embra noteikumos Nr.</w:t>
    </w:r>
    <w:r w:rsidR="006A3E29">
      <w:rPr>
        <w:sz w:val="20"/>
        <w:szCs w:val="20"/>
        <w:lang w:val="lv-LV"/>
      </w:rPr>
      <w:t>1080</w:t>
    </w:r>
    <w:r w:rsidR="006A3E29" w:rsidRPr="00281070">
      <w:rPr>
        <w:sz w:val="20"/>
        <w:szCs w:val="20"/>
        <w:lang w:val="lv-LV"/>
      </w:rPr>
      <w:t xml:space="preserve"> „Transportlīdzekļu </w:t>
    </w:r>
    <w:r w:rsidR="006A3E29">
      <w:rPr>
        <w:sz w:val="20"/>
        <w:szCs w:val="20"/>
        <w:lang w:val="lv-LV"/>
      </w:rPr>
      <w:t>reģistrācij</w:t>
    </w:r>
    <w:r w:rsidR="006A3E29" w:rsidRPr="00281070">
      <w:rPr>
        <w:sz w:val="20"/>
        <w:szCs w:val="20"/>
        <w:lang w:val="lv-LV"/>
      </w:rPr>
      <w:t>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F1" w:rsidRDefault="005560F1">
      <w:pPr>
        <w:spacing w:line="240" w:lineRule="auto"/>
      </w:pPr>
      <w:r>
        <w:separator/>
      </w:r>
    </w:p>
  </w:footnote>
  <w:footnote w:type="continuationSeparator" w:id="0">
    <w:p w:rsidR="005560F1" w:rsidRDefault="005560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6A3E29" w:rsidP="009F0183">
    <w:pPr>
      <w:pStyle w:val="Header"/>
      <w:ind w:firstLine="0"/>
      <w:jc w:val="center"/>
    </w:pPr>
    <w:r>
      <w:fldChar w:fldCharType="begin"/>
    </w:r>
    <w:r>
      <w:instrText xml:space="preserve"> PAGE   \* MERGEFORMAT </w:instrText>
    </w:r>
    <w:r>
      <w:fldChar w:fldCharType="separate"/>
    </w:r>
    <w:r w:rsidR="0059615D">
      <w:rPr>
        <w:noProof/>
      </w:rPr>
      <w:t>6</w:t>
    </w:r>
    <w:r>
      <w:fldChar w:fldCharType="end"/>
    </w:r>
  </w:p>
  <w:p w:rsidR="006A3E29" w:rsidRDefault="006A3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02A8E"/>
    <w:rsid w:val="000357BE"/>
    <w:rsid w:val="00035E6A"/>
    <w:rsid w:val="00041478"/>
    <w:rsid w:val="00042CBD"/>
    <w:rsid w:val="00057FA2"/>
    <w:rsid w:val="00061DCB"/>
    <w:rsid w:val="00062AC4"/>
    <w:rsid w:val="00065597"/>
    <w:rsid w:val="00076A41"/>
    <w:rsid w:val="000A445E"/>
    <w:rsid w:val="000A45D9"/>
    <w:rsid w:val="000A6878"/>
    <w:rsid w:val="000C4C54"/>
    <w:rsid w:val="000D7548"/>
    <w:rsid w:val="000E384E"/>
    <w:rsid w:val="000F4CC2"/>
    <w:rsid w:val="0010204A"/>
    <w:rsid w:val="00120A37"/>
    <w:rsid w:val="00126C4C"/>
    <w:rsid w:val="00147E1D"/>
    <w:rsid w:val="00150669"/>
    <w:rsid w:val="00160DB4"/>
    <w:rsid w:val="0017531D"/>
    <w:rsid w:val="00176C84"/>
    <w:rsid w:val="00180736"/>
    <w:rsid w:val="001926F0"/>
    <w:rsid w:val="001A0521"/>
    <w:rsid w:val="001A6C87"/>
    <w:rsid w:val="001C2C47"/>
    <w:rsid w:val="001E7948"/>
    <w:rsid w:val="00205C2C"/>
    <w:rsid w:val="00216758"/>
    <w:rsid w:val="002171D5"/>
    <w:rsid w:val="00224842"/>
    <w:rsid w:val="00233F4B"/>
    <w:rsid w:val="00234ABE"/>
    <w:rsid w:val="0023776E"/>
    <w:rsid w:val="00242F29"/>
    <w:rsid w:val="0025040C"/>
    <w:rsid w:val="0026368D"/>
    <w:rsid w:val="00281070"/>
    <w:rsid w:val="002811B3"/>
    <w:rsid w:val="00294F02"/>
    <w:rsid w:val="002A2D07"/>
    <w:rsid w:val="002A6C12"/>
    <w:rsid w:val="002B34DA"/>
    <w:rsid w:val="002B45F3"/>
    <w:rsid w:val="002B6633"/>
    <w:rsid w:val="002D32E1"/>
    <w:rsid w:val="002D79DB"/>
    <w:rsid w:val="00314A78"/>
    <w:rsid w:val="00322908"/>
    <w:rsid w:val="003236B0"/>
    <w:rsid w:val="00323DBC"/>
    <w:rsid w:val="00325C8C"/>
    <w:rsid w:val="003336C8"/>
    <w:rsid w:val="003373D7"/>
    <w:rsid w:val="0034013D"/>
    <w:rsid w:val="003576C3"/>
    <w:rsid w:val="00382AC4"/>
    <w:rsid w:val="003838F3"/>
    <w:rsid w:val="0039160F"/>
    <w:rsid w:val="003919F2"/>
    <w:rsid w:val="00392E7C"/>
    <w:rsid w:val="003B3A6B"/>
    <w:rsid w:val="003B3FCD"/>
    <w:rsid w:val="003C1081"/>
    <w:rsid w:val="003C7F4D"/>
    <w:rsid w:val="003D6E53"/>
    <w:rsid w:val="003F5FBD"/>
    <w:rsid w:val="003F6EC1"/>
    <w:rsid w:val="004113E1"/>
    <w:rsid w:val="00411C93"/>
    <w:rsid w:val="0042304A"/>
    <w:rsid w:val="00427590"/>
    <w:rsid w:val="00440F04"/>
    <w:rsid w:val="00443DC1"/>
    <w:rsid w:val="00450330"/>
    <w:rsid w:val="00452AD8"/>
    <w:rsid w:val="00477756"/>
    <w:rsid w:val="00493641"/>
    <w:rsid w:val="00496CAA"/>
    <w:rsid w:val="004A0803"/>
    <w:rsid w:val="004D4F2E"/>
    <w:rsid w:val="004E6D57"/>
    <w:rsid w:val="004F5B81"/>
    <w:rsid w:val="004F778E"/>
    <w:rsid w:val="005036C4"/>
    <w:rsid w:val="00505323"/>
    <w:rsid w:val="00515704"/>
    <w:rsid w:val="005227D6"/>
    <w:rsid w:val="00522E90"/>
    <w:rsid w:val="0053418C"/>
    <w:rsid w:val="00537673"/>
    <w:rsid w:val="00551772"/>
    <w:rsid w:val="00553F4A"/>
    <w:rsid w:val="005560F1"/>
    <w:rsid w:val="00573155"/>
    <w:rsid w:val="00573443"/>
    <w:rsid w:val="00583189"/>
    <w:rsid w:val="0059046E"/>
    <w:rsid w:val="005924F2"/>
    <w:rsid w:val="0059615D"/>
    <w:rsid w:val="005B10FC"/>
    <w:rsid w:val="005D17D2"/>
    <w:rsid w:val="005F6670"/>
    <w:rsid w:val="00601B3E"/>
    <w:rsid w:val="006137B2"/>
    <w:rsid w:val="006147E3"/>
    <w:rsid w:val="0061769D"/>
    <w:rsid w:val="00624909"/>
    <w:rsid w:val="00634A14"/>
    <w:rsid w:val="00635CF8"/>
    <w:rsid w:val="00642717"/>
    <w:rsid w:val="006466C7"/>
    <w:rsid w:val="00665FBA"/>
    <w:rsid w:val="00666607"/>
    <w:rsid w:val="00667769"/>
    <w:rsid w:val="00682737"/>
    <w:rsid w:val="00687344"/>
    <w:rsid w:val="00691132"/>
    <w:rsid w:val="00691184"/>
    <w:rsid w:val="00691D00"/>
    <w:rsid w:val="00692791"/>
    <w:rsid w:val="006946EC"/>
    <w:rsid w:val="006951CB"/>
    <w:rsid w:val="006A3E29"/>
    <w:rsid w:val="006A6D37"/>
    <w:rsid w:val="006C4580"/>
    <w:rsid w:val="006E06E3"/>
    <w:rsid w:val="006E38B5"/>
    <w:rsid w:val="006E47BA"/>
    <w:rsid w:val="00700EF1"/>
    <w:rsid w:val="007040D8"/>
    <w:rsid w:val="00706ABE"/>
    <w:rsid w:val="007172BA"/>
    <w:rsid w:val="007347AE"/>
    <w:rsid w:val="00736D11"/>
    <w:rsid w:val="00742C40"/>
    <w:rsid w:val="0075143F"/>
    <w:rsid w:val="00763372"/>
    <w:rsid w:val="00767252"/>
    <w:rsid w:val="0077138F"/>
    <w:rsid w:val="007719E4"/>
    <w:rsid w:val="00772142"/>
    <w:rsid w:val="007814DE"/>
    <w:rsid w:val="00785FB2"/>
    <w:rsid w:val="0079035A"/>
    <w:rsid w:val="007931AC"/>
    <w:rsid w:val="007C2065"/>
    <w:rsid w:val="007C57A4"/>
    <w:rsid w:val="007D0B71"/>
    <w:rsid w:val="007E1B23"/>
    <w:rsid w:val="007F2AAB"/>
    <w:rsid w:val="00820D80"/>
    <w:rsid w:val="008352D1"/>
    <w:rsid w:val="00863196"/>
    <w:rsid w:val="008655E4"/>
    <w:rsid w:val="008666E4"/>
    <w:rsid w:val="00877DEE"/>
    <w:rsid w:val="00877FB6"/>
    <w:rsid w:val="008A3CFA"/>
    <w:rsid w:val="008C232F"/>
    <w:rsid w:val="008C4295"/>
    <w:rsid w:val="008E78FD"/>
    <w:rsid w:val="008F6BE2"/>
    <w:rsid w:val="009111D1"/>
    <w:rsid w:val="009339A5"/>
    <w:rsid w:val="0094766E"/>
    <w:rsid w:val="0095094F"/>
    <w:rsid w:val="0095791E"/>
    <w:rsid w:val="00961302"/>
    <w:rsid w:val="009676FF"/>
    <w:rsid w:val="00967F6C"/>
    <w:rsid w:val="00973E8A"/>
    <w:rsid w:val="00977481"/>
    <w:rsid w:val="0098092A"/>
    <w:rsid w:val="00994762"/>
    <w:rsid w:val="00997156"/>
    <w:rsid w:val="009977D7"/>
    <w:rsid w:val="009A1180"/>
    <w:rsid w:val="009A3274"/>
    <w:rsid w:val="009A3CF9"/>
    <w:rsid w:val="009A426C"/>
    <w:rsid w:val="009A5AFD"/>
    <w:rsid w:val="009C295B"/>
    <w:rsid w:val="009C6E71"/>
    <w:rsid w:val="009E3B9C"/>
    <w:rsid w:val="009E4FE9"/>
    <w:rsid w:val="009F0183"/>
    <w:rsid w:val="009F42E6"/>
    <w:rsid w:val="00A06571"/>
    <w:rsid w:val="00A07EF6"/>
    <w:rsid w:val="00A176F1"/>
    <w:rsid w:val="00A215E7"/>
    <w:rsid w:val="00A228CC"/>
    <w:rsid w:val="00A230AC"/>
    <w:rsid w:val="00A235B5"/>
    <w:rsid w:val="00A2617A"/>
    <w:rsid w:val="00A47454"/>
    <w:rsid w:val="00A6545D"/>
    <w:rsid w:val="00A65BA0"/>
    <w:rsid w:val="00A71C2B"/>
    <w:rsid w:val="00A81D9B"/>
    <w:rsid w:val="00A87916"/>
    <w:rsid w:val="00A87D31"/>
    <w:rsid w:val="00A90019"/>
    <w:rsid w:val="00AA42CB"/>
    <w:rsid w:val="00AA491A"/>
    <w:rsid w:val="00AD2890"/>
    <w:rsid w:val="00AE1869"/>
    <w:rsid w:val="00AE49A3"/>
    <w:rsid w:val="00AF1857"/>
    <w:rsid w:val="00AF40ED"/>
    <w:rsid w:val="00AF7786"/>
    <w:rsid w:val="00B00FF3"/>
    <w:rsid w:val="00B0515A"/>
    <w:rsid w:val="00B24250"/>
    <w:rsid w:val="00B32EED"/>
    <w:rsid w:val="00B37009"/>
    <w:rsid w:val="00B57405"/>
    <w:rsid w:val="00B603A6"/>
    <w:rsid w:val="00B704E7"/>
    <w:rsid w:val="00B71182"/>
    <w:rsid w:val="00B72BCF"/>
    <w:rsid w:val="00B73480"/>
    <w:rsid w:val="00B73698"/>
    <w:rsid w:val="00B76D74"/>
    <w:rsid w:val="00B838A3"/>
    <w:rsid w:val="00BA60D6"/>
    <w:rsid w:val="00BB79C7"/>
    <w:rsid w:val="00BD5B7A"/>
    <w:rsid w:val="00BF1B85"/>
    <w:rsid w:val="00BF4B15"/>
    <w:rsid w:val="00C23333"/>
    <w:rsid w:val="00C23A50"/>
    <w:rsid w:val="00C31594"/>
    <w:rsid w:val="00C31818"/>
    <w:rsid w:val="00C54B0F"/>
    <w:rsid w:val="00C67A86"/>
    <w:rsid w:val="00C77464"/>
    <w:rsid w:val="00C80971"/>
    <w:rsid w:val="00C81BC4"/>
    <w:rsid w:val="00C838DA"/>
    <w:rsid w:val="00CB2D16"/>
    <w:rsid w:val="00CC3C15"/>
    <w:rsid w:val="00CD671B"/>
    <w:rsid w:val="00CE2D9A"/>
    <w:rsid w:val="00D01A43"/>
    <w:rsid w:val="00D05D98"/>
    <w:rsid w:val="00D27C1C"/>
    <w:rsid w:val="00D334EB"/>
    <w:rsid w:val="00D4560C"/>
    <w:rsid w:val="00D521B0"/>
    <w:rsid w:val="00D53693"/>
    <w:rsid w:val="00D55FE8"/>
    <w:rsid w:val="00D65DFE"/>
    <w:rsid w:val="00D707FC"/>
    <w:rsid w:val="00D70E6F"/>
    <w:rsid w:val="00D7275F"/>
    <w:rsid w:val="00D8633D"/>
    <w:rsid w:val="00D87D2E"/>
    <w:rsid w:val="00D90274"/>
    <w:rsid w:val="00D93F71"/>
    <w:rsid w:val="00DA73A7"/>
    <w:rsid w:val="00DC4A8C"/>
    <w:rsid w:val="00DD7F3B"/>
    <w:rsid w:val="00DF5236"/>
    <w:rsid w:val="00DF5C49"/>
    <w:rsid w:val="00E04958"/>
    <w:rsid w:val="00E17C25"/>
    <w:rsid w:val="00E25BA1"/>
    <w:rsid w:val="00E321F9"/>
    <w:rsid w:val="00E749E8"/>
    <w:rsid w:val="00E95E0E"/>
    <w:rsid w:val="00E966E7"/>
    <w:rsid w:val="00EA6A36"/>
    <w:rsid w:val="00EB3112"/>
    <w:rsid w:val="00EB4AED"/>
    <w:rsid w:val="00EB5D33"/>
    <w:rsid w:val="00EB6441"/>
    <w:rsid w:val="00ED5AD9"/>
    <w:rsid w:val="00EE57CA"/>
    <w:rsid w:val="00F037DE"/>
    <w:rsid w:val="00F051C7"/>
    <w:rsid w:val="00F07E95"/>
    <w:rsid w:val="00F24732"/>
    <w:rsid w:val="00F356C7"/>
    <w:rsid w:val="00F45EC7"/>
    <w:rsid w:val="00F46BF8"/>
    <w:rsid w:val="00F53691"/>
    <w:rsid w:val="00F56F5B"/>
    <w:rsid w:val="00F70FC4"/>
    <w:rsid w:val="00F72986"/>
    <w:rsid w:val="00F75F5C"/>
    <w:rsid w:val="00F814F4"/>
    <w:rsid w:val="00F94ADA"/>
    <w:rsid w:val="00FB09FC"/>
    <w:rsid w:val="00FB66F1"/>
    <w:rsid w:val="00FD04D9"/>
    <w:rsid w:val="00FD653C"/>
    <w:rsid w:val="00FD72B0"/>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paragraph" w:styleId="BalloonText">
    <w:name w:val="Balloon Text"/>
    <w:basedOn w:val="Normal"/>
    <w:link w:val="BalloonTextChar"/>
    <w:uiPriority w:val="99"/>
    <w:semiHidden/>
    <w:unhideWhenUsed/>
    <w:rsid w:val="001506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69"/>
    <w:rPr>
      <w:rFonts w:ascii="Tahoma" w:hAnsi="Tahoma" w:cs="Tahoma"/>
      <w:sz w:val="16"/>
      <w:szCs w:val="16"/>
      <w:lang w:eastAsia="en-US"/>
    </w:rPr>
  </w:style>
  <w:style w:type="character" w:styleId="CommentReference">
    <w:name w:val="annotation reference"/>
    <w:basedOn w:val="DefaultParagraphFont"/>
    <w:uiPriority w:val="99"/>
    <w:semiHidden/>
    <w:unhideWhenUsed/>
    <w:rsid w:val="00877FB6"/>
    <w:rPr>
      <w:sz w:val="16"/>
      <w:szCs w:val="16"/>
    </w:rPr>
  </w:style>
  <w:style w:type="paragraph" w:styleId="CommentText">
    <w:name w:val="annotation text"/>
    <w:basedOn w:val="Normal"/>
    <w:link w:val="CommentTextChar"/>
    <w:uiPriority w:val="99"/>
    <w:semiHidden/>
    <w:unhideWhenUsed/>
    <w:rsid w:val="00877FB6"/>
    <w:pPr>
      <w:spacing w:line="240" w:lineRule="auto"/>
    </w:pPr>
    <w:rPr>
      <w:sz w:val="20"/>
      <w:szCs w:val="20"/>
    </w:rPr>
  </w:style>
  <w:style w:type="character" w:customStyle="1" w:styleId="CommentTextChar">
    <w:name w:val="Comment Text Char"/>
    <w:basedOn w:val="DefaultParagraphFont"/>
    <w:link w:val="CommentText"/>
    <w:uiPriority w:val="99"/>
    <w:semiHidden/>
    <w:rsid w:val="00877FB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77FB6"/>
    <w:rPr>
      <w:b/>
      <w:bCs/>
    </w:rPr>
  </w:style>
  <w:style w:type="character" w:customStyle="1" w:styleId="CommentSubjectChar">
    <w:name w:val="Comment Subject Char"/>
    <w:basedOn w:val="CommentTextChar"/>
    <w:link w:val="CommentSubject"/>
    <w:uiPriority w:val="99"/>
    <w:semiHidden/>
    <w:rsid w:val="00877FB6"/>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paragraph" w:styleId="BalloonText">
    <w:name w:val="Balloon Text"/>
    <w:basedOn w:val="Normal"/>
    <w:link w:val="BalloonTextChar"/>
    <w:uiPriority w:val="99"/>
    <w:semiHidden/>
    <w:unhideWhenUsed/>
    <w:rsid w:val="001506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69"/>
    <w:rPr>
      <w:rFonts w:ascii="Tahoma" w:hAnsi="Tahoma" w:cs="Tahoma"/>
      <w:sz w:val="16"/>
      <w:szCs w:val="16"/>
      <w:lang w:eastAsia="en-US"/>
    </w:rPr>
  </w:style>
  <w:style w:type="character" w:styleId="CommentReference">
    <w:name w:val="annotation reference"/>
    <w:basedOn w:val="DefaultParagraphFont"/>
    <w:uiPriority w:val="99"/>
    <w:semiHidden/>
    <w:unhideWhenUsed/>
    <w:rsid w:val="00877FB6"/>
    <w:rPr>
      <w:sz w:val="16"/>
      <w:szCs w:val="16"/>
    </w:rPr>
  </w:style>
  <w:style w:type="paragraph" w:styleId="CommentText">
    <w:name w:val="annotation text"/>
    <w:basedOn w:val="Normal"/>
    <w:link w:val="CommentTextChar"/>
    <w:uiPriority w:val="99"/>
    <w:semiHidden/>
    <w:unhideWhenUsed/>
    <w:rsid w:val="00877FB6"/>
    <w:pPr>
      <w:spacing w:line="240" w:lineRule="auto"/>
    </w:pPr>
    <w:rPr>
      <w:sz w:val="20"/>
      <w:szCs w:val="20"/>
    </w:rPr>
  </w:style>
  <w:style w:type="character" w:customStyle="1" w:styleId="CommentTextChar">
    <w:name w:val="Comment Text Char"/>
    <w:basedOn w:val="DefaultParagraphFont"/>
    <w:link w:val="CommentText"/>
    <w:uiPriority w:val="99"/>
    <w:semiHidden/>
    <w:rsid w:val="00877FB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77FB6"/>
    <w:rPr>
      <w:b/>
      <w:bCs/>
    </w:rPr>
  </w:style>
  <w:style w:type="character" w:customStyle="1" w:styleId="CommentSubjectChar">
    <w:name w:val="Comment Subject Char"/>
    <w:basedOn w:val="CommentTextChar"/>
    <w:link w:val="CommentSubject"/>
    <w:uiPriority w:val="99"/>
    <w:semiHidden/>
    <w:rsid w:val="00877FB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2003/127/oj/?locale=LV" TargetMode="External"/><Relationship Id="rId18" Type="http://schemas.openxmlformats.org/officeDocument/2006/relationships/hyperlink" Target="http://eur-lex.europa.eu/eli/dir/1999/37/oj/?local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ur-lex.europa.eu/eli/dir/1999/37/oj/?locale=LV" TargetMode="External"/><Relationship Id="rId17" Type="http://schemas.openxmlformats.org/officeDocument/2006/relationships/hyperlink" Target="http://eur-lex.europa.eu/eli/dir/2003/127/oj/?locale=LV" TargetMode="External"/><Relationship Id="rId2" Type="http://schemas.openxmlformats.org/officeDocument/2006/relationships/numbering" Target="numbering.xml"/><Relationship Id="rId16" Type="http://schemas.openxmlformats.org/officeDocument/2006/relationships/hyperlink" Target="http://eur-lex.europa.eu/eli/dir/1999/37/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dir/2003/127/oj/?locale=LV" TargetMode="External"/><Relationship Id="rId5" Type="http://schemas.openxmlformats.org/officeDocument/2006/relationships/settings" Target="settings.xml"/><Relationship Id="rId15" Type="http://schemas.openxmlformats.org/officeDocument/2006/relationships/hyperlink" Target="http://eur-lex.europa.eu/eli/dir/2003/127/oj/?locale=LV" TargetMode="External"/><Relationship Id="rId23" Type="http://schemas.openxmlformats.org/officeDocument/2006/relationships/theme" Target="theme/theme1.xml"/><Relationship Id="rId10" Type="http://schemas.openxmlformats.org/officeDocument/2006/relationships/hyperlink" Target="http://eur-lex.europa.eu/eli/dir/1999/37/oj/?locale=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ir/2003/127/oj/?locale=LV" TargetMode="External"/><Relationship Id="rId14" Type="http://schemas.openxmlformats.org/officeDocument/2006/relationships/hyperlink" Target="http://eur-lex.europa.eu/eli/dir/1999/37/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33D4-C9F1-4AA2-AD75-46B03A38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8142</Words>
  <Characters>4642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30.novembra noteikumos Nr.1080 „Transportlīdzekļu reģistrācijas noteikumi” sākotnējās ietekmes novērtējuma ziņojums (anotācija)</vt:lpstr>
      <vt:lpstr/>
    </vt:vector>
  </TitlesOfParts>
  <Company>CSDD</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creator>Edgars Ošenieks</dc:creator>
  <cp:lastModifiedBy>Lauris Miķelsons</cp:lastModifiedBy>
  <cp:revision>2</cp:revision>
  <dcterms:created xsi:type="dcterms:W3CDTF">2017-03-14T08:00:00Z</dcterms:created>
  <dcterms:modified xsi:type="dcterms:W3CDTF">2017-03-14T08:00:00Z</dcterms:modified>
</cp:coreProperties>
</file>