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D4607" w14:textId="77777777" w:rsidR="00563D3C" w:rsidRDefault="00AD4367" w:rsidP="00563D3C">
      <w:pPr>
        <w:jc w:val="center"/>
        <w:rPr>
          <w:b/>
        </w:rPr>
      </w:pPr>
      <w:r w:rsidRPr="00563D3C">
        <w:rPr>
          <w:b/>
        </w:rPr>
        <w:t>Ministru kabineta noteikumu projekta</w:t>
      </w:r>
    </w:p>
    <w:p w14:paraId="70E477E5" w14:textId="77777777" w:rsidR="00563D3C" w:rsidRDefault="00AD4367" w:rsidP="00563D3C">
      <w:pPr>
        <w:jc w:val="center"/>
        <w:rPr>
          <w:b/>
        </w:rPr>
      </w:pPr>
      <w:r w:rsidRPr="00563D3C">
        <w:rPr>
          <w:b/>
        </w:rPr>
        <w:t>„</w:t>
      </w:r>
      <w:r w:rsidR="00563D3C" w:rsidRPr="00563D3C">
        <w:rPr>
          <w:b/>
        </w:rPr>
        <w:t>Grozījumi Ministru kabineta 2013.</w:t>
      </w:r>
      <w:r w:rsidR="00DA6AC0">
        <w:rPr>
          <w:b/>
        </w:rPr>
        <w:t> </w:t>
      </w:r>
      <w:r w:rsidR="00563D3C" w:rsidRPr="00563D3C">
        <w:rPr>
          <w:b/>
        </w:rPr>
        <w:t>gada 5.</w:t>
      </w:r>
      <w:r w:rsidR="00DA6AC0">
        <w:rPr>
          <w:b/>
        </w:rPr>
        <w:t> </w:t>
      </w:r>
      <w:r w:rsidR="00563D3C" w:rsidRPr="00563D3C">
        <w:rPr>
          <w:b/>
        </w:rPr>
        <w:t>februāra noteikumos Nr.</w:t>
      </w:r>
      <w:r w:rsidR="00DA6AC0">
        <w:rPr>
          <w:b/>
        </w:rPr>
        <w:t> </w:t>
      </w:r>
      <w:r w:rsidR="00563D3C" w:rsidRPr="00563D3C">
        <w:rPr>
          <w:b/>
        </w:rPr>
        <w:t>84</w:t>
      </w:r>
    </w:p>
    <w:p w14:paraId="07D8880D" w14:textId="77777777" w:rsidR="00563D3C" w:rsidRDefault="00D71131" w:rsidP="00563D3C">
      <w:pPr>
        <w:jc w:val="center"/>
        <w:rPr>
          <w:b/>
        </w:rPr>
      </w:pPr>
      <w:r>
        <w:rPr>
          <w:b/>
        </w:rPr>
        <w:t>„</w:t>
      </w:r>
      <w:r w:rsidR="00563D3C" w:rsidRPr="00563D3C">
        <w:rPr>
          <w:b/>
        </w:rPr>
        <w:t>Noteikumi par atsevišķu ķīmisku vielu lietošanas ierobežojumiem elektriskajās un elektroniskajās iekārtās”</w:t>
      </w:r>
      <w:r w:rsidR="00AD4367" w:rsidRPr="00563D3C">
        <w:rPr>
          <w:b/>
        </w:rPr>
        <w:t>”</w:t>
      </w:r>
    </w:p>
    <w:p w14:paraId="18E817F1" w14:textId="77777777" w:rsidR="00AD4367" w:rsidRPr="00563D3C" w:rsidRDefault="00AD4367" w:rsidP="00563D3C">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14:paraId="1AEB3B64" w14:textId="77777777" w:rsidR="00AD4367" w:rsidRPr="00FB41DC" w:rsidRDefault="00AD4367" w:rsidP="00AD436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5"/>
        <w:gridCol w:w="7194"/>
      </w:tblGrid>
      <w:tr w:rsidR="00AD4367" w:rsidRPr="00FB41DC" w14:paraId="629714F4" w14:textId="77777777" w:rsidTr="00572718">
        <w:tc>
          <w:tcPr>
            <w:tcW w:w="9359" w:type="dxa"/>
            <w:gridSpan w:val="3"/>
          </w:tcPr>
          <w:p w14:paraId="4D521FB4" w14:textId="77777777" w:rsidR="00AD4367" w:rsidRPr="00FB41DC" w:rsidRDefault="00AD4367" w:rsidP="00572718">
            <w:pPr>
              <w:jc w:val="center"/>
              <w:rPr>
                <w:b/>
              </w:rPr>
            </w:pPr>
            <w:r w:rsidRPr="00FB41DC">
              <w:rPr>
                <w:b/>
              </w:rPr>
              <w:t>I.</w:t>
            </w:r>
            <w:r w:rsidR="00DA6AC0">
              <w:rPr>
                <w:b/>
              </w:rPr>
              <w:t> </w:t>
            </w:r>
            <w:r w:rsidRPr="00FB41DC">
              <w:rPr>
                <w:b/>
              </w:rPr>
              <w:t>Tiesību akta projekta izstrādes nepieciešamība</w:t>
            </w:r>
          </w:p>
        </w:tc>
      </w:tr>
      <w:tr w:rsidR="00AD4367" w:rsidRPr="0062273E" w14:paraId="24A6B98E" w14:textId="77777777" w:rsidTr="00DC6733">
        <w:tc>
          <w:tcPr>
            <w:tcW w:w="720" w:type="dxa"/>
          </w:tcPr>
          <w:p w14:paraId="590BC94E" w14:textId="77777777" w:rsidR="00AD4367" w:rsidRPr="0062273E" w:rsidRDefault="00AD4367" w:rsidP="00572718">
            <w:pPr>
              <w:jc w:val="center"/>
            </w:pPr>
            <w:r w:rsidRPr="0062273E">
              <w:t>1.</w:t>
            </w:r>
          </w:p>
        </w:tc>
        <w:tc>
          <w:tcPr>
            <w:tcW w:w="1445" w:type="dxa"/>
          </w:tcPr>
          <w:p w14:paraId="3436880F" w14:textId="77777777" w:rsidR="00AD4367" w:rsidRPr="0062273E" w:rsidRDefault="00AD4367" w:rsidP="00572718">
            <w:r w:rsidRPr="0062273E">
              <w:t>Pamatojums</w:t>
            </w:r>
          </w:p>
        </w:tc>
        <w:tc>
          <w:tcPr>
            <w:tcW w:w="7194" w:type="dxa"/>
          </w:tcPr>
          <w:p w14:paraId="2B0E6F4F" w14:textId="77777777" w:rsidR="00563D3C" w:rsidRDefault="00AD4367" w:rsidP="00D71131">
            <w:pPr>
              <w:jc w:val="both"/>
              <w:rPr>
                <w:bCs/>
              </w:rPr>
            </w:pPr>
            <w:r w:rsidRPr="00D71131">
              <w:rPr>
                <w:bCs/>
              </w:rPr>
              <w:t xml:space="preserve">Ministru kabineta noteikumu projekts </w:t>
            </w:r>
            <w:r w:rsidR="00D71131" w:rsidRPr="00D71131">
              <w:t>„Grozījumi Ministru kabineta 2013.</w:t>
            </w:r>
            <w:r w:rsidR="00DA6AC0">
              <w:t> </w:t>
            </w:r>
            <w:r w:rsidR="00D71131" w:rsidRPr="00D71131">
              <w:t>gada 5.</w:t>
            </w:r>
            <w:r w:rsidR="00DA6AC0">
              <w:t> </w:t>
            </w:r>
            <w:r w:rsidR="00D71131" w:rsidRPr="00D71131">
              <w:t>februāra noteikumos Nr.</w:t>
            </w:r>
            <w:r w:rsidR="00DA6AC0">
              <w:t> </w:t>
            </w:r>
            <w:r w:rsidR="00D71131" w:rsidRPr="00D71131">
              <w:t>84 „Noteikumi par atsevišķu ķīmisku vielu lietošanas ierobežojumiem elektriskajās un elektroniskajās iekārtās””</w:t>
            </w:r>
            <w:r w:rsidR="00D71131">
              <w:t xml:space="preserve"> (turpmāk – noteikumu projekts) </w:t>
            </w:r>
            <w:r w:rsidR="007A1423">
              <w:rPr>
                <w:bCs/>
              </w:rPr>
              <w:t xml:space="preserve">ir sagatavots, lai līdz </w:t>
            </w:r>
            <w:r w:rsidR="00E539FA">
              <w:rPr>
                <w:bCs/>
              </w:rPr>
              <w:t>2017</w:t>
            </w:r>
            <w:r w:rsidRPr="004A52AC">
              <w:rPr>
                <w:bCs/>
              </w:rPr>
              <w:t>.</w:t>
            </w:r>
            <w:r w:rsidR="00DA6AC0">
              <w:rPr>
                <w:bCs/>
              </w:rPr>
              <w:t> </w:t>
            </w:r>
            <w:r w:rsidRPr="004A52AC">
              <w:rPr>
                <w:bCs/>
              </w:rPr>
              <w:t xml:space="preserve">gada </w:t>
            </w:r>
            <w:r w:rsidR="00E539FA">
              <w:rPr>
                <w:bCs/>
              </w:rPr>
              <w:t>28</w:t>
            </w:r>
            <w:r w:rsidR="00295D97">
              <w:rPr>
                <w:bCs/>
              </w:rPr>
              <w:t>.</w:t>
            </w:r>
            <w:r w:rsidR="00DA6AC0">
              <w:rPr>
                <w:bCs/>
              </w:rPr>
              <w:t> </w:t>
            </w:r>
            <w:r w:rsidR="00295D97">
              <w:rPr>
                <w:bCs/>
              </w:rPr>
              <w:t>februārim</w:t>
            </w:r>
            <w:r w:rsidR="00092204">
              <w:rPr>
                <w:bCs/>
              </w:rPr>
              <w:t xml:space="preserve"> Latvijas normatīvajos aktos transponētu šād</w:t>
            </w:r>
            <w:r w:rsidR="00DA6AC0">
              <w:rPr>
                <w:bCs/>
              </w:rPr>
              <w:t>us Eiropas Savienības tiesību aktus</w:t>
            </w:r>
            <w:r w:rsidR="00092204">
              <w:rPr>
                <w:bCs/>
              </w:rPr>
              <w:t xml:space="preserve">: </w:t>
            </w:r>
          </w:p>
          <w:p w14:paraId="63D0E497" w14:textId="77777777" w:rsidR="00295D97" w:rsidRPr="00295D97" w:rsidRDefault="00295D97" w:rsidP="00295D97">
            <w:pPr>
              <w:jc w:val="both"/>
              <w:outlineLvl w:val="2"/>
              <w:rPr>
                <w:bCs/>
                <w:szCs w:val="28"/>
              </w:rPr>
            </w:pPr>
            <w:r>
              <w:rPr>
                <w:bCs/>
                <w:szCs w:val="28"/>
              </w:rPr>
              <w:t>1</w:t>
            </w:r>
            <w:r w:rsidR="00DA6AC0">
              <w:rPr>
                <w:bCs/>
                <w:szCs w:val="28"/>
              </w:rPr>
              <w:t>. </w:t>
            </w:r>
            <w:r w:rsidRPr="00295D97">
              <w:rPr>
                <w:bCs/>
                <w:szCs w:val="28"/>
              </w:rPr>
              <w:t>Eiropas Komisijas 2</w:t>
            </w:r>
            <w:r>
              <w:rPr>
                <w:bCs/>
                <w:szCs w:val="28"/>
              </w:rPr>
              <w:t>016.</w:t>
            </w:r>
            <w:r w:rsidR="00DA6AC0">
              <w:rPr>
                <w:bCs/>
                <w:szCs w:val="28"/>
              </w:rPr>
              <w:t> </w:t>
            </w:r>
            <w:r>
              <w:rPr>
                <w:bCs/>
                <w:szCs w:val="28"/>
              </w:rPr>
              <w:t>gada 12.</w:t>
            </w:r>
            <w:r w:rsidR="00DA6AC0">
              <w:rPr>
                <w:bCs/>
                <w:szCs w:val="28"/>
              </w:rPr>
              <w:t> </w:t>
            </w:r>
            <w:r>
              <w:rPr>
                <w:bCs/>
                <w:szCs w:val="28"/>
              </w:rPr>
              <w:t>februāra deleģēto direktīvu (ES)</w:t>
            </w:r>
            <w:r w:rsidRPr="00295D97">
              <w:rPr>
                <w:bCs/>
                <w:szCs w:val="28"/>
              </w:rPr>
              <w:t xml:space="preserve"> 2016/585, ar ko, pielāgojot tehnikas attīstībai, Eiropas Parlamenta un Padomes Direktīvas 2011/65/ES IV pielikumu groza attiecībā uz atbrīvojumu, ko piemēro no medicīniskajām ierīcēm vai elektronu mikroskopiem iegūtu un to remontēšanā vai atjaunošanā izmantotu rezerves daļu saturētam svinam, kadmijam, sešvērtīgajam hromam un </w:t>
            </w:r>
            <w:proofErr w:type="spellStart"/>
            <w:r w:rsidRPr="00295D97">
              <w:rPr>
                <w:bCs/>
                <w:szCs w:val="28"/>
              </w:rPr>
              <w:t>polibromdifenilēteriem</w:t>
            </w:r>
            <w:proofErr w:type="spellEnd"/>
            <w:r w:rsidRPr="00295D97">
              <w:rPr>
                <w:bCs/>
                <w:szCs w:val="28"/>
              </w:rPr>
              <w:t xml:space="preserve"> (PBDE)</w:t>
            </w:r>
            <w:r>
              <w:rPr>
                <w:bCs/>
                <w:szCs w:val="28"/>
              </w:rPr>
              <w:t xml:space="preserve"> (turpmāk – Direktīva 2016/585)</w:t>
            </w:r>
            <w:r w:rsidRPr="00295D97">
              <w:rPr>
                <w:bCs/>
                <w:szCs w:val="28"/>
              </w:rPr>
              <w:t>;</w:t>
            </w:r>
          </w:p>
          <w:p w14:paraId="5FDE6C37" w14:textId="77777777" w:rsidR="00295D97" w:rsidRPr="00295D97" w:rsidRDefault="00295D97" w:rsidP="00295D97">
            <w:pPr>
              <w:jc w:val="both"/>
              <w:rPr>
                <w:rStyle w:val="Strong"/>
                <w:b w:val="0"/>
                <w:szCs w:val="28"/>
              </w:rPr>
            </w:pPr>
            <w:r w:rsidRPr="00295D97">
              <w:rPr>
                <w:bCs/>
                <w:szCs w:val="28"/>
              </w:rPr>
              <w:t>2</w:t>
            </w:r>
            <w:r w:rsidR="00DA6AC0">
              <w:rPr>
                <w:bCs/>
                <w:szCs w:val="28"/>
              </w:rPr>
              <w:t>. </w:t>
            </w:r>
            <w:r w:rsidRPr="00295D97">
              <w:rPr>
                <w:bCs/>
                <w:szCs w:val="28"/>
              </w:rPr>
              <w:t xml:space="preserve">Eiropas </w:t>
            </w:r>
            <w:r w:rsidRPr="00295D97">
              <w:rPr>
                <w:rStyle w:val="Strong"/>
                <w:b w:val="0"/>
                <w:szCs w:val="28"/>
              </w:rPr>
              <w:t>Komisijas</w:t>
            </w:r>
            <w:r>
              <w:rPr>
                <w:rStyle w:val="Strong"/>
                <w:b w:val="0"/>
                <w:szCs w:val="28"/>
              </w:rPr>
              <w:t xml:space="preserve"> 2016.</w:t>
            </w:r>
            <w:r w:rsidR="00DA6AC0">
              <w:rPr>
                <w:rStyle w:val="Strong"/>
                <w:b w:val="0"/>
                <w:szCs w:val="28"/>
              </w:rPr>
              <w:t> </w:t>
            </w:r>
            <w:r>
              <w:rPr>
                <w:rStyle w:val="Strong"/>
                <w:b w:val="0"/>
                <w:szCs w:val="28"/>
              </w:rPr>
              <w:t>gada 19.</w:t>
            </w:r>
            <w:r w:rsidR="00DA6AC0">
              <w:rPr>
                <w:rStyle w:val="Strong"/>
                <w:b w:val="0"/>
                <w:szCs w:val="28"/>
              </w:rPr>
              <w:t> </w:t>
            </w:r>
            <w:r>
              <w:rPr>
                <w:rStyle w:val="Strong"/>
                <w:b w:val="0"/>
                <w:szCs w:val="28"/>
              </w:rPr>
              <w:t xml:space="preserve">aprīļa deleģēto direktīvu (ES) </w:t>
            </w:r>
            <w:r w:rsidRPr="00295D97">
              <w:rPr>
                <w:rStyle w:val="Strong"/>
                <w:b w:val="0"/>
                <w:szCs w:val="28"/>
              </w:rPr>
              <w:t>2016/1028, ar ko, pielāgojot tehnikas attīstībai, groza Eiropas Parlamenta un Padomes Direktīvas 2011/65/ES IV pielikumu attiecībā uz atbrīvojumu lietot svinu lodmetālos, kurus izmanto elektriskajos savienojumos ar temperatūras mērīšanas sensoriem dažās ierīcēs</w:t>
            </w:r>
            <w:r w:rsidR="0078207F">
              <w:rPr>
                <w:rStyle w:val="Strong"/>
                <w:b w:val="0"/>
                <w:szCs w:val="28"/>
              </w:rPr>
              <w:t xml:space="preserve"> (turpmāk – Direktīva 2016/1028)</w:t>
            </w:r>
            <w:r w:rsidRPr="00295D97">
              <w:rPr>
                <w:rStyle w:val="Strong"/>
                <w:b w:val="0"/>
                <w:szCs w:val="28"/>
              </w:rPr>
              <w:t>;</w:t>
            </w:r>
          </w:p>
          <w:p w14:paraId="72EA6161" w14:textId="77777777" w:rsidR="002974AA" w:rsidRPr="002974AA" w:rsidRDefault="00295D97" w:rsidP="00295D97">
            <w:pPr>
              <w:jc w:val="both"/>
            </w:pPr>
            <w:r w:rsidRPr="00295D97">
              <w:rPr>
                <w:rStyle w:val="Strong"/>
                <w:b w:val="0"/>
                <w:szCs w:val="28"/>
              </w:rPr>
              <w:t>3</w:t>
            </w:r>
            <w:r w:rsidR="00DA6AC0">
              <w:rPr>
                <w:rStyle w:val="Strong"/>
                <w:b w:val="0"/>
                <w:szCs w:val="28"/>
              </w:rPr>
              <w:t>. </w:t>
            </w:r>
            <w:r w:rsidRPr="00295D97">
              <w:rPr>
                <w:rStyle w:val="Strong"/>
                <w:b w:val="0"/>
                <w:szCs w:val="28"/>
              </w:rPr>
              <w:t>Eiropas Komisijas 2016.</w:t>
            </w:r>
            <w:r w:rsidR="00DA6AC0">
              <w:rPr>
                <w:rStyle w:val="Strong"/>
                <w:b w:val="0"/>
                <w:szCs w:val="28"/>
              </w:rPr>
              <w:t> </w:t>
            </w:r>
            <w:r w:rsidRPr="00295D97">
              <w:rPr>
                <w:rStyle w:val="Strong"/>
                <w:b w:val="0"/>
                <w:szCs w:val="28"/>
              </w:rPr>
              <w:t>gada 19</w:t>
            </w:r>
            <w:r>
              <w:rPr>
                <w:rStyle w:val="Strong"/>
                <w:b w:val="0"/>
                <w:szCs w:val="28"/>
              </w:rPr>
              <w:t>.</w:t>
            </w:r>
            <w:r w:rsidR="00DA6AC0">
              <w:rPr>
                <w:rStyle w:val="Strong"/>
                <w:b w:val="0"/>
                <w:szCs w:val="28"/>
              </w:rPr>
              <w:t> </w:t>
            </w:r>
            <w:r>
              <w:rPr>
                <w:rStyle w:val="Strong"/>
                <w:b w:val="0"/>
                <w:szCs w:val="28"/>
              </w:rPr>
              <w:t>aprīļa deleģēto direktīvu (ES)</w:t>
            </w:r>
            <w:r w:rsidRPr="00295D97">
              <w:rPr>
                <w:rStyle w:val="Strong"/>
                <w:b w:val="0"/>
                <w:szCs w:val="28"/>
              </w:rPr>
              <w:t xml:space="preserve"> 2016/1029, ar ko, pielāgojot tehnikas attīstībai, groza Eiropas Parlamenta un Padomes Direktīvas 2011/65/ES IV pielikumu attiecībā uz atbrīvojumu kadmija anodiem </w:t>
            </w:r>
            <w:proofErr w:type="spellStart"/>
            <w:r w:rsidRPr="00295D97">
              <w:rPr>
                <w:rStyle w:val="Strong"/>
                <w:b w:val="0"/>
                <w:szCs w:val="28"/>
              </w:rPr>
              <w:t>Herša</w:t>
            </w:r>
            <w:proofErr w:type="spellEnd"/>
            <w:r w:rsidRPr="00295D97">
              <w:rPr>
                <w:rStyle w:val="Strong"/>
                <w:b w:val="0"/>
                <w:szCs w:val="28"/>
              </w:rPr>
              <w:t xml:space="preserve"> galvaniskajos elementos, kas paredzēti konkrētiem rūpnieciskos monitoringa un kontroles instrumentos izmantojamiem skābekļa sensoriem</w:t>
            </w:r>
            <w:r w:rsidR="0078207F">
              <w:rPr>
                <w:rStyle w:val="Strong"/>
                <w:b w:val="0"/>
                <w:szCs w:val="28"/>
              </w:rPr>
              <w:t xml:space="preserve"> (turpmāk – direktīva 2016/1029)</w:t>
            </w:r>
            <w:r w:rsidRPr="00295D97">
              <w:rPr>
                <w:rStyle w:val="Strong"/>
                <w:b w:val="0"/>
                <w:szCs w:val="28"/>
              </w:rPr>
              <w:t>.</w:t>
            </w:r>
          </w:p>
        </w:tc>
      </w:tr>
      <w:tr w:rsidR="00AD4367" w:rsidRPr="00FB41DC" w14:paraId="09225B7F" w14:textId="77777777" w:rsidTr="00DC6733">
        <w:tc>
          <w:tcPr>
            <w:tcW w:w="720" w:type="dxa"/>
          </w:tcPr>
          <w:p w14:paraId="2B29450B" w14:textId="77777777" w:rsidR="00AD4367" w:rsidRPr="00FB41DC" w:rsidRDefault="00AD4367" w:rsidP="00572718">
            <w:pPr>
              <w:jc w:val="center"/>
            </w:pPr>
            <w:r w:rsidRPr="00FB41DC">
              <w:t>2.</w:t>
            </w:r>
          </w:p>
        </w:tc>
        <w:tc>
          <w:tcPr>
            <w:tcW w:w="1445" w:type="dxa"/>
          </w:tcPr>
          <w:p w14:paraId="694A8345" w14:textId="77777777" w:rsidR="00AD4367" w:rsidRPr="00FB41DC" w:rsidRDefault="00AD4367" w:rsidP="00572718">
            <w:r w:rsidRPr="00FB41DC">
              <w:t>Pašreizējā situācija un problēmas</w:t>
            </w:r>
            <w:r>
              <w:t>, kuru risināšanai tiesību aktu projekts izstrādāts, tiesiskā regulējuma mērķis un būtība</w:t>
            </w:r>
          </w:p>
        </w:tc>
        <w:tc>
          <w:tcPr>
            <w:tcW w:w="7194" w:type="dxa"/>
          </w:tcPr>
          <w:p w14:paraId="6A9AEAD2" w14:textId="77777777" w:rsidR="00EA31D2" w:rsidRPr="00F11331" w:rsidRDefault="00092204" w:rsidP="00190532">
            <w:pPr>
              <w:pStyle w:val="tv2131"/>
              <w:spacing w:line="240" w:lineRule="auto"/>
              <w:ind w:firstLine="0"/>
              <w:jc w:val="both"/>
              <w:rPr>
                <w:color w:val="auto"/>
                <w:sz w:val="24"/>
                <w:szCs w:val="24"/>
                <w:lang w:val="lv-LV"/>
              </w:rPr>
            </w:pPr>
            <w:r w:rsidRPr="00F11331">
              <w:rPr>
                <w:color w:val="auto"/>
                <w:sz w:val="24"/>
                <w:szCs w:val="24"/>
                <w:lang w:val="lv-LV"/>
              </w:rPr>
              <w:t>Ministru kabineta 2013.</w:t>
            </w:r>
            <w:r w:rsidR="00DA6AC0">
              <w:rPr>
                <w:color w:val="auto"/>
                <w:sz w:val="24"/>
                <w:szCs w:val="24"/>
                <w:lang w:val="lv-LV"/>
              </w:rPr>
              <w:t> </w:t>
            </w:r>
            <w:r w:rsidRPr="00F11331">
              <w:rPr>
                <w:color w:val="auto"/>
                <w:sz w:val="24"/>
                <w:szCs w:val="24"/>
                <w:lang w:val="lv-LV"/>
              </w:rPr>
              <w:t>gada 5.</w:t>
            </w:r>
            <w:r w:rsidR="00DA6AC0">
              <w:rPr>
                <w:color w:val="auto"/>
                <w:sz w:val="24"/>
                <w:szCs w:val="24"/>
                <w:lang w:val="lv-LV"/>
              </w:rPr>
              <w:t> </w:t>
            </w:r>
            <w:r w:rsidRPr="00F11331">
              <w:rPr>
                <w:color w:val="auto"/>
                <w:sz w:val="24"/>
                <w:szCs w:val="24"/>
                <w:lang w:val="lv-LV"/>
              </w:rPr>
              <w:t>februāra noteikumos Nr.</w:t>
            </w:r>
            <w:r w:rsidR="00DA6AC0">
              <w:rPr>
                <w:color w:val="auto"/>
                <w:sz w:val="24"/>
                <w:szCs w:val="24"/>
                <w:lang w:val="lv-LV"/>
              </w:rPr>
              <w:t> </w:t>
            </w:r>
            <w:r w:rsidRPr="00F11331">
              <w:rPr>
                <w:color w:val="auto"/>
                <w:sz w:val="24"/>
                <w:szCs w:val="24"/>
                <w:lang w:val="lv-LV"/>
              </w:rPr>
              <w:t>84 „Noteikumi par atsevišķu ķīmisko vielu lietošanas ierobežojumiem elektriskajās un elektroniskajās iekārtās”</w:t>
            </w:r>
            <w:r w:rsidR="00A76421" w:rsidRPr="00F11331">
              <w:rPr>
                <w:color w:val="auto"/>
                <w:sz w:val="24"/>
                <w:szCs w:val="24"/>
                <w:lang w:val="lv-LV"/>
              </w:rPr>
              <w:t xml:space="preserve"> (turpmāk – MK noteikumi Nr.</w:t>
            </w:r>
            <w:r w:rsidR="00DA6AC0">
              <w:rPr>
                <w:color w:val="auto"/>
                <w:sz w:val="24"/>
                <w:szCs w:val="24"/>
                <w:lang w:val="lv-LV"/>
              </w:rPr>
              <w:t> </w:t>
            </w:r>
            <w:r w:rsidR="00A76421" w:rsidRPr="00F11331">
              <w:rPr>
                <w:color w:val="auto"/>
                <w:sz w:val="24"/>
                <w:szCs w:val="24"/>
                <w:lang w:val="lv-LV"/>
              </w:rPr>
              <w:t xml:space="preserve">84) </w:t>
            </w:r>
            <w:r w:rsidRPr="00F11331">
              <w:rPr>
                <w:color w:val="auto"/>
                <w:sz w:val="24"/>
                <w:szCs w:val="24"/>
                <w:lang w:val="lv-LV"/>
              </w:rPr>
              <w:t>ir noteikt</w:t>
            </w:r>
            <w:r w:rsidR="005357D2">
              <w:rPr>
                <w:color w:val="auto"/>
                <w:sz w:val="24"/>
                <w:szCs w:val="24"/>
                <w:lang w:val="lv-LV"/>
              </w:rPr>
              <w:t>i</w:t>
            </w:r>
            <w:r w:rsidRPr="00F11331">
              <w:rPr>
                <w:color w:val="auto"/>
                <w:sz w:val="24"/>
                <w:szCs w:val="24"/>
                <w:lang w:val="lv-LV"/>
              </w:rPr>
              <w:t xml:space="preserve"> atsevišķu bīstamu ķīmisko vielu izmantošanas ierobežojum</w:t>
            </w:r>
            <w:r w:rsidR="005357D2">
              <w:rPr>
                <w:color w:val="auto"/>
                <w:sz w:val="24"/>
                <w:szCs w:val="24"/>
                <w:lang w:val="lv-LV"/>
              </w:rPr>
              <w:t>i</w:t>
            </w:r>
            <w:r w:rsidRPr="00F11331">
              <w:rPr>
                <w:color w:val="auto"/>
                <w:sz w:val="24"/>
                <w:szCs w:val="24"/>
                <w:lang w:val="lv-LV"/>
              </w:rPr>
              <w:t xml:space="preserve"> elektriskajās un elektroniskajā</w:t>
            </w:r>
            <w:r w:rsidR="00A76421" w:rsidRPr="00F11331">
              <w:rPr>
                <w:color w:val="auto"/>
                <w:sz w:val="24"/>
                <w:szCs w:val="24"/>
                <w:lang w:val="lv-LV"/>
              </w:rPr>
              <w:t>s iekārtās (turpmāk – iekārtas). MK noteikumu Nr.</w:t>
            </w:r>
            <w:r w:rsidR="00DA6AC0">
              <w:rPr>
                <w:color w:val="auto"/>
                <w:sz w:val="24"/>
                <w:szCs w:val="24"/>
                <w:lang w:val="lv-LV"/>
              </w:rPr>
              <w:t> </w:t>
            </w:r>
            <w:r w:rsidR="00A76421" w:rsidRPr="00F11331">
              <w:rPr>
                <w:color w:val="auto"/>
                <w:sz w:val="24"/>
                <w:szCs w:val="24"/>
                <w:lang w:val="lv-LV"/>
              </w:rPr>
              <w:t>84 4.</w:t>
            </w:r>
            <w:r w:rsidR="00DA6AC0">
              <w:rPr>
                <w:color w:val="auto"/>
                <w:sz w:val="24"/>
                <w:szCs w:val="24"/>
                <w:lang w:val="lv-LV"/>
              </w:rPr>
              <w:t> </w:t>
            </w:r>
            <w:r w:rsidR="00A76421" w:rsidRPr="00F11331">
              <w:rPr>
                <w:color w:val="auto"/>
                <w:sz w:val="24"/>
                <w:szCs w:val="24"/>
                <w:lang w:val="lv-LV"/>
              </w:rPr>
              <w:t>pielikumā ir notei</w:t>
            </w:r>
            <w:r w:rsidR="00190532" w:rsidRPr="00F11331">
              <w:rPr>
                <w:color w:val="auto"/>
                <w:sz w:val="24"/>
                <w:szCs w:val="24"/>
                <w:lang w:val="lv-LV"/>
              </w:rPr>
              <w:t>kti pieļaujamie</w:t>
            </w:r>
            <w:r w:rsidR="00A76421" w:rsidRPr="00F11331">
              <w:rPr>
                <w:color w:val="auto"/>
                <w:sz w:val="24"/>
                <w:szCs w:val="24"/>
                <w:lang w:val="lv-LV"/>
              </w:rPr>
              <w:t xml:space="preserve"> svina, dzīvsudraba, kadmija, sešvērtīgā hroma, </w:t>
            </w:r>
            <w:proofErr w:type="spellStart"/>
            <w:r w:rsidR="00A76421" w:rsidRPr="00F11331">
              <w:rPr>
                <w:color w:val="auto"/>
                <w:sz w:val="24"/>
                <w:szCs w:val="24"/>
                <w:lang w:val="lv-LV"/>
              </w:rPr>
              <w:t>polibromēto</w:t>
            </w:r>
            <w:proofErr w:type="spellEnd"/>
            <w:r w:rsidR="00A76421" w:rsidRPr="00F11331">
              <w:rPr>
                <w:color w:val="auto"/>
                <w:sz w:val="24"/>
                <w:szCs w:val="24"/>
                <w:lang w:val="lv-LV"/>
              </w:rPr>
              <w:t xml:space="preserve"> </w:t>
            </w:r>
            <w:proofErr w:type="spellStart"/>
            <w:r w:rsidR="00A76421" w:rsidRPr="00F11331">
              <w:rPr>
                <w:color w:val="auto"/>
                <w:sz w:val="24"/>
                <w:szCs w:val="24"/>
                <w:lang w:val="lv-LV"/>
              </w:rPr>
              <w:t>bifenilu</w:t>
            </w:r>
            <w:proofErr w:type="spellEnd"/>
            <w:r w:rsidR="00A76421" w:rsidRPr="00F11331">
              <w:rPr>
                <w:color w:val="auto"/>
                <w:sz w:val="24"/>
                <w:szCs w:val="24"/>
                <w:lang w:val="lv-LV"/>
              </w:rPr>
              <w:t xml:space="preserve"> un </w:t>
            </w:r>
            <w:proofErr w:type="spellStart"/>
            <w:r w:rsidR="00A76421" w:rsidRPr="00F11331">
              <w:rPr>
                <w:color w:val="auto"/>
                <w:sz w:val="24"/>
                <w:szCs w:val="24"/>
                <w:lang w:val="lv-LV"/>
              </w:rPr>
              <w:t>polibromēto</w:t>
            </w:r>
            <w:proofErr w:type="spellEnd"/>
            <w:r w:rsidR="00A76421" w:rsidRPr="00F11331">
              <w:rPr>
                <w:color w:val="auto"/>
                <w:sz w:val="24"/>
                <w:szCs w:val="24"/>
                <w:lang w:val="lv-LV"/>
              </w:rPr>
              <w:t xml:space="preserve"> </w:t>
            </w:r>
            <w:proofErr w:type="spellStart"/>
            <w:r w:rsidR="00A76421" w:rsidRPr="00F11331">
              <w:rPr>
                <w:color w:val="auto"/>
                <w:sz w:val="24"/>
                <w:szCs w:val="24"/>
                <w:lang w:val="lv-LV"/>
              </w:rPr>
              <w:t>difenilēteru</w:t>
            </w:r>
            <w:proofErr w:type="spellEnd"/>
            <w:r w:rsidR="00A76421" w:rsidRPr="00F11331">
              <w:rPr>
                <w:color w:val="auto"/>
                <w:sz w:val="24"/>
                <w:szCs w:val="24"/>
                <w:lang w:val="lv-LV"/>
              </w:rPr>
              <w:t xml:space="preserve"> lietošana</w:t>
            </w:r>
            <w:r w:rsidR="00190532" w:rsidRPr="00F11331">
              <w:rPr>
                <w:color w:val="auto"/>
                <w:sz w:val="24"/>
                <w:szCs w:val="24"/>
                <w:lang w:val="lv-LV"/>
              </w:rPr>
              <w:t>s veidi</w:t>
            </w:r>
            <w:r w:rsidR="00A76421" w:rsidRPr="00F11331">
              <w:rPr>
                <w:color w:val="auto"/>
                <w:sz w:val="24"/>
                <w:szCs w:val="24"/>
                <w:lang w:val="lv-LV"/>
              </w:rPr>
              <w:t xml:space="preserve"> medicīniskās ierīcēs un kontroles un monitoringa instrumentos.</w:t>
            </w:r>
          </w:p>
          <w:p w14:paraId="542F64B0" w14:textId="77777777" w:rsidR="00295D97" w:rsidRDefault="00A76421" w:rsidP="00EA31D2">
            <w:pPr>
              <w:pStyle w:val="tv2131"/>
              <w:spacing w:line="240" w:lineRule="auto"/>
              <w:ind w:firstLine="0"/>
              <w:jc w:val="both"/>
              <w:rPr>
                <w:color w:val="auto"/>
                <w:sz w:val="24"/>
                <w:szCs w:val="24"/>
                <w:lang w:val="lv-LV"/>
              </w:rPr>
            </w:pPr>
            <w:r w:rsidRPr="00F11331">
              <w:rPr>
                <w:color w:val="auto"/>
                <w:sz w:val="24"/>
                <w:szCs w:val="24"/>
                <w:lang w:val="lv-LV"/>
              </w:rPr>
              <w:t>Atbilstoši Eiropas Parlamenta un Padomes 2011.</w:t>
            </w:r>
            <w:r w:rsidR="00964E99">
              <w:rPr>
                <w:color w:val="auto"/>
                <w:sz w:val="24"/>
                <w:szCs w:val="24"/>
                <w:lang w:val="lv-LV"/>
              </w:rPr>
              <w:t> </w:t>
            </w:r>
            <w:r w:rsidRPr="00F11331">
              <w:rPr>
                <w:color w:val="auto"/>
                <w:sz w:val="24"/>
                <w:szCs w:val="24"/>
                <w:lang w:val="lv-LV"/>
              </w:rPr>
              <w:t>gada 8.</w:t>
            </w:r>
            <w:r w:rsidR="00964E99">
              <w:rPr>
                <w:color w:val="auto"/>
                <w:sz w:val="24"/>
                <w:szCs w:val="24"/>
                <w:lang w:val="lv-LV"/>
              </w:rPr>
              <w:t> </w:t>
            </w:r>
            <w:r w:rsidRPr="00F11331">
              <w:rPr>
                <w:color w:val="auto"/>
                <w:sz w:val="24"/>
                <w:szCs w:val="24"/>
                <w:lang w:val="lv-LV"/>
              </w:rPr>
              <w:t>jūnija Direktīvas 2011/65/ES par dažu bīstamu vielu izmantošanas ierobežošanu elektriskās un elektroniskās iekārtās</w:t>
            </w:r>
            <w:r w:rsidR="00EA31D2" w:rsidRPr="00F11331">
              <w:rPr>
                <w:color w:val="auto"/>
                <w:sz w:val="24"/>
                <w:szCs w:val="24"/>
                <w:lang w:val="lv-LV"/>
              </w:rPr>
              <w:t xml:space="preserve"> (turpmāk – Direktīva 2011/65</w:t>
            </w:r>
            <w:r w:rsidR="00EA31D2" w:rsidRPr="004A52AC">
              <w:rPr>
                <w:b/>
                <w:color w:val="auto"/>
                <w:sz w:val="24"/>
                <w:szCs w:val="24"/>
                <w:lang w:val="lv-LV"/>
              </w:rPr>
              <w:t>/</w:t>
            </w:r>
            <w:r w:rsidR="00EA31D2" w:rsidRPr="004A52AC">
              <w:rPr>
                <w:color w:val="auto"/>
                <w:sz w:val="24"/>
                <w:szCs w:val="24"/>
                <w:lang w:val="lv-LV"/>
              </w:rPr>
              <w:t>E</w:t>
            </w:r>
            <w:r w:rsidR="002B6A1C" w:rsidRPr="004A52AC">
              <w:rPr>
                <w:color w:val="auto"/>
                <w:sz w:val="24"/>
                <w:szCs w:val="24"/>
                <w:lang w:val="lv-LV"/>
              </w:rPr>
              <w:t>S</w:t>
            </w:r>
            <w:r w:rsidR="00EA31D2" w:rsidRPr="00F11331">
              <w:rPr>
                <w:color w:val="auto"/>
                <w:sz w:val="24"/>
                <w:szCs w:val="24"/>
                <w:lang w:val="lv-LV"/>
              </w:rPr>
              <w:t>)</w:t>
            </w:r>
            <w:r w:rsidR="00295D97">
              <w:rPr>
                <w:color w:val="auto"/>
                <w:sz w:val="24"/>
                <w:szCs w:val="24"/>
                <w:lang w:val="lv-LV"/>
              </w:rPr>
              <w:t xml:space="preserve"> 5.</w:t>
            </w:r>
            <w:r w:rsidR="00964E99">
              <w:rPr>
                <w:color w:val="auto"/>
                <w:sz w:val="24"/>
                <w:szCs w:val="24"/>
                <w:lang w:val="lv-LV"/>
              </w:rPr>
              <w:t> </w:t>
            </w:r>
            <w:r w:rsidR="00295D97">
              <w:rPr>
                <w:color w:val="auto"/>
                <w:sz w:val="24"/>
                <w:szCs w:val="24"/>
                <w:lang w:val="lv-LV"/>
              </w:rPr>
              <w:t>panta 1.</w:t>
            </w:r>
            <w:r w:rsidR="00964E99">
              <w:rPr>
                <w:color w:val="auto"/>
                <w:sz w:val="24"/>
                <w:szCs w:val="24"/>
                <w:lang w:val="lv-LV"/>
              </w:rPr>
              <w:t> </w:t>
            </w:r>
            <w:r w:rsidR="00295D97">
              <w:rPr>
                <w:color w:val="auto"/>
                <w:sz w:val="24"/>
                <w:szCs w:val="24"/>
                <w:lang w:val="lv-LV"/>
              </w:rPr>
              <w:t xml:space="preserve">punkta </w:t>
            </w:r>
            <w:r w:rsidR="00964E99">
              <w:rPr>
                <w:color w:val="auto"/>
                <w:sz w:val="24"/>
                <w:szCs w:val="24"/>
                <w:lang w:val="lv-LV"/>
              </w:rPr>
              <w:t>„</w:t>
            </w:r>
            <w:r w:rsidR="00295D97">
              <w:rPr>
                <w:color w:val="auto"/>
                <w:sz w:val="24"/>
                <w:szCs w:val="24"/>
                <w:lang w:val="lv-LV"/>
              </w:rPr>
              <w:t>a</w:t>
            </w:r>
            <w:r w:rsidR="00964E99">
              <w:rPr>
                <w:color w:val="auto"/>
                <w:sz w:val="24"/>
                <w:szCs w:val="24"/>
                <w:lang w:val="lv-LV"/>
              </w:rPr>
              <w:t>”</w:t>
            </w:r>
            <w:r w:rsidR="00295D97">
              <w:rPr>
                <w:color w:val="auto"/>
                <w:sz w:val="24"/>
                <w:szCs w:val="24"/>
                <w:lang w:val="lv-LV"/>
              </w:rPr>
              <w:t xml:space="preserve"> apakšpunktam</w:t>
            </w:r>
            <w:r w:rsidRPr="00F11331">
              <w:rPr>
                <w:color w:val="auto"/>
                <w:sz w:val="24"/>
                <w:szCs w:val="24"/>
                <w:lang w:val="lv-LV"/>
              </w:rPr>
              <w:t xml:space="preserve"> Eiropas Komisija ir izvērtēj</w:t>
            </w:r>
            <w:r w:rsidR="00190532" w:rsidRPr="00F11331">
              <w:rPr>
                <w:color w:val="auto"/>
                <w:sz w:val="24"/>
                <w:szCs w:val="24"/>
                <w:lang w:val="lv-LV"/>
              </w:rPr>
              <w:t>usi Direktīvas 2011/65/</w:t>
            </w:r>
            <w:r w:rsidR="00190532" w:rsidRPr="004A52AC">
              <w:rPr>
                <w:color w:val="auto"/>
                <w:sz w:val="24"/>
                <w:szCs w:val="24"/>
                <w:lang w:val="lv-LV"/>
              </w:rPr>
              <w:t>E</w:t>
            </w:r>
            <w:r w:rsidR="002B6A1C" w:rsidRPr="004A52AC">
              <w:rPr>
                <w:color w:val="auto"/>
                <w:sz w:val="24"/>
                <w:szCs w:val="24"/>
                <w:lang w:val="lv-LV"/>
              </w:rPr>
              <w:t>S</w:t>
            </w:r>
            <w:r w:rsidR="00190532" w:rsidRPr="00F11331">
              <w:rPr>
                <w:color w:val="auto"/>
                <w:sz w:val="24"/>
                <w:szCs w:val="24"/>
                <w:lang w:val="lv-LV"/>
              </w:rPr>
              <w:t xml:space="preserve"> </w:t>
            </w:r>
            <w:r w:rsidRPr="00F11331">
              <w:rPr>
                <w:color w:val="auto"/>
                <w:sz w:val="24"/>
                <w:szCs w:val="24"/>
                <w:lang w:val="lv-LV"/>
              </w:rPr>
              <w:t xml:space="preserve">IV pielikuma pielāgošanu zinātnes un </w:t>
            </w:r>
            <w:r w:rsidRPr="00F11331">
              <w:rPr>
                <w:color w:val="auto"/>
                <w:sz w:val="24"/>
                <w:szCs w:val="24"/>
                <w:lang w:val="lv-LV"/>
              </w:rPr>
              <w:lastRenderedPageBreak/>
              <w:t>tehnikas attīstībai</w:t>
            </w:r>
            <w:r w:rsidR="00295D97">
              <w:rPr>
                <w:color w:val="auto"/>
                <w:sz w:val="24"/>
                <w:szCs w:val="24"/>
                <w:lang w:val="lv-LV"/>
              </w:rPr>
              <w:t xml:space="preserve">, pieņemot direktīvas </w:t>
            </w:r>
            <w:r w:rsidR="0078207F">
              <w:rPr>
                <w:color w:val="auto"/>
                <w:sz w:val="24"/>
                <w:szCs w:val="24"/>
                <w:lang w:val="lv-LV"/>
              </w:rPr>
              <w:t>2016/585, 2016/1028 un</w:t>
            </w:r>
            <w:r w:rsidR="00964E99">
              <w:rPr>
                <w:color w:val="auto"/>
                <w:sz w:val="24"/>
                <w:szCs w:val="24"/>
                <w:lang w:val="lv-LV"/>
              </w:rPr>
              <w:t xml:space="preserve"> </w:t>
            </w:r>
            <w:r w:rsidR="0078207F">
              <w:rPr>
                <w:color w:val="auto"/>
                <w:sz w:val="24"/>
                <w:szCs w:val="24"/>
                <w:lang w:val="lv-LV"/>
              </w:rPr>
              <w:t xml:space="preserve">2016/1029. </w:t>
            </w:r>
          </w:p>
          <w:p w14:paraId="5436DA71" w14:textId="77777777" w:rsidR="00E13FF8" w:rsidRPr="00E13FF8" w:rsidRDefault="00E13FF8" w:rsidP="00EA31D2">
            <w:pPr>
              <w:pStyle w:val="tv2131"/>
              <w:spacing w:line="240" w:lineRule="auto"/>
              <w:ind w:firstLine="0"/>
              <w:jc w:val="both"/>
              <w:rPr>
                <w:color w:val="auto"/>
                <w:sz w:val="24"/>
                <w:szCs w:val="26"/>
                <w:lang w:val="lv-LV"/>
              </w:rPr>
            </w:pPr>
            <w:r w:rsidRPr="00E13FF8">
              <w:rPr>
                <w:color w:val="auto"/>
                <w:sz w:val="24"/>
                <w:szCs w:val="26"/>
                <w:lang w:val="lv-LV"/>
              </w:rPr>
              <w:t>Ar Direktīvu 2016/585 tiek precizēts Direktīvas 2011/65/ES IV pielikuma 31. punkts, paredzot un precizējot iespēju izmantot no lietotām iekārtām iegūtas rezerves daļas, kas nav bijušas laistas Eiropas Savienības tirgū, un tādējādi ierobežo atkārtoti izmantojamu rezerves daļu pieejamību, kā arī</w:t>
            </w:r>
            <w:proofErr w:type="gramStart"/>
            <w:r w:rsidRPr="00E13FF8">
              <w:rPr>
                <w:color w:val="auto"/>
                <w:sz w:val="24"/>
                <w:szCs w:val="26"/>
                <w:lang w:val="lv-LV"/>
              </w:rPr>
              <w:t xml:space="preserve"> precizējot termiņus</w:t>
            </w:r>
            <w:proofErr w:type="gramEnd"/>
            <w:r w:rsidRPr="00E13FF8">
              <w:rPr>
                <w:color w:val="auto"/>
                <w:sz w:val="24"/>
                <w:szCs w:val="26"/>
                <w:lang w:val="lv-LV"/>
              </w:rPr>
              <w:t>, kādos jāizbeidz piemērot izņēmumus noteiktu ķīmisko vielu lietošanai dažādās attiecīgajās medicīnas ierīcēs un elektronu mikroskopos.</w:t>
            </w:r>
          </w:p>
          <w:p w14:paraId="7C82619E" w14:textId="576700CF" w:rsidR="00295D97" w:rsidRPr="00CC60F6" w:rsidRDefault="006743A8" w:rsidP="00EA31D2">
            <w:pPr>
              <w:pStyle w:val="tv2131"/>
              <w:spacing w:line="240" w:lineRule="auto"/>
              <w:ind w:firstLine="0"/>
              <w:jc w:val="both"/>
              <w:rPr>
                <w:color w:val="auto"/>
                <w:sz w:val="24"/>
                <w:szCs w:val="24"/>
                <w:lang w:val="lv-LV"/>
              </w:rPr>
            </w:pPr>
            <w:r>
              <w:rPr>
                <w:color w:val="auto"/>
                <w:sz w:val="24"/>
                <w:szCs w:val="24"/>
                <w:lang w:val="lv-LV"/>
              </w:rPr>
              <w:t>Ar Direktīvu 2016/</w:t>
            </w:r>
            <w:r w:rsidR="00CC60F6">
              <w:rPr>
                <w:color w:val="auto"/>
                <w:sz w:val="24"/>
                <w:szCs w:val="24"/>
                <w:lang w:val="lv-LV"/>
              </w:rPr>
              <w:t xml:space="preserve">1028 tiek noteikti </w:t>
            </w:r>
            <w:r w:rsidR="00CC60F6" w:rsidRPr="00CC60F6">
              <w:rPr>
                <w:color w:val="auto"/>
                <w:sz w:val="24"/>
                <w:szCs w:val="24"/>
                <w:lang w:val="lv-LV"/>
              </w:rPr>
              <w:t>atbrīvojumi</w:t>
            </w:r>
            <w:r w:rsidR="00C51938" w:rsidRPr="00CC60F6">
              <w:rPr>
                <w:color w:val="auto"/>
                <w:sz w:val="24"/>
                <w:szCs w:val="24"/>
                <w:lang w:val="lv-LV"/>
              </w:rPr>
              <w:t xml:space="preserve"> lietot svinu lodmetālos, kurus izmanto elektriskajos savienojumos ar temperatūras mērīšanas sensoriem dažās ierīcēs</w:t>
            </w:r>
            <w:r w:rsidR="00CC60F6" w:rsidRPr="00CC60F6">
              <w:rPr>
                <w:color w:val="auto"/>
                <w:sz w:val="24"/>
                <w:szCs w:val="24"/>
                <w:lang w:val="lv-LV"/>
              </w:rPr>
              <w:t xml:space="preserve">. Svinu izmanto medicīnisku ierīču kriogēno sensoru elektriskajos savienojumos un monitoringa un kontroles instrumentos, lai izvairītos no biezu </w:t>
            </w:r>
            <w:proofErr w:type="spellStart"/>
            <w:r w:rsidR="00CC60F6" w:rsidRPr="00CC60F6">
              <w:rPr>
                <w:color w:val="auto"/>
                <w:sz w:val="24"/>
                <w:szCs w:val="24"/>
                <w:lang w:val="lv-LV"/>
              </w:rPr>
              <w:t>intermetālisku</w:t>
            </w:r>
            <w:proofErr w:type="spellEnd"/>
            <w:r w:rsidR="00CC60F6" w:rsidRPr="00CC60F6">
              <w:rPr>
                <w:color w:val="auto"/>
                <w:sz w:val="24"/>
                <w:szCs w:val="24"/>
                <w:lang w:val="lv-LV"/>
              </w:rPr>
              <w:t xml:space="preserve"> fāžu, matiņu un alvas mēra veidošanās. Minētos sensorus dažkārt izmanto, lai uz īsu periodu veiktu ļoti zemas temperatūras mērījumus. Tādēļ lodmetāliem, kuru sastāvā ir svins un kuri izmantoti temperatūras sensoru ārējos kontaktos, kas periodiski tiek izmantoti temperatūrā, kas zemāka nekā – 150 C</w:t>
            </w:r>
            <w:r w:rsidR="00964E99">
              <w:rPr>
                <w:color w:val="auto"/>
                <w:sz w:val="24"/>
                <w:szCs w:val="24"/>
                <w:lang w:val="lv-LV"/>
              </w:rPr>
              <w:t>°</w:t>
            </w:r>
            <w:r w:rsidR="00CC60F6" w:rsidRPr="00CC60F6">
              <w:rPr>
                <w:color w:val="auto"/>
                <w:sz w:val="24"/>
                <w:szCs w:val="24"/>
                <w:lang w:val="lv-LV"/>
              </w:rPr>
              <w:t>, būtu jāpiešķir atbrīvoj</w:t>
            </w:r>
            <w:r w:rsidR="00CC60F6">
              <w:rPr>
                <w:color w:val="auto"/>
                <w:sz w:val="24"/>
                <w:szCs w:val="24"/>
                <w:lang w:val="lv-LV"/>
              </w:rPr>
              <w:t>ums līdz 2021. gada 30. jūnijam.</w:t>
            </w:r>
          </w:p>
          <w:p w14:paraId="30E7E50F" w14:textId="77777777" w:rsidR="0078207F" w:rsidRPr="00CC60F6" w:rsidRDefault="00CC60F6" w:rsidP="00EA31D2">
            <w:pPr>
              <w:pStyle w:val="tv2131"/>
              <w:spacing w:line="240" w:lineRule="auto"/>
              <w:ind w:firstLine="0"/>
              <w:jc w:val="both"/>
              <w:rPr>
                <w:color w:val="auto"/>
                <w:sz w:val="32"/>
                <w:szCs w:val="24"/>
                <w:lang w:val="lv-LV"/>
              </w:rPr>
            </w:pPr>
            <w:r>
              <w:rPr>
                <w:color w:val="auto"/>
                <w:sz w:val="24"/>
                <w:szCs w:val="24"/>
                <w:lang w:val="lv-LV"/>
              </w:rPr>
              <w:t xml:space="preserve">Ar </w:t>
            </w:r>
            <w:r w:rsidR="00964E99">
              <w:rPr>
                <w:color w:val="auto"/>
                <w:sz w:val="24"/>
                <w:szCs w:val="24"/>
                <w:lang w:val="lv-LV"/>
              </w:rPr>
              <w:t>D</w:t>
            </w:r>
            <w:r>
              <w:rPr>
                <w:color w:val="auto"/>
                <w:sz w:val="24"/>
                <w:szCs w:val="24"/>
                <w:lang w:val="lv-LV"/>
              </w:rPr>
              <w:t>irektīvu 2016/1029</w:t>
            </w:r>
            <w:r w:rsidRPr="00CC60F6">
              <w:rPr>
                <w:lang w:val="lv-LV"/>
              </w:rPr>
              <w:t xml:space="preserve"> </w:t>
            </w:r>
            <w:r w:rsidRPr="00CC60F6">
              <w:rPr>
                <w:color w:val="auto"/>
                <w:sz w:val="24"/>
                <w:lang w:val="lv-LV"/>
              </w:rPr>
              <w:t xml:space="preserve">tiek noteikts atbrīvojums kadmija anodiem </w:t>
            </w:r>
            <w:proofErr w:type="spellStart"/>
            <w:r w:rsidRPr="00CC60F6">
              <w:rPr>
                <w:color w:val="auto"/>
                <w:sz w:val="24"/>
                <w:lang w:val="lv-LV"/>
              </w:rPr>
              <w:t>Herša</w:t>
            </w:r>
            <w:proofErr w:type="spellEnd"/>
            <w:r w:rsidRPr="00CC60F6">
              <w:rPr>
                <w:color w:val="auto"/>
                <w:sz w:val="24"/>
                <w:lang w:val="lv-LV"/>
              </w:rPr>
              <w:t xml:space="preserve"> galvaniskajos elementos, kas paredzēti konkrētiem rūpnieciskos monitoringa un kontroles instrumentos izmantojamiem skābekļa sensoriem. Patlaban nav alternatīvu </w:t>
            </w:r>
            <w:proofErr w:type="spellStart"/>
            <w:r w:rsidRPr="00CC60F6">
              <w:rPr>
                <w:color w:val="auto"/>
                <w:sz w:val="24"/>
                <w:lang w:val="lv-LV"/>
              </w:rPr>
              <w:t>bezkadmija</w:t>
            </w:r>
            <w:proofErr w:type="spellEnd"/>
            <w:r w:rsidRPr="00CC60F6">
              <w:rPr>
                <w:color w:val="auto"/>
                <w:sz w:val="24"/>
                <w:lang w:val="lv-LV"/>
              </w:rPr>
              <w:t xml:space="preserve"> tehnoloģiju, kuras nodrošinātu pietiekamu ticamību konkrētajam izmantošanas veidam, un, ņemot vērā to, ka monitoringa un kontroles instrumentiem septiņi gadi ir diezgan īss pārejas periods, kas, visticamāk, negatīvi neietekmēs inovāciju, tāpēc direktīvā ietverts atbrīvojuma derīguma termiņš līdz 2023.</w:t>
            </w:r>
            <w:r w:rsidR="0007509B">
              <w:rPr>
                <w:color w:val="auto"/>
                <w:sz w:val="24"/>
                <w:lang w:val="lv-LV"/>
              </w:rPr>
              <w:t> </w:t>
            </w:r>
            <w:r w:rsidRPr="00CC60F6">
              <w:rPr>
                <w:color w:val="auto"/>
                <w:sz w:val="24"/>
                <w:lang w:val="lv-LV"/>
              </w:rPr>
              <w:t>gada 15.</w:t>
            </w:r>
            <w:r w:rsidR="0007509B">
              <w:rPr>
                <w:color w:val="auto"/>
                <w:sz w:val="24"/>
                <w:lang w:val="lv-LV"/>
              </w:rPr>
              <w:t> </w:t>
            </w:r>
            <w:r w:rsidRPr="00CC60F6">
              <w:rPr>
                <w:color w:val="auto"/>
                <w:sz w:val="24"/>
                <w:lang w:val="lv-LV"/>
              </w:rPr>
              <w:t xml:space="preserve">jūlijam. </w:t>
            </w:r>
          </w:p>
          <w:p w14:paraId="4B4B3143" w14:textId="006B6B41" w:rsidR="00563D3C" w:rsidRPr="00E13FF8" w:rsidRDefault="00E13FF8" w:rsidP="00E13FF8">
            <w:pPr>
              <w:pStyle w:val="tv2131"/>
              <w:spacing w:line="240" w:lineRule="auto"/>
              <w:ind w:firstLine="0"/>
              <w:jc w:val="both"/>
              <w:rPr>
                <w:color w:val="auto"/>
                <w:sz w:val="24"/>
                <w:szCs w:val="24"/>
                <w:lang w:val="lv-LV"/>
              </w:rPr>
            </w:pPr>
            <w:r w:rsidRPr="00E13FF8">
              <w:rPr>
                <w:color w:val="auto"/>
                <w:sz w:val="24"/>
                <w:szCs w:val="24"/>
                <w:lang w:val="lv-LV"/>
              </w:rPr>
              <w:t>Latvijas normatīvajos aktos pašlaik nav pārņemtas Direktīvas 2016/585, 2016/1028 un 2016/1029, ar kurām tiek grozīts un papildināts Direktīvas 2011/65/ES IV pielikums</w:t>
            </w:r>
            <w:r w:rsidR="00EA31D2" w:rsidRPr="00E13FF8">
              <w:rPr>
                <w:color w:val="auto"/>
                <w:sz w:val="24"/>
                <w:szCs w:val="24"/>
                <w:lang w:val="lv-LV"/>
              </w:rPr>
              <w:t xml:space="preserve">. </w:t>
            </w:r>
          </w:p>
          <w:p w14:paraId="1EADB5C0" w14:textId="77777777" w:rsidR="002974AA" w:rsidRPr="00F11331" w:rsidRDefault="006209E6" w:rsidP="00B2468A">
            <w:pPr>
              <w:pStyle w:val="tv2131"/>
              <w:spacing w:line="240" w:lineRule="auto"/>
              <w:ind w:firstLine="0"/>
              <w:jc w:val="both"/>
              <w:rPr>
                <w:sz w:val="28"/>
                <w:szCs w:val="28"/>
                <w:lang w:val="lv-LV"/>
              </w:rPr>
            </w:pPr>
            <w:r w:rsidRPr="00F11331">
              <w:rPr>
                <w:color w:val="auto"/>
                <w:sz w:val="24"/>
                <w:szCs w:val="24"/>
                <w:lang w:val="lv-LV"/>
              </w:rPr>
              <w:t>L</w:t>
            </w:r>
            <w:r w:rsidR="00B2468A">
              <w:rPr>
                <w:color w:val="auto"/>
                <w:sz w:val="24"/>
                <w:szCs w:val="24"/>
                <w:lang w:val="lv-LV"/>
              </w:rPr>
              <w:t xml:space="preserve">ai pārņemtu </w:t>
            </w:r>
            <w:r w:rsidR="00901094">
              <w:rPr>
                <w:color w:val="auto"/>
                <w:sz w:val="24"/>
                <w:szCs w:val="24"/>
                <w:lang w:val="lv-LV"/>
              </w:rPr>
              <w:t>minē</w:t>
            </w:r>
            <w:r w:rsidR="00901094" w:rsidRPr="00F11331">
              <w:rPr>
                <w:color w:val="auto"/>
                <w:sz w:val="24"/>
                <w:szCs w:val="24"/>
                <w:lang w:val="lv-LV"/>
              </w:rPr>
              <w:t>tās</w:t>
            </w:r>
            <w:r w:rsidRPr="00F11331">
              <w:rPr>
                <w:color w:val="auto"/>
                <w:sz w:val="24"/>
                <w:szCs w:val="24"/>
                <w:lang w:val="lv-LV"/>
              </w:rPr>
              <w:t xml:space="preserve"> </w:t>
            </w:r>
            <w:r w:rsidR="00B2468A">
              <w:rPr>
                <w:color w:val="auto"/>
                <w:sz w:val="24"/>
                <w:szCs w:val="24"/>
                <w:lang w:val="lv-LV"/>
              </w:rPr>
              <w:t>direktīvas</w:t>
            </w:r>
            <w:r w:rsidR="00F11331" w:rsidRPr="00F11331">
              <w:rPr>
                <w:color w:val="auto"/>
                <w:sz w:val="24"/>
                <w:szCs w:val="24"/>
                <w:lang w:val="lv-LV"/>
              </w:rPr>
              <w:t xml:space="preserve">, </w:t>
            </w:r>
            <w:r w:rsidR="00EA31D2" w:rsidRPr="00F11331">
              <w:rPr>
                <w:color w:val="auto"/>
                <w:sz w:val="24"/>
                <w:szCs w:val="24"/>
                <w:lang w:val="lv-LV"/>
              </w:rPr>
              <w:t xml:space="preserve">tiek </w:t>
            </w:r>
            <w:proofErr w:type="gramStart"/>
            <w:r w:rsidR="00175EF7" w:rsidRPr="00F11331">
              <w:rPr>
                <w:color w:val="auto"/>
                <w:sz w:val="24"/>
                <w:szCs w:val="24"/>
                <w:lang w:val="lv-LV"/>
              </w:rPr>
              <w:t>papildināt</w:t>
            </w:r>
            <w:r w:rsidR="003164A5">
              <w:rPr>
                <w:color w:val="auto"/>
                <w:sz w:val="24"/>
                <w:szCs w:val="24"/>
                <w:lang w:val="lv-LV"/>
              </w:rPr>
              <w:t>a</w:t>
            </w:r>
            <w:r w:rsidR="00175EF7" w:rsidRPr="00F11331">
              <w:rPr>
                <w:color w:val="auto"/>
                <w:sz w:val="24"/>
                <w:szCs w:val="24"/>
                <w:lang w:val="lv-LV"/>
              </w:rPr>
              <w:t xml:space="preserve"> </w:t>
            </w:r>
            <w:r w:rsidR="00EA31D2" w:rsidRPr="00F11331">
              <w:rPr>
                <w:color w:val="auto"/>
                <w:sz w:val="24"/>
                <w:szCs w:val="24"/>
                <w:lang w:val="lv-LV"/>
              </w:rPr>
              <w:t>MK noteikumu</w:t>
            </w:r>
            <w:proofErr w:type="gramEnd"/>
            <w:r w:rsidR="00EA31D2" w:rsidRPr="00F11331">
              <w:rPr>
                <w:color w:val="auto"/>
                <w:sz w:val="24"/>
                <w:szCs w:val="24"/>
                <w:lang w:val="lv-LV"/>
              </w:rPr>
              <w:t xml:space="preserve"> Nr.</w:t>
            </w:r>
            <w:r w:rsidR="003164A5">
              <w:rPr>
                <w:color w:val="auto"/>
                <w:sz w:val="24"/>
                <w:szCs w:val="24"/>
                <w:lang w:val="lv-LV"/>
              </w:rPr>
              <w:t> </w:t>
            </w:r>
            <w:r w:rsidR="00EA31D2" w:rsidRPr="00F11331">
              <w:rPr>
                <w:color w:val="auto"/>
                <w:sz w:val="24"/>
                <w:szCs w:val="24"/>
                <w:lang w:val="lv-LV"/>
              </w:rPr>
              <w:t xml:space="preserve">84 </w:t>
            </w:r>
            <w:r w:rsidR="00B2468A">
              <w:rPr>
                <w:color w:val="auto"/>
                <w:sz w:val="24"/>
                <w:szCs w:val="24"/>
                <w:lang w:val="lv-LV"/>
              </w:rPr>
              <w:t>informatīvā atsauce uz ES direktīvām un MK noteikumu Nr.</w:t>
            </w:r>
            <w:r w:rsidR="008536DA">
              <w:rPr>
                <w:color w:val="auto"/>
                <w:sz w:val="24"/>
                <w:szCs w:val="24"/>
                <w:lang w:val="lv-LV"/>
              </w:rPr>
              <w:t> </w:t>
            </w:r>
            <w:r w:rsidR="00B2468A">
              <w:rPr>
                <w:color w:val="auto"/>
                <w:sz w:val="24"/>
                <w:szCs w:val="24"/>
                <w:lang w:val="lv-LV"/>
              </w:rPr>
              <w:t xml:space="preserve">84 </w:t>
            </w:r>
            <w:r w:rsidR="00175EF7" w:rsidRPr="00F11331">
              <w:rPr>
                <w:color w:val="auto"/>
                <w:sz w:val="24"/>
                <w:szCs w:val="24"/>
                <w:lang w:val="lv-LV"/>
              </w:rPr>
              <w:t>4.</w:t>
            </w:r>
            <w:r w:rsidR="008536DA">
              <w:rPr>
                <w:color w:val="auto"/>
                <w:sz w:val="24"/>
                <w:szCs w:val="24"/>
                <w:lang w:val="lv-LV"/>
              </w:rPr>
              <w:t> </w:t>
            </w:r>
            <w:r w:rsidR="00175EF7" w:rsidRPr="00F11331">
              <w:rPr>
                <w:color w:val="auto"/>
                <w:sz w:val="24"/>
                <w:szCs w:val="24"/>
                <w:lang w:val="lv-LV"/>
              </w:rPr>
              <w:t>pielikums</w:t>
            </w:r>
            <w:r w:rsidR="00190532" w:rsidRPr="00F11331">
              <w:rPr>
                <w:color w:val="auto"/>
                <w:sz w:val="24"/>
                <w:szCs w:val="24"/>
                <w:lang w:val="lv-LV"/>
              </w:rPr>
              <w:t>,</w:t>
            </w:r>
            <w:r w:rsidR="00175EF7" w:rsidRPr="00F11331">
              <w:rPr>
                <w:color w:val="auto"/>
                <w:sz w:val="24"/>
                <w:szCs w:val="24"/>
                <w:lang w:val="lv-LV"/>
              </w:rPr>
              <w:t xml:space="preserve"> </w:t>
            </w:r>
            <w:r w:rsidR="00EA31D2" w:rsidRPr="00F11331">
              <w:rPr>
                <w:color w:val="auto"/>
                <w:sz w:val="24"/>
                <w:szCs w:val="24"/>
                <w:lang w:val="lv-LV"/>
              </w:rPr>
              <w:t xml:space="preserve">ņemot vērā Eiropas Komisijas deleģētājās direktīvās ietvertos termiņus pieļaujamiem </w:t>
            </w:r>
            <w:r w:rsidR="00B2468A" w:rsidRPr="00B2468A">
              <w:rPr>
                <w:bCs/>
                <w:color w:val="auto"/>
                <w:sz w:val="24"/>
                <w:szCs w:val="28"/>
                <w:lang w:val="lv-LV" w:eastAsia="lv-LV"/>
              </w:rPr>
              <w:t xml:space="preserve">svina, kadmija, sešvērtīgajam hroma un </w:t>
            </w:r>
            <w:proofErr w:type="spellStart"/>
            <w:r w:rsidR="00B2468A" w:rsidRPr="00B2468A">
              <w:rPr>
                <w:bCs/>
                <w:color w:val="auto"/>
                <w:sz w:val="24"/>
                <w:szCs w:val="28"/>
                <w:lang w:val="lv-LV" w:eastAsia="lv-LV"/>
              </w:rPr>
              <w:t>polibromdifenilēteru</w:t>
            </w:r>
            <w:proofErr w:type="spellEnd"/>
            <w:r w:rsidR="00B2468A" w:rsidRPr="00F11331">
              <w:rPr>
                <w:color w:val="auto"/>
                <w:sz w:val="24"/>
                <w:szCs w:val="24"/>
                <w:lang w:val="lv-LV"/>
              </w:rPr>
              <w:t xml:space="preserve"> </w:t>
            </w:r>
            <w:r w:rsidR="00EA31D2" w:rsidRPr="00F11331">
              <w:rPr>
                <w:color w:val="auto"/>
                <w:sz w:val="24"/>
                <w:szCs w:val="24"/>
                <w:lang w:val="lv-LV"/>
              </w:rPr>
              <w:t>lietojumiem</w:t>
            </w:r>
            <w:r w:rsidR="00190532" w:rsidRPr="00F11331">
              <w:rPr>
                <w:color w:val="auto"/>
                <w:sz w:val="24"/>
                <w:szCs w:val="24"/>
                <w:lang w:val="lv-LV"/>
              </w:rPr>
              <w:t xml:space="preserve"> medicīnas ierīcēs</w:t>
            </w:r>
            <w:r w:rsidR="00EA31D2" w:rsidRPr="00F11331">
              <w:rPr>
                <w:color w:val="auto"/>
                <w:sz w:val="24"/>
                <w:szCs w:val="24"/>
                <w:lang w:val="lv-LV"/>
              </w:rPr>
              <w:t xml:space="preserve">, kas nebija sākotnēji </w:t>
            </w:r>
            <w:r w:rsidR="00397469" w:rsidRPr="00F11331">
              <w:rPr>
                <w:color w:val="auto"/>
                <w:sz w:val="24"/>
                <w:szCs w:val="24"/>
                <w:lang w:val="lv-LV"/>
              </w:rPr>
              <w:t xml:space="preserve">ietverti </w:t>
            </w:r>
            <w:r w:rsidR="00EA31D2" w:rsidRPr="00F11331">
              <w:rPr>
                <w:color w:val="auto"/>
                <w:sz w:val="24"/>
                <w:szCs w:val="24"/>
                <w:lang w:val="lv-LV"/>
              </w:rPr>
              <w:t>Direktīvas 2011/65</w:t>
            </w:r>
            <w:r w:rsidR="00EA31D2" w:rsidRPr="007A1423">
              <w:rPr>
                <w:b/>
                <w:color w:val="auto"/>
                <w:sz w:val="24"/>
                <w:szCs w:val="24"/>
                <w:lang w:val="lv-LV"/>
              </w:rPr>
              <w:t>/</w:t>
            </w:r>
            <w:r w:rsidR="00EA31D2" w:rsidRPr="004A52AC">
              <w:rPr>
                <w:color w:val="auto"/>
                <w:sz w:val="24"/>
                <w:szCs w:val="24"/>
                <w:lang w:val="lv-LV"/>
              </w:rPr>
              <w:t>E</w:t>
            </w:r>
            <w:r w:rsidR="002B6A1C" w:rsidRPr="004A52AC">
              <w:rPr>
                <w:color w:val="auto"/>
                <w:sz w:val="24"/>
                <w:szCs w:val="24"/>
                <w:lang w:val="lv-LV"/>
              </w:rPr>
              <w:t>S</w:t>
            </w:r>
            <w:r w:rsidR="00EA31D2" w:rsidRPr="00F11331">
              <w:rPr>
                <w:color w:val="auto"/>
                <w:sz w:val="24"/>
                <w:szCs w:val="24"/>
                <w:lang w:val="lv-LV"/>
              </w:rPr>
              <w:t xml:space="preserve"> IV pielikumā.</w:t>
            </w:r>
          </w:p>
        </w:tc>
      </w:tr>
      <w:tr w:rsidR="00AD4367" w:rsidRPr="00FB41DC" w14:paraId="2DE8B5E3" w14:textId="77777777" w:rsidTr="00DC6733">
        <w:tc>
          <w:tcPr>
            <w:tcW w:w="720" w:type="dxa"/>
          </w:tcPr>
          <w:p w14:paraId="061CDB53" w14:textId="77777777" w:rsidR="00AD4367" w:rsidRPr="00FB41DC" w:rsidRDefault="00AD4367" w:rsidP="00572718">
            <w:pPr>
              <w:jc w:val="center"/>
            </w:pPr>
            <w:r>
              <w:lastRenderedPageBreak/>
              <w:t>3</w:t>
            </w:r>
            <w:r w:rsidRPr="00FB41DC">
              <w:t>.</w:t>
            </w:r>
          </w:p>
        </w:tc>
        <w:tc>
          <w:tcPr>
            <w:tcW w:w="1445" w:type="dxa"/>
          </w:tcPr>
          <w:p w14:paraId="1C16BDDF" w14:textId="77777777" w:rsidR="00AD4367" w:rsidRPr="00FB41DC" w:rsidRDefault="00AD4367" w:rsidP="00572718">
            <w:r w:rsidRPr="00FB41DC">
              <w:t>Projekta izstrādē iesaistītās institūcijas</w:t>
            </w:r>
          </w:p>
        </w:tc>
        <w:tc>
          <w:tcPr>
            <w:tcW w:w="7194" w:type="dxa"/>
          </w:tcPr>
          <w:p w14:paraId="2F7EC8C3" w14:textId="77777777" w:rsidR="00AD4367" w:rsidRPr="00FB41DC" w:rsidRDefault="00AD4367" w:rsidP="00572718">
            <w:pPr>
              <w:pStyle w:val="naiskr"/>
              <w:jc w:val="both"/>
            </w:pPr>
            <w:r>
              <w:t>Vides aizsardzības un reģionālās attīstības ministrija.</w:t>
            </w:r>
          </w:p>
        </w:tc>
      </w:tr>
      <w:tr w:rsidR="00AD4367" w:rsidRPr="00FB41DC" w14:paraId="12FAE124" w14:textId="77777777" w:rsidTr="00DC6733">
        <w:trPr>
          <w:trHeight w:val="571"/>
        </w:trPr>
        <w:tc>
          <w:tcPr>
            <w:tcW w:w="720" w:type="dxa"/>
          </w:tcPr>
          <w:p w14:paraId="53967F29" w14:textId="77777777" w:rsidR="00AD4367" w:rsidRPr="00FB41DC" w:rsidRDefault="00AD4367" w:rsidP="00572718">
            <w:pPr>
              <w:jc w:val="center"/>
            </w:pPr>
            <w:r>
              <w:t>4</w:t>
            </w:r>
            <w:r w:rsidRPr="00FB41DC">
              <w:t>.</w:t>
            </w:r>
          </w:p>
        </w:tc>
        <w:tc>
          <w:tcPr>
            <w:tcW w:w="1445" w:type="dxa"/>
          </w:tcPr>
          <w:p w14:paraId="4F991C7D" w14:textId="77777777" w:rsidR="00AD4367" w:rsidRPr="00FB41DC" w:rsidRDefault="00AD4367" w:rsidP="00572718">
            <w:r w:rsidRPr="00FB41DC">
              <w:t>Cita informācija</w:t>
            </w:r>
          </w:p>
        </w:tc>
        <w:tc>
          <w:tcPr>
            <w:tcW w:w="7194" w:type="dxa"/>
          </w:tcPr>
          <w:p w14:paraId="3FE6C406" w14:textId="77777777" w:rsidR="00AD4367" w:rsidRPr="00FB41DC" w:rsidRDefault="00AD4367" w:rsidP="00572718">
            <w:pPr>
              <w:jc w:val="both"/>
            </w:pPr>
            <w:r>
              <w:t>Nav</w:t>
            </w:r>
          </w:p>
        </w:tc>
      </w:tr>
    </w:tbl>
    <w:p w14:paraId="3D9BD614" w14:textId="77777777" w:rsidR="00AD4367" w:rsidRPr="00FB41DC" w:rsidRDefault="00AD4367" w:rsidP="00AD43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AD4367" w:rsidRPr="00FB41DC" w14:paraId="60B7F499" w14:textId="77777777" w:rsidTr="00572718">
        <w:tc>
          <w:tcPr>
            <w:tcW w:w="9287" w:type="dxa"/>
            <w:gridSpan w:val="3"/>
          </w:tcPr>
          <w:p w14:paraId="1E70995B" w14:textId="77777777" w:rsidR="00AD4367" w:rsidRPr="00FB41DC" w:rsidRDefault="00AD4367" w:rsidP="00572718">
            <w:pPr>
              <w:jc w:val="center"/>
              <w:rPr>
                <w:b/>
              </w:rPr>
            </w:pPr>
            <w:r w:rsidRPr="00FB41DC">
              <w:rPr>
                <w:b/>
              </w:rPr>
              <w:t>II.</w:t>
            </w:r>
            <w:r w:rsidR="008536DA">
              <w:rPr>
                <w:b/>
              </w:rPr>
              <w:t> </w:t>
            </w:r>
            <w:r w:rsidRPr="00FB41DC">
              <w:rPr>
                <w:b/>
              </w:rPr>
              <w:t>Tiesību akta projekta ietekme uz sabiedrību</w:t>
            </w:r>
          </w:p>
        </w:tc>
      </w:tr>
      <w:tr w:rsidR="00AD4367" w:rsidRPr="00FB41DC" w14:paraId="44242B50" w14:textId="77777777" w:rsidTr="00572718">
        <w:tc>
          <w:tcPr>
            <w:tcW w:w="648" w:type="dxa"/>
          </w:tcPr>
          <w:p w14:paraId="0C2F88CC" w14:textId="77777777" w:rsidR="00AD4367" w:rsidRPr="00FB41DC" w:rsidRDefault="00AD4367" w:rsidP="00572718">
            <w:pPr>
              <w:jc w:val="center"/>
            </w:pPr>
            <w:r w:rsidRPr="00FB41DC">
              <w:t>1.</w:t>
            </w:r>
          </w:p>
        </w:tc>
        <w:tc>
          <w:tcPr>
            <w:tcW w:w="2700" w:type="dxa"/>
          </w:tcPr>
          <w:p w14:paraId="169FAD37" w14:textId="77777777" w:rsidR="00AD4367" w:rsidRPr="00FB41DC" w:rsidRDefault="00AD4367" w:rsidP="00572718">
            <w:r w:rsidRPr="00FB41DC">
              <w:t>Sabiedrības mērķgrupa</w:t>
            </w:r>
            <w:r>
              <w:t>s, kuras tiesiskais regulējums ietekmē vai varētu ietekmēt</w:t>
            </w:r>
          </w:p>
        </w:tc>
        <w:tc>
          <w:tcPr>
            <w:tcW w:w="5939" w:type="dxa"/>
          </w:tcPr>
          <w:p w14:paraId="06C4C5D1" w14:textId="77777777" w:rsidR="00C13EFF" w:rsidRDefault="00C13EFF" w:rsidP="00572718">
            <w:pPr>
              <w:jc w:val="both"/>
            </w:pPr>
            <w:r>
              <w:t>Elektrisko un elektronisko iekārtu, to rezerves d</w:t>
            </w:r>
            <w:r w:rsidR="00CA76A5">
              <w:t>aļu un kabeļu ražotāji – aptuveni</w:t>
            </w:r>
            <w:r>
              <w:t xml:space="preserve"> 250 komersanti, pilnvarotie pārstāvji, impo</w:t>
            </w:r>
            <w:r w:rsidR="00CA76A5">
              <w:t>rtētāji un izplatītāji – aptuveni</w:t>
            </w:r>
            <w:r>
              <w:t xml:space="preserve"> 1400 komersanti.</w:t>
            </w:r>
          </w:p>
          <w:p w14:paraId="45E58432" w14:textId="77777777" w:rsidR="000E1729" w:rsidRDefault="00C13EFF" w:rsidP="00572718">
            <w:pPr>
              <w:jc w:val="both"/>
            </w:pPr>
            <w:r>
              <w:lastRenderedPageBreak/>
              <w:t xml:space="preserve">Elektrisko un elektronisko iekārtu lietotāji – visi Latvijas iedzīvotāji un komersanti, </w:t>
            </w:r>
          </w:p>
          <w:p w14:paraId="110D3E85" w14:textId="77777777" w:rsidR="00C13EFF" w:rsidRPr="00FB41DC" w:rsidRDefault="000E1729" w:rsidP="00572718">
            <w:pPr>
              <w:jc w:val="both"/>
            </w:pPr>
            <w:r>
              <w:t>E</w:t>
            </w:r>
            <w:r w:rsidR="00C13EFF">
              <w:t xml:space="preserve">lektrisko un </w:t>
            </w:r>
            <w:r w:rsidR="0073522D">
              <w:t>elektronisko iekārtu</w:t>
            </w:r>
            <w:r>
              <w:t xml:space="preserve"> atkritumu</w:t>
            </w:r>
            <w:r w:rsidR="00CA76A5">
              <w:t xml:space="preserve"> apsaimniekošanas komersanti – aptuveni 10</w:t>
            </w:r>
            <w:r w:rsidR="00C13EFF">
              <w:t xml:space="preserve"> komersanti.</w:t>
            </w:r>
          </w:p>
        </w:tc>
      </w:tr>
      <w:tr w:rsidR="00AD4367" w:rsidRPr="00CC4F9A" w14:paraId="6C4302D8" w14:textId="77777777" w:rsidTr="00572718">
        <w:tc>
          <w:tcPr>
            <w:tcW w:w="648" w:type="dxa"/>
            <w:shd w:val="clear" w:color="auto" w:fill="auto"/>
          </w:tcPr>
          <w:p w14:paraId="3A9E8257" w14:textId="77777777" w:rsidR="00AD4367" w:rsidRPr="00CC4F9A" w:rsidRDefault="00AD4367" w:rsidP="00572718">
            <w:pPr>
              <w:jc w:val="center"/>
              <w:rPr>
                <w:highlight w:val="yellow"/>
              </w:rPr>
            </w:pPr>
            <w:r>
              <w:lastRenderedPageBreak/>
              <w:t>2</w:t>
            </w:r>
            <w:r w:rsidRPr="00331BA5">
              <w:t>.</w:t>
            </w:r>
          </w:p>
        </w:tc>
        <w:tc>
          <w:tcPr>
            <w:tcW w:w="2700" w:type="dxa"/>
            <w:shd w:val="clear" w:color="auto" w:fill="FFFFFF"/>
          </w:tcPr>
          <w:p w14:paraId="6DFB1B1F" w14:textId="77777777" w:rsidR="00AD4367" w:rsidRPr="00CC4F9A" w:rsidRDefault="00AD4367" w:rsidP="00572718">
            <w:pPr>
              <w:rPr>
                <w:highlight w:val="yellow"/>
              </w:rPr>
            </w:pPr>
            <w:r w:rsidRPr="00331BA5">
              <w:t xml:space="preserve">Tiesiskā regulējuma </w:t>
            </w:r>
            <w:r>
              <w:t>ietekme uz tautsaimniecību un administratīvo slogu</w:t>
            </w:r>
          </w:p>
        </w:tc>
        <w:tc>
          <w:tcPr>
            <w:tcW w:w="5939" w:type="dxa"/>
            <w:shd w:val="clear" w:color="auto" w:fill="auto"/>
          </w:tcPr>
          <w:p w14:paraId="554C5418" w14:textId="77777777" w:rsidR="00092204" w:rsidRPr="00DB4477" w:rsidRDefault="00AD4367" w:rsidP="00572718">
            <w:pPr>
              <w:jc w:val="both"/>
            </w:pPr>
            <w:r>
              <w:t>Sabiedrības grupām un institūcijām noteikumu projekta tiesiskais regulējums nemaina tiesības un pienākumus, kā arī veicamās darbības</w:t>
            </w:r>
            <w:r w:rsidR="00092204">
              <w:t>.</w:t>
            </w:r>
          </w:p>
        </w:tc>
      </w:tr>
      <w:tr w:rsidR="00AD4367" w:rsidRPr="00FB41DC" w14:paraId="1129EEBE" w14:textId="77777777" w:rsidTr="00572718">
        <w:tc>
          <w:tcPr>
            <w:tcW w:w="648" w:type="dxa"/>
          </w:tcPr>
          <w:p w14:paraId="61D10869" w14:textId="77777777" w:rsidR="00AD4367" w:rsidRPr="00FB41DC" w:rsidRDefault="00AD4367" w:rsidP="00572718">
            <w:pPr>
              <w:jc w:val="center"/>
            </w:pPr>
            <w:r>
              <w:t>3</w:t>
            </w:r>
            <w:r w:rsidRPr="00FB41DC">
              <w:t>.</w:t>
            </w:r>
          </w:p>
        </w:tc>
        <w:tc>
          <w:tcPr>
            <w:tcW w:w="2700" w:type="dxa"/>
          </w:tcPr>
          <w:p w14:paraId="2B3C8C5F" w14:textId="77777777" w:rsidR="00AD4367" w:rsidRPr="00FB41DC" w:rsidRDefault="00AD4367" w:rsidP="00572718">
            <w:r w:rsidRPr="00FB41DC">
              <w:t>Administratīvo izmaksu monetārs novērtējums</w:t>
            </w:r>
          </w:p>
        </w:tc>
        <w:tc>
          <w:tcPr>
            <w:tcW w:w="5939" w:type="dxa"/>
          </w:tcPr>
          <w:p w14:paraId="4CE1E563" w14:textId="77777777" w:rsidR="00AD4367" w:rsidRPr="00FB41DC" w:rsidRDefault="00AD4367" w:rsidP="00572718">
            <w:r>
              <w:t>Projekts šo jomu neskar.</w:t>
            </w:r>
          </w:p>
        </w:tc>
      </w:tr>
      <w:tr w:rsidR="00AD4367" w:rsidRPr="00FB41DC" w14:paraId="1E943383" w14:textId="77777777" w:rsidTr="00572718">
        <w:tc>
          <w:tcPr>
            <w:tcW w:w="648" w:type="dxa"/>
          </w:tcPr>
          <w:p w14:paraId="10B8B875" w14:textId="77777777" w:rsidR="00AD4367" w:rsidRPr="00FB41DC" w:rsidRDefault="00AD4367" w:rsidP="00572718">
            <w:pPr>
              <w:jc w:val="center"/>
            </w:pPr>
            <w:r>
              <w:t>4</w:t>
            </w:r>
            <w:r w:rsidRPr="00FB41DC">
              <w:t>.</w:t>
            </w:r>
          </w:p>
        </w:tc>
        <w:tc>
          <w:tcPr>
            <w:tcW w:w="2700" w:type="dxa"/>
          </w:tcPr>
          <w:p w14:paraId="19891448" w14:textId="77777777" w:rsidR="00AD4367" w:rsidRPr="00FB41DC" w:rsidRDefault="00AD4367" w:rsidP="00572718">
            <w:r w:rsidRPr="00FB41DC">
              <w:t>Cita informācija</w:t>
            </w:r>
          </w:p>
        </w:tc>
        <w:tc>
          <w:tcPr>
            <w:tcW w:w="5939" w:type="dxa"/>
          </w:tcPr>
          <w:p w14:paraId="3ADBD557" w14:textId="77777777" w:rsidR="00AD4367" w:rsidRPr="00FB41DC" w:rsidRDefault="00AD4367" w:rsidP="00572718">
            <w:pPr>
              <w:jc w:val="both"/>
            </w:pPr>
            <w:r>
              <w:t>Nav</w:t>
            </w:r>
          </w:p>
        </w:tc>
      </w:tr>
    </w:tbl>
    <w:p w14:paraId="3688F850" w14:textId="77777777" w:rsidR="00AD4367" w:rsidRDefault="00AD4367" w:rsidP="00AD4367"/>
    <w:p w14:paraId="3FAAF918" w14:textId="77777777" w:rsidR="00AD4367" w:rsidRPr="00FB41DC" w:rsidRDefault="00AD4367" w:rsidP="00AD4367"/>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AD4367" w:rsidRPr="00FB41DC" w14:paraId="5C2BEC60" w14:textId="77777777" w:rsidTr="00572718">
        <w:trPr>
          <w:jc w:val="center"/>
        </w:trPr>
        <w:tc>
          <w:tcPr>
            <w:tcW w:w="9396" w:type="dxa"/>
            <w:gridSpan w:val="3"/>
          </w:tcPr>
          <w:p w14:paraId="1D22D401" w14:textId="77777777" w:rsidR="00AD4367" w:rsidRPr="00FB41DC" w:rsidRDefault="00AD4367" w:rsidP="00572718">
            <w:pPr>
              <w:pStyle w:val="naisnod"/>
              <w:spacing w:before="0" w:after="0"/>
            </w:pPr>
            <w:r w:rsidRPr="00FB41DC">
              <w:t>V. Tiesību akta projekta atbilstība Latvijas Republikas starptautiskajām saistībām</w:t>
            </w:r>
          </w:p>
        </w:tc>
      </w:tr>
      <w:tr w:rsidR="00AD4367" w:rsidRPr="0062273E" w14:paraId="2AC70035" w14:textId="77777777" w:rsidTr="00DC6733">
        <w:trPr>
          <w:jc w:val="center"/>
        </w:trPr>
        <w:tc>
          <w:tcPr>
            <w:tcW w:w="523" w:type="dxa"/>
          </w:tcPr>
          <w:p w14:paraId="1C17F9B1" w14:textId="77777777" w:rsidR="00AD4367" w:rsidRPr="0062273E" w:rsidRDefault="00AD4367" w:rsidP="00572718">
            <w:pPr>
              <w:pStyle w:val="naiskr"/>
              <w:tabs>
                <w:tab w:val="left" w:pos="2628"/>
              </w:tabs>
              <w:spacing w:before="0" w:after="0"/>
              <w:jc w:val="both"/>
            </w:pPr>
            <w:r w:rsidRPr="0062273E">
              <w:t>1.</w:t>
            </w:r>
          </w:p>
        </w:tc>
        <w:tc>
          <w:tcPr>
            <w:tcW w:w="2901" w:type="dxa"/>
          </w:tcPr>
          <w:p w14:paraId="5ED2B478" w14:textId="77777777" w:rsidR="00AD4367" w:rsidRPr="004B69A2" w:rsidRDefault="00AD4367" w:rsidP="00572718">
            <w:pPr>
              <w:pStyle w:val="naiskr"/>
              <w:tabs>
                <w:tab w:val="left" w:pos="2628"/>
              </w:tabs>
              <w:spacing w:before="0" w:after="0"/>
              <w:jc w:val="both"/>
            </w:pPr>
            <w:r w:rsidRPr="004B69A2">
              <w:t>Saistības pret Eiropas Savienību</w:t>
            </w:r>
          </w:p>
        </w:tc>
        <w:tc>
          <w:tcPr>
            <w:tcW w:w="5972" w:type="dxa"/>
          </w:tcPr>
          <w:p w14:paraId="54625023" w14:textId="49324ED1" w:rsidR="00483F49" w:rsidRPr="00F11331" w:rsidRDefault="00E13FF8" w:rsidP="002F2520">
            <w:pPr>
              <w:pStyle w:val="naisc"/>
              <w:spacing w:before="0" w:after="0"/>
              <w:jc w:val="both"/>
              <w:rPr>
                <w:rStyle w:val="Strong"/>
                <w:b w:val="0"/>
                <w:bCs w:val="0"/>
              </w:rPr>
            </w:pPr>
            <w:r>
              <w:rPr>
                <w:rStyle w:val="Strong"/>
                <w:b w:val="0"/>
              </w:rPr>
              <w:t>1)</w:t>
            </w:r>
            <w:r w:rsidR="00B2468A">
              <w:rPr>
                <w:rStyle w:val="Strong"/>
                <w:b w:val="0"/>
              </w:rPr>
              <w:t>Direktīva 2016/585</w:t>
            </w:r>
            <w:r w:rsidR="00483F49" w:rsidRPr="00F11331">
              <w:rPr>
                <w:rStyle w:val="Strong"/>
                <w:b w:val="0"/>
              </w:rPr>
              <w:t xml:space="preserve"> (</w:t>
            </w:r>
            <w:r w:rsidR="00B2468A">
              <w:rPr>
                <w:rStyle w:val="Strong"/>
                <w:b w:val="0"/>
                <w:i/>
              </w:rPr>
              <w:t>OV L 101, 16.4.2016., 12</w:t>
            </w:r>
            <w:r w:rsidR="00483F49" w:rsidRPr="00CA76A5">
              <w:rPr>
                <w:rStyle w:val="Strong"/>
                <w:b w:val="0"/>
                <w:i/>
              </w:rPr>
              <w:t>.</w:t>
            </w:r>
            <w:r w:rsidR="008536DA">
              <w:rPr>
                <w:rStyle w:val="Strong"/>
                <w:b w:val="0"/>
                <w:i/>
              </w:rPr>
              <w:t> </w:t>
            </w:r>
            <w:r w:rsidR="00483F49" w:rsidRPr="00CA76A5">
              <w:rPr>
                <w:rStyle w:val="Strong"/>
                <w:b w:val="0"/>
                <w:i/>
              </w:rPr>
              <w:t>lpp.</w:t>
            </w:r>
            <w:r w:rsidR="00483F49" w:rsidRPr="00F11331">
              <w:rPr>
                <w:rStyle w:val="Strong"/>
                <w:b w:val="0"/>
              </w:rPr>
              <w:t>)</w:t>
            </w:r>
            <w:r w:rsidR="00F248AA">
              <w:rPr>
                <w:rStyle w:val="Strong"/>
                <w:b w:val="0"/>
              </w:rPr>
              <w:t xml:space="preserve">, </w:t>
            </w:r>
            <w:r w:rsidR="00F248AA" w:rsidRPr="007A1423">
              <w:rPr>
                <w:rStyle w:val="Strong"/>
              </w:rPr>
              <w:t>Direktīvas prasības jāpārņem l</w:t>
            </w:r>
            <w:r w:rsidR="00B2468A">
              <w:rPr>
                <w:rStyle w:val="Strong"/>
              </w:rPr>
              <w:t xml:space="preserve">īdz </w:t>
            </w:r>
            <w:proofErr w:type="gramStart"/>
            <w:r w:rsidR="00B2468A">
              <w:rPr>
                <w:rStyle w:val="Strong"/>
              </w:rPr>
              <w:t>2017.gada</w:t>
            </w:r>
            <w:proofErr w:type="gramEnd"/>
            <w:r w:rsidR="00B2468A">
              <w:rPr>
                <w:rStyle w:val="Strong"/>
              </w:rPr>
              <w:t xml:space="preserve"> 28.febru</w:t>
            </w:r>
            <w:r w:rsidR="00F248AA" w:rsidRPr="007A1423">
              <w:rPr>
                <w:rStyle w:val="Strong"/>
              </w:rPr>
              <w:t>ārim</w:t>
            </w:r>
            <w:r w:rsidR="007A1423">
              <w:rPr>
                <w:rStyle w:val="Strong"/>
              </w:rPr>
              <w:t>.</w:t>
            </w:r>
          </w:p>
          <w:p w14:paraId="5AA921CF" w14:textId="3E8F43DA" w:rsidR="00483F49" w:rsidRPr="007A1423" w:rsidRDefault="00E13FF8" w:rsidP="00E13FF8">
            <w:pPr>
              <w:pStyle w:val="naisc"/>
              <w:spacing w:before="0" w:after="0"/>
              <w:jc w:val="both"/>
              <w:rPr>
                <w:rStyle w:val="Strong"/>
                <w:bCs w:val="0"/>
              </w:rPr>
            </w:pPr>
            <w:r>
              <w:rPr>
                <w:rStyle w:val="Strong"/>
                <w:b w:val="0"/>
              </w:rPr>
              <w:t>2)</w:t>
            </w:r>
            <w:r w:rsidR="00B2468A">
              <w:rPr>
                <w:rStyle w:val="Strong"/>
                <w:b w:val="0"/>
              </w:rPr>
              <w:t>Direktīva 2016/1028</w:t>
            </w:r>
            <w:r w:rsidR="00483F49" w:rsidRPr="00F11331">
              <w:rPr>
                <w:rStyle w:val="Strong"/>
                <w:b w:val="0"/>
              </w:rPr>
              <w:t xml:space="preserve"> (</w:t>
            </w:r>
            <w:r w:rsidR="00B2468A">
              <w:rPr>
                <w:rStyle w:val="Strong"/>
                <w:b w:val="0"/>
                <w:i/>
              </w:rPr>
              <w:t>OV L 168, 25.6.2016., 13</w:t>
            </w:r>
            <w:r w:rsidR="00483F49" w:rsidRPr="00CA76A5">
              <w:rPr>
                <w:rStyle w:val="Strong"/>
                <w:b w:val="0"/>
                <w:i/>
              </w:rPr>
              <w:t>.</w:t>
            </w:r>
            <w:r w:rsidR="008536DA">
              <w:rPr>
                <w:rStyle w:val="Strong"/>
                <w:b w:val="0"/>
                <w:i/>
              </w:rPr>
              <w:t> </w:t>
            </w:r>
            <w:r w:rsidR="00483F49" w:rsidRPr="00CA76A5">
              <w:rPr>
                <w:rStyle w:val="Strong"/>
                <w:b w:val="0"/>
                <w:i/>
              </w:rPr>
              <w:t>lpp.</w:t>
            </w:r>
            <w:r w:rsidR="00483F49" w:rsidRPr="00F11331">
              <w:rPr>
                <w:rStyle w:val="Strong"/>
                <w:b w:val="0"/>
              </w:rPr>
              <w:t>)</w:t>
            </w:r>
            <w:r w:rsidR="00F248AA">
              <w:rPr>
                <w:rStyle w:val="Strong"/>
                <w:b w:val="0"/>
              </w:rPr>
              <w:t xml:space="preserve">, </w:t>
            </w:r>
            <w:r w:rsidR="00F248AA" w:rsidRPr="007A1423">
              <w:rPr>
                <w:rStyle w:val="Strong"/>
              </w:rPr>
              <w:t>Direktīvas prasības jāpārņem l</w:t>
            </w:r>
            <w:r w:rsidR="00B2468A">
              <w:rPr>
                <w:rStyle w:val="Strong"/>
              </w:rPr>
              <w:t xml:space="preserve">īdz </w:t>
            </w:r>
            <w:proofErr w:type="gramStart"/>
            <w:r w:rsidR="00B2468A">
              <w:rPr>
                <w:rStyle w:val="Strong"/>
              </w:rPr>
              <w:t>2017.gada</w:t>
            </w:r>
            <w:proofErr w:type="gramEnd"/>
            <w:r w:rsidR="00B2468A">
              <w:rPr>
                <w:rStyle w:val="Strong"/>
              </w:rPr>
              <w:t xml:space="preserve"> 30.aprīl</w:t>
            </w:r>
            <w:r w:rsidR="00F248AA" w:rsidRPr="007A1423">
              <w:rPr>
                <w:rStyle w:val="Strong"/>
              </w:rPr>
              <w:t>im</w:t>
            </w:r>
            <w:r w:rsidR="007A1423">
              <w:rPr>
                <w:rStyle w:val="Strong"/>
              </w:rPr>
              <w:t>.</w:t>
            </w:r>
          </w:p>
          <w:p w14:paraId="2582ECE6" w14:textId="018E8FC7" w:rsidR="00AD4367" w:rsidRPr="00483F49" w:rsidRDefault="00E13FF8" w:rsidP="00E13FF8">
            <w:pPr>
              <w:pStyle w:val="naisc"/>
              <w:spacing w:before="0" w:after="0"/>
              <w:jc w:val="both"/>
            </w:pPr>
            <w:r>
              <w:rPr>
                <w:rStyle w:val="Strong"/>
                <w:b w:val="0"/>
              </w:rPr>
              <w:t>3)</w:t>
            </w:r>
            <w:r w:rsidR="008536DA">
              <w:rPr>
                <w:rStyle w:val="Strong"/>
                <w:b w:val="0"/>
              </w:rPr>
              <w:t> </w:t>
            </w:r>
            <w:r w:rsidR="00B2468A">
              <w:rPr>
                <w:rStyle w:val="Strong"/>
                <w:b w:val="0"/>
              </w:rPr>
              <w:t>Direktīva 2016/1029</w:t>
            </w:r>
            <w:r w:rsidR="00483F49" w:rsidRPr="00483F49">
              <w:rPr>
                <w:rStyle w:val="Strong"/>
                <w:b w:val="0"/>
              </w:rPr>
              <w:t xml:space="preserve"> (</w:t>
            </w:r>
            <w:r w:rsidR="00B2468A">
              <w:rPr>
                <w:rStyle w:val="Strong"/>
                <w:b w:val="0"/>
                <w:i/>
              </w:rPr>
              <w:t>OV L 168, 25.6.2016</w:t>
            </w:r>
            <w:r w:rsidR="00483F49" w:rsidRPr="00CA76A5">
              <w:rPr>
                <w:rStyle w:val="Strong"/>
                <w:b w:val="0"/>
                <w:i/>
              </w:rPr>
              <w:t xml:space="preserve">., </w:t>
            </w:r>
            <w:r w:rsidR="00B2468A">
              <w:rPr>
                <w:rStyle w:val="Strong"/>
                <w:b w:val="0"/>
                <w:i/>
              </w:rPr>
              <w:t>15</w:t>
            </w:r>
            <w:r w:rsidR="00483F49" w:rsidRPr="00CA76A5">
              <w:rPr>
                <w:rStyle w:val="Strong"/>
                <w:b w:val="0"/>
                <w:i/>
              </w:rPr>
              <w:t>.</w:t>
            </w:r>
            <w:r w:rsidR="008536DA">
              <w:rPr>
                <w:rStyle w:val="Strong"/>
                <w:b w:val="0"/>
                <w:i/>
              </w:rPr>
              <w:t> </w:t>
            </w:r>
            <w:r w:rsidR="00483F49" w:rsidRPr="00CA76A5">
              <w:rPr>
                <w:rStyle w:val="Strong"/>
                <w:b w:val="0"/>
                <w:i/>
              </w:rPr>
              <w:t>lpp.</w:t>
            </w:r>
            <w:r w:rsidR="00483F49" w:rsidRPr="00483F49">
              <w:rPr>
                <w:rStyle w:val="Strong"/>
                <w:b w:val="0"/>
              </w:rPr>
              <w:t>)</w:t>
            </w:r>
            <w:r w:rsidR="00483F49">
              <w:rPr>
                <w:rStyle w:val="Strong"/>
                <w:b w:val="0"/>
              </w:rPr>
              <w:t>.</w:t>
            </w:r>
            <w:r w:rsidR="00F248AA">
              <w:rPr>
                <w:rStyle w:val="Strong"/>
                <w:b w:val="0"/>
              </w:rPr>
              <w:t xml:space="preserve">; </w:t>
            </w:r>
            <w:r w:rsidR="00F248AA" w:rsidRPr="007A1423">
              <w:rPr>
                <w:rStyle w:val="Strong"/>
              </w:rPr>
              <w:t>Direkt</w:t>
            </w:r>
            <w:r w:rsidR="00901094">
              <w:rPr>
                <w:rStyle w:val="Strong"/>
              </w:rPr>
              <w:t xml:space="preserve">īvas prasības jāpārņem līdz </w:t>
            </w:r>
            <w:proofErr w:type="gramStart"/>
            <w:r w:rsidR="00901094">
              <w:rPr>
                <w:rStyle w:val="Strong"/>
              </w:rPr>
              <w:t>2017</w:t>
            </w:r>
            <w:r w:rsidR="005C5105">
              <w:rPr>
                <w:rStyle w:val="Strong"/>
              </w:rPr>
              <w:t>.gada</w:t>
            </w:r>
            <w:proofErr w:type="gramEnd"/>
            <w:r w:rsidR="005C5105">
              <w:rPr>
                <w:rStyle w:val="Strong"/>
              </w:rPr>
              <w:t xml:space="preserve"> 30</w:t>
            </w:r>
            <w:r>
              <w:rPr>
                <w:rStyle w:val="Strong"/>
              </w:rPr>
              <w:t>.aprīl</w:t>
            </w:r>
            <w:r w:rsidR="00F248AA" w:rsidRPr="007A1423">
              <w:rPr>
                <w:rStyle w:val="Strong"/>
              </w:rPr>
              <w:t>im.</w:t>
            </w:r>
          </w:p>
        </w:tc>
      </w:tr>
      <w:tr w:rsidR="00AD4367" w:rsidRPr="00FB41DC" w14:paraId="6BC5D036" w14:textId="77777777" w:rsidTr="00DC6733">
        <w:trPr>
          <w:jc w:val="center"/>
        </w:trPr>
        <w:tc>
          <w:tcPr>
            <w:tcW w:w="523" w:type="dxa"/>
          </w:tcPr>
          <w:p w14:paraId="2F5FC420" w14:textId="77777777" w:rsidR="00AD4367" w:rsidRPr="00FB41DC" w:rsidRDefault="00AD4367" w:rsidP="00572718">
            <w:pPr>
              <w:pStyle w:val="naiskr"/>
              <w:tabs>
                <w:tab w:val="left" w:pos="2628"/>
              </w:tabs>
              <w:spacing w:before="0" w:after="0"/>
              <w:jc w:val="both"/>
            </w:pPr>
            <w:r w:rsidRPr="00FB41DC">
              <w:t>2.</w:t>
            </w:r>
          </w:p>
        </w:tc>
        <w:tc>
          <w:tcPr>
            <w:tcW w:w="2901" w:type="dxa"/>
          </w:tcPr>
          <w:p w14:paraId="07F3D56C" w14:textId="77777777" w:rsidR="00AD4367" w:rsidRPr="00FB41DC" w:rsidRDefault="00AD4367" w:rsidP="00572718">
            <w:pPr>
              <w:pStyle w:val="naiskr"/>
              <w:tabs>
                <w:tab w:val="left" w:pos="2628"/>
              </w:tabs>
              <w:spacing w:before="0" w:after="0"/>
              <w:jc w:val="both"/>
            </w:pPr>
            <w:r w:rsidRPr="00FB41DC">
              <w:t>Citas starptautiskās saistības</w:t>
            </w:r>
          </w:p>
        </w:tc>
        <w:tc>
          <w:tcPr>
            <w:tcW w:w="5972" w:type="dxa"/>
          </w:tcPr>
          <w:p w14:paraId="304F42E3" w14:textId="77777777" w:rsidR="00AD4367" w:rsidRPr="00FB41DC" w:rsidRDefault="00AD4367" w:rsidP="00572718">
            <w:pPr>
              <w:pStyle w:val="naiskr"/>
              <w:tabs>
                <w:tab w:val="left" w:pos="2628"/>
              </w:tabs>
              <w:spacing w:before="0" w:after="0"/>
              <w:jc w:val="both"/>
            </w:pPr>
            <w:r>
              <w:t>Projekts šo jomu neskar.</w:t>
            </w:r>
          </w:p>
        </w:tc>
      </w:tr>
      <w:tr w:rsidR="00AD4367" w:rsidRPr="00FB41DC" w14:paraId="4853404F" w14:textId="77777777" w:rsidTr="00DC6733">
        <w:trPr>
          <w:jc w:val="center"/>
        </w:trPr>
        <w:tc>
          <w:tcPr>
            <w:tcW w:w="523" w:type="dxa"/>
          </w:tcPr>
          <w:p w14:paraId="1ED187FA" w14:textId="77777777" w:rsidR="00AD4367" w:rsidRPr="00FB41DC" w:rsidRDefault="00AD4367" w:rsidP="00572718">
            <w:pPr>
              <w:pStyle w:val="naiskr"/>
              <w:tabs>
                <w:tab w:val="left" w:pos="2628"/>
              </w:tabs>
              <w:spacing w:before="0" w:after="0"/>
              <w:jc w:val="both"/>
            </w:pPr>
            <w:r w:rsidRPr="00FB41DC">
              <w:t>3.</w:t>
            </w:r>
          </w:p>
        </w:tc>
        <w:tc>
          <w:tcPr>
            <w:tcW w:w="2901" w:type="dxa"/>
          </w:tcPr>
          <w:p w14:paraId="675A4C12" w14:textId="77777777" w:rsidR="00AD4367" w:rsidRPr="00FB41DC" w:rsidRDefault="00AD4367" w:rsidP="00572718">
            <w:pPr>
              <w:pStyle w:val="naiskr"/>
              <w:tabs>
                <w:tab w:val="left" w:pos="2628"/>
              </w:tabs>
              <w:spacing w:before="0" w:after="0"/>
              <w:jc w:val="both"/>
            </w:pPr>
            <w:r w:rsidRPr="00FB41DC">
              <w:t>Cita informācija</w:t>
            </w:r>
          </w:p>
        </w:tc>
        <w:tc>
          <w:tcPr>
            <w:tcW w:w="5972" w:type="dxa"/>
          </w:tcPr>
          <w:p w14:paraId="0E254EF8" w14:textId="77777777" w:rsidR="00AD4367" w:rsidRPr="00FB41DC" w:rsidRDefault="00AD4367" w:rsidP="00572718">
            <w:pPr>
              <w:pStyle w:val="naiskr"/>
              <w:tabs>
                <w:tab w:val="left" w:pos="2628"/>
              </w:tabs>
              <w:spacing w:before="0" w:after="0"/>
              <w:jc w:val="both"/>
            </w:pPr>
            <w:r>
              <w:t>Nav</w:t>
            </w:r>
          </w:p>
        </w:tc>
      </w:tr>
    </w:tbl>
    <w:p w14:paraId="3CD6E3BA" w14:textId="77777777" w:rsidR="00AD4367" w:rsidRPr="00FB41DC" w:rsidRDefault="00AD4367" w:rsidP="00AD436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AD4367" w:rsidRPr="00FB41DC" w14:paraId="78102B9F" w14:textId="77777777" w:rsidTr="00572718">
        <w:trPr>
          <w:trHeight w:val="523"/>
          <w:jc w:val="center"/>
        </w:trPr>
        <w:tc>
          <w:tcPr>
            <w:tcW w:w="9455" w:type="dxa"/>
            <w:gridSpan w:val="4"/>
            <w:vAlign w:val="center"/>
          </w:tcPr>
          <w:p w14:paraId="1AEB25EC" w14:textId="77777777" w:rsidR="00AD4367" w:rsidRPr="00FB41DC" w:rsidRDefault="00AD4367" w:rsidP="00572718">
            <w:pPr>
              <w:pStyle w:val="naisnod"/>
              <w:spacing w:before="0" w:after="0"/>
            </w:pPr>
            <w:r w:rsidRPr="00FB41DC">
              <w:t>1.</w:t>
            </w:r>
            <w:r w:rsidR="008536DA">
              <w:t> </w:t>
            </w:r>
            <w:r w:rsidRPr="00FB41DC">
              <w:t>tabula</w:t>
            </w:r>
          </w:p>
          <w:p w14:paraId="4A1A8FEC" w14:textId="77777777" w:rsidR="00AD4367" w:rsidRPr="00FB41DC" w:rsidRDefault="00AD4367" w:rsidP="00572718">
            <w:pPr>
              <w:pStyle w:val="naisnod"/>
              <w:spacing w:before="0" w:after="0"/>
              <w:rPr>
                <w:i/>
              </w:rPr>
            </w:pPr>
            <w:r w:rsidRPr="00FB41DC">
              <w:t>Tiesību akta projekta atbilstība ES tiesību aktiem</w:t>
            </w:r>
          </w:p>
        </w:tc>
      </w:tr>
      <w:tr w:rsidR="00AD4367" w:rsidRPr="00A977E6" w14:paraId="79164B4F" w14:textId="77777777" w:rsidTr="00572718">
        <w:trPr>
          <w:trHeight w:val="1252"/>
          <w:jc w:val="center"/>
        </w:trPr>
        <w:tc>
          <w:tcPr>
            <w:tcW w:w="2035" w:type="dxa"/>
            <w:vAlign w:val="center"/>
          </w:tcPr>
          <w:p w14:paraId="1F665944" w14:textId="77777777" w:rsidR="00AD4367" w:rsidRPr="00FB41DC" w:rsidRDefault="00AD4367" w:rsidP="00572718">
            <w:pPr>
              <w:pStyle w:val="naiskr"/>
              <w:spacing w:before="0" w:after="0"/>
              <w:ind w:hanging="10"/>
              <w:jc w:val="both"/>
            </w:pPr>
            <w:r w:rsidRPr="00FB41DC">
              <w:t>Attiecīgā ES tiesību akta datums, numurs un nosaukums</w:t>
            </w:r>
          </w:p>
        </w:tc>
        <w:tc>
          <w:tcPr>
            <w:tcW w:w="7420" w:type="dxa"/>
            <w:gridSpan w:val="3"/>
            <w:vAlign w:val="center"/>
          </w:tcPr>
          <w:p w14:paraId="347B4BC3" w14:textId="77777777" w:rsidR="00F11331" w:rsidRPr="003871B4" w:rsidRDefault="008536DA" w:rsidP="00B2468A">
            <w:pPr>
              <w:pStyle w:val="naisc"/>
              <w:spacing w:before="0" w:after="0"/>
              <w:jc w:val="both"/>
            </w:pPr>
            <w:r>
              <w:rPr>
                <w:rStyle w:val="Strong"/>
              </w:rPr>
              <w:t xml:space="preserve">Direktīva </w:t>
            </w:r>
            <w:r w:rsidR="00B2468A">
              <w:rPr>
                <w:rStyle w:val="Strong"/>
              </w:rPr>
              <w:t>2016/585</w:t>
            </w:r>
          </w:p>
        </w:tc>
      </w:tr>
      <w:tr w:rsidR="00AD4367" w:rsidRPr="00FB41DC" w14:paraId="069D7440" w14:textId="77777777" w:rsidTr="00DC6733">
        <w:trPr>
          <w:trHeight w:val="165"/>
          <w:jc w:val="center"/>
        </w:trPr>
        <w:tc>
          <w:tcPr>
            <w:tcW w:w="2035" w:type="dxa"/>
            <w:vAlign w:val="center"/>
          </w:tcPr>
          <w:p w14:paraId="6753FCE0" w14:textId="77777777" w:rsidR="00AD4367" w:rsidRPr="00FB41DC" w:rsidRDefault="00AD4367" w:rsidP="00572718">
            <w:pPr>
              <w:pStyle w:val="naiskr"/>
              <w:spacing w:before="0" w:after="0"/>
              <w:jc w:val="both"/>
            </w:pPr>
            <w:r w:rsidRPr="00FB41DC">
              <w:t>A</w:t>
            </w:r>
          </w:p>
        </w:tc>
        <w:tc>
          <w:tcPr>
            <w:tcW w:w="1843" w:type="dxa"/>
            <w:vAlign w:val="center"/>
          </w:tcPr>
          <w:p w14:paraId="1C18FBDD" w14:textId="77777777" w:rsidR="00AD4367" w:rsidRPr="00FB41DC" w:rsidRDefault="00AD4367" w:rsidP="00572718">
            <w:pPr>
              <w:pStyle w:val="naiskr"/>
              <w:spacing w:before="0" w:after="0"/>
              <w:jc w:val="both"/>
            </w:pPr>
            <w:r w:rsidRPr="00FB41DC">
              <w:t>B</w:t>
            </w:r>
          </w:p>
        </w:tc>
        <w:tc>
          <w:tcPr>
            <w:tcW w:w="1701" w:type="dxa"/>
            <w:vAlign w:val="center"/>
          </w:tcPr>
          <w:p w14:paraId="058302A3" w14:textId="77777777" w:rsidR="00AD4367" w:rsidRPr="00FB41DC" w:rsidRDefault="00AD4367" w:rsidP="00572718">
            <w:pPr>
              <w:pStyle w:val="naiskr"/>
              <w:spacing w:before="0" w:after="0"/>
              <w:jc w:val="both"/>
            </w:pPr>
            <w:r w:rsidRPr="00FB41DC">
              <w:t>C</w:t>
            </w:r>
          </w:p>
        </w:tc>
        <w:tc>
          <w:tcPr>
            <w:tcW w:w="3876" w:type="dxa"/>
            <w:vAlign w:val="center"/>
          </w:tcPr>
          <w:p w14:paraId="0E08E748" w14:textId="77777777" w:rsidR="00AD4367" w:rsidRPr="00FB41DC" w:rsidRDefault="00AD4367" w:rsidP="00572718">
            <w:pPr>
              <w:pStyle w:val="naiskr"/>
              <w:spacing w:before="0" w:after="0"/>
              <w:jc w:val="both"/>
            </w:pPr>
            <w:r w:rsidRPr="00FB41DC">
              <w:t>D</w:t>
            </w:r>
          </w:p>
        </w:tc>
      </w:tr>
      <w:tr w:rsidR="00C13EFF" w14:paraId="2BF34D7B" w14:textId="77777777" w:rsidTr="00DC6733">
        <w:trPr>
          <w:trHeight w:val="313"/>
          <w:jc w:val="center"/>
        </w:trPr>
        <w:tc>
          <w:tcPr>
            <w:tcW w:w="2035" w:type="dxa"/>
          </w:tcPr>
          <w:p w14:paraId="61816C7A" w14:textId="77777777" w:rsidR="00C13EFF" w:rsidRDefault="00C13EFF" w:rsidP="00572718">
            <w:pPr>
              <w:pStyle w:val="naiskr"/>
              <w:spacing w:before="0" w:after="0"/>
              <w:jc w:val="both"/>
            </w:pPr>
            <w:r>
              <w:t>1.</w:t>
            </w:r>
            <w:r w:rsidR="008536DA">
              <w:t> </w:t>
            </w:r>
            <w:r>
              <w:t>pants</w:t>
            </w:r>
          </w:p>
        </w:tc>
        <w:tc>
          <w:tcPr>
            <w:tcW w:w="1843" w:type="dxa"/>
          </w:tcPr>
          <w:p w14:paraId="3D2B6B1F" w14:textId="77777777" w:rsidR="00C13EFF" w:rsidRDefault="00901094" w:rsidP="00C63AA4">
            <w:pPr>
              <w:pStyle w:val="naiskr"/>
              <w:spacing w:before="0" w:after="0"/>
              <w:jc w:val="both"/>
            </w:pPr>
            <w:r>
              <w:t>3.,4</w:t>
            </w:r>
            <w:r w:rsidR="00C63AA4">
              <w:t>.</w:t>
            </w:r>
            <w:r w:rsidR="008536DA">
              <w:t> </w:t>
            </w:r>
            <w:r w:rsidR="00C63AA4">
              <w:t>punkts</w:t>
            </w:r>
          </w:p>
        </w:tc>
        <w:tc>
          <w:tcPr>
            <w:tcW w:w="1701" w:type="dxa"/>
          </w:tcPr>
          <w:p w14:paraId="45B96631" w14:textId="77777777" w:rsidR="00C13EFF" w:rsidRDefault="00C13EFF" w:rsidP="00C13EFF">
            <w:pPr>
              <w:pStyle w:val="naiskr"/>
              <w:spacing w:before="0" w:after="0"/>
              <w:jc w:val="both"/>
            </w:pPr>
            <w:r>
              <w:t>Atbilst pilnībā</w:t>
            </w:r>
          </w:p>
        </w:tc>
        <w:tc>
          <w:tcPr>
            <w:tcW w:w="3876" w:type="dxa"/>
          </w:tcPr>
          <w:p w14:paraId="74924F26" w14:textId="77777777" w:rsidR="00C13EFF" w:rsidRDefault="00C13EFF" w:rsidP="00C13EFF">
            <w:pPr>
              <w:pStyle w:val="naiskr"/>
              <w:spacing w:before="0" w:after="0"/>
              <w:jc w:val="both"/>
            </w:pPr>
            <w:r>
              <w:t>Netiek noteiktas stingrākas prasības</w:t>
            </w:r>
            <w:r w:rsidR="00563D3C">
              <w:t>.</w:t>
            </w:r>
          </w:p>
        </w:tc>
      </w:tr>
      <w:tr w:rsidR="00C13EFF" w14:paraId="2E6CB69B" w14:textId="77777777" w:rsidTr="00DC6733">
        <w:trPr>
          <w:trHeight w:val="313"/>
          <w:jc w:val="center"/>
        </w:trPr>
        <w:tc>
          <w:tcPr>
            <w:tcW w:w="2035" w:type="dxa"/>
          </w:tcPr>
          <w:p w14:paraId="2FF03815" w14:textId="77777777" w:rsidR="00C13EFF" w:rsidRDefault="00C63AA4" w:rsidP="00572718">
            <w:pPr>
              <w:pStyle w:val="naiskr"/>
              <w:spacing w:before="0" w:after="0"/>
              <w:jc w:val="both"/>
            </w:pPr>
            <w:r>
              <w:t>2.</w:t>
            </w:r>
            <w:r w:rsidR="008536DA">
              <w:t> </w:t>
            </w:r>
            <w:r>
              <w:t xml:space="preserve">panta </w:t>
            </w:r>
            <w:r w:rsidR="008536DA">
              <w:t xml:space="preserve">pirmā </w:t>
            </w:r>
            <w:r>
              <w:t>daļa</w:t>
            </w:r>
          </w:p>
        </w:tc>
        <w:tc>
          <w:tcPr>
            <w:tcW w:w="1843" w:type="dxa"/>
          </w:tcPr>
          <w:p w14:paraId="2DA453A6" w14:textId="77777777" w:rsidR="00C13EFF" w:rsidRDefault="00901094" w:rsidP="00C13EFF">
            <w:pPr>
              <w:pStyle w:val="naiskr"/>
              <w:spacing w:before="0" w:after="0"/>
              <w:jc w:val="both"/>
            </w:pPr>
            <w:r>
              <w:t>1., 3., 4</w:t>
            </w:r>
            <w:r w:rsidR="00C13EFF">
              <w:t>.</w:t>
            </w:r>
            <w:r w:rsidR="008536DA">
              <w:t> </w:t>
            </w:r>
            <w:r w:rsidR="00C13EFF">
              <w:t>punkts</w:t>
            </w:r>
          </w:p>
        </w:tc>
        <w:tc>
          <w:tcPr>
            <w:tcW w:w="1701" w:type="dxa"/>
          </w:tcPr>
          <w:p w14:paraId="1429CEDD" w14:textId="77777777" w:rsidR="00C13EFF" w:rsidRDefault="00C13EFF" w:rsidP="00C13EFF">
            <w:pPr>
              <w:pStyle w:val="naiskr"/>
              <w:spacing w:before="0" w:after="0"/>
              <w:jc w:val="both"/>
            </w:pPr>
            <w:r>
              <w:t>Atbilst pilnībā</w:t>
            </w:r>
          </w:p>
        </w:tc>
        <w:tc>
          <w:tcPr>
            <w:tcW w:w="3876" w:type="dxa"/>
          </w:tcPr>
          <w:p w14:paraId="22F1B9AC" w14:textId="77777777" w:rsidR="00C13EFF" w:rsidRDefault="00C13EFF" w:rsidP="00C13EFF">
            <w:pPr>
              <w:pStyle w:val="naiskr"/>
              <w:spacing w:before="0" w:after="0"/>
              <w:jc w:val="both"/>
            </w:pPr>
            <w:r>
              <w:t>Netiek noteiktas stingrākas prasības</w:t>
            </w:r>
            <w:r w:rsidR="00563D3C">
              <w:t>.</w:t>
            </w:r>
          </w:p>
        </w:tc>
      </w:tr>
      <w:tr w:rsidR="00C13EFF" w14:paraId="62693F34" w14:textId="77777777" w:rsidTr="00DC6733">
        <w:trPr>
          <w:trHeight w:val="313"/>
          <w:jc w:val="center"/>
        </w:trPr>
        <w:tc>
          <w:tcPr>
            <w:tcW w:w="2035" w:type="dxa"/>
          </w:tcPr>
          <w:p w14:paraId="1BA617DA" w14:textId="77777777" w:rsidR="00C13EFF" w:rsidRDefault="00C13EFF" w:rsidP="00572718">
            <w:pPr>
              <w:pStyle w:val="naiskr"/>
              <w:spacing w:before="0" w:after="0"/>
              <w:jc w:val="both"/>
            </w:pPr>
            <w:r>
              <w:t>Pielikums</w:t>
            </w:r>
          </w:p>
        </w:tc>
        <w:tc>
          <w:tcPr>
            <w:tcW w:w="1843" w:type="dxa"/>
          </w:tcPr>
          <w:p w14:paraId="4DEDBADF" w14:textId="77777777" w:rsidR="00C13EFF" w:rsidRDefault="00901094" w:rsidP="00C13EFF">
            <w:pPr>
              <w:pStyle w:val="naiskr"/>
              <w:spacing w:before="0" w:after="0"/>
              <w:jc w:val="both"/>
            </w:pPr>
            <w:r>
              <w:t>3.,4</w:t>
            </w:r>
            <w:r w:rsidR="00C815EF">
              <w:t>.</w:t>
            </w:r>
            <w:r w:rsidR="008536DA">
              <w:t> </w:t>
            </w:r>
            <w:r w:rsidR="00C815EF">
              <w:t>punkts</w:t>
            </w:r>
          </w:p>
        </w:tc>
        <w:tc>
          <w:tcPr>
            <w:tcW w:w="1701" w:type="dxa"/>
          </w:tcPr>
          <w:p w14:paraId="3426CB17" w14:textId="77777777" w:rsidR="00C13EFF" w:rsidRDefault="00C13EFF" w:rsidP="00C13EFF">
            <w:pPr>
              <w:pStyle w:val="naiskr"/>
              <w:spacing w:before="0" w:after="0"/>
              <w:jc w:val="both"/>
            </w:pPr>
            <w:r>
              <w:t>Atbilst pilnībā</w:t>
            </w:r>
          </w:p>
        </w:tc>
        <w:tc>
          <w:tcPr>
            <w:tcW w:w="3876" w:type="dxa"/>
          </w:tcPr>
          <w:p w14:paraId="4F49EF2C" w14:textId="77777777" w:rsidR="00C13EFF" w:rsidRDefault="00C13EFF" w:rsidP="00C13EFF">
            <w:pPr>
              <w:pStyle w:val="naiskr"/>
              <w:spacing w:before="0" w:after="0"/>
              <w:jc w:val="both"/>
            </w:pPr>
            <w:r>
              <w:t>Netiek noteiktas stingrākas prasības</w:t>
            </w:r>
            <w:r w:rsidR="00563D3C">
              <w:t>.</w:t>
            </w:r>
          </w:p>
        </w:tc>
      </w:tr>
    </w:tbl>
    <w:p w14:paraId="7AAA8E05" w14:textId="77777777" w:rsidR="00AD4367" w:rsidRDefault="00AD4367" w:rsidP="00AD436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3871B4" w:rsidRPr="00FB41DC" w14:paraId="2DBD0B1A" w14:textId="77777777" w:rsidTr="00572718">
        <w:trPr>
          <w:trHeight w:val="523"/>
          <w:jc w:val="center"/>
        </w:trPr>
        <w:tc>
          <w:tcPr>
            <w:tcW w:w="9455" w:type="dxa"/>
            <w:gridSpan w:val="4"/>
            <w:vAlign w:val="center"/>
          </w:tcPr>
          <w:p w14:paraId="7C1757BD" w14:textId="77777777" w:rsidR="003871B4" w:rsidRPr="00FB41DC" w:rsidRDefault="003871B4" w:rsidP="00572718">
            <w:pPr>
              <w:pStyle w:val="naisnod"/>
              <w:spacing w:before="0" w:after="0"/>
            </w:pPr>
            <w:r w:rsidRPr="00FB41DC">
              <w:t>1.</w:t>
            </w:r>
            <w:r w:rsidR="008536DA">
              <w:t> </w:t>
            </w:r>
            <w:r w:rsidRPr="00FB41DC">
              <w:t>tabula</w:t>
            </w:r>
          </w:p>
          <w:p w14:paraId="268DECAA" w14:textId="77777777" w:rsidR="003871B4" w:rsidRPr="00FB41DC" w:rsidRDefault="003871B4" w:rsidP="00572718">
            <w:pPr>
              <w:pStyle w:val="naisnod"/>
              <w:spacing w:before="0" w:after="0"/>
              <w:rPr>
                <w:i/>
              </w:rPr>
            </w:pPr>
            <w:r w:rsidRPr="00FB41DC">
              <w:t>Tiesību akta projekta atbilstība ES tiesību aktiem</w:t>
            </w:r>
          </w:p>
        </w:tc>
      </w:tr>
      <w:tr w:rsidR="003871B4" w:rsidRPr="00A977E6" w14:paraId="12E21F79" w14:textId="77777777" w:rsidTr="00DC6733">
        <w:trPr>
          <w:trHeight w:val="1252"/>
          <w:jc w:val="center"/>
        </w:trPr>
        <w:tc>
          <w:tcPr>
            <w:tcW w:w="2035" w:type="dxa"/>
            <w:vAlign w:val="center"/>
          </w:tcPr>
          <w:p w14:paraId="485FBA03" w14:textId="77777777" w:rsidR="003871B4" w:rsidRPr="00FB41DC" w:rsidRDefault="003871B4" w:rsidP="00572718">
            <w:pPr>
              <w:pStyle w:val="naiskr"/>
              <w:spacing w:before="0" w:after="0"/>
              <w:ind w:hanging="10"/>
              <w:jc w:val="both"/>
            </w:pPr>
            <w:r w:rsidRPr="00FB41DC">
              <w:t>Attiecīgā ES tiesību akta datums, numurs un nosaukums</w:t>
            </w:r>
          </w:p>
        </w:tc>
        <w:tc>
          <w:tcPr>
            <w:tcW w:w="7420" w:type="dxa"/>
            <w:gridSpan w:val="3"/>
            <w:vAlign w:val="center"/>
          </w:tcPr>
          <w:p w14:paraId="1B6FEF91" w14:textId="77777777" w:rsidR="00483F49" w:rsidRPr="002F2520" w:rsidRDefault="00901094" w:rsidP="00CA76A5">
            <w:pPr>
              <w:pStyle w:val="naisc"/>
              <w:spacing w:before="0" w:after="0"/>
              <w:jc w:val="both"/>
              <w:rPr>
                <w:rStyle w:val="Strong"/>
                <w:bCs w:val="0"/>
              </w:rPr>
            </w:pPr>
            <w:r w:rsidRPr="002F2520">
              <w:rPr>
                <w:rStyle w:val="Strong"/>
              </w:rPr>
              <w:t>Direktīva 2016/1028</w:t>
            </w:r>
          </w:p>
          <w:p w14:paraId="3046456C" w14:textId="77777777" w:rsidR="003871B4" w:rsidRPr="00C13EFF" w:rsidRDefault="003871B4" w:rsidP="00483F49">
            <w:pPr>
              <w:pStyle w:val="naisc"/>
              <w:spacing w:before="0" w:after="0"/>
              <w:ind w:left="360"/>
              <w:jc w:val="both"/>
              <w:rPr>
                <w:bCs/>
              </w:rPr>
            </w:pPr>
          </w:p>
        </w:tc>
      </w:tr>
      <w:tr w:rsidR="003871B4" w:rsidRPr="00FB41DC" w14:paraId="4C80DDDC" w14:textId="77777777" w:rsidTr="00DC6733">
        <w:trPr>
          <w:trHeight w:val="165"/>
          <w:jc w:val="center"/>
        </w:trPr>
        <w:tc>
          <w:tcPr>
            <w:tcW w:w="2035" w:type="dxa"/>
            <w:vAlign w:val="center"/>
          </w:tcPr>
          <w:p w14:paraId="07DE1344" w14:textId="77777777" w:rsidR="003871B4" w:rsidRPr="00FB41DC" w:rsidRDefault="003871B4" w:rsidP="00572718">
            <w:pPr>
              <w:pStyle w:val="naiskr"/>
              <w:spacing w:before="0" w:after="0"/>
              <w:jc w:val="both"/>
            </w:pPr>
            <w:r w:rsidRPr="00FB41DC">
              <w:t>A</w:t>
            </w:r>
          </w:p>
        </w:tc>
        <w:tc>
          <w:tcPr>
            <w:tcW w:w="1843" w:type="dxa"/>
            <w:vAlign w:val="center"/>
          </w:tcPr>
          <w:p w14:paraId="6D95D4EB" w14:textId="77777777" w:rsidR="003871B4" w:rsidRPr="00FB41DC" w:rsidRDefault="003871B4" w:rsidP="00572718">
            <w:pPr>
              <w:pStyle w:val="naiskr"/>
              <w:spacing w:before="0" w:after="0"/>
              <w:jc w:val="both"/>
            </w:pPr>
            <w:r w:rsidRPr="00FB41DC">
              <w:t>B</w:t>
            </w:r>
          </w:p>
        </w:tc>
        <w:tc>
          <w:tcPr>
            <w:tcW w:w="1701" w:type="dxa"/>
            <w:vAlign w:val="center"/>
          </w:tcPr>
          <w:p w14:paraId="28162492" w14:textId="77777777" w:rsidR="003871B4" w:rsidRPr="00FB41DC" w:rsidRDefault="003871B4" w:rsidP="00572718">
            <w:pPr>
              <w:pStyle w:val="naiskr"/>
              <w:spacing w:before="0" w:after="0"/>
              <w:jc w:val="both"/>
            </w:pPr>
            <w:r w:rsidRPr="00FB41DC">
              <w:t>C</w:t>
            </w:r>
          </w:p>
        </w:tc>
        <w:tc>
          <w:tcPr>
            <w:tcW w:w="3876" w:type="dxa"/>
            <w:vAlign w:val="center"/>
          </w:tcPr>
          <w:p w14:paraId="7485CFC6" w14:textId="77777777" w:rsidR="003871B4" w:rsidRPr="00FB41DC" w:rsidRDefault="003871B4" w:rsidP="00572718">
            <w:pPr>
              <w:pStyle w:val="naiskr"/>
              <w:spacing w:before="0" w:after="0"/>
              <w:jc w:val="both"/>
            </w:pPr>
            <w:r w:rsidRPr="00FB41DC">
              <w:t>D</w:t>
            </w:r>
          </w:p>
        </w:tc>
      </w:tr>
      <w:tr w:rsidR="00C13EFF" w14:paraId="5E1ABCCF" w14:textId="77777777" w:rsidTr="00DC6733">
        <w:trPr>
          <w:trHeight w:val="313"/>
          <w:jc w:val="center"/>
        </w:trPr>
        <w:tc>
          <w:tcPr>
            <w:tcW w:w="2035" w:type="dxa"/>
          </w:tcPr>
          <w:p w14:paraId="06CC0F60" w14:textId="77777777" w:rsidR="00C13EFF" w:rsidRDefault="00C13EFF" w:rsidP="00572718">
            <w:pPr>
              <w:pStyle w:val="naiskr"/>
              <w:spacing w:before="0" w:after="0"/>
              <w:jc w:val="both"/>
            </w:pPr>
            <w:r>
              <w:t>1.</w:t>
            </w:r>
            <w:r w:rsidR="008536DA">
              <w:t> </w:t>
            </w:r>
            <w:r>
              <w:t>pants</w:t>
            </w:r>
          </w:p>
        </w:tc>
        <w:tc>
          <w:tcPr>
            <w:tcW w:w="1843" w:type="dxa"/>
          </w:tcPr>
          <w:p w14:paraId="5D76902B" w14:textId="77777777" w:rsidR="00C13EFF" w:rsidRDefault="00901094" w:rsidP="00C13EFF">
            <w:pPr>
              <w:pStyle w:val="naiskr"/>
              <w:spacing w:before="0" w:after="0"/>
              <w:jc w:val="both"/>
            </w:pPr>
            <w:r>
              <w:t>2.</w:t>
            </w:r>
            <w:r w:rsidR="008536DA">
              <w:t> </w:t>
            </w:r>
            <w:r>
              <w:t>punkts</w:t>
            </w:r>
          </w:p>
        </w:tc>
        <w:tc>
          <w:tcPr>
            <w:tcW w:w="1701" w:type="dxa"/>
          </w:tcPr>
          <w:p w14:paraId="2885A79A" w14:textId="77777777" w:rsidR="00C13EFF" w:rsidRDefault="00C13EFF" w:rsidP="00C13EFF">
            <w:pPr>
              <w:pStyle w:val="naiskr"/>
              <w:spacing w:before="0" w:after="0"/>
              <w:jc w:val="both"/>
            </w:pPr>
            <w:r>
              <w:t>Atbilst pilnībā</w:t>
            </w:r>
          </w:p>
        </w:tc>
        <w:tc>
          <w:tcPr>
            <w:tcW w:w="3876" w:type="dxa"/>
          </w:tcPr>
          <w:p w14:paraId="2A7B7A97" w14:textId="77777777" w:rsidR="00C13EFF" w:rsidRDefault="00C13EFF" w:rsidP="00C13EFF">
            <w:pPr>
              <w:pStyle w:val="naiskr"/>
              <w:spacing w:before="0" w:after="0"/>
              <w:jc w:val="both"/>
            </w:pPr>
            <w:r>
              <w:t>Netiek noteiktas stingrākas prasības</w:t>
            </w:r>
            <w:r w:rsidR="00563D3C">
              <w:t>.</w:t>
            </w:r>
          </w:p>
        </w:tc>
      </w:tr>
      <w:tr w:rsidR="00C13EFF" w14:paraId="08CAC5B5" w14:textId="77777777" w:rsidTr="00DC6733">
        <w:trPr>
          <w:trHeight w:val="313"/>
          <w:jc w:val="center"/>
        </w:trPr>
        <w:tc>
          <w:tcPr>
            <w:tcW w:w="2035" w:type="dxa"/>
          </w:tcPr>
          <w:p w14:paraId="42CA35C1" w14:textId="77777777" w:rsidR="00C13EFF" w:rsidRDefault="001331E0" w:rsidP="00572718">
            <w:pPr>
              <w:pStyle w:val="naiskr"/>
              <w:spacing w:before="0" w:after="0"/>
              <w:jc w:val="both"/>
            </w:pPr>
            <w:r>
              <w:t>2.</w:t>
            </w:r>
            <w:r w:rsidR="008536DA">
              <w:t> </w:t>
            </w:r>
            <w:r>
              <w:t xml:space="preserve">panta </w:t>
            </w:r>
            <w:r w:rsidR="008536DA">
              <w:t xml:space="preserve">pirmā </w:t>
            </w:r>
            <w:r>
              <w:t>daļa</w:t>
            </w:r>
          </w:p>
        </w:tc>
        <w:tc>
          <w:tcPr>
            <w:tcW w:w="1843" w:type="dxa"/>
          </w:tcPr>
          <w:p w14:paraId="627CFDCF" w14:textId="77777777" w:rsidR="00C13EFF" w:rsidRDefault="00901094" w:rsidP="00C13EFF">
            <w:pPr>
              <w:pStyle w:val="naiskr"/>
              <w:spacing w:before="0" w:after="0"/>
              <w:jc w:val="both"/>
            </w:pPr>
            <w:r>
              <w:t>1.,2</w:t>
            </w:r>
            <w:r w:rsidR="00C63AA4">
              <w:t>.</w:t>
            </w:r>
            <w:r w:rsidR="008536DA">
              <w:t> </w:t>
            </w:r>
            <w:r w:rsidR="00C63AA4">
              <w:t>punkts</w:t>
            </w:r>
          </w:p>
        </w:tc>
        <w:tc>
          <w:tcPr>
            <w:tcW w:w="1701" w:type="dxa"/>
          </w:tcPr>
          <w:p w14:paraId="7021E016" w14:textId="77777777" w:rsidR="00C13EFF" w:rsidRDefault="00C13EFF" w:rsidP="00C13EFF">
            <w:pPr>
              <w:pStyle w:val="naiskr"/>
              <w:spacing w:before="0" w:after="0"/>
              <w:jc w:val="both"/>
            </w:pPr>
            <w:r>
              <w:t>Atbilst pilnībā</w:t>
            </w:r>
          </w:p>
        </w:tc>
        <w:tc>
          <w:tcPr>
            <w:tcW w:w="3876" w:type="dxa"/>
          </w:tcPr>
          <w:p w14:paraId="5E9EAFCA" w14:textId="77777777" w:rsidR="00C13EFF" w:rsidRDefault="00C13EFF" w:rsidP="00C13EFF">
            <w:pPr>
              <w:pStyle w:val="naiskr"/>
              <w:spacing w:before="0" w:after="0"/>
              <w:jc w:val="both"/>
            </w:pPr>
            <w:r>
              <w:t>Netiek noteiktas stingrākas prasības</w:t>
            </w:r>
            <w:r w:rsidR="00563D3C">
              <w:t>.</w:t>
            </w:r>
          </w:p>
        </w:tc>
      </w:tr>
      <w:tr w:rsidR="00C13EFF" w14:paraId="7F7EC372" w14:textId="77777777" w:rsidTr="00DC6733">
        <w:trPr>
          <w:trHeight w:val="313"/>
          <w:jc w:val="center"/>
        </w:trPr>
        <w:tc>
          <w:tcPr>
            <w:tcW w:w="2035" w:type="dxa"/>
          </w:tcPr>
          <w:p w14:paraId="660F64C1" w14:textId="77777777" w:rsidR="00C13EFF" w:rsidRDefault="00C13EFF" w:rsidP="00572718">
            <w:pPr>
              <w:pStyle w:val="naiskr"/>
              <w:spacing w:before="0" w:after="0"/>
              <w:jc w:val="both"/>
            </w:pPr>
            <w:r>
              <w:t>Pielikums</w:t>
            </w:r>
          </w:p>
        </w:tc>
        <w:tc>
          <w:tcPr>
            <w:tcW w:w="1843" w:type="dxa"/>
          </w:tcPr>
          <w:p w14:paraId="77991C32" w14:textId="77777777" w:rsidR="00C13EFF" w:rsidRDefault="00901094" w:rsidP="00C13EFF">
            <w:pPr>
              <w:pStyle w:val="naiskr"/>
              <w:spacing w:before="0" w:after="0"/>
              <w:jc w:val="both"/>
            </w:pPr>
            <w:r>
              <w:t>2</w:t>
            </w:r>
            <w:r w:rsidR="00C63AA4">
              <w:t>.</w:t>
            </w:r>
            <w:r w:rsidR="008536DA">
              <w:t> </w:t>
            </w:r>
            <w:r w:rsidR="00C63AA4">
              <w:t>punkts</w:t>
            </w:r>
          </w:p>
        </w:tc>
        <w:tc>
          <w:tcPr>
            <w:tcW w:w="1701" w:type="dxa"/>
          </w:tcPr>
          <w:p w14:paraId="47DBB36F" w14:textId="77777777" w:rsidR="00C13EFF" w:rsidRDefault="00C13EFF" w:rsidP="00C13EFF">
            <w:pPr>
              <w:pStyle w:val="naiskr"/>
              <w:spacing w:before="0" w:after="0"/>
              <w:jc w:val="both"/>
            </w:pPr>
            <w:r>
              <w:t>Atbilst pilnībā</w:t>
            </w:r>
          </w:p>
        </w:tc>
        <w:tc>
          <w:tcPr>
            <w:tcW w:w="3876" w:type="dxa"/>
          </w:tcPr>
          <w:p w14:paraId="527F7A2C" w14:textId="77777777" w:rsidR="00C13EFF" w:rsidRDefault="00C13EFF" w:rsidP="00C13EFF">
            <w:pPr>
              <w:pStyle w:val="naiskr"/>
              <w:spacing w:before="0" w:after="0"/>
              <w:jc w:val="both"/>
            </w:pPr>
            <w:r>
              <w:t>Netiek noteiktas stingrākas prasības</w:t>
            </w:r>
            <w:r w:rsidR="00563D3C">
              <w:t>.</w:t>
            </w:r>
          </w:p>
        </w:tc>
      </w:tr>
    </w:tbl>
    <w:p w14:paraId="3D1CE7F9" w14:textId="77777777" w:rsidR="003871B4" w:rsidRDefault="003871B4" w:rsidP="00AD436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3871B4" w:rsidRPr="00FB41DC" w14:paraId="309E4802" w14:textId="77777777" w:rsidTr="00572718">
        <w:trPr>
          <w:trHeight w:val="523"/>
          <w:jc w:val="center"/>
        </w:trPr>
        <w:tc>
          <w:tcPr>
            <w:tcW w:w="9455" w:type="dxa"/>
            <w:gridSpan w:val="4"/>
            <w:vAlign w:val="center"/>
          </w:tcPr>
          <w:p w14:paraId="18FC032B" w14:textId="77777777" w:rsidR="003871B4" w:rsidRPr="00FB41DC" w:rsidRDefault="003871B4" w:rsidP="00572718">
            <w:pPr>
              <w:pStyle w:val="naisnod"/>
              <w:spacing w:before="0" w:after="0"/>
            </w:pPr>
            <w:r w:rsidRPr="00FB41DC">
              <w:t>1.tabula</w:t>
            </w:r>
          </w:p>
          <w:p w14:paraId="17123595" w14:textId="77777777" w:rsidR="003871B4" w:rsidRPr="00FB41DC" w:rsidRDefault="003871B4" w:rsidP="00572718">
            <w:pPr>
              <w:pStyle w:val="naisnod"/>
              <w:spacing w:before="0" w:after="0"/>
              <w:rPr>
                <w:i/>
              </w:rPr>
            </w:pPr>
            <w:r w:rsidRPr="00FB41DC">
              <w:t>Tiesību akta projekta atbilstība ES tiesību aktiem</w:t>
            </w:r>
          </w:p>
        </w:tc>
      </w:tr>
      <w:tr w:rsidR="003871B4" w:rsidRPr="00A977E6" w14:paraId="735C3D01" w14:textId="77777777" w:rsidTr="00572718">
        <w:trPr>
          <w:trHeight w:val="1252"/>
          <w:jc w:val="center"/>
        </w:trPr>
        <w:tc>
          <w:tcPr>
            <w:tcW w:w="2035" w:type="dxa"/>
            <w:vAlign w:val="center"/>
          </w:tcPr>
          <w:p w14:paraId="433D3504" w14:textId="77777777" w:rsidR="003871B4" w:rsidRPr="00FB41DC" w:rsidRDefault="003871B4" w:rsidP="00572718">
            <w:pPr>
              <w:pStyle w:val="naiskr"/>
              <w:spacing w:before="0" w:after="0"/>
              <w:ind w:hanging="10"/>
              <w:jc w:val="both"/>
            </w:pPr>
            <w:r w:rsidRPr="00FB41DC">
              <w:t>Attiecīgā ES tiesību akta datums, numurs un nosaukums</w:t>
            </w:r>
          </w:p>
        </w:tc>
        <w:tc>
          <w:tcPr>
            <w:tcW w:w="7420" w:type="dxa"/>
            <w:gridSpan w:val="3"/>
            <w:vAlign w:val="center"/>
          </w:tcPr>
          <w:p w14:paraId="1E27AE73" w14:textId="77777777" w:rsidR="003871B4" w:rsidRPr="003871B4" w:rsidRDefault="00483F49" w:rsidP="00CA76A5">
            <w:pPr>
              <w:pStyle w:val="naisc"/>
              <w:spacing w:before="0" w:after="0"/>
              <w:jc w:val="both"/>
              <w:rPr>
                <w:bCs/>
              </w:rPr>
            </w:pPr>
            <w:r w:rsidRPr="00483F49">
              <w:rPr>
                <w:rStyle w:val="Strong"/>
                <w:b w:val="0"/>
              </w:rPr>
              <w:t xml:space="preserve">Direktīva </w:t>
            </w:r>
            <w:r w:rsidR="00901094">
              <w:rPr>
                <w:rStyle w:val="Strong"/>
                <w:b w:val="0"/>
              </w:rPr>
              <w:t>2016/1029</w:t>
            </w:r>
          </w:p>
        </w:tc>
      </w:tr>
      <w:tr w:rsidR="003871B4" w:rsidRPr="00FB41DC" w14:paraId="522157B9" w14:textId="77777777" w:rsidTr="00DC6733">
        <w:trPr>
          <w:trHeight w:val="165"/>
          <w:jc w:val="center"/>
        </w:trPr>
        <w:tc>
          <w:tcPr>
            <w:tcW w:w="2035" w:type="dxa"/>
            <w:vAlign w:val="center"/>
          </w:tcPr>
          <w:p w14:paraId="349D374A" w14:textId="77777777" w:rsidR="003871B4" w:rsidRPr="00FB41DC" w:rsidRDefault="003871B4" w:rsidP="00483F49">
            <w:pPr>
              <w:pStyle w:val="naiskr"/>
              <w:spacing w:before="0" w:after="0"/>
              <w:jc w:val="center"/>
            </w:pPr>
            <w:r w:rsidRPr="00FB41DC">
              <w:t>A</w:t>
            </w:r>
          </w:p>
        </w:tc>
        <w:tc>
          <w:tcPr>
            <w:tcW w:w="1843" w:type="dxa"/>
            <w:vAlign w:val="center"/>
          </w:tcPr>
          <w:p w14:paraId="0E5EE954" w14:textId="77777777" w:rsidR="003871B4" w:rsidRPr="00FB41DC" w:rsidRDefault="003871B4" w:rsidP="00483F49">
            <w:pPr>
              <w:pStyle w:val="naiskr"/>
              <w:spacing w:before="0" w:after="0"/>
              <w:jc w:val="center"/>
            </w:pPr>
            <w:r w:rsidRPr="00FB41DC">
              <w:t>B</w:t>
            </w:r>
          </w:p>
        </w:tc>
        <w:tc>
          <w:tcPr>
            <w:tcW w:w="1701" w:type="dxa"/>
            <w:vAlign w:val="center"/>
          </w:tcPr>
          <w:p w14:paraId="6A29EE04" w14:textId="77777777" w:rsidR="003871B4" w:rsidRPr="00FB41DC" w:rsidRDefault="003871B4" w:rsidP="00483F49">
            <w:pPr>
              <w:pStyle w:val="naiskr"/>
              <w:spacing w:before="0" w:after="0"/>
              <w:jc w:val="center"/>
            </w:pPr>
            <w:r w:rsidRPr="00FB41DC">
              <w:t>C</w:t>
            </w:r>
          </w:p>
        </w:tc>
        <w:tc>
          <w:tcPr>
            <w:tcW w:w="3876" w:type="dxa"/>
            <w:vAlign w:val="center"/>
          </w:tcPr>
          <w:p w14:paraId="659CF9A0" w14:textId="77777777" w:rsidR="003871B4" w:rsidRPr="00FB41DC" w:rsidRDefault="003871B4" w:rsidP="00483F49">
            <w:pPr>
              <w:pStyle w:val="naiskr"/>
              <w:spacing w:before="0" w:after="0"/>
              <w:jc w:val="center"/>
            </w:pPr>
            <w:r w:rsidRPr="00FB41DC">
              <w:t>D</w:t>
            </w:r>
          </w:p>
        </w:tc>
      </w:tr>
      <w:tr w:rsidR="00483F49" w14:paraId="5D55623D" w14:textId="77777777" w:rsidTr="00DC6733">
        <w:trPr>
          <w:trHeight w:val="313"/>
          <w:jc w:val="center"/>
        </w:trPr>
        <w:tc>
          <w:tcPr>
            <w:tcW w:w="2035" w:type="dxa"/>
          </w:tcPr>
          <w:p w14:paraId="642F43EC" w14:textId="77777777" w:rsidR="00483F49" w:rsidRDefault="00483F49" w:rsidP="00572718">
            <w:pPr>
              <w:pStyle w:val="naiskr"/>
              <w:spacing w:before="0" w:after="0"/>
              <w:jc w:val="both"/>
            </w:pPr>
            <w:r>
              <w:t>1.</w:t>
            </w:r>
            <w:r w:rsidR="008536DA">
              <w:t> </w:t>
            </w:r>
            <w:r>
              <w:t>pants</w:t>
            </w:r>
          </w:p>
        </w:tc>
        <w:tc>
          <w:tcPr>
            <w:tcW w:w="1843" w:type="dxa"/>
          </w:tcPr>
          <w:p w14:paraId="044DAE46" w14:textId="77777777" w:rsidR="00483F49" w:rsidRDefault="00901094" w:rsidP="00C13EFF">
            <w:pPr>
              <w:pStyle w:val="naiskr"/>
              <w:spacing w:before="0" w:after="0"/>
              <w:jc w:val="both"/>
            </w:pPr>
            <w:r>
              <w:t>5</w:t>
            </w:r>
            <w:r w:rsidR="001331E0">
              <w:t>.</w:t>
            </w:r>
            <w:r w:rsidR="008536DA">
              <w:t> </w:t>
            </w:r>
            <w:r w:rsidR="001331E0">
              <w:t>punkts</w:t>
            </w:r>
          </w:p>
        </w:tc>
        <w:tc>
          <w:tcPr>
            <w:tcW w:w="1701" w:type="dxa"/>
          </w:tcPr>
          <w:p w14:paraId="3323585F" w14:textId="77777777" w:rsidR="00483F49" w:rsidRDefault="001331E0" w:rsidP="00C13EFF">
            <w:pPr>
              <w:pStyle w:val="naiskr"/>
              <w:spacing w:before="0" w:after="0"/>
              <w:jc w:val="both"/>
            </w:pPr>
            <w:r>
              <w:t>Atbilst pilnībā</w:t>
            </w:r>
          </w:p>
        </w:tc>
        <w:tc>
          <w:tcPr>
            <w:tcW w:w="3876" w:type="dxa"/>
          </w:tcPr>
          <w:p w14:paraId="6E01FD0A" w14:textId="77777777" w:rsidR="00483F49" w:rsidRDefault="001331E0" w:rsidP="00C13EFF">
            <w:pPr>
              <w:pStyle w:val="naiskr"/>
              <w:spacing w:before="0" w:after="0"/>
              <w:jc w:val="both"/>
            </w:pPr>
            <w:r>
              <w:t>Netiek noteiktas stingrākas prasības</w:t>
            </w:r>
          </w:p>
        </w:tc>
      </w:tr>
      <w:tr w:rsidR="00C13EFF" w14:paraId="395902BA" w14:textId="77777777" w:rsidTr="00DC6733">
        <w:trPr>
          <w:trHeight w:val="313"/>
          <w:jc w:val="center"/>
        </w:trPr>
        <w:tc>
          <w:tcPr>
            <w:tcW w:w="2035" w:type="dxa"/>
          </w:tcPr>
          <w:p w14:paraId="2FA6B6DF" w14:textId="77777777" w:rsidR="00C13EFF" w:rsidRDefault="00483F49" w:rsidP="00572718">
            <w:pPr>
              <w:pStyle w:val="naiskr"/>
              <w:spacing w:before="0" w:after="0"/>
              <w:jc w:val="both"/>
            </w:pPr>
            <w:r>
              <w:t>2.</w:t>
            </w:r>
            <w:r w:rsidR="008536DA">
              <w:t> </w:t>
            </w:r>
            <w:r>
              <w:t xml:space="preserve">panta </w:t>
            </w:r>
            <w:r w:rsidR="008536DA">
              <w:t xml:space="preserve">pirmā </w:t>
            </w:r>
            <w:r>
              <w:t>daļa</w:t>
            </w:r>
          </w:p>
        </w:tc>
        <w:tc>
          <w:tcPr>
            <w:tcW w:w="1843" w:type="dxa"/>
          </w:tcPr>
          <w:p w14:paraId="29C25464" w14:textId="77777777" w:rsidR="00C13EFF" w:rsidRDefault="00901094" w:rsidP="00C13EFF">
            <w:pPr>
              <w:pStyle w:val="naiskr"/>
              <w:spacing w:before="0" w:after="0"/>
              <w:jc w:val="both"/>
            </w:pPr>
            <w:r>
              <w:t>1., 5</w:t>
            </w:r>
            <w:r w:rsidR="001331E0">
              <w:t>.</w:t>
            </w:r>
            <w:r w:rsidR="008536DA">
              <w:t> </w:t>
            </w:r>
            <w:r w:rsidR="001331E0">
              <w:t>punkts</w:t>
            </w:r>
          </w:p>
        </w:tc>
        <w:tc>
          <w:tcPr>
            <w:tcW w:w="1701" w:type="dxa"/>
          </w:tcPr>
          <w:p w14:paraId="1F2C4FD4" w14:textId="77777777" w:rsidR="00C13EFF" w:rsidRDefault="0057557F" w:rsidP="00C13EFF">
            <w:pPr>
              <w:pStyle w:val="naiskr"/>
              <w:spacing w:before="0" w:after="0"/>
              <w:jc w:val="both"/>
            </w:pPr>
            <w:r>
              <w:t xml:space="preserve"> </w:t>
            </w:r>
            <w:r w:rsidR="001331E0">
              <w:t>Atbilst pilnībā</w:t>
            </w:r>
          </w:p>
        </w:tc>
        <w:tc>
          <w:tcPr>
            <w:tcW w:w="3876" w:type="dxa"/>
          </w:tcPr>
          <w:p w14:paraId="01FF4725" w14:textId="77777777" w:rsidR="00C13EFF" w:rsidRDefault="001331E0" w:rsidP="00C13EFF">
            <w:pPr>
              <w:pStyle w:val="naiskr"/>
              <w:spacing w:before="0" w:after="0"/>
              <w:jc w:val="both"/>
            </w:pPr>
            <w:r>
              <w:t>Netiek noteiktas stingrākas prasības.</w:t>
            </w:r>
          </w:p>
        </w:tc>
      </w:tr>
      <w:tr w:rsidR="00C13EFF" w14:paraId="0EF7CEF3" w14:textId="77777777" w:rsidTr="00DC6733">
        <w:trPr>
          <w:trHeight w:val="313"/>
          <w:jc w:val="center"/>
        </w:trPr>
        <w:tc>
          <w:tcPr>
            <w:tcW w:w="2035" w:type="dxa"/>
          </w:tcPr>
          <w:p w14:paraId="26CA5A76" w14:textId="77777777" w:rsidR="00C13EFF" w:rsidRDefault="00C13EFF" w:rsidP="00572718">
            <w:pPr>
              <w:pStyle w:val="naiskr"/>
              <w:spacing w:before="0" w:after="0"/>
              <w:jc w:val="both"/>
            </w:pPr>
            <w:r>
              <w:t>Pielikums</w:t>
            </w:r>
          </w:p>
        </w:tc>
        <w:tc>
          <w:tcPr>
            <w:tcW w:w="1843" w:type="dxa"/>
          </w:tcPr>
          <w:p w14:paraId="3BFD36E3" w14:textId="77777777" w:rsidR="00C13EFF" w:rsidRDefault="00901094" w:rsidP="00C13EFF">
            <w:pPr>
              <w:pStyle w:val="naiskr"/>
              <w:spacing w:before="0" w:after="0"/>
              <w:jc w:val="both"/>
            </w:pPr>
            <w:r>
              <w:t>5</w:t>
            </w:r>
            <w:r w:rsidR="001331E0">
              <w:t>.</w:t>
            </w:r>
            <w:r w:rsidR="008536DA">
              <w:t> </w:t>
            </w:r>
            <w:r w:rsidR="001331E0">
              <w:t>punkts</w:t>
            </w:r>
          </w:p>
        </w:tc>
        <w:tc>
          <w:tcPr>
            <w:tcW w:w="1701" w:type="dxa"/>
          </w:tcPr>
          <w:p w14:paraId="7C2F6A05" w14:textId="77777777" w:rsidR="00C13EFF" w:rsidRDefault="001331E0" w:rsidP="00C13EFF">
            <w:pPr>
              <w:pStyle w:val="naiskr"/>
              <w:spacing w:before="0" w:after="0"/>
              <w:jc w:val="both"/>
            </w:pPr>
            <w:r>
              <w:t>Atbilst pilnībā</w:t>
            </w:r>
          </w:p>
        </w:tc>
        <w:tc>
          <w:tcPr>
            <w:tcW w:w="3876" w:type="dxa"/>
          </w:tcPr>
          <w:p w14:paraId="42032D90" w14:textId="77777777" w:rsidR="00C13EFF" w:rsidRDefault="001331E0" w:rsidP="00C13EFF">
            <w:pPr>
              <w:pStyle w:val="naiskr"/>
              <w:spacing w:before="0" w:after="0"/>
              <w:jc w:val="both"/>
            </w:pPr>
            <w:r>
              <w:t>Netiek noteiktas stingrākas prasības</w:t>
            </w:r>
          </w:p>
        </w:tc>
      </w:tr>
    </w:tbl>
    <w:p w14:paraId="53CAE764" w14:textId="77777777" w:rsidR="003871B4" w:rsidRDefault="003871B4" w:rsidP="00AD4367">
      <w:pPr>
        <w:pStyle w:val="naisf"/>
        <w:spacing w:before="0" w:after="0"/>
        <w:ind w:firstLine="0"/>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29"/>
        <w:gridCol w:w="3827"/>
      </w:tblGrid>
      <w:tr w:rsidR="00AD4367" w:rsidRPr="006C4B9F" w14:paraId="7F863B1D" w14:textId="77777777" w:rsidTr="00285B2A">
        <w:trPr>
          <w:trHeight w:val="281"/>
          <w:tblCellSpacing w:w="0" w:type="dxa"/>
        </w:trPr>
        <w:tc>
          <w:tcPr>
            <w:tcW w:w="5529" w:type="dxa"/>
            <w:tcBorders>
              <w:top w:val="outset" w:sz="6" w:space="0" w:color="auto"/>
              <w:left w:val="outset" w:sz="6" w:space="0" w:color="auto"/>
              <w:bottom w:val="outset" w:sz="6" w:space="0" w:color="auto"/>
              <w:right w:val="outset" w:sz="6" w:space="0" w:color="auto"/>
            </w:tcBorders>
            <w:vAlign w:val="center"/>
          </w:tcPr>
          <w:p w14:paraId="2A1BBA20" w14:textId="77777777" w:rsidR="00AD4367" w:rsidRPr="006C4B9F" w:rsidRDefault="00AD4367" w:rsidP="00572718">
            <w:pPr>
              <w:pStyle w:val="naiskr"/>
              <w:spacing w:before="0" w:after="0"/>
              <w:jc w:val="both"/>
            </w:pPr>
            <w:r w:rsidRPr="006C4B9F">
              <w:t> Kā ir izmantota ES tiesību aktā paredzētā rīcības brīvība dalībvalstij pārņemt vai ieviest noteiktas ES tiesību akta normas.</w:t>
            </w:r>
          </w:p>
          <w:p w14:paraId="04C02C74" w14:textId="77777777" w:rsidR="00AD4367" w:rsidRPr="006C4B9F" w:rsidRDefault="00AD4367" w:rsidP="00572718">
            <w:pPr>
              <w:pStyle w:val="naiskr"/>
              <w:spacing w:before="0" w:after="0"/>
              <w:jc w:val="both"/>
            </w:pPr>
            <w:r w:rsidRPr="006C4B9F">
              <w:t>Kādēļ?</w:t>
            </w:r>
          </w:p>
        </w:tc>
        <w:tc>
          <w:tcPr>
            <w:tcW w:w="3827" w:type="dxa"/>
            <w:tcBorders>
              <w:top w:val="outset" w:sz="6" w:space="0" w:color="auto"/>
              <w:left w:val="outset" w:sz="6" w:space="0" w:color="auto"/>
              <w:bottom w:val="outset" w:sz="6" w:space="0" w:color="auto"/>
              <w:right w:val="outset" w:sz="6" w:space="0" w:color="auto"/>
            </w:tcBorders>
          </w:tcPr>
          <w:p w14:paraId="5B7614E9" w14:textId="77777777" w:rsidR="00AD4367" w:rsidRPr="00C1048C" w:rsidRDefault="00AD4367" w:rsidP="00572718">
            <w:pPr>
              <w:ind w:right="750"/>
              <w:jc w:val="both"/>
              <w:rPr>
                <w:b/>
              </w:rPr>
            </w:pPr>
          </w:p>
          <w:p w14:paraId="5C0D2661" w14:textId="77777777" w:rsidR="00AD4367" w:rsidRPr="00120E6E" w:rsidRDefault="00D15386" w:rsidP="00901094">
            <w:pPr>
              <w:jc w:val="both"/>
            </w:pPr>
            <w:r>
              <w:t>Direktīva</w:t>
            </w:r>
            <w:r w:rsidR="00901094">
              <w:t>s 2016/585, 2016/1028 un 2016/1029</w:t>
            </w:r>
            <w:r>
              <w:t xml:space="preserve"> neparedz rīcības brīvību dalībvalstij </w:t>
            </w:r>
            <w:r w:rsidRPr="006C4B9F">
              <w:t>pārņemt vai ieviest noteiktas ES tiesību akta normas</w:t>
            </w:r>
            <w:r w:rsidR="00AD4367">
              <w:t>.</w:t>
            </w:r>
          </w:p>
        </w:tc>
      </w:tr>
      <w:tr w:rsidR="00AD4367" w:rsidRPr="006C4B9F" w14:paraId="4791CC29" w14:textId="77777777" w:rsidTr="00285B2A">
        <w:trPr>
          <w:trHeight w:val="913"/>
          <w:tblCellSpacing w:w="0" w:type="dxa"/>
        </w:trPr>
        <w:tc>
          <w:tcPr>
            <w:tcW w:w="5529" w:type="dxa"/>
            <w:tcBorders>
              <w:top w:val="outset" w:sz="6" w:space="0" w:color="auto"/>
              <w:left w:val="outset" w:sz="6" w:space="0" w:color="auto"/>
              <w:bottom w:val="outset" w:sz="6" w:space="0" w:color="auto"/>
              <w:right w:val="outset" w:sz="6" w:space="0" w:color="auto"/>
            </w:tcBorders>
            <w:vAlign w:val="center"/>
          </w:tcPr>
          <w:p w14:paraId="5B96CC9B" w14:textId="77777777" w:rsidR="00AD4367" w:rsidRPr="006C4B9F" w:rsidRDefault="00AD4367" w:rsidP="00572718">
            <w:pPr>
              <w:pStyle w:val="naiskr"/>
              <w:spacing w:before="0" w:after="0"/>
              <w:jc w:val="both"/>
            </w:pPr>
            <w:r w:rsidRPr="006C4B9F">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7" w:type="dxa"/>
            <w:tcBorders>
              <w:top w:val="outset" w:sz="6" w:space="0" w:color="auto"/>
              <w:left w:val="outset" w:sz="6" w:space="0" w:color="auto"/>
              <w:bottom w:val="outset" w:sz="6" w:space="0" w:color="auto"/>
              <w:right w:val="outset" w:sz="6" w:space="0" w:color="auto"/>
            </w:tcBorders>
          </w:tcPr>
          <w:p w14:paraId="433446ED" w14:textId="77777777" w:rsidR="00AD4367" w:rsidRPr="006C4B9F" w:rsidRDefault="00AD4367" w:rsidP="00572718">
            <w:pPr>
              <w:pStyle w:val="naiskr"/>
              <w:spacing w:before="0" w:after="0"/>
            </w:pPr>
            <w:r w:rsidRPr="006C4B9F">
              <w:t> </w:t>
            </w:r>
            <w:r>
              <w:t>Projekts šo jomu neskar.</w:t>
            </w:r>
          </w:p>
        </w:tc>
      </w:tr>
      <w:tr w:rsidR="00AD4367" w:rsidRPr="006C4B9F" w14:paraId="414BE3BE" w14:textId="77777777" w:rsidTr="00285B2A">
        <w:trPr>
          <w:trHeight w:val="579"/>
          <w:tblCellSpacing w:w="0" w:type="dxa"/>
        </w:trPr>
        <w:tc>
          <w:tcPr>
            <w:tcW w:w="5529" w:type="dxa"/>
            <w:tcBorders>
              <w:top w:val="outset" w:sz="6" w:space="0" w:color="auto"/>
              <w:left w:val="outset" w:sz="6" w:space="0" w:color="auto"/>
              <w:bottom w:val="outset" w:sz="6" w:space="0" w:color="auto"/>
              <w:right w:val="outset" w:sz="6" w:space="0" w:color="auto"/>
            </w:tcBorders>
          </w:tcPr>
          <w:p w14:paraId="3F522779" w14:textId="77777777" w:rsidR="00AD4367" w:rsidRPr="006C4B9F" w:rsidRDefault="00AD4367" w:rsidP="00572718">
            <w:pPr>
              <w:pStyle w:val="naiskr"/>
              <w:spacing w:before="0" w:after="0"/>
            </w:pPr>
            <w:r w:rsidRPr="006C4B9F">
              <w:t> Cita informācija</w:t>
            </w:r>
          </w:p>
        </w:tc>
        <w:tc>
          <w:tcPr>
            <w:tcW w:w="3827" w:type="dxa"/>
            <w:tcBorders>
              <w:top w:val="outset" w:sz="6" w:space="0" w:color="auto"/>
              <w:left w:val="outset" w:sz="6" w:space="0" w:color="auto"/>
              <w:bottom w:val="outset" w:sz="6" w:space="0" w:color="auto"/>
              <w:right w:val="outset" w:sz="6" w:space="0" w:color="auto"/>
            </w:tcBorders>
          </w:tcPr>
          <w:p w14:paraId="4DC119FC" w14:textId="77777777" w:rsidR="00AD4367" w:rsidRPr="006C4B9F" w:rsidRDefault="00AD4367" w:rsidP="00572718">
            <w:pPr>
              <w:pStyle w:val="naiskr"/>
              <w:spacing w:before="0" w:after="0"/>
              <w:jc w:val="both"/>
            </w:pPr>
            <w:r>
              <w:t>Nav</w:t>
            </w:r>
          </w:p>
          <w:p w14:paraId="040EA7E6" w14:textId="77777777" w:rsidR="00AD4367" w:rsidRPr="006C4B9F" w:rsidRDefault="00AD4367" w:rsidP="00572718">
            <w:pPr>
              <w:pStyle w:val="naiskr"/>
              <w:spacing w:before="0" w:after="0"/>
              <w:jc w:val="both"/>
            </w:pPr>
          </w:p>
        </w:tc>
      </w:tr>
    </w:tbl>
    <w:p w14:paraId="176CCAEA" w14:textId="77777777" w:rsidR="00AD4367" w:rsidRPr="006C4B9F" w:rsidRDefault="00AD4367" w:rsidP="00AD4367">
      <w:pPr>
        <w:pStyle w:val="naisf"/>
        <w:ind w:firstLine="0"/>
      </w:pPr>
    </w:p>
    <w:p w14:paraId="40442539" w14:textId="77777777" w:rsidR="00AD4367" w:rsidRPr="00FB41DC" w:rsidRDefault="00AD4367" w:rsidP="00AD4367"/>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AD4367" w:rsidRPr="00FB41DC" w14:paraId="7BEDABEB" w14:textId="77777777" w:rsidTr="00572718">
        <w:trPr>
          <w:jc w:val="center"/>
        </w:trPr>
        <w:tc>
          <w:tcPr>
            <w:tcW w:w="9472" w:type="dxa"/>
            <w:gridSpan w:val="3"/>
            <w:tcMar>
              <w:top w:w="57" w:type="dxa"/>
              <w:left w:w="57" w:type="dxa"/>
              <w:bottom w:w="57" w:type="dxa"/>
              <w:right w:w="57" w:type="dxa"/>
            </w:tcMar>
          </w:tcPr>
          <w:p w14:paraId="1154C3F1" w14:textId="77777777" w:rsidR="00AD4367" w:rsidRPr="00FB41DC" w:rsidRDefault="00AD4367" w:rsidP="00572718">
            <w:pPr>
              <w:pStyle w:val="naisnod"/>
              <w:spacing w:before="0" w:after="0"/>
              <w:ind w:left="57" w:right="57"/>
            </w:pPr>
            <w:r w:rsidRPr="00FB41DC">
              <w:t>VI.</w:t>
            </w:r>
            <w:r w:rsidR="008536DA">
              <w:t> </w:t>
            </w:r>
            <w:r w:rsidRPr="00FB41DC">
              <w:t xml:space="preserve">Sabiedrības līdzdalība un </w:t>
            </w:r>
            <w:r>
              <w:t>komunikācijas aktivitātes</w:t>
            </w:r>
          </w:p>
        </w:tc>
      </w:tr>
      <w:tr w:rsidR="00AD4367" w:rsidRPr="00FB41DC" w14:paraId="2836AB7B" w14:textId="77777777" w:rsidTr="00DC6733">
        <w:trPr>
          <w:trHeight w:val="553"/>
          <w:jc w:val="center"/>
        </w:trPr>
        <w:tc>
          <w:tcPr>
            <w:tcW w:w="485" w:type="dxa"/>
            <w:tcMar>
              <w:top w:w="57" w:type="dxa"/>
              <w:left w:w="57" w:type="dxa"/>
              <w:bottom w:w="57" w:type="dxa"/>
              <w:right w:w="57" w:type="dxa"/>
            </w:tcMar>
          </w:tcPr>
          <w:p w14:paraId="67E95F7D" w14:textId="77777777" w:rsidR="00AD4367" w:rsidRPr="00FB41DC" w:rsidRDefault="00AD4367" w:rsidP="00572718">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7F0127D5" w14:textId="77777777" w:rsidR="00AD4367" w:rsidRPr="00FB41DC" w:rsidRDefault="00AD4367" w:rsidP="00572718">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6A620605" w14:textId="77777777" w:rsidR="00055928" w:rsidRDefault="00055928" w:rsidP="00055928">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p w14:paraId="4D8DE088" w14:textId="77777777" w:rsidR="00055928" w:rsidRDefault="00055928" w:rsidP="00055928">
            <w:pPr>
              <w:pStyle w:val="naiskr"/>
              <w:spacing w:before="0" w:after="0"/>
              <w:ind w:left="57" w:right="57"/>
              <w:jc w:val="both"/>
            </w:pPr>
            <w:r w:rsidRPr="00170A8E">
              <w:t xml:space="preserve">Sabiedrības pārstāvji ir informēti par iespēju līdzdarboties, publicējot paziņojumu par līdzdalības procesu </w:t>
            </w:r>
            <w:r>
              <w:t xml:space="preserve">Vides aizsardzības un reģionālās attīstības </w:t>
            </w:r>
            <w:r w:rsidRPr="00170A8E">
              <w:t>ministri</w:t>
            </w:r>
            <w:r>
              <w:t>jas tīmekļ</w:t>
            </w:r>
            <w:r w:rsidRPr="00170A8E">
              <w:t>vietnē</w:t>
            </w:r>
            <w:r>
              <w:t xml:space="preserve"> </w:t>
            </w:r>
            <w:hyperlink r:id="rId7" w:history="1">
              <w:r w:rsidRPr="00150A48">
                <w:rPr>
                  <w:rStyle w:val="Hyperlink"/>
                </w:rPr>
                <w:t>www.varam.gov.lv</w:t>
              </w:r>
            </w:hyperlink>
            <w:r>
              <w:t xml:space="preserve">. </w:t>
            </w:r>
          </w:p>
          <w:p w14:paraId="56EB9EC4" w14:textId="77777777" w:rsidR="00AD4367" w:rsidRPr="00FB41DC" w:rsidRDefault="00AD4367" w:rsidP="00055928">
            <w:pPr>
              <w:pStyle w:val="naiskr"/>
              <w:spacing w:before="0" w:after="0"/>
              <w:ind w:left="57" w:right="57"/>
              <w:jc w:val="both"/>
            </w:pPr>
            <w:r>
              <w:t xml:space="preserve">Noteikumu projekts </w:t>
            </w:r>
            <w:r w:rsidR="00055928">
              <w:t xml:space="preserve">un sākotnējās ietekmes novērtējuma ziņojums </w:t>
            </w:r>
            <w:r>
              <w:t>201</w:t>
            </w:r>
            <w:r w:rsidR="00901094">
              <w:t>6</w:t>
            </w:r>
            <w:r>
              <w:t>.</w:t>
            </w:r>
            <w:r w:rsidR="00055928">
              <w:t> </w:t>
            </w:r>
            <w:r>
              <w:t xml:space="preserve">gada </w:t>
            </w:r>
            <w:r w:rsidR="00901094">
              <w:t>7.</w:t>
            </w:r>
            <w:r w:rsidR="00055928">
              <w:t> </w:t>
            </w:r>
            <w:r w:rsidR="00901094">
              <w:t>novembr</w:t>
            </w:r>
            <w:r w:rsidR="00055928">
              <w:t>ī</w:t>
            </w:r>
            <w:r w:rsidRPr="009B45E5">
              <w:t xml:space="preserve"> </w:t>
            </w:r>
            <w:r w:rsidR="00055928">
              <w:t>publicēts</w:t>
            </w:r>
            <w:r>
              <w:t xml:space="preserve"> Vides aizsardzības un reģionālās attīstības ministrijas </w:t>
            </w:r>
            <w:r w:rsidR="00055928">
              <w:t>tīmekļvietnē: </w:t>
            </w:r>
            <w:hyperlink r:id="rId8" w:history="1">
              <w:r w:rsidRPr="00EB4802">
                <w:rPr>
                  <w:rStyle w:val="Hyperlink"/>
                </w:rPr>
                <w:t>www.varam.gov.lv</w:t>
              </w:r>
            </w:hyperlink>
            <w:r w:rsidR="00055928">
              <w:t>.</w:t>
            </w:r>
            <w:r>
              <w:t xml:space="preserve"> </w:t>
            </w:r>
          </w:p>
        </w:tc>
      </w:tr>
      <w:tr w:rsidR="00AD4367" w:rsidRPr="00FB41DC" w14:paraId="2A153AEF" w14:textId="77777777" w:rsidTr="00DC6733">
        <w:trPr>
          <w:trHeight w:val="339"/>
          <w:jc w:val="center"/>
        </w:trPr>
        <w:tc>
          <w:tcPr>
            <w:tcW w:w="485" w:type="dxa"/>
            <w:tcMar>
              <w:top w:w="57" w:type="dxa"/>
              <w:left w:w="57" w:type="dxa"/>
              <w:bottom w:w="57" w:type="dxa"/>
              <w:right w:w="57" w:type="dxa"/>
            </w:tcMar>
          </w:tcPr>
          <w:p w14:paraId="545D6533" w14:textId="77777777" w:rsidR="00AD4367" w:rsidRPr="00FB41DC" w:rsidRDefault="00AD4367" w:rsidP="00572718">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1E00355D" w14:textId="77777777" w:rsidR="00AD4367" w:rsidRPr="00FB41DC" w:rsidRDefault="00AD4367" w:rsidP="00572718">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090BF07A" w14:textId="77777777" w:rsidR="00AD4367" w:rsidRPr="00FB41DC" w:rsidRDefault="00AD4367" w:rsidP="00572718">
            <w:pPr>
              <w:pStyle w:val="naiskr"/>
              <w:spacing w:before="0" w:after="0"/>
              <w:ind w:right="57"/>
              <w:jc w:val="both"/>
            </w:pPr>
            <w:r>
              <w:t xml:space="preserve">Priekšlikumi vai iebildumi par noteikumu projektu </w:t>
            </w:r>
            <w:r w:rsidR="00055928">
              <w:t xml:space="preserve">un tā sākotnējās ietekmes novērtējuma ziņojumu </w:t>
            </w:r>
            <w:r>
              <w:t>nav saņemti.</w:t>
            </w:r>
          </w:p>
        </w:tc>
      </w:tr>
      <w:tr w:rsidR="00AD4367" w:rsidRPr="00FB41DC" w14:paraId="3AA614C8" w14:textId="77777777" w:rsidTr="00DC6733">
        <w:trPr>
          <w:trHeight w:val="375"/>
          <w:jc w:val="center"/>
        </w:trPr>
        <w:tc>
          <w:tcPr>
            <w:tcW w:w="485" w:type="dxa"/>
            <w:tcMar>
              <w:top w:w="57" w:type="dxa"/>
              <w:left w:w="57" w:type="dxa"/>
              <w:bottom w:w="57" w:type="dxa"/>
              <w:right w:w="57" w:type="dxa"/>
            </w:tcMar>
          </w:tcPr>
          <w:p w14:paraId="0B82A8A9" w14:textId="77777777" w:rsidR="00AD4367" w:rsidRPr="00FB41DC" w:rsidRDefault="00AD4367" w:rsidP="00572718">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2E8D19F6" w14:textId="77777777" w:rsidR="00AD4367" w:rsidRPr="00FB41DC" w:rsidRDefault="00AD4367" w:rsidP="00572718">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7629BF8A" w14:textId="77777777" w:rsidR="00AD4367" w:rsidRPr="00FB41DC" w:rsidRDefault="00AD4367" w:rsidP="00572718">
            <w:pPr>
              <w:pStyle w:val="naiskr"/>
              <w:spacing w:before="0" w:after="0"/>
              <w:ind w:right="57"/>
              <w:jc w:val="both"/>
            </w:pPr>
            <w:r>
              <w:t xml:space="preserve">Saņemtie priekšlikumi pēc izvērtēšanas tiks iestrādāti noteikumi projektā vai arī tiks sniegts pamatojums, kāpēc sabiedrības priekšlikumi nav iekļaujami noteikumu </w:t>
            </w:r>
            <w:r>
              <w:lastRenderedPageBreak/>
              <w:t>projektā.</w:t>
            </w:r>
          </w:p>
        </w:tc>
      </w:tr>
      <w:tr w:rsidR="00AD4367" w:rsidRPr="00FB41DC" w14:paraId="6CD51328" w14:textId="77777777" w:rsidTr="00DC6733">
        <w:trPr>
          <w:trHeight w:val="476"/>
          <w:jc w:val="center"/>
        </w:trPr>
        <w:tc>
          <w:tcPr>
            <w:tcW w:w="485" w:type="dxa"/>
            <w:tcMar>
              <w:top w:w="57" w:type="dxa"/>
              <w:left w:w="57" w:type="dxa"/>
              <w:bottom w:w="57" w:type="dxa"/>
              <w:right w:w="57" w:type="dxa"/>
            </w:tcMar>
          </w:tcPr>
          <w:p w14:paraId="10781C0B" w14:textId="77777777" w:rsidR="00AD4367" w:rsidRPr="00FB41DC" w:rsidRDefault="00AD4367" w:rsidP="00572718">
            <w:pPr>
              <w:pStyle w:val="naiskr"/>
              <w:spacing w:before="0" w:after="0"/>
              <w:ind w:left="57" w:right="57"/>
              <w:rPr>
                <w:bCs/>
              </w:rPr>
            </w:pPr>
            <w:r>
              <w:rPr>
                <w:bCs/>
              </w:rPr>
              <w:lastRenderedPageBreak/>
              <w:t>4</w:t>
            </w:r>
            <w:r w:rsidRPr="00FB41DC">
              <w:rPr>
                <w:bCs/>
              </w:rPr>
              <w:t>.</w:t>
            </w:r>
          </w:p>
        </w:tc>
        <w:tc>
          <w:tcPr>
            <w:tcW w:w="3118" w:type="dxa"/>
            <w:tcMar>
              <w:top w:w="57" w:type="dxa"/>
              <w:left w:w="57" w:type="dxa"/>
              <w:bottom w:w="57" w:type="dxa"/>
              <w:right w:w="57" w:type="dxa"/>
            </w:tcMar>
          </w:tcPr>
          <w:p w14:paraId="6AD88E3C" w14:textId="77777777" w:rsidR="00AD4367" w:rsidRPr="00FB41DC" w:rsidRDefault="00AD4367" w:rsidP="00572718">
            <w:pPr>
              <w:pStyle w:val="naiskr"/>
              <w:spacing w:before="0" w:after="0"/>
              <w:ind w:left="57" w:right="57"/>
            </w:pPr>
            <w:r w:rsidRPr="00FB41DC">
              <w:t>Cita informācija</w:t>
            </w:r>
          </w:p>
        </w:tc>
        <w:tc>
          <w:tcPr>
            <w:tcW w:w="5869" w:type="dxa"/>
            <w:tcMar>
              <w:top w:w="57" w:type="dxa"/>
              <w:left w:w="57" w:type="dxa"/>
              <w:bottom w:w="57" w:type="dxa"/>
              <w:right w:w="57" w:type="dxa"/>
            </w:tcMar>
          </w:tcPr>
          <w:p w14:paraId="10D59580" w14:textId="77777777" w:rsidR="00AD4367" w:rsidRPr="00FB41DC" w:rsidRDefault="00AD4367" w:rsidP="00572718">
            <w:pPr>
              <w:pStyle w:val="naiskr"/>
              <w:spacing w:before="0" w:after="0"/>
              <w:ind w:right="57"/>
              <w:jc w:val="both"/>
            </w:pPr>
            <w:r>
              <w:t>Nav</w:t>
            </w:r>
          </w:p>
        </w:tc>
      </w:tr>
    </w:tbl>
    <w:p w14:paraId="454CE68F" w14:textId="77777777" w:rsidR="00AD4367" w:rsidRPr="00FB41DC" w:rsidRDefault="00AD4367" w:rsidP="00AD436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AD4367" w:rsidRPr="00FB41DC" w14:paraId="55210605" w14:textId="77777777" w:rsidTr="00572718">
        <w:trPr>
          <w:jc w:val="center"/>
        </w:trPr>
        <w:tc>
          <w:tcPr>
            <w:tcW w:w="9474" w:type="dxa"/>
            <w:gridSpan w:val="3"/>
            <w:tcBorders>
              <w:top w:val="single" w:sz="4" w:space="0" w:color="auto"/>
            </w:tcBorders>
            <w:tcMar>
              <w:top w:w="57" w:type="dxa"/>
              <w:left w:w="57" w:type="dxa"/>
              <w:bottom w:w="57" w:type="dxa"/>
              <w:right w:w="57" w:type="dxa"/>
            </w:tcMar>
          </w:tcPr>
          <w:p w14:paraId="3235CDB2" w14:textId="77777777" w:rsidR="00AD4367" w:rsidRPr="00FB41DC" w:rsidRDefault="00AD4367" w:rsidP="00572718">
            <w:pPr>
              <w:pStyle w:val="naisnod"/>
              <w:spacing w:before="0" w:after="0"/>
              <w:ind w:left="57" w:right="57"/>
            </w:pPr>
            <w:r w:rsidRPr="00FB41DC">
              <w:t>VII.</w:t>
            </w:r>
            <w:r w:rsidR="00055928">
              <w:t> </w:t>
            </w:r>
            <w:r w:rsidRPr="00FB41DC">
              <w:t>Tiesību akta projekta izpildes nodrošināšana un tās ietekme uz institūcijām</w:t>
            </w:r>
          </w:p>
        </w:tc>
      </w:tr>
      <w:tr w:rsidR="00AD4367" w:rsidRPr="00FB41DC" w14:paraId="705AFF1D" w14:textId="77777777" w:rsidTr="00DC6733">
        <w:trPr>
          <w:trHeight w:val="427"/>
          <w:jc w:val="center"/>
        </w:trPr>
        <w:tc>
          <w:tcPr>
            <w:tcW w:w="486" w:type="dxa"/>
            <w:tcMar>
              <w:top w:w="57" w:type="dxa"/>
              <w:left w:w="57" w:type="dxa"/>
              <w:bottom w:w="57" w:type="dxa"/>
              <w:right w:w="57" w:type="dxa"/>
            </w:tcMar>
          </w:tcPr>
          <w:p w14:paraId="6EF0DE48" w14:textId="77777777" w:rsidR="00AD4367" w:rsidRPr="00FB41DC" w:rsidRDefault="00AD4367" w:rsidP="00572718">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298C62A6" w14:textId="77777777" w:rsidR="00AD4367" w:rsidRPr="00FB41DC" w:rsidRDefault="00AD4367" w:rsidP="00572718">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09B142C4" w14:textId="77777777" w:rsidR="00AD4367" w:rsidRPr="00563D3C" w:rsidRDefault="00AD4367" w:rsidP="00AD4367">
            <w:pPr>
              <w:pStyle w:val="naisc"/>
              <w:spacing w:before="0" w:after="0"/>
              <w:jc w:val="both"/>
            </w:pPr>
            <w:r w:rsidRPr="00563D3C">
              <w:t>Vides aizsardzības un reģionālās attīstības ministrija, Patērētāju tiesību aizsardzības centrs, Zāļu valsts aģentūra, Veselības inspekcija.</w:t>
            </w:r>
          </w:p>
        </w:tc>
      </w:tr>
      <w:tr w:rsidR="00AD4367" w:rsidRPr="00FB41DC" w14:paraId="4C7FE61E" w14:textId="77777777" w:rsidTr="00DC6733">
        <w:trPr>
          <w:trHeight w:val="463"/>
          <w:jc w:val="center"/>
        </w:trPr>
        <w:tc>
          <w:tcPr>
            <w:tcW w:w="486" w:type="dxa"/>
            <w:tcMar>
              <w:top w:w="57" w:type="dxa"/>
              <w:left w:w="57" w:type="dxa"/>
              <w:bottom w:w="57" w:type="dxa"/>
              <w:right w:w="57" w:type="dxa"/>
            </w:tcMar>
          </w:tcPr>
          <w:p w14:paraId="6DF9F84A" w14:textId="77777777" w:rsidR="00AD4367" w:rsidRPr="00FB41DC" w:rsidRDefault="00AD4367" w:rsidP="00572718">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29B7195C" w14:textId="77777777" w:rsidR="00AD4367" w:rsidRPr="00FB41DC" w:rsidRDefault="00AD4367" w:rsidP="00572718">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7054963E" w14:textId="77777777" w:rsidR="00AD4367" w:rsidRDefault="00AD4367" w:rsidP="00563D3C">
            <w:pPr>
              <w:pStyle w:val="naisnod"/>
              <w:spacing w:before="0" w:after="0"/>
              <w:ind w:right="57"/>
              <w:jc w:val="both"/>
              <w:rPr>
                <w:b w:val="0"/>
              </w:rPr>
            </w:pPr>
            <w:r>
              <w:rPr>
                <w:b w:val="0"/>
              </w:rPr>
              <w:t>Noteikumu projekts neietekmē iesaistīto institūciju funkcijas un uzdevumus.</w:t>
            </w:r>
          </w:p>
          <w:p w14:paraId="7814AEB9" w14:textId="77777777" w:rsidR="00AD4367" w:rsidRPr="00F862E3" w:rsidRDefault="00055928" w:rsidP="002F2520">
            <w:pPr>
              <w:pStyle w:val="naisnod"/>
              <w:spacing w:before="0" w:after="0"/>
              <w:ind w:right="57"/>
              <w:jc w:val="both"/>
              <w:rPr>
                <w:b w:val="0"/>
              </w:rPr>
            </w:pPr>
            <w:r w:rsidRPr="002F2520">
              <w:rPr>
                <w:b w:val="0"/>
                <w:bCs w:val="0"/>
              </w:rPr>
              <w:t>Jaunas institūcijas nav jāveido. Esošās institūcijas nav jāreorganizē.</w:t>
            </w:r>
          </w:p>
        </w:tc>
      </w:tr>
      <w:tr w:rsidR="00AD4367" w:rsidRPr="00FB41DC" w14:paraId="551E00DE" w14:textId="77777777" w:rsidTr="00DC6733">
        <w:trPr>
          <w:trHeight w:val="476"/>
          <w:jc w:val="center"/>
        </w:trPr>
        <w:tc>
          <w:tcPr>
            <w:tcW w:w="486" w:type="dxa"/>
            <w:tcMar>
              <w:top w:w="57" w:type="dxa"/>
              <w:left w:w="57" w:type="dxa"/>
              <w:bottom w:w="57" w:type="dxa"/>
              <w:right w:w="57" w:type="dxa"/>
            </w:tcMar>
          </w:tcPr>
          <w:p w14:paraId="61ABF0ED" w14:textId="77777777" w:rsidR="00AD4367" w:rsidRPr="00FB41DC" w:rsidRDefault="00AD4367" w:rsidP="00572718">
            <w:pPr>
              <w:pStyle w:val="naiskr"/>
              <w:spacing w:before="0" w:after="0"/>
              <w:ind w:left="57" w:right="57"/>
            </w:pPr>
            <w:r>
              <w:t>3</w:t>
            </w:r>
            <w:r w:rsidRPr="00FB41DC">
              <w:t>.</w:t>
            </w:r>
          </w:p>
        </w:tc>
        <w:tc>
          <w:tcPr>
            <w:tcW w:w="3118" w:type="dxa"/>
            <w:tcMar>
              <w:top w:w="57" w:type="dxa"/>
              <w:left w:w="57" w:type="dxa"/>
              <w:bottom w:w="57" w:type="dxa"/>
              <w:right w:w="57" w:type="dxa"/>
            </w:tcMar>
          </w:tcPr>
          <w:p w14:paraId="1C46A0BF" w14:textId="77777777" w:rsidR="00AD4367" w:rsidRPr="00FB41DC" w:rsidRDefault="00AD4367" w:rsidP="00572718">
            <w:pPr>
              <w:pStyle w:val="naiskr"/>
              <w:spacing w:before="0" w:after="0"/>
              <w:ind w:left="57" w:right="57"/>
            </w:pPr>
            <w:r w:rsidRPr="00FB41DC">
              <w:t>Cita informācija</w:t>
            </w:r>
          </w:p>
        </w:tc>
        <w:tc>
          <w:tcPr>
            <w:tcW w:w="5870" w:type="dxa"/>
            <w:tcMar>
              <w:top w:w="57" w:type="dxa"/>
              <w:left w:w="57" w:type="dxa"/>
              <w:bottom w:w="57" w:type="dxa"/>
              <w:right w:w="57" w:type="dxa"/>
            </w:tcMar>
          </w:tcPr>
          <w:p w14:paraId="5C918166" w14:textId="77777777" w:rsidR="00AD4367" w:rsidRPr="00FB41DC" w:rsidRDefault="00AD4367" w:rsidP="00572718">
            <w:pPr>
              <w:pStyle w:val="naiskr"/>
              <w:spacing w:before="0" w:after="0"/>
              <w:ind w:left="57" w:right="57"/>
            </w:pPr>
            <w:r>
              <w:t>Nav</w:t>
            </w:r>
          </w:p>
        </w:tc>
      </w:tr>
    </w:tbl>
    <w:p w14:paraId="7B14242E" w14:textId="77777777" w:rsidR="00AD4367" w:rsidRPr="00513831" w:rsidRDefault="00AD4367" w:rsidP="00AD4367">
      <w:pPr>
        <w:pStyle w:val="tvhtml1"/>
        <w:jc w:val="both"/>
        <w:rPr>
          <w:rFonts w:ascii="Times New Roman" w:hAnsi="Times New Roman"/>
          <w:sz w:val="24"/>
          <w:szCs w:val="24"/>
          <w:lang w:val="lv-LV"/>
        </w:rPr>
      </w:pPr>
      <w:r w:rsidRPr="008D0542">
        <w:rPr>
          <w:rFonts w:ascii="Times New Roman" w:hAnsi="Times New Roman"/>
          <w:b/>
          <w:sz w:val="24"/>
          <w:szCs w:val="24"/>
          <w:lang w:val="lv-LV"/>
        </w:rPr>
        <w:t xml:space="preserve">Anotācijas III </w:t>
      </w:r>
      <w:r>
        <w:rPr>
          <w:rFonts w:ascii="Times New Roman" w:hAnsi="Times New Roman"/>
          <w:b/>
          <w:sz w:val="24"/>
          <w:szCs w:val="24"/>
          <w:lang w:val="lv-LV"/>
        </w:rPr>
        <w:t xml:space="preserve">un IV </w:t>
      </w:r>
      <w:r w:rsidRPr="008D0542">
        <w:rPr>
          <w:rFonts w:ascii="Times New Roman" w:hAnsi="Times New Roman"/>
          <w:b/>
          <w:sz w:val="24"/>
          <w:szCs w:val="24"/>
          <w:lang w:val="lv-LV"/>
        </w:rPr>
        <w:t>sadaļa</w:t>
      </w:r>
      <w:r w:rsidR="00055928">
        <w:rPr>
          <w:rFonts w:ascii="Times New Roman" w:hAnsi="Times New Roman"/>
          <w:b/>
          <w:sz w:val="24"/>
          <w:szCs w:val="24"/>
          <w:lang w:val="lv-LV"/>
        </w:rPr>
        <w:t xml:space="preserve"> un V sadaļas 2. tabula</w:t>
      </w:r>
      <w:r w:rsidRPr="008D0542">
        <w:rPr>
          <w:rFonts w:ascii="Times New Roman" w:hAnsi="Times New Roman"/>
          <w:b/>
          <w:sz w:val="24"/>
          <w:szCs w:val="24"/>
          <w:lang w:val="lv-LV"/>
        </w:rPr>
        <w:t xml:space="preserve"> - </w:t>
      </w:r>
      <w:r w:rsidRPr="008D0542">
        <w:rPr>
          <w:rFonts w:ascii="Times New Roman" w:hAnsi="Times New Roman"/>
          <w:sz w:val="24"/>
          <w:szCs w:val="24"/>
          <w:lang w:val="lv-LV"/>
        </w:rPr>
        <w:t>proje</w:t>
      </w:r>
      <w:r w:rsidRPr="008D0542">
        <w:rPr>
          <w:rFonts w:ascii="Times New Roman" w:hAnsi="Times New Roman"/>
          <w:iCs/>
          <w:sz w:val="24"/>
          <w:szCs w:val="24"/>
          <w:lang w:val="lv-LV"/>
        </w:rPr>
        <w:t>kts šo jomu neskar.</w:t>
      </w:r>
    </w:p>
    <w:p w14:paraId="4EBCE941" w14:textId="77777777" w:rsidR="00AD4367" w:rsidRDefault="00AD4367" w:rsidP="00AD4367">
      <w:pPr>
        <w:pStyle w:val="naisf"/>
        <w:spacing w:before="0" w:after="0"/>
        <w:ind w:firstLine="374"/>
        <w:rPr>
          <w:b/>
        </w:rPr>
      </w:pPr>
    </w:p>
    <w:p w14:paraId="404D35DC" w14:textId="77777777" w:rsidR="00AD4367" w:rsidRPr="00ED433D" w:rsidRDefault="00AD4367" w:rsidP="00AD4367">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6D180B31" w14:textId="77777777" w:rsidR="0061486C" w:rsidRDefault="0061486C" w:rsidP="00AD4367">
      <w:r>
        <w:t>reģi</w:t>
      </w:r>
      <w:r w:rsidR="008A0F9D">
        <w:t>onālās attīstības ministrs</w:t>
      </w:r>
      <w:r w:rsidR="008A0F9D">
        <w:tab/>
      </w:r>
      <w:r w:rsidR="008A0F9D">
        <w:tab/>
      </w:r>
      <w:r w:rsidR="008A0F9D">
        <w:tab/>
      </w:r>
      <w:r w:rsidR="008A0F9D">
        <w:tab/>
      </w:r>
      <w:r w:rsidR="008A0F9D">
        <w:tab/>
      </w:r>
      <w:r w:rsidR="008A0F9D">
        <w:tab/>
      </w:r>
      <w:r w:rsidR="00CA76A5">
        <w:t>K.</w:t>
      </w:r>
      <w:r w:rsidR="00055928">
        <w:t> </w:t>
      </w:r>
      <w:r w:rsidR="00CA76A5">
        <w:t>Gerhards</w:t>
      </w:r>
    </w:p>
    <w:p w14:paraId="4E724193" w14:textId="77777777" w:rsidR="00AD4367" w:rsidRPr="00ED433D" w:rsidRDefault="00AD4367" w:rsidP="00AD4367"/>
    <w:p w14:paraId="27D69310" w14:textId="77777777" w:rsidR="00E13FF8" w:rsidRDefault="00AD4367">
      <w:pPr>
        <w:rPr>
          <w:sz w:val="20"/>
          <w:szCs w:val="20"/>
        </w:rPr>
      </w:pPr>
      <w:r w:rsidRPr="00055928">
        <w:rPr>
          <w:sz w:val="20"/>
          <w:szCs w:val="20"/>
        </w:rPr>
        <w:t>Doniņa</w:t>
      </w:r>
      <w:r w:rsidR="00E13FF8">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r w:rsidRPr="00055928">
        <w:rPr>
          <w:sz w:val="20"/>
          <w:szCs w:val="20"/>
        </w:rPr>
        <w:t xml:space="preserve">; </w:t>
      </w:r>
    </w:p>
    <w:p w14:paraId="37D46632" w14:textId="6DD48B26" w:rsidR="00572718" w:rsidRPr="00563D3C" w:rsidRDefault="00BE6844">
      <w:pPr>
        <w:rPr>
          <w:sz w:val="20"/>
          <w:szCs w:val="20"/>
        </w:rPr>
      </w:pPr>
      <w:hyperlink r:id="rId9" w:history="1">
        <w:r w:rsidR="00AD4367" w:rsidRPr="00055928">
          <w:rPr>
            <w:rStyle w:val="Hyperlink"/>
            <w:sz w:val="20"/>
            <w:szCs w:val="20"/>
          </w:rPr>
          <w:t>ilze.donina@varam.gov.lv</w:t>
        </w:r>
      </w:hyperlink>
      <w:bookmarkStart w:id="0" w:name="_GoBack"/>
      <w:bookmarkEnd w:id="0"/>
    </w:p>
    <w:sectPr w:rsidR="00572718" w:rsidRPr="00563D3C" w:rsidSect="00572718">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F25F" w14:textId="77777777" w:rsidR="00BE6844" w:rsidRDefault="00BE6844">
      <w:r>
        <w:separator/>
      </w:r>
    </w:p>
  </w:endnote>
  <w:endnote w:type="continuationSeparator" w:id="0">
    <w:p w14:paraId="1E1DDF8E" w14:textId="77777777" w:rsidR="00BE6844" w:rsidRDefault="00BE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955ED" w14:textId="02079C1B" w:rsidR="0067567B" w:rsidRPr="002F2520" w:rsidRDefault="0067567B" w:rsidP="00563D3C">
    <w:pPr>
      <w:jc w:val="both"/>
      <w:rPr>
        <w:sz w:val="20"/>
        <w:szCs w:val="20"/>
      </w:rPr>
    </w:pPr>
    <w:r w:rsidRPr="002F2520">
      <w:rPr>
        <w:sz w:val="20"/>
        <w:szCs w:val="20"/>
      </w:rPr>
      <w:t>VARAMAnot_</w:t>
    </w:r>
    <w:r w:rsidR="00E13FF8">
      <w:rPr>
        <w:sz w:val="20"/>
        <w:szCs w:val="20"/>
      </w:rPr>
      <w:t>120117</w:t>
    </w:r>
    <w:r w:rsidRPr="002F2520">
      <w:rPr>
        <w:sz w:val="20"/>
        <w:szCs w:val="20"/>
      </w:rPr>
      <w:t>_ROHS</w:t>
    </w:r>
    <w:r w:rsidRPr="002F2520">
      <w:rPr>
        <w:b/>
        <w:sz w:val="20"/>
        <w:szCs w:val="20"/>
      </w:rPr>
      <w:t xml:space="preserve">; </w:t>
    </w:r>
    <w:r w:rsidRPr="002F2520">
      <w:rPr>
        <w:sz w:val="20"/>
        <w:szCs w:val="20"/>
      </w:rPr>
      <w:t>Ministru kabineta noteikumu projekta „Grozījumi Ministru kabineta 2013.</w:t>
    </w:r>
    <w:r w:rsidR="00DA6AC0">
      <w:rPr>
        <w:sz w:val="20"/>
        <w:szCs w:val="20"/>
      </w:rPr>
      <w:t> </w:t>
    </w:r>
    <w:r w:rsidRPr="002F2520">
      <w:rPr>
        <w:sz w:val="20"/>
        <w:szCs w:val="20"/>
      </w:rPr>
      <w:t>gada 5.</w:t>
    </w:r>
    <w:r w:rsidR="00DA6AC0">
      <w:rPr>
        <w:sz w:val="20"/>
        <w:szCs w:val="20"/>
      </w:rPr>
      <w:t> </w:t>
    </w:r>
    <w:r w:rsidRPr="002F2520">
      <w:rPr>
        <w:sz w:val="20"/>
        <w:szCs w:val="20"/>
      </w:rPr>
      <w:t>februāra noteikumos Nr.</w:t>
    </w:r>
    <w:r w:rsidR="00DA6AC0">
      <w:rPr>
        <w:sz w:val="20"/>
        <w:szCs w:val="20"/>
      </w:rPr>
      <w:t> </w:t>
    </w:r>
    <w:r w:rsidRPr="002F2520">
      <w:rPr>
        <w:sz w:val="20"/>
        <w:szCs w:val="20"/>
      </w:rPr>
      <w:t xml:space="preserve">84 </w:t>
    </w:r>
    <w:r w:rsidR="00DA6AC0">
      <w:rPr>
        <w:sz w:val="20"/>
        <w:szCs w:val="20"/>
      </w:rPr>
      <w:t>„</w:t>
    </w:r>
    <w:r w:rsidRPr="002F2520">
      <w:rPr>
        <w:sz w:val="20"/>
        <w:szCs w:val="20"/>
      </w:rPr>
      <w:t xml:space="preserve">Noteikumi par atsevišķu ķīmisku vielu lietošanas ierobežojumiem elektriskajās un elektroniskajās iekārtās”” sākotnējās ietekmes novērtējuma </w:t>
    </w:r>
    <w:smartTag w:uri="schemas-tilde-lv/tildestengine" w:element="veidnes">
      <w:smartTagPr>
        <w:attr w:name="id" w:val="-1"/>
        <w:attr w:name="baseform" w:val="ziņojums"/>
        <w:attr w:name="text" w:val="ziņojums"/>
      </w:smartTagPr>
      <w:r w:rsidRPr="002F2520">
        <w:rPr>
          <w:sz w:val="20"/>
          <w:szCs w:val="20"/>
        </w:rPr>
        <w:t>ziņojums</w:t>
      </w:r>
    </w:smartTag>
    <w:r w:rsidRPr="002F2520">
      <w:rPr>
        <w:sz w:val="20"/>
        <w:szCs w:val="20"/>
      </w:rPr>
      <w:t xml:space="preserve"> (anotācija)</w:t>
    </w:r>
  </w:p>
  <w:p w14:paraId="1CE25797" w14:textId="77777777" w:rsidR="0067567B" w:rsidRPr="00DA6AC0" w:rsidRDefault="0067567B" w:rsidP="00572718">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3D56" w14:textId="4A4966AA" w:rsidR="0067567B" w:rsidRPr="002F2520" w:rsidRDefault="0067567B" w:rsidP="00563D3C">
    <w:pPr>
      <w:jc w:val="both"/>
      <w:rPr>
        <w:sz w:val="20"/>
        <w:szCs w:val="20"/>
      </w:rPr>
    </w:pPr>
    <w:r w:rsidRPr="002F2520">
      <w:rPr>
        <w:sz w:val="20"/>
        <w:szCs w:val="20"/>
      </w:rPr>
      <w:t>VARAMAnot_</w:t>
    </w:r>
    <w:r w:rsidR="00E13FF8">
      <w:rPr>
        <w:sz w:val="20"/>
        <w:szCs w:val="20"/>
      </w:rPr>
      <w:t>120117</w:t>
    </w:r>
    <w:r w:rsidRPr="002F2520">
      <w:rPr>
        <w:sz w:val="20"/>
        <w:szCs w:val="20"/>
      </w:rPr>
      <w:t>_ROHS</w:t>
    </w:r>
    <w:r w:rsidRPr="002F2520">
      <w:rPr>
        <w:b/>
        <w:sz w:val="20"/>
        <w:szCs w:val="20"/>
      </w:rPr>
      <w:t xml:space="preserve">; </w:t>
    </w:r>
    <w:r w:rsidRPr="002F2520">
      <w:rPr>
        <w:sz w:val="20"/>
        <w:szCs w:val="20"/>
      </w:rPr>
      <w:t>Ministru kabineta noteikumu projekta „Grozījumi Ministru kabineta 2013.</w:t>
    </w:r>
    <w:r w:rsidR="00DA6AC0">
      <w:rPr>
        <w:sz w:val="20"/>
        <w:szCs w:val="20"/>
      </w:rPr>
      <w:t> </w:t>
    </w:r>
    <w:r w:rsidRPr="002F2520">
      <w:rPr>
        <w:sz w:val="20"/>
        <w:szCs w:val="20"/>
      </w:rPr>
      <w:t>gada 5.</w:t>
    </w:r>
    <w:r w:rsidR="00DA6AC0">
      <w:rPr>
        <w:sz w:val="20"/>
        <w:szCs w:val="20"/>
      </w:rPr>
      <w:t> </w:t>
    </w:r>
    <w:r w:rsidRPr="002F2520">
      <w:rPr>
        <w:sz w:val="20"/>
        <w:szCs w:val="20"/>
      </w:rPr>
      <w:t>februāra noteikumos Nr.</w:t>
    </w:r>
    <w:r w:rsidR="00DA6AC0">
      <w:rPr>
        <w:sz w:val="20"/>
        <w:szCs w:val="20"/>
      </w:rPr>
      <w:t> </w:t>
    </w:r>
    <w:r w:rsidRPr="002F2520">
      <w:rPr>
        <w:sz w:val="20"/>
        <w:szCs w:val="20"/>
      </w:rPr>
      <w:t xml:space="preserve">84 </w:t>
    </w:r>
    <w:r w:rsidR="00DA6AC0">
      <w:rPr>
        <w:sz w:val="20"/>
        <w:szCs w:val="20"/>
      </w:rPr>
      <w:t>„</w:t>
    </w:r>
    <w:r w:rsidRPr="002F2520">
      <w:rPr>
        <w:sz w:val="20"/>
        <w:szCs w:val="20"/>
      </w:rPr>
      <w:t xml:space="preserve">Noteikumi par atsevišķu ķīmisku vielu lietošanas ierobežojumiem elektriskajās un elektroniskajās iekārtās”” sākotnējās ietekmes novērtējuma </w:t>
    </w:r>
    <w:smartTag w:uri="schemas-tilde-lv/tildestengine" w:element="veidnes">
      <w:smartTagPr>
        <w:attr w:name="text" w:val="ziņojums"/>
        <w:attr w:name="baseform" w:val="ziņojums"/>
        <w:attr w:name="id" w:val="-1"/>
      </w:smartTagPr>
      <w:r w:rsidRPr="002F2520">
        <w:rPr>
          <w:sz w:val="20"/>
          <w:szCs w:val="20"/>
        </w:rPr>
        <w:t>ziņojums</w:t>
      </w:r>
    </w:smartTag>
    <w:r w:rsidRPr="002F2520">
      <w:rPr>
        <w:sz w:val="20"/>
        <w:szCs w:val="20"/>
      </w:rPr>
      <w:t xml:space="preserve"> (anotācija)</w:t>
    </w:r>
  </w:p>
  <w:p w14:paraId="04A70900" w14:textId="77777777" w:rsidR="0067567B" w:rsidRPr="00E306D8" w:rsidRDefault="0067567B" w:rsidP="00572718">
    <w:pPr>
      <w:pStyle w:val="Title"/>
      <w:jc w:val="both"/>
      <w:rPr>
        <w:b w:val="0"/>
      </w:rPr>
    </w:pPr>
  </w:p>
  <w:p w14:paraId="1711090A" w14:textId="77777777" w:rsidR="0067567B" w:rsidRPr="003C4EBC" w:rsidRDefault="0067567B" w:rsidP="00572718">
    <w:pPr>
      <w:pStyle w:val="Title"/>
      <w:jc w:val="both"/>
      <w:rPr>
        <w:b w:val="0"/>
      </w:rPr>
    </w:pPr>
  </w:p>
  <w:p w14:paraId="0394756A" w14:textId="77777777" w:rsidR="0067567B" w:rsidRPr="0091577B" w:rsidRDefault="0067567B" w:rsidP="00572718">
    <w:pPr>
      <w:pStyle w:val="Title"/>
      <w:jc w:val="both"/>
      <w:rPr>
        <w:b w:val="0"/>
        <w:bCs w:val="0"/>
      </w:rPr>
    </w:pPr>
  </w:p>
  <w:p w14:paraId="7169207F" w14:textId="77777777" w:rsidR="0067567B" w:rsidRPr="00503A61" w:rsidRDefault="0067567B" w:rsidP="00572718">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6B03D" w14:textId="77777777" w:rsidR="00BE6844" w:rsidRDefault="00BE6844">
      <w:r>
        <w:separator/>
      </w:r>
    </w:p>
  </w:footnote>
  <w:footnote w:type="continuationSeparator" w:id="0">
    <w:p w14:paraId="59EFBCCF" w14:textId="77777777" w:rsidR="00BE6844" w:rsidRDefault="00BE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6B0" w14:textId="77777777" w:rsidR="0067567B" w:rsidRDefault="0067567B">
    <w:pPr>
      <w:pStyle w:val="Header"/>
    </w:pPr>
    <w:r w:rsidRPr="00013525">
      <w:rPr>
        <w:rStyle w:val="PageNumber"/>
      </w:rPr>
      <w:tab/>
      <w:t xml:space="preserve"> </w:t>
    </w:r>
    <w:r w:rsidR="00560264" w:rsidRPr="00013525">
      <w:rPr>
        <w:rStyle w:val="PageNumber"/>
      </w:rPr>
      <w:fldChar w:fldCharType="begin"/>
    </w:r>
    <w:r w:rsidRPr="00013525">
      <w:rPr>
        <w:rStyle w:val="PageNumber"/>
      </w:rPr>
      <w:instrText xml:space="preserve"> PAGE </w:instrText>
    </w:r>
    <w:r w:rsidR="00560264" w:rsidRPr="00013525">
      <w:rPr>
        <w:rStyle w:val="PageNumber"/>
      </w:rPr>
      <w:fldChar w:fldCharType="separate"/>
    </w:r>
    <w:r w:rsidR="00F67B1E">
      <w:rPr>
        <w:rStyle w:val="PageNumber"/>
        <w:noProof/>
      </w:rPr>
      <w:t>4</w:t>
    </w:r>
    <w:r w:rsidR="00560264"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8C7"/>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564A"/>
    <w:multiLevelType w:val="hybridMultilevel"/>
    <w:tmpl w:val="F91E760E"/>
    <w:lvl w:ilvl="0" w:tplc="D966A4A4">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FEE4B4E"/>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0FC0"/>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256B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D4B94"/>
    <w:multiLevelType w:val="hybridMultilevel"/>
    <w:tmpl w:val="1F126264"/>
    <w:lvl w:ilvl="0" w:tplc="FD3465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7F420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475F5"/>
    <w:multiLevelType w:val="hybridMultilevel"/>
    <w:tmpl w:val="117E7F7A"/>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E646B5F"/>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9779F"/>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3626927"/>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852A0"/>
    <w:multiLevelType w:val="hybridMultilevel"/>
    <w:tmpl w:val="F91E760E"/>
    <w:lvl w:ilvl="0" w:tplc="D966A4A4">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12" w15:restartNumberingAfterBreak="0">
    <w:nsid w:val="36230B98"/>
    <w:multiLevelType w:val="hybridMultilevel"/>
    <w:tmpl w:val="E3E8EE6A"/>
    <w:lvl w:ilvl="0" w:tplc="0F021D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1B18"/>
    <w:multiLevelType w:val="hybridMultilevel"/>
    <w:tmpl w:val="1FA2D3B4"/>
    <w:lvl w:ilvl="0" w:tplc="E1BC95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06E81"/>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C41DF"/>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153DA"/>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D0012"/>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F121E"/>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54D2F"/>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EDD70C5"/>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19D5876"/>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4419B"/>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D7213"/>
    <w:multiLevelType w:val="hybridMultilevel"/>
    <w:tmpl w:val="1FA2D3B4"/>
    <w:lvl w:ilvl="0" w:tplc="E1BC95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7A6C2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22"/>
  </w:num>
  <w:num w:numId="5">
    <w:abstractNumId w:val="2"/>
  </w:num>
  <w:num w:numId="6">
    <w:abstractNumId w:val="6"/>
  </w:num>
  <w:num w:numId="7">
    <w:abstractNumId w:val="0"/>
  </w:num>
  <w:num w:numId="8">
    <w:abstractNumId w:val="18"/>
  </w:num>
  <w:num w:numId="9">
    <w:abstractNumId w:val="15"/>
  </w:num>
  <w:num w:numId="10">
    <w:abstractNumId w:val="16"/>
  </w:num>
  <w:num w:numId="11">
    <w:abstractNumId w:val="4"/>
  </w:num>
  <w:num w:numId="12">
    <w:abstractNumId w:val="14"/>
  </w:num>
  <w:num w:numId="13">
    <w:abstractNumId w:val="3"/>
  </w:num>
  <w:num w:numId="14">
    <w:abstractNumId w:val="24"/>
  </w:num>
  <w:num w:numId="15">
    <w:abstractNumId w:val="8"/>
  </w:num>
  <w:num w:numId="16">
    <w:abstractNumId w:val="12"/>
  </w:num>
  <w:num w:numId="17">
    <w:abstractNumId w:val="7"/>
  </w:num>
  <w:num w:numId="18">
    <w:abstractNumId w:val="11"/>
  </w:num>
  <w:num w:numId="19">
    <w:abstractNumId w:val="19"/>
  </w:num>
  <w:num w:numId="20">
    <w:abstractNumId w:val="9"/>
  </w:num>
  <w:num w:numId="21">
    <w:abstractNumId w:val="20"/>
  </w:num>
  <w:num w:numId="22">
    <w:abstractNumId w:val="1"/>
  </w:num>
  <w:num w:numId="23">
    <w:abstractNumId w:val="5"/>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4367"/>
    <w:rsid w:val="00005BF3"/>
    <w:rsid w:val="00055928"/>
    <w:rsid w:val="0007137D"/>
    <w:rsid w:val="0007509B"/>
    <w:rsid w:val="000844BD"/>
    <w:rsid w:val="00092204"/>
    <w:rsid w:val="000A2B72"/>
    <w:rsid w:val="000C3C7A"/>
    <w:rsid w:val="000E1729"/>
    <w:rsid w:val="000E4CEA"/>
    <w:rsid w:val="001331E0"/>
    <w:rsid w:val="00172401"/>
    <w:rsid w:val="00175EF7"/>
    <w:rsid w:val="00190532"/>
    <w:rsid w:val="00267B0D"/>
    <w:rsid w:val="00285B2A"/>
    <w:rsid w:val="00295D97"/>
    <w:rsid w:val="002974AA"/>
    <w:rsid w:val="002B6A1C"/>
    <w:rsid w:val="002D3A61"/>
    <w:rsid w:val="002F2520"/>
    <w:rsid w:val="002F5119"/>
    <w:rsid w:val="00304D92"/>
    <w:rsid w:val="0030731D"/>
    <w:rsid w:val="003164A5"/>
    <w:rsid w:val="00356D05"/>
    <w:rsid w:val="0038000C"/>
    <w:rsid w:val="003871B4"/>
    <w:rsid w:val="00392A7D"/>
    <w:rsid w:val="00397469"/>
    <w:rsid w:val="003E5387"/>
    <w:rsid w:val="00421612"/>
    <w:rsid w:val="004660AE"/>
    <w:rsid w:val="00483F49"/>
    <w:rsid w:val="00495300"/>
    <w:rsid w:val="004A52AC"/>
    <w:rsid w:val="004B69A2"/>
    <w:rsid w:val="004F4B2C"/>
    <w:rsid w:val="0053106E"/>
    <w:rsid w:val="005357D2"/>
    <w:rsid w:val="00560264"/>
    <w:rsid w:val="00563D3C"/>
    <w:rsid w:val="00572718"/>
    <w:rsid w:val="0057557F"/>
    <w:rsid w:val="0058708E"/>
    <w:rsid w:val="005957AE"/>
    <w:rsid w:val="005C5105"/>
    <w:rsid w:val="005E7BB2"/>
    <w:rsid w:val="0061486C"/>
    <w:rsid w:val="006209E6"/>
    <w:rsid w:val="006214DF"/>
    <w:rsid w:val="006743A8"/>
    <w:rsid w:val="0067567B"/>
    <w:rsid w:val="006D12AB"/>
    <w:rsid w:val="006F7DCA"/>
    <w:rsid w:val="00723C59"/>
    <w:rsid w:val="0073522D"/>
    <w:rsid w:val="00750C0B"/>
    <w:rsid w:val="0078207F"/>
    <w:rsid w:val="007847BB"/>
    <w:rsid w:val="00794ABF"/>
    <w:rsid w:val="007A1423"/>
    <w:rsid w:val="007C1013"/>
    <w:rsid w:val="007D15FE"/>
    <w:rsid w:val="007E0A4B"/>
    <w:rsid w:val="008140D5"/>
    <w:rsid w:val="00841B0B"/>
    <w:rsid w:val="00852F0E"/>
    <w:rsid w:val="008536DA"/>
    <w:rsid w:val="00854444"/>
    <w:rsid w:val="008A0F9D"/>
    <w:rsid w:val="008A4446"/>
    <w:rsid w:val="00901094"/>
    <w:rsid w:val="009265C1"/>
    <w:rsid w:val="00936C86"/>
    <w:rsid w:val="00954C21"/>
    <w:rsid w:val="009648AA"/>
    <w:rsid w:val="00964E99"/>
    <w:rsid w:val="00991BFB"/>
    <w:rsid w:val="00A04AC7"/>
    <w:rsid w:val="00A217C5"/>
    <w:rsid w:val="00A76421"/>
    <w:rsid w:val="00AD2449"/>
    <w:rsid w:val="00AD4367"/>
    <w:rsid w:val="00B17904"/>
    <w:rsid w:val="00B2468A"/>
    <w:rsid w:val="00B33B6B"/>
    <w:rsid w:val="00B86F99"/>
    <w:rsid w:val="00B9175F"/>
    <w:rsid w:val="00B97613"/>
    <w:rsid w:val="00BA6561"/>
    <w:rsid w:val="00BA6C07"/>
    <w:rsid w:val="00BD07EF"/>
    <w:rsid w:val="00BE6844"/>
    <w:rsid w:val="00C13EFF"/>
    <w:rsid w:val="00C34767"/>
    <w:rsid w:val="00C437D2"/>
    <w:rsid w:val="00C4779C"/>
    <w:rsid w:val="00C51938"/>
    <w:rsid w:val="00C63AA4"/>
    <w:rsid w:val="00C815EF"/>
    <w:rsid w:val="00CA3A26"/>
    <w:rsid w:val="00CA76A5"/>
    <w:rsid w:val="00CC60F6"/>
    <w:rsid w:val="00CE1F32"/>
    <w:rsid w:val="00CE3F16"/>
    <w:rsid w:val="00CF4755"/>
    <w:rsid w:val="00D15386"/>
    <w:rsid w:val="00D50604"/>
    <w:rsid w:val="00D71131"/>
    <w:rsid w:val="00DA6AC0"/>
    <w:rsid w:val="00DC6733"/>
    <w:rsid w:val="00DF5FC1"/>
    <w:rsid w:val="00E073A2"/>
    <w:rsid w:val="00E13FF8"/>
    <w:rsid w:val="00E539FA"/>
    <w:rsid w:val="00EA31D2"/>
    <w:rsid w:val="00F033CA"/>
    <w:rsid w:val="00F11331"/>
    <w:rsid w:val="00F248AA"/>
    <w:rsid w:val="00F51479"/>
    <w:rsid w:val="00F67B1E"/>
    <w:rsid w:val="00FA7F06"/>
    <w:rsid w:val="00FF3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89B31D6"/>
  <w15:docId w15:val="{8EB86BC7-F4CD-4F90-84DC-48DD412D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367"/>
    <w:pPr>
      <w:tabs>
        <w:tab w:val="center" w:pos="4153"/>
        <w:tab w:val="right" w:pos="8306"/>
      </w:tabs>
    </w:pPr>
  </w:style>
  <w:style w:type="character" w:customStyle="1" w:styleId="HeaderChar">
    <w:name w:val="Header Char"/>
    <w:link w:val="Header"/>
    <w:rsid w:val="00AD4367"/>
    <w:rPr>
      <w:rFonts w:ascii="Times New Roman" w:eastAsia="Times New Roman" w:hAnsi="Times New Roman" w:cs="Times New Roman"/>
      <w:sz w:val="24"/>
      <w:szCs w:val="24"/>
      <w:lang w:val="lv-LV" w:eastAsia="lv-LV"/>
    </w:rPr>
  </w:style>
  <w:style w:type="paragraph" w:customStyle="1" w:styleId="naisf">
    <w:name w:val="naisf"/>
    <w:basedOn w:val="Normal"/>
    <w:rsid w:val="00AD4367"/>
    <w:pPr>
      <w:spacing w:before="75" w:after="75"/>
      <w:ind w:firstLine="375"/>
      <w:jc w:val="both"/>
    </w:pPr>
  </w:style>
  <w:style w:type="character" w:styleId="PageNumber">
    <w:name w:val="page number"/>
    <w:basedOn w:val="DefaultParagraphFont"/>
    <w:rsid w:val="00AD4367"/>
  </w:style>
  <w:style w:type="character" w:styleId="Hyperlink">
    <w:name w:val="Hyperlink"/>
    <w:rsid w:val="00AD4367"/>
    <w:rPr>
      <w:rFonts w:cs="Times New Roman"/>
      <w:color w:val="0000FF"/>
      <w:u w:val="single"/>
    </w:rPr>
  </w:style>
  <w:style w:type="paragraph" w:customStyle="1" w:styleId="naisnod">
    <w:name w:val="naisnod"/>
    <w:basedOn w:val="Normal"/>
    <w:rsid w:val="00AD4367"/>
    <w:pPr>
      <w:spacing w:before="150" w:after="150"/>
      <w:jc w:val="center"/>
    </w:pPr>
    <w:rPr>
      <w:b/>
      <w:bCs/>
    </w:rPr>
  </w:style>
  <w:style w:type="paragraph" w:customStyle="1" w:styleId="naiskr">
    <w:name w:val="naiskr"/>
    <w:basedOn w:val="Normal"/>
    <w:rsid w:val="00AD4367"/>
    <w:pPr>
      <w:spacing w:before="75" w:after="75"/>
    </w:pPr>
  </w:style>
  <w:style w:type="paragraph" w:styleId="Title">
    <w:name w:val="Title"/>
    <w:basedOn w:val="Normal"/>
    <w:link w:val="TitleChar"/>
    <w:qFormat/>
    <w:rsid w:val="00AD4367"/>
    <w:pPr>
      <w:jc w:val="center"/>
    </w:pPr>
    <w:rPr>
      <w:b/>
      <w:bCs/>
      <w:lang w:eastAsia="en-US"/>
    </w:rPr>
  </w:style>
  <w:style w:type="character" w:customStyle="1" w:styleId="TitleChar">
    <w:name w:val="Title Char"/>
    <w:link w:val="Title"/>
    <w:rsid w:val="00AD4367"/>
    <w:rPr>
      <w:rFonts w:ascii="Times New Roman" w:eastAsia="Times New Roman" w:hAnsi="Times New Roman" w:cs="Times New Roman"/>
      <w:b/>
      <w:bCs/>
      <w:sz w:val="24"/>
      <w:szCs w:val="24"/>
      <w:lang w:val="lv-LV"/>
    </w:rPr>
  </w:style>
  <w:style w:type="paragraph" w:customStyle="1" w:styleId="naisc">
    <w:name w:val="naisc"/>
    <w:basedOn w:val="Normal"/>
    <w:rsid w:val="00AD4367"/>
    <w:pPr>
      <w:spacing w:before="75" w:after="75"/>
      <w:jc w:val="center"/>
    </w:pPr>
  </w:style>
  <w:style w:type="character" w:styleId="Emphasis">
    <w:name w:val="Emphasis"/>
    <w:uiPriority w:val="20"/>
    <w:qFormat/>
    <w:rsid w:val="00AD4367"/>
    <w:rPr>
      <w:i/>
      <w:iCs/>
    </w:rPr>
  </w:style>
  <w:style w:type="paragraph" w:customStyle="1" w:styleId="tvhtml1">
    <w:name w:val="tv_html1"/>
    <w:basedOn w:val="Normal"/>
    <w:rsid w:val="00AD4367"/>
    <w:pPr>
      <w:spacing w:before="100" w:beforeAutospacing="1" w:line="360" w:lineRule="auto"/>
    </w:pPr>
    <w:rPr>
      <w:rFonts w:ascii="Verdana" w:hAnsi="Verdana"/>
      <w:sz w:val="18"/>
      <w:szCs w:val="18"/>
      <w:lang w:val="en-US" w:eastAsia="en-US"/>
    </w:rPr>
  </w:style>
  <w:style w:type="character" w:styleId="Strong">
    <w:name w:val="Strong"/>
    <w:uiPriority w:val="22"/>
    <w:qFormat/>
    <w:rsid w:val="00AD4367"/>
    <w:rPr>
      <w:b/>
      <w:bCs/>
    </w:rPr>
  </w:style>
  <w:style w:type="paragraph" w:customStyle="1" w:styleId="tv2161">
    <w:name w:val="tv2161"/>
    <w:basedOn w:val="Normal"/>
    <w:rsid w:val="00AD4367"/>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4B69A2"/>
    <w:pPr>
      <w:spacing w:after="200" w:line="276" w:lineRule="auto"/>
      <w:ind w:left="720"/>
      <w:contextualSpacing/>
    </w:pPr>
    <w:rPr>
      <w:rFonts w:ascii="Calibri" w:eastAsia="Calibri" w:hAnsi="Calibri"/>
      <w:sz w:val="22"/>
      <w:szCs w:val="22"/>
      <w:lang w:val="en-US" w:eastAsia="en-US"/>
    </w:rPr>
  </w:style>
  <w:style w:type="paragraph" w:customStyle="1" w:styleId="tv2131">
    <w:name w:val="tv2131"/>
    <w:basedOn w:val="Normal"/>
    <w:rsid w:val="00092204"/>
    <w:pPr>
      <w:spacing w:line="360" w:lineRule="auto"/>
      <w:ind w:firstLine="300"/>
    </w:pPr>
    <w:rPr>
      <w:color w:val="414142"/>
      <w:sz w:val="20"/>
      <w:szCs w:val="20"/>
      <w:lang w:val="en-US" w:eastAsia="en-US"/>
    </w:rPr>
  </w:style>
  <w:style w:type="paragraph" w:styleId="Footer">
    <w:name w:val="footer"/>
    <w:basedOn w:val="Normal"/>
    <w:link w:val="FooterChar"/>
    <w:uiPriority w:val="99"/>
    <w:unhideWhenUsed/>
    <w:rsid w:val="00563D3C"/>
    <w:pPr>
      <w:tabs>
        <w:tab w:val="center" w:pos="4320"/>
        <w:tab w:val="right" w:pos="8640"/>
      </w:tabs>
    </w:pPr>
  </w:style>
  <w:style w:type="character" w:customStyle="1" w:styleId="FooterChar">
    <w:name w:val="Footer Char"/>
    <w:link w:val="Footer"/>
    <w:uiPriority w:val="99"/>
    <w:rsid w:val="00563D3C"/>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D71131"/>
    <w:rPr>
      <w:rFonts w:ascii="Tahoma" w:hAnsi="Tahoma" w:cs="Tahoma"/>
      <w:sz w:val="16"/>
      <w:szCs w:val="16"/>
    </w:rPr>
  </w:style>
  <w:style w:type="character" w:customStyle="1" w:styleId="BalloonTextChar">
    <w:name w:val="Balloon Text Char"/>
    <w:link w:val="BalloonText"/>
    <w:uiPriority w:val="99"/>
    <w:semiHidden/>
    <w:rsid w:val="00D71131"/>
    <w:rPr>
      <w:rFonts w:ascii="Tahoma" w:eastAsia="Times New Roman" w:hAnsi="Tahoma" w:cs="Tahoma"/>
      <w:sz w:val="16"/>
      <w:szCs w:val="16"/>
      <w:lang w:val="lv-LV" w:eastAsia="lv-LV"/>
    </w:rPr>
  </w:style>
  <w:style w:type="character" w:styleId="CommentReference">
    <w:name w:val="annotation reference"/>
    <w:uiPriority w:val="99"/>
    <w:semiHidden/>
    <w:unhideWhenUsed/>
    <w:rsid w:val="00D71131"/>
    <w:rPr>
      <w:sz w:val="16"/>
      <w:szCs w:val="16"/>
    </w:rPr>
  </w:style>
  <w:style w:type="paragraph" w:styleId="CommentText">
    <w:name w:val="annotation text"/>
    <w:basedOn w:val="Normal"/>
    <w:link w:val="CommentTextChar"/>
    <w:uiPriority w:val="99"/>
    <w:semiHidden/>
    <w:unhideWhenUsed/>
    <w:rsid w:val="00D71131"/>
    <w:rPr>
      <w:sz w:val="20"/>
      <w:szCs w:val="20"/>
    </w:rPr>
  </w:style>
  <w:style w:type="character" w:customStyle="1" w:styleId="CommentTextChar">
    <w:name w:val="Comment Text Char"/>
    <w:link w:val="CommentText"/>
    <w:uiPriority w:val="99"/>
    <w:semiHidden/>
    <w:rsid w:val="00D71131"/>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D71131"/>
    <w:rPr>
      <w:b/>
      <w:bCs/>
    </w:rPr>
  </w:style>
  <w:style w:type="character" w:customStyle="1" w:styleId="CommentSubjectChar">
    <w:name w:val="Comment Subject Char"/>
    <w:link w:val="CommentSubject"/>
    <w:uiPriority w:val="99"/>
    <w:semiHidden/>
    <w:rsid w:val="00D71131"/>
    <w:rPr>
      <w:rFonts w:ascii="Times New Roman" w:eastAsia="Times New Roman" w:hAnsi="Times New Roman"/>
      <w:b/>
      <w:bCs/>
      <w:lang w:val="lv-LV" w:eastAsia="lv-LV"/>
    </w:rPr>
  </w:style>
  <w:style w:type="paragraph" w:styleId="FootnoteText">
    <w:name w:val="footnote text"/>
    <w:basedOn w:val="Normal"/>
    <w:link w:val="FootnoteTextChar"/>
    <w:semiHidden/>
    <w:rsid w:val="00055928"/>
    <w:rPr>
      <w:sz w:val="20"/>
      <w:szCs w:val="20"/>
    </w:rPr>
  </w:style>
  <w:style w:type="character" w:customStyle="1" w:styleId="FootnoteTextChar">
    <w:name w:val="Footnote Text Char"/>
    <w:basedOn w:val="DefaultParagraphFont"/>
    <w:link w:val="FootnoteText"/>
    <w:semiHidden/>
    <w:rsid w:val="0005592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0529">
      <w:bodyDiv w:val="1"/>
      <w:marLeft w:val="0"/>
      <w:marRight w:val="0"/>
      <w:marTop w:val="0"/>
      <w:marBottom w:val="0"/>
      <w:divBdr>
        <w:top w:val="none" w:sz="0" w:space="0" w:color="auto"/>
        <w:left w:val="none" w:sz="0" w:space="0" w:color="auto"/>
        <w:bottom w:val="none" w:sz="0" w:space="0" w:color="auto"/>
        <w:right w:val="none" w:sz="0" w:space="0" w:color="auto"/>
      </w:divBdr>
      <w:divsChild>
        <w:div w:id="1385325272">
          <w:marLeft w:val="0"/>
          <w:marRight w:val="0"/>
          <w:marTop w:val="0"/>
          <w:marBottom w:val="0"/>
          <w:divBdr>
            <w:top w:val="none" w:sz="0" w:space="0" w:color="auto"/>
            <w:left w:val="none" w:sz="0" w:space="0" w:color="auto"/>
            <w:bottom w:val="none" w:sz="0" w:space="0" w:color="auto"/>
            <w:right w:val="none" w:sz="0" w:space="0" w:color="auto"/>
          </w:divBdr>
          <w:divsChild>
            <w:div w:id="42023435">
              <w:marLeft w:val="0"/>
              <w:marRight w:val="0"/>
              <w:marTop w:val="0"/>
              <w:marBottom w:val="0"/>
              <w:divBdr>
                <w:top w:val="none" w:sz="0" w:space="0" w:color="auto"/>
                <w:left w:val="none" w:sz="0" w:space="0" w:color="auto"/>
                <w:bottom w:val="none" w:sz="0" w:space="0" w:color="auto"/>
                <w:right w:val="none" w:sz="0" w:space="0" w:color="auto"/>
              </w:divBdr>
              <w:divsChild>
                <w:div w:id="239294840">
                  <w:marLeft w:val="0"/>
                  <w:marRight w:val="0"/>
                  <w:marTop w:val="0"/>
                  <w:marBottom w:val="0"/>
                  <w:divBdr>
                    <w:top w:val="none" w:sz="0" w:space="0" w:color="auto"/>
                    <w:left w:val="none" w:sz="0" w:space="0" w:color="auto"/>
                    <w:bottom w:val="none" w:sz="0" w:space="0" w:color="auto"/>
                    <w:right w:val="none" w:sz="0" w:space="0" w:color="auto"/>
                  </w:divBdr>
                  <w:divsChild>
                    <w:div w:id="610357184">
                      <w:marLeft w:val="0"/>
                      <w:marRight w:val="0"/>
                      <w:marTop w:val="0"/>
                      <w:marBottom w:val="0"/>
                      <w:divBdr>
                        <w:top w:val="none" w:sz="0" w:space="0" w:color="auto"/>
                        <w:left w:val="none" w:sz="0" w:space="0" w:color="auto"/>
                        <w:bottom w:val="none" w:sz="0" w:space="0" w:color="auto"/>
                        <w:right w:val="none" w:sz="0" w:space="0" w:color="auto"/>
                      </w:divBdr>
                      <w:divsChild>
                        <w:div w:id="534317755">
                          <w:marLeft w:val="0"/>
                          <w:marRight w:val="0"/>
                          <w:marTop w:val="300"/>
                          <w:marBottom w:val="0"/>
                          <w:divBdr>
                            <w:top w:val="none" w:sz="0" w:space="0" w:color="auto"/>
                            <w:left w:val="none" w:sz="0" w:space="0" w:color="auto"/>
                            <w:bottom w:val="none" w:sz="0" w:space="0" w:color="auto"/>
                            <w:right w:val="none" w:sz="0" w:space="0" w:color="auto"/>
                          </w:divBdr>
                          <w:divsChild>
                            <w:div w:id="1291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93504">
      <w:bodyDiv w:val="1"/>
      <w:marLeft w:val="0"/>
      <w:marRight w:val="0"/>
      <w:marTop w:val="0"/>
      <w:marBottom w:val="0"/>
      <w:divBdr>
        <w:top w:val="none" w:sz="0" w:space="0" w:color="auto"/>
        <w:left w:val="none" w:sz="0" w:space="0" w:color="auto"/>
        <w:bottom w:val="none" w:sz="0" w:space="0" w:color="auto"/>
        <w:right w:val="none" w:sz="0" w:space="0" w:color="auto"/>
      </w:divBdr>
    </w:div>
    <w:div w:id="1313213009">
      <w:bodyDiv w:val="1"/>
      <w:marLeft w:val="0"/>
      <w:marRight w:val="0"/>
      <w:marTop w:val="0"/>
      <w:marBottom w:val="0"/>
      <w:divBdr>
        <w:top w:val="none" w:sz="0" w:space="0" w:color="auto"/>
        <w:left w:val="none" w:sz="0" w:space="0" w:color="auto"/>
        <w:bottom w:val="none" w:sz="0" w:space="0" w:color="auto"/>
        <w:right w:val="none" w:sz="0" w:space="0" w:color="auto"/>
      </w:divBdr>
      <w:divsChild>
        <w:div w:id="1632520352">
          <w:marLeft w:val="0"/>
          <w:marRight w:val="0"/>
          <w:marTop w:val="0"/>
          <w:marBottom w:val="0"/>
          <w:divBdr>
            <w:top w:val="none" w:sz="0" w:space="0" w:color="auto"/>
            <w:left w:val="none" w:sz="0" w:space="0" w:color="auto"/>
            <w:bottom w:val="none" w:sz="0" w:space="0" w:color="auto"/>
            <w:right w:val="none" w:sz="0" w:space="0" w:color="auto"/>
          </w:divBdr>
          <w:divsChild>
            <w:div w:id="1939409309">
              <w:marLeft w:val="0"/>
              <w:marRight w:val="0"/>
              <w:marTop w:val="0"/>
              <w:marBottom w:val="0"/>
              <w:divBdr>
                <w:top w:val="none" w:sz="0" w:space="0" w:color="auto"/>
                <w:left w:val="none" w:sz="0" w:space="0" w:color="auto"/>
                <w:bottom w:val="none" w:sz="0" w:space="0" w:color="auto"/>
                <w:right w:val="none" w:sz="0" w:space="0" w:color="auto"/>
              </w:divBdr>
              <w:divsChild>
                <w:div w:id="1098258246">
                  <w:marLeft w:val="0"/>
                  <w:marRight w:val="0"/>
                  <w:marTop w:val="0"/>
                  <w:marBottom w:val="0"/>
                  <w:divBdr>
                    <w:top w:val="none" w:sz="0" w:space="0" w:color="auto"/>
                    <w:left w:val="none" w:sz="0" w:space="0" w:color="auto"/>
                    <w:bottom w:val="none" w:sz="0" w:space="0" w:color="auto"/>
                    <w:right w:val="none" w:sz="0" w:space="0" w:color="auto"/>
                  </w:divBdr>
                  <w:divsChild>
                    <w:div w:id="1370647858">
                      <w:marLeft w:val="0"/>
                      <w:marRight w:val="0"/>
                      <w:marTop w:val="0"/>
                      <w:marBottom w:val="0"/>
                      <w:divBdr>
                        <w:top w:val="none" w:sz="0" w:space="0" w:color="auto"/>
                        <w:left w:val="none" w:sz="0" w:space="0" w:color="auto"/>
                        <w:bottom w:val="none" w:sz="0" w:space="0" w:color="auto"/>
                        <w:right w:val="none" w:sz="0" w:space="0" w:color="auto"/>
                      </w:divBdr>
                      <w:divsChild>
                        <w:div w:id="442387143">
                          <w:marLeft w:val="0"/>
                          <w:marRight w:val="0"/>
                          <w:marTop w:val="300"/>
                          <w:marBottom w:val="0"/>
                          <w:divBdr>
                            <w:top w:val="none" w:sz="0" w:space="0" w:color="auto"/>
                            <w:left w:val="none" w:sz="0" w:space="0" w:color="auto"/>
                            <w:bottom w:val="none" w:sz="0" w:space="0" w:color="auto"/>
                            <w:right w:val="none" w:sz="0" w:space="0" w:color="auto"/>
                          </w:divBdr>
                          <w:divsChild>
                            <w:div w:id="5859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2655">
      <w:bodyDiv w:val="1"/>
      <w:marLeft w:val="0"/>
      <w:marRight w:val="0"/>
      <w:marTop w:val="0"/>
      <w:marBottom w:val="0"/>
      <w:divBdr>
        <w:top w:val="none" w:sz="0" w:space="0" w:color="auto"/>
        <w:left w:val="none" w:sz="0" w:space="0" w:color="auto"/>
        <w:bottom w:val="none" w:sz="0" w:space="0" w:color="auto"/>
        <w:right w:val="none" w:sz="0" w:space="0" w:color="auto"/>
      </w:divBdr>
    </w:div>
    <w:div w:id="1950896259">
      <w:bodyDiv w:val="1"/>
      <w:marLeft w:val="0"/>
      <w:marRight w:val="0"/>
      <w:marTop w:val="0"/>
      <w:marBottom w:val="0"/>
      <w:divBdr>
        <w:top w:val="none" w:sz="0" w:space="0" w:color="auto"/>
        <w:left w:val="none" w:sz="0" w:space="0" w:color="auto"/>
        <w:bottom w:val="none" w:sz="0" w:space="0" w:color="auto"/>
        <w:right w:val="none" w:sz="0" w:space="0" w:color="auto"/>
      </w:divBdr>
      <w:divsChild>
        <w:div w:id="670183901">
          <w:marLeft w:val="0"/>
          <w:marRight w:val="0"/>
          <w:marTop w:val="0"/>
          <w:marBottom w:val="0"/>
          <w:divBdr>
            <w:top w:val="none" w:sz="0" w:space="0" w:color="auto"/>
            <w:left w:val="none" w:sz="0" w:space="0" w:color="auto"/>
            <w:bottom w:val="none" w:sz="0" w:space="0" w:color="auto"/>
            <w:right w:val="none" w:sz="0" w:space="0" w:color="auto"/>
          </w:divBdr>
          <w:divsChild>
            <w:div w:id="669867309">
              <w:marLeft w:val="0"/>
              <w:marRight w:val="0"/>
              <w:marTop w:val="0"/>
              <w:marBottom w:val="0"/>
              <w:divBdr>
                <w:top w:val="none" w:sz="0" w:space="0" w:color="auto"/>
                <w:left w:val="none" w:sz="0" w:space="0" w:color="auto"/>
                <w:bottom w:val="none" w:sz="0" w:space="0" w:color="auto"/>
                <w:right w:val="none" w:sz="0" w:space="0" w:color="auto"/>
              </w:divBdr>
              <w:divsChild>
                <w:div w:id="680400545">
                  <w:marLeft w:val="0"/>
                  <w:marRight w:val="0"/>
                  <w:marTop w:val="0"/>
                  <w:marBottom w:val="0"/>
                  <w:divBdr>
                    <w:top w:val="none" w:sz="0" w:space="0" w:color="auto"/>
                    <w:left w:val="none" w:sz="0" w:space="0" w:color="auto"/>
                    <w:bottom w:val="none" w:sz="0" w:space="0" w:color="auto"/>
                    <w:right w:val="none" w:sz="0" w:space="0" w:color="auto"/>
                  </w:divBdr>
                  <w:divsChild>
                    <w:div w:id="229389156">
                      <w:marLeft w:val="0"/>
                      <w:marRight w:val="0"/>
                      <w:marTop w:val="0"/>
                      <w:marBottom w:val="0"/>
                      <w:divBdr>
                        <w:top w:val="none" w:sz="0" w:space="0" w:color="auto"/>
                        <w:left w:val="none" w:sz="0" w:space="0" w:color="auto"/>
                        <w:bottom w:val="none" w:sz="0" w:space="0" w:color="auto"/>
                        <w:right w:val="none" w:sz="0" w:space="0" w:color="auto"/>
                      </w:divBdr>
                      <w:divsChild>
                        <w:div w:id="209149121">
                          <w:marLeft w:val="0"/>
                          <w:marRight w:val="0"/>
                          <w:marTop w:val="300"/>
                          <w:marBottom w:val="0"/>
                          <w:divBdr>
                            <w:top w:val="none" w:sz="0" w:space="0" w:color="auto"/>
                            <w:left w:val="none" w:sz="0" w:space="0" w:color="auto"/>
                            <w:bottom w:val="none" w:sz="0" w:space="0" w:color="auto"/>
                            <w:right w:val="none" w:sz="0" w:space="0" w:color="auto"/>
                          </w:divBdr>
                          <w:divsChild>
                            <w:div w:id="708721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rtao\AppData\Local\Microsoft\Windows\Temporary%20Internet%20Files\Content.Outlook\9B2JD3UU\www.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6785</Words>
  <Characters>3868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vidm</Company>
  <LinksUpToDate>false</LinksUpToDate>
  <CharactersWithSpaces>10632</CharactersWithSpaces>
  <SharedDoc>false</SharedDoc>
  <HLinks>
    <vt:vector size="12" baseType="variant">
      <vt:variant>
        <vt:i4>2883592</vt:i4>
      </vt:variant>
      <vt:variant>
        <vt:i4>3</vt:i4>
      </vt:variant>
      <vt:variant>
        <vt:i4>0</vt:i4>
      </vt:variant>
      <vt:variant>
        <vt:i4>5</vt:i4>
      </vt:variant>
      <vt:variant>
        <vt:lpwstr>mailto:ilze.donina@varam.gov.lv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creator>Ilze Donina</dc:creator>
  <cp:lastModifiedBy>Ilze Doniņa</cp:lastModifiedBy>
  <cp:revision>2</cp:revision>
  <dcterms:created xsi:type="dcterms:W3CDTF">2017-01-23T09:30:00Z</dcterms:created>
  <dcterms:modified xsi:type="dcterms:W3CDTF">2017-01-23T09:30:00Z</dcterms:modified>
</cp:coreProperties>
</file>