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33D" w:rsidRPr="008D5D14" w:rsidRDefault="003F733D" w:rsidP="003F733D">
      <w:pPr>
        <w:jc w:val="center"/>
        <w:rPr>
          <w:rFonts w:ascii="Times New Roman" w:hAnsi="Times New Roman"/>
          <w:sz w:val="28"/>
          <w:szCs w:val="28"/>
        </w:rPr>
      </w:pPr>
      <w:bookmarkStart w:id="0" w:name="http://eur-lex.europa.eu/legal-content/A"/>
      <w:r w:rsidRPr="008D5D14">
        <w:rPr>
          <w:rFonts w:ascii="Times New Roman" w:hAnsi="Times New Roman"/>
          <w:sz w:val="28"/>
          <w:szCs w:val="28"/>
        </w:rPr>
        <w:t>LATVIJAS REPUBLIKAS MINISTRU KABINETS</w:t>
      </w:r>
    </w:p>
    <w:p w:rsidR="003F733D" w:rsidRPr="008D5D14" w:rsidRDefault="00BB4FC1" w:rsidP="003F733D">
      <w:pPr>
        <w:pStyle w:val="naislab"/>
        <w:spacing w:before="0" w:beforeAutospacing="0" w:after="0" w:afterAutospacing="0"/>
        <w:jc w:val="left"/>
        <w:rPr>
          <w:sz w:val="28"/>
          <w:szCs w:val="28"/>
          <w:lang w:val="lv-LV"/>
        </w:rPr>
      </w:pPr>
      <w:r>
        <w:rPr>
          <w:sz w:val="28"/>
          <w:szCs w:val="28"/>
          <w:lang w:val="lv-LV"/>
        </w:rPr>
        <w:t>2017</w:t>
      </w:r>
      <w:r w:rsidR="003F733D" w:rsidRPr="008D5D14">
        <w:rPr>
          <w:sz w:val="28"/>
          <w:szCs w:val="28"/>
          <w:lang w:val="lv-LV"/>
        </w:rPr>
        <w:t>.gada__________</w:t>
      </w:r>
      <w:r w:rsidR="003F733D" w:rsidRPr="008D5D14">
        <w:rPr>
          <w:sz w:val="28"/>
          <w:szCs w:val="28"/>
          <w:lang w:val="lv-LV"/>
        </w:rPr>
        <w:tab/>
      </w:r>
      <w:r w:rsidR="003F733D" w:rsidRPr="008D5D14">
        <w:rPr>
          <w:sz w:val="28"/>
          <w:szCs w:val="28"/>
          <w:lang w:val="lv-LV"/>
        </w:rPr>
        <w:tab/>
      </w:r>
      <w:r w:rsidR="003F733D" w:rsidRPr="008D5D14">
        <w:rPr>
          <w:sz w:val="28"/>
          <w:szCs w:val="28"/>
          <w:lang w:val="lv-LV"/>
        </w:rPr>
        <w:tab/>
      </w:r>
      <w:r w:rsidR="003F733D" w:rsidRPr="008D5D14">
        <w:rPr>
          <w:sz w:val="28"/>
          <w:szCs w:val="28"/>
          <w:lang w:val="lv-LV"/>
        </w:rPr>
        <w:tab/>
      </w:r>
      <w:r w:rsidR="003F733D" w:rsidRPr="008D5D14">
        <w:rPr>
          <w:sz w:val="28"/>
          <w:szCs w:val="28"/>
          <w:lang w:val="lv-LV"/>
        </w:rPr>
        <w:tab/>
        <w:t xml:space="preserve"> Noteikumi Nr._____</w:t>
      </w:r>
    </w:p>
    <w:p w:rsidR="003F733D" w:rsidRPr="008D5D14" w:rsidRDefault="003F733D" w:rsidP="003F733D">
      <w:pPr>
        <w:pStyle w:val="naislab"/>
        <w:spacing w:before="0" w:beforeAutospacing="0" w:after="0" w:afterAutospacing="0"/>
        <w:jc w:val="center"/>
        <w:rPr>
          <w:sz w:val="28"/>
          <w:szCs w:val="28"/>
          <w:lang w:val="lv-LV"/>
        </w:rPr>
      </w:pPr>
      <w:r>
        <w:rPr>
          <w:sz w:val="28"/>
          <w:szCs w:val="28"/>
          <w:lang w:val="lv-LV"/>
        </w:rPr>
        <w:t xml:space="preserve">Rīgā </w:t>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t xml:space="preserve">      </w:t>
      </w:r>
      <w:r w:rsidRPr="008D5D14">
        <w:rPr>
          <w:sz w:val="28"/>
          <w:szCs w:val="28"/>
          <w:lang w:val="lv-LV"/>
        </w:rPr>
        <w:t>(prot. Nr.              )</w:t>
      </w:r>
    </w:p>
    <w:p w:rsidR="003F733D" w:rsidRPr="008D5D14" w:rsidRDefault="003F733D" w:rsidP="003F733D">
      <w:pPr>
        <w:spacing w:after="0" w:line="240" w:lineRule="auto"/>
        <w:jc w:val="both"/>
        <w:rPr>
          <w:rStyle w:val="Strong"/>
          <w:b w:val="0"/>
          <w:sz w:val="28"/>
          <w:szCs w:val="28"/>
        </w:rPr>
      </w:pPr>
    </w:p>
    <w:p w:rsidR="003F733D" w:rsidRPr="008D5D14" w:rsidRDefault="003F733D" w:rsidP="003F733D">
      <w:pPr>
        <w:spacing w:after="0" w:line="240" w:lineRule="auto"/>
        <w:jc w:val="center"/>
        <w:rPr>
          <w:rFonts w:ascii="Times New Roman" w:hAnsi="Times New Roman"/>
          <w:b/>
          <w:sz w:val="28"/>
          <w:szCs w:val="28"/>
        </w:rPr>
      </w:pPr>
      <w:r w:rsidRPr="008D5D14">
        <w:rPr>
          <w:rFonts w:ascii="Times New Roman" w:hAnsi="Times New Roman"/>
          <w:b/>
          <w:sz w:val="28"/>
          <w:szCs w:val="28"/>
        </w:rPr>
        <w:t>Grozījumi Ministru kabineta 2013.</w:t>
      </w:r>
      <w:r w:rsidR="00CF25C4">
        <w:rPr>
          <w:rFonts w:ascii="Times New Roman" w:hAnsi="Times New Roman"/>
          <w:b/>
          <w:sz w:val="28"/>
          <w:szCs w:val="28"/>
        </w:rPr>
        <w:t> </w:t>
      </w:r>
      <w:r w:rsidRPr="008D5D14">
        <w:rPr>
          <w:rFonts w:ascii="Times New Roman" w:hAnsi="Times New Roman"/>
          <w:b/>
          <w:sz w:val="28"/>
          <w:szCs w:val="28"/>
        </w:rPr>
        <w:t>gada 5.</w:t>
      </w:r>
      <w:r w:rsidR="00CF25C4">
        <w:rPr>
          <w:rFonts w:ascii="Times New Roman" w:hAnsi="Times New Roman"/>
          <w:b/>
          <w:sz w:val="28"/>
          <w:szCs w:val="28"/>
        </w:rPr>
        <w:t> </w:t>
      </w:r>
      <w:r w:rsidRPr="008D5D14">
        <w:rPr>
          <w:rFonts w:ascii="Times New Roman" w:hAnsi="Times New Roman"/>
          <w:b/>
          <w:sz w:val="28"/>
          <w:szCs w:val="28"/>
        </w:rPr>
        <w:t>februāra noteikumos Nr.</w:t>
      </w:r>
      <w:r w:rsidR="00CF25C4">
        <w:rPr>
          <w:rFonts w:ascii="Times New Roman" w:hAnsi="Times New Roman"/>
          <w:b/>
          <w:sz w:val="28"/>
          <w:szCs w:val="28"/>
        </w:rPr>
        <w:t> </w:t>
      </w:r>
      <w:r w:rsidRPr="008D5D14">
        <w:rPr>
          <w:rFonts w:ascii="Times New Roman" w:hAnsi="Times New Roman"/>
          <w:b/>
          <w:sz w:val="28"/>
          <w:szCs w:val="28"/>
        </w:rPr>
        <w:t>84 „Noteikumi par atsevišķu ķīmisku vielu lietošanas ierobežojumiem elektriskajās un elektroniskajās iekārtās”</w:t>
      </w:r>
    </w:p>
    <w:p w:rsidR="003F733D" w:rsidRPr="008D5D14" w:rsidRDefault="003F733D" w:rsidP="003F733D">
      <w:pPr>
        <w:spacing w:after="0" w:line="240" w:lineRule="auto"/>
        <w:jc w:val="right"/>
        <w:rPr>
          <w:rFonts w:ascii="Times New Roman" w:hAnsi="Times New Roman"/>
          <w:sz w:val="28"/>
          <w:szCs w:val="28"/>
        </w:rPr>
      </w:pPr>
    </w:p>
    <w:p w:rsidR="003F733D" w:rsidRPr="008D5D14" w:rsidRDefault="003F733D" w:rsidP="003F733D">
      <w:pPr>
        <w:spacing w:after="0" w:line="240" w:lineRule="auto"/>
        <w:jc w:val="right"/>
        <w:rPr>
          <w:rFonts w:ascii="Times New Roman" w:hAnsi="Times New Roman"/>
          <w:sz w:val="28"/>
          <w:szCs w:val="28"/>
        </w:rPr>
      </w:pPr>
      <w:r w:rsidRPr="008D5D14">
        <w:rPr>
          <w:rFonts w:ascii="Times New Roman" w:hAnsi="Times New Roman"/>
          <w:sz w:val="28"/>
          <w:szCs w:val="28"/>
        </w:rPr>
        <w:t xml:space="preserve">Izdoti saskaņā ar </w:t>
      </w:r>
    </w:p>
    <w:p w:rsidR="003F733D" w:rsidRPr="008D5D14" w:rsidRDefault="003F733D" w:rsidP="003F733D">
      <w:pPr>
        <w:spacing w:after="0" w:line="240" w:lineRule="auto"/>
        <w:jc w:val="right"/>
        <w:rPr>
          <w:rFonts w:ascii="Times New Roman" w:hAnsi="Times New Roman"/>
          <w:sz w:val="28"/>
          <w:szCs w:val="28"/>
        </w:rPr>
      </w:pPr>
      <w:r w:rsidRPr="008D5D14">
        <w:rPr>
          <w:rFonts w:ascii="Times New Roman" w:hAnsi="Times New Roman"/>
          <w:sz w:val="28"/>
          <w:szCs w:val="28"/>
        </w:rPr>
        <w:t>Ķīmisko vielu likuma 16.</w:t>
      </w:r>
      <w:r w:rsidR="00CF25C4">
        <w:rPr>
          <w:rFonts w:ascii="Times New Roman" w:hAnsi="Times New Roman"/>
          <w:sz w:val="28"/>
          <w:szCs w:val="28"/>
        </w:rPr>
        <w:t> </w:t>
      </w:r>
      <w:r w:rsidRPr="008D5D14">
        <w:rPr>
          <w:rFonts w:ascii="Times New Roman" w:hAnsi="Times New Roman"/>
          <w:sz w:val="28"/>
          <w:szCs w:val="28"/>
        </w:rPr>
        <w:t xml:space="preserve">panta otro daļu </w:t>
      </w:r>
    </w:p>
    <w:p w:rsidR="003F733D" w:rsidRPr="008D5D14" w:rsidRDefault="003F733D" w:rsidP="003F733D">
      <w:pPr>
        <w:spacing w:after="0" w:line="240" w:lineRule="auto"/>
        <w:jc w:val="right"/>
        <w:rPr>
          <w:rFonts w:ascii="Times New Roman" w:hAnsi="Times New Roman"/>
          <w:sz w:val="28"/>
          <w:szCs w:val="28"/>
        </w:rPr>
      </w:pPr>
      <w:r w:rsidRPr="008D5D14">
        <w:rPr>
          <w:rFonts w:ascii="Times New Roman" w:hAnsi="Times New Roman"/>
          <w:sz w:val="28"/>
          <w:szCs w:val="28"/>
        </w:rPr>
        <w:t>un</w:t>
      </w:r>
    </w:p>
    <w:p w:rsidR="003F733D" w:rsidRPr="008D5D14" w:rsidRDefault="003F733D" w:rsidP="003F733D">
      <w:pPr>
        <w:spacing w:after="0" w:line="240" w:lineRule="auto"/>
        <w:jc w:val="right"/>
        <w:rPr>
          <w:rFonts w:ascii="Times New Roman" w:hAnsi="Times New Roman"/>
          <w:sz w:val="28"/>
          <w:szCs w:val="28"/>
        </w:rPr>
      </w:pPr>
      <w:r w:rsidRPr="008D5D14">
        <w:rPr>
          <w:rFonts w:ascii="Times New Roman" w:hAnsi="Times New Roman"/>
          <w:sz w:val="28"/>
          <w:szCs w:val="28"/>
        </w:rPr>
        <w:t xml:space="preserve">likuma „Par atbilstības novērtēšanu” </w:t>
      </w:r>
    </w:p>
    <w:p w:rsidR="003F733D" w:rsidRPr="008D5D14" w:rsidRDefault="003F733D" w:rsidP="003F733D">
      <w:pPr>
        <w:spacing w:after="0" w:line="240" w:lineRule="auto"/>
        <w:jc w:val="right"/>
        <w:rPr>
          <w:rStyle w:val="Strong"/>
          <w:b w:val="0"/>
          <w:bCs w:val="0"/>
          <w:sz w:val="28"/>
          <w:szCs w:val="28"/>
        </w:rPr>
      </w:pPr>
      <w:r w:rsidRPr="008D5D14">
        <w:rPr>
          <w:rFonts w:ascii="Times New Roman" w:hAnsi="Times New Roman"/>
          <w:sz w:val="28"/>
          <w:szCs w:val="28"/>
        </w:rPr>
        <w:t>7.</w:t>
      </w:r>
      <w:r w:rsidR="00CF25C4">
        <w:rPr>
          <w:rFonts w:ascii="Times New Roman" w:hAnsi="Times New Roman"/>
          <w:sz w:val="28"/>
          <w:szCs w:val="28"/>
        </w:rPr>
        <w:t> </w:t>
      </w:r>
      <w:r w:rsidRPr="008D5D14">
        <w:rPr>
          <w:rFonts w:ascii="Times New Roman" w:hAnsi="Times New Roman"/>
          <w:sz w:val="28"/>
          <w:szCs w:val="28"/>
        </w:rPr>
        <w:t>panta pirmo daļu</w:t>
      </w:r>
    </w:p>
    <w:p w:rsidR="003F733D" w:rsidRPr="008D5D14" w:rsidRDefault="003F733D" w:rsidP="003F733D">
      <w:pPr>
        <w:spacing w:after="0" w:line="240" w:lineRule="auto"/>
        <w:jc w:val="both"/>
        <w:rPr>
          <w:rStyle w:val="Strong"/>
          <w:b w:val="0"/>
          <w:sz w:val="28"/>
          <w:szCs w:val="28"/>
        </w:rPr>
      </w:pPr>
    </w:p>
    <w:p w:rsidR="003F733D" w:rsidRPr="00AA1FC6" w:rsidRDefault="003F733D" w:rsidP="00AA1FC6">
      <w:pPr>
        <w:spacing w:after="0" w:line="240" w:lineRule="auto"/>
        <w:ind w:firstLine="720"/>
        <w:jc w:val="both"/>
        <w:rPr>
          <w:rFonts w:ascii="Times New Roman" w:hAnsi="Times New Roman"/>
          <w:sz w:val="28"/>
          <w:szCs w:val="28"/>
        </w:rPr>
      </w:pPr>
      <w:r w:rsidRPr="008D5D14">
        <w:rPr>
          <w:rFonts w:ascii="Times New Roman" w:hAnsi="Times New Roman"/>
          <w:sz w:val="28"/>
          <w:szCs w:val="28"/>
        </w:rPr>
        <w:t>Izdarīt Ministru kabineta 2013.</w:t>
      </w:r>
      <w:r w:rsidR="00CF25C4">
        <w:rPr>
          <w:rFonts w:ascii="Times New Roman" w:hAnsi="Times New Roman"/>
          <w:sz w:val="28"/>
          <w:szCs w:val="28"/>
        </w:rPr>
        <w:t> </w:t>
      </w:r>
      <w:r w:rsidRPr="008D5D14">
        <w:rPr>
          <w:rFonts w:ascii="Times New Roman" w:hAnsi="Times New Roman"/>
          <w:sz w:val="28"/>
          <w:szCs w:val="28"/>
        </w:rPr>
        <w:t>gada 5.</w:t>
      </w:r>
      <w:r w:rsidR="00CF25C4">
        <w:rPr>
          <w:rFonts w:ascii="Times New Roman" w:hAnsi="Times New Roman"/>
          <w:sz w:val="28"/>
          <w:szCs w:val="28"/>
        </w:rPr>
        <w:t> </w:t>
      </w:r>
      <w:r w:rsidRPr="008D5D14">
        <w:rPr>
          <w:rFonts w:ascii="Times New Roman" w:hAnsi="Times New Roman"/>
          <w:sz w:val="28"/>
          <w:szCs w:val="28"/>
        </w:rPr>
        <w:t>februāra noteikumos Nr.</w:t>
      </w:r>
      <w:r w:rsidR="00CF25C4">
        <w:rPr>
          <w:rFonts w:ascii="Times New Roman" w:hAnsi="Times New Roman"/>
          <w:sz w:val="28"/>
          <w:szCs w:val="28"/>
        </w:rPr>
        <w:t> </w:t>
      </w:r>
      <w:r w:rsidRPr="008D5D14">
        <w:rPr>
          <w:rFonts w:ascii="Times New Roman" w:hAnsi="Times New Roman"/>
          <w:sz w:val="28"/>
          <w:szCs w:val="28"/>
        </w:rPr>
        <w:t>84 „Noteikumi par atsevišķu ķīmisku vielu lietošanas ierobežojumiem elektriskajās un elektroniskajās iekārtās” (Latvijas Vēstnesis, 2013, 47.nr.; 2014, 109.nr.</w:t>
      </w:r>
      <w:r w:rsidR="00AA1FC6">
        <w:rPr>
          <w:rFonts w:ascii="Times New Roman" w:hAnsi="Times New Roman"/>
          <w:sz w:val="28"/>
          <w:szCs w:val="28"/>
        </w:rPr>
        <w:t>; 2014, 210.nr.</w:t>
      </w:r>
      <w:r>
        <w:rPr>
          <w:rFonts w:ascii="Times New Roman" w:hAnsi="Times New Roman"/>
          <w:sz w:val="28"/>
          <w:szCs w:val="28"/>
        </w:rPr>
        <w:t>;</w:t>
      </w:r>
      <w:r w:rsidR="002C7485">
        <w:rPr>
          <w:rFonts w:ascii="Times New Roman" w:hAnsi="Times New Roman"/>
          <w:sz w:val="28"/>
          <w:szCs w:val="28"/>
        </w:rPr>
        <w:t xml:space="preserve"> </w:t>
      </w:r>
      <w:r w:rsidR="002602E6">
        <w:rPr>
          <w:rFonts w:ascii="Times New Roman" w:hAnsi="Times New Roman"/>
          <w:sz w:val="28"/>
          <w:szCs w:val="28"/>
        </w:rPr>
        <w:t>2016, 14.nr.</w:t>
      </w:r>
      <w:r w:rsidRPr="008D5D14">
        <w:rPr>
          <w:rFonts w:ascii="Times New Roman" w:hAnsi="Times New Roman"/>
          <w:sz w:val="28"/>
          <w:szCs w:val="28"/>
        </w:rPr>
        <w:t>) šādus grozījumus:</w:t>
      </w:r>
    </w:p>
    <w:p w:rsidR="003F733D" w:rsidRDefault="003F733D" w:rsidP="00EF7864">
      <w:pPr>
        <w:spacing w:after="0" w:line="240" w:lineRule="auto"/>
        <w:outlineLvl w:val="2"/>
        <w:rPr>
          <w:rFonts w:ascii="Times New Roman" w:eastAsia="Times New Roman" w:hAnsi="Times New Roman" w:cs="Times New Roman"/>
          <w:bCs/>
          <w:sz w:val="28"/>
          <w:szCs w:val="28"/>
          <w:lang w:eastAsia="lv-LV"/>
        </w:rPr>
      </w:pPr>
    </w:p>
    <w:p w:rsidR="00EF7864" w:rsidRDefault="000823B4" w:rsidP="00EF7864">
      <w:pPr>
        <w:pStyle w:val="ListParagraph"/>
        <w:numPr>
          <w:ilvl w:val="0"/>
          <w:numId w:val="1"/>
        </w:numPr>
        <w:spacing w:after="0" w:line="240" w:lineRule="auto"/>
        <w:outlineLvl w:val="2"/>
        <w:rPr>
          <w:rFonts w:ascii="Times New Roman" w:eastAsia="Times New Roman" w:hAnsi="Times New Roman" w:cs="Times New Roman"/>
          <w:bCs/>
          <w:sz w:val="28"/>
          <w:szCs w:val="28"/>
          <w:lang w:eastAsia="lv-LV"/>
        </w:rPr>
      </w:pPr>
      <w:r w:rsidRPr="00EF7864">
        <w:rPr>
          <w:rFonts w:ascii="Times New Roman" w:eastAsia="Times New Roman" w:hAnsi="Times New Roman" w:cs="Times New Roman"/>
          <w:bCs/>
          <w:sz w:val="28"/>
          <w:szCs w:val="28"/>
          <w:lang w:eastAsia="lv-LV"/>
        </w:rPr>
        <w:t>Papildināt Informatīvo atsauci uz Eiropas Savienības direktīvām</w:t>
      </w:r>
      <w:r w:rsidR="005156F7">
        <w:rPr>
          <w:rFonts w:ascii="Times New Roman" w:eastAsia="Times New Roman" w:hAnsi="Times New Roman" w:cs="Times New Roman"/>
          <w:bCs/>
          <w:sz w:val="28"/>
          <w:szCs w:val="28"/>
          <w:lang w:eastAsia="lv-LV"/>
        </w:rPr>
        <w:t xml:space="preserve"> ar 31., 32. un 33. punktu</w:t>
      </w:r>
      <w:r w:rsidRPr="00EF7864">
        <w:rPr>
          <w:rFonts w:ascii="Times New Roman" w:eastAsia="Times New Roman" w:hAnsi="Times New Roman" w:cs="Times New Roman"/>
          <w:bCs/>
          <w:sz w:val="28"/>
          <w:szCs w:val="28"/>
          <w:lang w:eastAsia="lv-LV"/>
        </w:rPr>
        <w:t xml:space="preserve"> šādā redakcijā:</w:t>
      </w:r>
    </w:p>
    <w:p w:rsidR="002C7485" w:rsidRDefault="002C7485" w:rsidP="002C7485">
      <w:pPr>
        <w:pStyle w:val="ListParagraph"/>
        <w:spacing w:after="0" w:line="240" w:lineRule="auto"/>
        <w:outlineLvl w:val="2"/>
        <w:rPr>
          <w:rFonts w:ascii="Times New Roman" w:eastAsia="Times New Roman" w:hAnsi="Times New Roman" w:cs="Times New Roman"/>
          <w:bCs/>
          <w:sz w:val="28"/>
          <w:szCs w:val="28"/>
          <w:lang w:eastAsia="lv-LV"/>
        </w:rPr>
      </w:pPr>
    </w:p>
    <w:p w:rsidR="000823B4" w:rsidRDefault="00CF25C4" w:rsidP="00EF7864">
      <w:pPr>
        <w:spacing w:after="0" w:line="240" w:lineRule="auto"/>
        <w:jc w:val="both"/>
        <w:outlineLvl w:val="2"/>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t>„</w:t>
      </w:r>
      <w:r w:rsidR="004405E1">
        <w:rPr>
          <w:rFonts w:ascii="Times New Roman" w:eastAsia="Times New Roman" w:hAnsi="Times New Roman" w:cs="Times New Roman"/>
          <w:bCs/>
          <w:sz w:val="28"/>
          <w:szCs w:val="28"/>
          <w:lang w:eastAsia="lv-LV"/>
        </w:rPr>
        <w:t>31)</w:t>
      </w:r>
      <w:r>
        <w:rPr>
          <w:rFonts w:ascii="Times New Roman" w:eastAsia="Times New Roman" w:hAnsi="Times New Roman" w:cs="Times New Roman"/>
          <w:bCs/>
          <w:sz w:val="28"/>
          <w:szCs w:val="28"/>
          <w:lang w:eastAsia="lv-LV"/>
        </w:rPr>
        <w:t> </w:t>
      </w:r>
      <w:r w:rsidR="004405E1">
        <w:rPr>
          <w:rFonts w:ascii="Times New Roman" w:eastAsia="Times New Roman" w:hAnsi="Times New Roman" w:cs="Times New Roman"/>
          <w:bCs/>
          <w:sz w:val="28"/>
          <w:szCs w:val="28"/>
          <w:lang w:eastAsia="lv-LV"/>
        </w:rPr>
        <w:t xml:space="preserve">Eiropas Komisijas </w:t>
      </w:r>
      <w:r w:rsidR="000823B4" w:rsidRPr="00EF7864">
        <w:rPr>
          <w:rFonts w:ascii="Times New Roman" w:eastAsia="Times New Roman" w:hAnsi="Times New Roman" w:cs="Times New Roman"/>
          <w:bCs/>
          <w:sz w:val="28"/>
          <w:szCs w:val="28"/>
          <w:lang w:eastAsia="lv-LV"/>
        </w:rPr>
        <w:t>2016.</w:t>
      </w:r>
      <w:r>
        <w:rPr>
          <w:rFonts w:ascii="Times New Roman" w:eastAsia="Times New Roman" w:hAnsi="Times New Roman" w:cs="Times New Roman"/>
          <w:bCs/>
          <w:sz w:val="28"/>
          <w:szCs w:val="28"/>
          <w:lang w:eastAsia="lv-LV"/>
        </w:rPr>
        <w:t> </w:t>
      </w:r>
      <w:r w:rsidR="000823B4" w:rsidRPr="00EF7864">
        <w:rPr>
          <w:rFonts w:ascii="Times New Roman" w:eastAsia="Times New Roman" w:hAnsi="Times New Roman" w:cs="Times New Roman"/>
          <w:bCs/>
          <w:sz w:val="28"/>
          <w:szCs w:val="28"/>
          <w:lang w:eastAsia="lv-LV"/>
        </w:rPr>
        <w:t>gada 12.</w:t>
      </w:r>
      <w:r>
        <w:rPr>
          <w:rFonts w:ascii="Times New Roman" w:eastAsia="Times New Roman" w:hAnsi="Times New Roman" w:cs="Times New Roman"/>
          <w:bCs/>
          <w:sz w:val="28"/>
          <w:szCs w:val="28"/>
          <w:lang w:eastAsia="lv-LV"/>
        </w:rPr>
        <w:t> </w:t>
      </w:r>
      <w:r w:rsidR="000823B4" w:rsidRPr="00EF7864">
        <w:rPr>
          <w:rFonts w:ascii="Times New Roman" w:eastAsia="Times New Roman" w:hAnsi="Times New Roman" w:cs="Times New Roman"/>
          <w:bCs/>
          <w:sz w:val="28"/>
          <w:szCs w:val="28"/>
          <w:lang w:eastAsia="lv-LV"/>
        </w:rPr>
        <w:t xml:space="preserve">februāra deleģētās direktīvas </w:t>
      </w:r>
      <w:r w:rsidR="005B123F">
        <w:rPr>
          <w:rFonts w:ascii="Times New Roman" w:eastAsia="Times New Roman" w:hAnsi="Times New Roman" w:cs="Times New Roman"/>
          <w:bCs/>
          <w:sz w:val="28"/>
          <w:szCs w:val="28"/>
          <w:lang w:eastAsia="lv-LV"/>
        </w:rPr>
        <w:t xml:space="preserve">(ES) </w:t>
      </w:r>
      <w:r w:rsidR="000823B4" w:rsidRPr="00EF7864">
        <w:rPr>
          <w:rFonts w:ascii="Times New Roman" w:eastAsia="Times New Roman" w:hAnsi="Times New Roman" w:cs="Times New Roman"/>
          <w:bCs/>
          <w:sz w:val="28"/>
          <w:szCs w:val="28"/>
          <w:lang w:eastAsia="lv-LV"/>
        </w:rPr>
        <w:t>2016/585, ar ko, pielāgojot tehnikas attīstībai, Eiropas Parlamenta un Padomes Direktīvas 2011/65/ES IV pielikumu groza attiecībā uz atbrīvojumu, ko piemēro no medicīniskajām ierīcēm vai elektronu mikroskopiem iegūtu un to remontēšanā vai atjaunošanā izmantotu rezerves daļu saturētam svinam, kadmijam, sešvērtīgajam hromam un polibromdifenilēteriem (PBDE)</w:t>
      </w:r>
      <w:bookmarkEnd w:id="0"/>
      <w:r w:rsidR="000823B4" w:rsidRPr="00EF7864">
        <w:rPr>
          <w:rFonts w:ascii="Times New Roman" w:eastAsia="Times New Roman" w:hAnsi="Times New Roman" w:cs="Times New Roman"/>
          <w:bCs/>
          <w:sz w:val="28"/>
          <w:szCs w:val="28"/>
          <w:lang w:eastAsia="lv-LV"/>
        </w:rPr>
        <w:t>;</w:t>
      </w:r>
    </w:p>
    <w:p w:rsidR="00EF7864" w:rsidRPr="00EF7864" w:rsidRDefault="00EF7864" w:rsidP="00EF7864">
      <w:pPr>
        <w:spacing w:after="0" w:line="240" w:lineRule="auto"/>
        <w:jc w:val="both"/>
        <w:outlineLvl w:val="2"/>
        <w:rPr>
          <w:rFonts w:ascii="Times New Roman" w:eastAsia="Times New Roman" w:hAnsi="Times New Roman" w:cs="Times New Roman"/>
          <w:bCs/>
          <w:sz w:val="28"/>
          <w:szCs w:val="28"/>
          <w:lang w:eastAsia="lv-LV"/>
        </w:rPr>
      </w:pPr>
    </w:p>
    <w:p w:rsidR="000823B4" w:rsidRDefault="000823B4" w:rsidP="00EF7864">
      <w:pPr>
        <w:spacing w:after="0" w:line="240" w:lineRule="auto"/>
        <w:jc w:val="both"/>
        <w:rPr>
          <w:rStyle w:val="Strong"/>
          <w:rFonts w:ascii="Times New Roman" w:hAnsi="Times New Roman" w:cs="Times New Roman"/>
          <w:b w:val="0"/>
          <w:sz w:val="28"/>
          <w:szCs w:val="28"/>
        </w:rPr>
      </w:pPr>
      <w:r w:rsidRPr="00EF7864">
        <w:rPr>
          <w:rFonts w:ascii="Times New Roman" w:eastAsia="Times New Roman" w:hAnsi="Times New Roman" w:cs="Times New Roman"/>
          <w:bCs/>
          <w:sz w:val="28"/>
          <w:szCs w:val="28"/>
          <w:lang w:eastAsia="lv-LV"/>
        </w:rPr>
        <w:t>32)</w:t>
      </w:r>
      <w:r w:rsidR="00CF25C4">
        <w:rPr>
          <w:rFonts w:ascii="Times New Roman" w:eastAsia="Times New Roman" w:hAnsi="Times New Roman" w:cs="Times New Roman"/>
          <w:bCs/>
          <w:sz w:val="28"/>
          <w:szCs w:val="28"/>
          <w:lang w:eastAsia="lv-LV"/>
        </w:rPr>
        <w:t> </w:t>
      </w:r>
      <w:r w:rsidRPr="00EF7864">
        <w:rPr>
          <w:rFonts w:ascii="Times New Roman" w:eastAsia="Times New Roman" w:hAnsi="Times New Roman" w:cs="Times New Roman"/>
          <w:bCs/>
          <w:sz w:val="28"/>
          <w:szCs w:val="28"/>
          <w:lang w:eastAsia="lv-LV"/>
        </w:rPr>
        <w:t xml:space="preserve">Eiropas </w:t>
      </w:r>
      <w:r w:rsidRPr="00EF7864">
        <w:rPr>
          <w:rStyle w:val="Strong"/>
          <w:rFonts w:ascii="Times New Roman" w:hAnsi="Times New Roman" w:cs="Times New Roman"/>
          <w:b w:val="0"/>
          <w:sz w:val="28"/>
          <w:szCs w:val="28"/>
        </w:rPr>
        <w:t>Komisijas 2016.</w:t>
      </w:r>
      <w:r w:rsidR="00CF25C4">
        <w:rPr>
          <w:rStyle w:val="Strong"/>
          <w:rFonts w:ascii="Times New Roman" w:hAnsi="Times New Roman" w:cs="Times New Roman"/>
          <w:b w:val="0"/>
          <w:sz w:val="28"/>
          <w:szCs w:val="28"/>
        </w:rPr>
        <w:t> </w:t>
      </w:r>
      <w:r w:rsidRPr="00EF7864">
        <w:rPr>
          <w:rStyle w:val="Strong"/>
          <w:rFonts w:ascii="Times New Roman" w:hAnsi="Times New Roman" w:cs="Times New Roman"/>
          <w:b w:val="0"/>
          <w:sz w:val="28"/>
          <w:szCs w:val="28"/>
        </w:rPr>
        <w:t>gada 19.</w:t>
      </w:r>
      <w:r w:rsidR="00CF25C4">
        <w:rPr>
          <w:rStyle w:val="Strong"/>
          <w:rFonts w:ascii="Times New Roman" w:hAnsi="Times New Roman" w:cs="Times New Roman"/>
          <w:b w:val="0"/>
          <w:sz w:val="28"/>
          <w:szCs w:val="28"/>
        </w:rPr>
        <w:t> </w:t>
      </w:r>
      <w:r w:rsidRPr="00EF7864">
        <w:rPr>
          <w:rStyle w:val="Strong"/>
          <w:rFonts w:ascii="Times New Roman" w:hAnsi="Times New Roman" w:cs="Times New Roman"/>
          <w:b w:val="0"/>
          <w:sz w:val="28"/>
          <w:szCs w:val="28"/>
        </w:rPr>
        <w:t xml:space="preserve">aprīļa deleģētās direktīvas </w:t>
      </w:r>
      <w:r w:rsidR="005B123F">
        <w:rPr>
          <w:rStyle w:val="Strong"/>
          <w:rFonts w:ascii="Times New Roman" w:hAnsi="Times New Roman" w:cs="Times New Roman"/>
          <w:b w:val="0"/>
          <w:sz w:val="28"/>
          <w:szCs w:val="28"/>
        </w:rPr>
        <w:t xml:space="preserve">(ES) </w:t>
      </w:r>
      <w:r w:rsidRPr="00EF7864">
        <w:rPr>
          <w:rStyle w:val="Strong"/>
          <w:rFonts w:ascii="Times New Roman" w:hAnsi="Times New Roman" w:cs="Times New Roman"/>
          <w:b w:val="0"/>
          <w:sz w:val="28"/>
          <w:szCs w:val="28"/>
        </w:rPr>
        <w:t>2016/1028, ar ko, pielāgojot tehnikas attīstībai, groza Eiropas Parlamenta un Padomes Direktīvas 2011/65/ES IV pielikumu attiecībā uz atbrīvojumu lietot svinu lodmetālos, kurus izmanto elektriskajos savienojumos ar temperatūras mērīšanas sensoriem dažās ierīcēs;</w:t>
      </w:r>
    </w:p>
    <w:p w:rsidR="00EF7864" w:rsidRPr="00EF7864" w:rsidRDefault="00EF7864" w:rsidP="00EF7864">
      <w:pPr>
        <w:spacing w:after="0" w:line="240" w:lineRule="auto"/>
        <w:jc w:val="both"/>
        <w:rPr>
          <w:rStyle w:val="Strong"/>
          <w:rFonts w:ascii="Times New Roman" w:hAnsi="Times New Roman" w:cs="Times New Roman"/>
          <w:b w:val="0"/>
          <w:sz w:val="28"/>
          <w:szCs w:val="28"/>
        </w:rPr>
      </w:pPr>
    </w:p>
    <w:p w:rsidR="000823B4" w:rsidRPr="00EF7864" w:rsidRDefault="000823B4" w:rsidP="00EF7864">
      <w:pPr>
        <w:spacing w:after="0" w:line="240" w:lineRule="auto"/>
        <w:jc w:val="both"/>
        <w:rPr>
          <w:rStyle w:val="Strong"/>
          <w:rFonts w:ascii="Times New Roman" w:hAnsi="Times New Roman" w:cs="Times New Roman"/>
          <w:b w:val="0"/>
          <w:sz w:val="28"/>
          <w:szCs w:val="28"/>
        </w:rPr>
      </w:pPr>
      <w:r w:rsidRPr="00EF7864">
        <w:rPr>
          <w:rStyle w:val="Strong"/>
          <w:rFonts w:ascii="Times New Roman" w:hAnsi="Times New Roman" w:cs="Times New Roman"/>
          <w:b w:val="0"/>
          <w:sz w:val="28"/>
          <w:szCs w:val="28"/>
        </w:rPr>
        <w:t>33)</w:t>
      </w:r>
      <w:r w:rsidR="00CF25C4">
        <w:rPr>
          <w:rStyle w:val="Strong"/>
          <w:rFonts w:ascii="Times New Roman" w:hAnsi="Times New Roman" w:cs="Times New Roman"/>
          <w:b w:val="0"/>
          <w:sz w:val="28"/>
          <w:szCs w:val="28"/>
        </w:rPr>
        <w:t> </w:t>
      </w:r>
      <w:r w:rsidRPr="00EF7864">
        <w:rPr>
          <w:rStyle w:val="Strong"/>
          <w:rFonts w:ascii="Times New Roman" w:hAnsi="Times New Roman" w:cs="Times New Roman"/>
          <w:b w:val="0"/>
          <w:sz w:val="28"/>
          <w:szCs w:val="28"/>
        </w:rPr>
        <w:t>Eiropas Komisijas 2016.</w:t>
      </w:r>
      <w:r w:rsidR="00CF25C4">
        <w:rPr>
          <w:rStyle w:val="Strong"/>
          <w:rFonts w:ascii="Times New Roman" w:hAnsi="Times New Roman" w:cs="Times New Roman"/>
          <w:b w:val="0"/>
          <w:sz w:val="28"/>
          <w:szCs w:val="28"/>
        </w:rPr>
        <w:t> </w:t>
      </w:r>
      <w:r w:rsidRPr="00EF7864">
        <w:rPr>
          <w:rStyle w:val="Strong"/>
          <w:rFonts w:ascii="Times New Roman" w:hAnsi="Times New Roman" w:cs="Times New Roman"/>
          <w:b w:val="0"/>
          <w:sz w:val="28"/>
          <w:szCs w:val="28"/>
        </w:rPr>
        <w:t>gada 19.</w:t>
      </w:r>
      <w:r w:rsidR="00CF25C4">
        <w:rPr>
          <w:rStyle w:val="Strong"/>
          <w:rFonts w:ascii="Times New Roman" w:hAnsi="Times New Roman" w:cs="Times New Roman"/>
          <w:b w:val="0"/>
          <w:sz w:val="28"/>
          <w:szCs w:val="28"/>
        </w:rPr>
        <w:t> </w:t>
      </w:r>
      <w:r w:rsidRPr="00EF7864">
        <w:rPr>
          <w:rStyle w:val="Strong"/>
          <w:rFonts w:ascii="Times New Roman" w:hAnsi="Times New Roman" w:cs="Times New Roman"/>
          <w:b w:val="0"/>
          <w:sz w:val="28"/>
          <w:szCs w:val="28"/>
        </w:rPr>
        <w:t>aprīļa deleģētās direktīvas</w:t>
      </w:r>
      <w:r w:rsidR="005B123F">
        <w:rPr>
          <w:rStyle w:val="Strong"/>
          <w:rFonts w:ascii="Times New Roman" w:hAnsi="Times New Roman" w:cs="Times New Roman"/>
          <w:b w:val="0"/>
          <w:sz w:val="28"/>
          <w:szCs w:val="28"/>
        </w:rPr>
        <w:t xml:space="preserve"> (ES)</w:t>
      </w:r>
      <w:r w:rsidRPr="00EF7864">
        <w:rPr>
          <w:rStyle w:val="Strong"/>
          <w:rFonts w:ascii="Times New Roman" w:hAnsi="Times New Roman" w:cs="Times New Roman"/>
          <w:b w:val="0"/>
          <w:sz w:val="28"/>
          <w:szCs w:val="28"/>
        </w:rPr>
        <w:t xml:space="preserve"> 2016/1029, ar ko, pielāgojot tehnikas attīstībai, groza Eiropas Parlamenta un Padomes Direktīvas 2011/65/ES IV pielikumu attiecībā uz atbrīvojumu kadmija anodiem Herša galvaniskajos elementos, kas </w:t>
      </w:r>
      <w:r w:rsidRPr="00EF7864">
        <w:rPr>
          <w:rStyle w:val="Strong"/>
          <w:rFonts w:ascii="Times New Roman" w:hAnsi="Times New Roman" w:cs="Times New Roman"/>
          <w:b w:val="0"/>
          <w:sz w:val="28"/>
          <w:szCs w:val="28"/>
        </w:rPr>
        <w:lastRenderedPageBreak/>
        <w:t>paredzēti konkrētiem rūpnieciskos monitoringa un kontroles instrumentos izmantojamiem skābekļa sensoriem</w:t>
      </w:r>
      <w:r w:rsidR="00EF7864">
        <w:rPr>
          <w:rStyle w:val="Strong"/>
          <w:rFonts w:ascii="Times New Roman" w:hAnsi="Times New Roman" w:cs="Times New Roman"/>
          <w:b w:val="0"/>
          <w:sz w:val="28"/>
          <w:szCs w:val="28"/>
        </w:rPr>
        <w:t>.</w:t>
      </w:r>
      <w:r w:rsidR="002602E6">
        <w:rPr>
          <w:rStyle w:val="Strong"/>
          <w:rFonts w:ascii="Times New Roman" w:hAnsi="Times New Roman" w:cs="Times New Roman"/>
          <w:b w:val="0"/>
          <w:sz w:val="28"/>
          <w:szCs w:val="28"/>
        </w:rPr>
        <w:t>”</w:t>
      </w:r>
    </w:p>
    <w:p w:rsidR="000823B4" w:rsidRPr="00EF7864" w:rsidRDefault="000823B4" w:rsidP="00EF7864">
      <w:pPr>
        <w:spacing w:after="0" w:line="240" w:lineRule="auto"/>
        <w:rPr>
          <w:rStyle w:val="Strong"/>
          <w:rFonts w:ascii="Times New Roman" w:hAnsi="Times New Roman" w:cs="Times New Roman"/>
          <w:sz w:val="28"/>
          <w:szCs w:val="28"/>
        </w:rPr>
      </w:pPr>
    </w:p>
    <w:p w:rsidR="00461BFB" w:rsidRPr="00EF7864" w:rsidRDefault="00461BFB" w:rsidP="00EF7864">
      <w:pPr>
        <w:pStyle w:val="ListParagraph"/>
        <w:numPr>
          <w:ilvl w:val="0"/>
          <w:numId w:val="1"/>
        </w:numPr>
        <w:spacing w:after="0" w:line="240" w:lineRule="auto"/>
        <w:rPr>
          <w:rStyle w:val="Strong"/>
          <w:rFonts w:ascii="Times New Roman" w:hAnsi="Times New Roman" w:cs="Times New Roman"/>
          <w:b w:val="0"/>
          <w:sz w:val="28"/>
          <w:szCs w:val="28"/>
        </w:rPr>
      </w:pPr>
      <w:r w:rsidRPr="00EF7864">
        <w:rPr>
          <w:rStyle w:val="Strong"/>
          <w:rFonts w:ascii="Times New Roman" w:hAnsi="Times New Roman" w:cs="Times New Roman"/>
          <w:b w:val="0"/>
          <w:sz w:val="28"/>
          <w:szCs w:val="28"/>
        </w:rPr>
        <w:t>Izteikt 4.</w:t>
      </w:r>
      <w:r w:rsidR="00CF25C4">
        <w:rPr>
          <w:rStyle w:val="Strong"/>
          <w:rFonts w:ascii="Times New Roman" w:hAnsi="Times New Roman" w:cs="Times New Roman"/>
          <w:b w:val="0"/>
          <w:sz w:val="28"/>
          <w:szCs w:val="28"/>
        </w:rPr>
        <w:t> </w:t>
      </w:r>
      <w:r w:rsidRPr="00EF7864">
        <w:rPr>
          <w:rStyle w:val="Strong"/>
          <w:rFonts w:ascii="Times New Roman" w:hAnsi="Times New Roman" w:cs="Times New Roman"/>
          <w:b w:val="0"/>
          <w:sz w:val="28"/>
          <w:szCs w:val="28"/>
        </w:rPr>
        <w:t>pielikuma 9.</w:t>
      </w:r>
      <w:r w:rsidR="00CF25C4">
        <w:rPr>
          <w:rStyle w:val="Strong"/>
          <w:rFonts w:ascii="Times New Roman" w:hAnsi="Times New Roman" w:cs="Times New Roman"/>
          <w:b w:val="0"/>
          <w:sz w:val="28"/>
          <w:szCs w:val="28"/>
        </w:rPr>
        <w:t> </w:t>
      </w:r>
      <w:r w:rsidRPr="00EF7864">
        <w:rPr>
          <w:rStyle w:val="Strong"/>
          <w:rFonts w:ascii="Times New Roman" w:hAnsi="Times New Roman" w:cs="Times New Roman"/>
          <w:b w:val="0"/>
          <w:sz w:val="28"/>
          <w:szCs w:val="28"/>
        </w:rPr>
        <w:t>punktu šādā redakcijā:</w:t>
      </w:r>
    </w:p>
    <w:tbl>
      <w:tblPr>
        <w:tblStyle w:val="TableGrid"/>
        <w:tblW w:w="0" w:type="auto"/>
        <w:tblLook w:val="04A0" w:firstRow="1" w:lastRow="0" w:firstColumn="1" w:lastColumn="0" w:noHBand="0" w:noVBand="1"/>
      </w:tblPr>
      <w:tblGrid>
        <w:gridCol w:w="704"/>
        <w:gridCol w:w="4826"/>
        <w:gridCol w:w="2766"/>
      </w:tblGrid>
      <w:tr w:rsidR="00461BFB" w:rsidRPr="00EF7864" w:rsidTr="00EF7864">
        <w:tc>
          <w:tcPr>
            <w:tcW w:w="704" w:type="dxa"/>
          </w:tcPr>
          <w:p w:rsidR="00461BFB" w:rsidRPr="00EF7864" w:rsidRDefault="00CF25C4" w:rsidP="00EF7864">
            <w:pPr>
              <w:rPr>
                <w:rStyle w:val="Strong"/>
                <w:rFonts w:ascii="Times New Roman" w:hAnsi="Times New Roman" w:cs="Times New Roman"/>
                <w:b w:val="0"/>
                <w:sz w:val="28"/>
                <w:szCs w:val="28"/>
              </w:rPr>
            </w:pPr>
            <w:r>
              <w:rPr>
                <w:rStyle w:val="Strong"/>
                <w:rFonts w:ascii="Times New Roman" w:hAnsi="Times New Roman" w:cs="Times New Roman"/>
                <w:b w:val="0"/>
                <w:sz w:val="28"/>
                <w:szCs w:val="28"/>
              </w:rPr>
              <w:t>„</w:t>
            </w:r>
            <w:r w:rsidR="00461BFB" w:rsidRPr="00EF7864">
              <w:rPr>
                <w:rStyle w:val="Strong"/>
                <w:rFonts w:ascii="Times New Roman" w:hAnsi="Times New Roman" w:cs="Times New Roman"/>
                <w:b w:val="0"/>
                <w:sz w:val="28"/>
                <w:szCs w:val="28"/>
              </w:rPr>
              <w:t>9.</w:t>
            </w:r>
          </w:p>
        </w:tc>
        <w:tc>
          <w:tcPr>
            <w:tcW w:w="4826" w:type="dxa"/>
          </w:tcPr>
          <w:p w:rsidR="00461BFB" w:rsidRPr="00EF7864" w:rsidRDefault="00461BFB" w:rsidP="00EF7864">
            <w:pPr>
              <w:pStyle w:val="Normal1"/>
              <w:spacing w:before="0" w:beforeAutospacing="0" w:after="0" w:afterAutospacing="0"/>
              <w:jc w:val="both"/>
              <w:rPr>
                <w:sz w:val="28"/>
                <w:szCs w:val="28"/>
              </w:rPr>
            </w:pPr>
            <w:r w:rsidRPr="00EF7864">
              <w:rPr>
                <w:sz w:val="28"/>
                <w:szCs w:val="28"/>
              </w:rPr>
              <w:t>Svins turpmāk minētajos izmantošanas veidos, ko normālos ekspluatācijas un glabāšanas apstākļos ilgstoši izmanto temperatūrā, kas zemāka nekā – 20 °C:</w:t>
            </w:r>
          </w:p>
          <w:tbl>
            <w:tblPr>
              <w:tblW w:w="5000" w:type="pct"/>
              <w:tblCellSpacing w:w="0" w:type="dxa"/>
              <w:tblCellMar>
                <w:left w:w="0" w:type="dxa"/>
                <w:right w:w="0" w:type="dxa"/>
              </w:tblCellMar>
              <w:tblLook w:val="04A0" w:firstRow="1" w:lastRow="0" w:firstColumn="1" w:lastColumn="0" w:noHBand="0" w:noVBand="1"/>
            </w:tblPr>
            <w:tblGrid>
              <w:gridCol w:w="314"/>
              <w:gridCol w:w="4296"/>
            </w:tblGrid>
            <w:tr w:rsidR="00461BFB" w:rsidRPr="00EF7864" w:rsidTr="0018228C">
              <w:trPr>
                <w:tblCellSpacing w:w="0" w:type="dxa"/>
              </w:trPr>
              <w:tc>
                <w:tcPr>
                  <w:tcW w:w="0" w:type="auto"/>
                  <w:hideMark/>
                </w:tcPr>
                <w:p w:rsidR="00461BFB" w:rsidRPr="00EF7864" w:rsidRDefault="00461BFB" w:rsidP="00EF7864">
                  <w:pPr>
                    <w:pStyle w:val="Normal1"/>
                    <w:spacing w:before="0" w:beforeAutospacing="0" w:after="0" w:afterAutospacing="0"/>
                    <w:jc w:val="both"/>
                    <w:rPr>
                      <w:sz w:val="28"/>
                      <w:szCs w:val="28"/>
                    </w:rPr>
                  </w:pPr>
                  <w:r w:rsidRPr="00EF7864">
                    <w:rPr>
                      <w:sz w:val="28"/>
                      <w:szCs w:val="28"/>
                    </w:rPr>
                    <w:t>a)</w:t>
                  </w:r>
                  <w:r w:rsidR="00CF25C4">
                    <w:rPr>
                      <w:sz w:val="28"/>
                      <w:szCs w:val="28"/>
                    </w:rPr>
                    <w:t> </w:t>
                  </w:r>
                </w:p>
              </w:tc>
              <w:tc>
                <w:tcPr>
                  <w:tcW w:w="0" w:type="auto"/>
                  <w:hideMark/>
                </w:tcPr>
                <w:p w:rsidR="00461BFB" w:rsidRPr="00EF7864" w:rsidRDefault="00461BFB" w:rsidP="00EF7864">
                  <w:pPr>
                    <w:pStyle w:val="Normal1"/>
                    <w:spacing w:before="0" w:beforeAutospacing="0" w:after="0" w:afterAutospacing="0"/>
                    <w:jc w:val="both"/>
                    <w:rPr>
                      <w:sz w:val="28"/>
                      <w:szCs w:val="28"/>
                    </w:rPr>
                  </w:pPr>
                  <w:r w:rsidRPr="00EF7864">
                    <w:rPr>
                      <w:sz w:val="28"/>
                      <w:szCs w:val="28"/>
                    </w:rPr>
                    <w:t>lodmetālos drukātās shēmas platēs;</w:t>
                  </w:r>
                </w:p>
              </w:tc>
            </w:tr>
          </w:tbl>
          <w:p w:rsidR="00461BFB" w:rsidRPr="00EF7864" w:rsidRDefault="00461BFB" w:rsidP="00EF7864">
            <w:pPr>
              <w:jc w:val="both"/>
              <w:rPr>
                <w:rFonts w:ascii="Times New Roman" w:hAnsi="Times New Roman" w:cs="Times New Roman"/>
                <w:vanish/>
                <w:sz w:val="28"/>
                <w:szCs w:val="28"/>
              </w:rPr>
            </w:pPr>
          </w:p>
          <w:tbl>
            <w:tblPr>
              <w:tblW w:w="5000" w:type="pct"/>
              <w:tblCellSpacing w:w="0" w:type="dxa"/>
              <w:tblCellMar>
                <w:left w:w="0" w:type="dxa"/>
                <w:right w:w="0" w:type="dxa"/>
              </w:tblCellMar>
              <w:tblLook w:val="04A0" w:firstRow="1" w:lastRow="0" w:firstColumn="1" w:lastColumn="0" w:noHBand="0" w:noVBand="1"/>
            </w:tblPr>
            <w:tblGrid>
              <w:gridCol w:w="234"/>
              <w:gridCol w:w="4376"/>
            </w:tblGrid>
            <w:tr w:rsidR="00461BFB" w:rsidRPr="00EF7864" w:rsidTr="0018228C">
              <w:trPr>
                <w:tblCellSpacing w:w="0" w:type="dxa"/>
              </w:trPr>
              <w:tc>
                <w:tcPr>
                  <w:tcW w:w="0" w:type="auto"/>
                  <w:hideMark/>
                </w:tcPr>
                <w:p w:rsidR="00461BFB" w:rsidRPr="00EF7864" w:rsidRDefault="00461BFB" w:rsidP="00EF7864">
                  <w:pPr>
                    <w:pStyle w:val="Normal1"/>
                    <w:spacing w:before="0" w:beforeAutospacing="0" w:after="0" w:afterAutospacing="0"/>
                    <w:jc w:val="both"/>
                    <w:rPr>
                      <w:sz w:val="28"/>
                      <w:szCs w:val="28"/>
                    </w:rPr>
                  </w:pPr>
                  <w:r w:rsidRPr="00EF7864">
                    <w:rPr>
                      <w:sz w:val="28"/>
                      <w:szCs w:val="28"/>
                    </w:rPr>
                    <w:t>b)</w:t>
                  </w:r>
                </w:p>
              </w:tc>
              <w:tc>
                <w:tcPr>
                  <w:tcW w:w="0" w:type="auto"/>
                  <w:hideMark/>
                </w:tcPr>
                <w:p w:rsidR="00461BFB" w:rsidRPr="00EF7864" w:rsidRDefault="00CF25C4" w:rsidP="00EF7864">
                  <w:pPr>
                    <w:pStyle w:val="Normal1"/>
                    <w:spacing w:before="0" w:beforeAutospacing="0" w:after="0" w:afterAutospacing="0"/>
                    <w:jc w:val="both"/>
                    <w:rPr>
                      <w:sz w:val="28"/>
                      <w:szCs w:val="28"/>
                    </w:rPr>
                  </w:pPr>
                  <w:r>
                    <w:rPr>
                      <w:sz w:val="28"/>
                      <w:szCs w:val="28"/>
                    </w:rPr>
                    <w:t> </w:t>
                  </w:r>
                  <w:r w:rsidR="00461BFB" w:rsidRPr="00EF7864">
                    <w:rPr>
                      <w:sz w:val="28"/>
                      <w:szCs w:val="28"/>
                    </w:rPr>
                    <w:t>elektrisko un elektronisko sastāvdaļu savienojumu pārklājumos un drukātās shēmas plašu pārklājumos;</w:t>
                  </w:r>
                </w:p>
              </w:tc>
            </w:tr>
          </w:tbl>
          <w:p w:rsidR="00461BFB" w:rsidRPr="00EF7864" w:rsidRDefault="00461BFB" w:rsidP="00EF7864">
            <w:pPr>
              <w:jc w:val="both"/>
              <w:rPr>
                <w:rFonts w:ascii="Times New Roman" w:hAnsi="Times New Roman" w:cs="Times New Roman"/>
                <w:vanish/>
                <w:sz w:val="28"/>
                <w:szCs w:val="28"/>
              </w:rPr>
            </w:pPr>
          </w:p>
          <w:tbl>
            <w:tblPr>
              <w:tblW w:w="5000" w:type="pct"/>
              <w:tblCellSpacing w:w="0" w:type="dxa"/>
              <w:tblCellMar>
                <w:left w:w="0" w:type="dxa"/>
                <w:right w:w="0" w:type="dxa"/>
              </w:tblCellMar>
              <w:tblLook w:val="04A0" w:firstRow="1" w:lastRow="0" w:firstColumn="1" w:lastColumn="0" w:noHBand="0" w:noVBand="1"/>
            </w:tblPr>
            <w:tblGrid>
              <w:gridCol w:w="218"/>
              <w:gridCol w:w="4392"/>
            </w:tblGrid>
            <w:tr w:rsidR="00461BFB" w:rsidRPr="00EF7864" w:rsidTr="0018228C">
              <w:trPr>
                <w:tblCellSpacing w:w="0" w:type="dxa"/>
              </w:trPr>
              <w:tc>
                <w:tcPr>
                  <w:tcW w:w="0" w:type="auto"/>
                  <w:hideMark/>
                </w:tcPr>
                <w:p w:rsidR="00461BFB" w:rsidRPr="00EF7864" w:rsidRDefault="00461BFB" w:rsidP="00EF7864">
                  <w:pPr>
                    <w:pStyle w:val="Normal1"/>
                    <w:spacing w:before="0" w:beforeAutospacing="0" w:after="0" w:afterAutospacing="0"/>
                    <w:jc w:val="both"/>
                    <w:rPr>
                      <w:sz w:val="28"/>
                      <w:szCs w:val="28"/>
                    </w:rPr>
                  </w:pPr>
                  <w:r w:rsidRPr="00EF7864">
                    <w:rPr>
                      <w:sz w:val="28"/>
                      <w:szCs w:val="28"/>
                    </w:rPr>
                    <w:t>c)</w:t>
                  </w:r>
                </w:p>
              </w:tc>
              <w:tc>
                <w:tcPr>
                  <w:tcW w:w="0" w:type="auto"/>
                  <w:hideMark/>
                </w:tcPr>
                <w:p w:rsidR="00461BFB" w:rsidRPr="00EF7864" w:rsidRDefault="00CF25C4" w:rsidP="00EF7864">
                  <w:pPr>
                    <w:pStyle w:val="Normal1"/>
                    <w:spacing w:before="0" w:beforeAutospacing="0" w:after="0" w:afterAutospacing="0"/>
                    <w:jc w:val="both"/>
                    <w:rPr>
                      <w:sz w:val="28"/>
                      <w:szCs w:val="28"/>
                    </w:rPr>
                  </w:pPr>
                  <w:r>
                    <w:rPr>
                      <w:sz w:val="28"/>
                      <w:szCs w:val="28"/>
                    </w:rPr>
                    <w:t> </w:t>
                  </w:r>
                  <w:r w:rsidR="00461BFB" w:rsidRPr="00EF7864">
                    <w:rPr>
                      <w:sz w:val="28"/>
                      <w:szCs w:val="28"/>
                    </w:rPr>
                    <w:t>vadu un kabeļu salodēšanas lodmetālos;</w:t>
                  </w:r>
                </w:p>
              </w:tc>
            </w:tr>
          </w:tbl>
          <w:p w:rsidR="00461BFB" w:rsidRPr="00EF7864" w:rsidRDefault="00461BFB" w:rsidP="00EF7864">
            <w:pPr>
              <w:jc w:val="both"/>
              <w:rPr>
                <w:rFonts w:ascii="Times New Roman" w:hAnsi="Times New Roman" w:cs="Times New Roman"/>
                <w:vanish/>
                <w:sz w:val="28"/>
                <w:szCs w:val="28"/>
              </w:rPr>
            </w:pPr>
          </w:p>
          <w:tbl>
            <w:tblPr>
              <w:tblW w:w="5000" w:type="pct"/>
              <w:tblCellSpacing w:w="0" w:type="dxa"/>
              <w:tblCellMar>
                <w:left w:w="0" w:type="dxa"/>
                <w:right w:w="0" w:type="dxa"/>
              </w:tblCellMar>
              <w:tblLook w:val="04A0" w:firstRow="1" w:lastRow="0" w:firstColumn="1" w:lastColumn="0" w:noHBand="0" w:noVBand="1"/>
            </w:tblPr>
            <w:tblGrid>
              <w:gridCol w:w="234"/>
              <w:gridCol w:w="4376"/>
            </w:tblGrid>
            <w:tr w:rsidR="00461BFB" w:rsidRPr="00EF7864" w:rsidTr="0018228C">
              <w:trPr>
                <w:tblCellSpacing w:w="0" w:type="dxa"/>
              </w:trPr>
              <w:tc>
                <w:tcPr>
                  <w:tcW w:w="0" w:type="auto"/>
                  <w:hideMark/>
                </w:tcPr>
                <w:p w:rsidR="00461BFB" w:rsidRPr="00EF7864" w:rsidRDefault="00461BFB" w:rsidP="00EF7864">
                  <w:pPr>
                    <w:pStyle w:val="Normal1"/>
                    <w:spacing w:before="0" w:beforeAutospacing="0" w:after="0" w:afterAutospacing="0"/>
                    <w:jc w:val="both"/>
                    <w:rPr>
                      <w:sz w:val="28"/>
                      <w:szCs w:val="28"/>
                    </w:rPr>
                  </w:pPr>
                  <w:r w:rsidRPr="00EF7864">
                    <w:rPr>
                      <w:sz w:val="28"/>
                      <w:szCs w:val="28"/>
                    </w:rPr>
                    <w:t>d)</w:t>
                  </w:r>
                </w:p>
              </w:tc>
              <w:tc>
                <w:tcPr>
                  <w:tcW w:w="0" w:type="auto"/>
                  <w:hideMark/>
                </w:tcPr>
                <w:p w:rsidR="00461BFB" w:rsidRPr="00EF7864" w:rsidRDefault="00CF25C4" w:rsidP="00EF7864">
                  <w:pPr>
                    <w:pStyle w:val="Normal1"/>
                    <w:spacing w:before="0" w:beforeAutospacing="0" w:after="0" w:afterAutospacing="0"/>
                    <w:jc w:val="both"/>
                    <w:rPr>
                      <w:sz w:val="28"/>
                      <w:szCs w:val="28"/>
                    </w:rPr>
                  </w:pPr>
                  <w:r>
                    <w:rPr>
                      <w:sz w:val="28"/>
                      <w:szCs w:val="28"/>
                    </w:rPr>
                    <w:t> </w:t>
                  </w:r>
                  <w:r w:rsidR="00461BFB" w:rsidRPr="00EF7864">
                    <w:rPr>
                      <w:sz w:val="28"/>
                      <w:szCs w:val="28"/>
                    </w:rPr>
                    <w:t>devēju un sensoru salodēšanas lodmetālos.</w:t>
                  </w:r>
                </w:p>
              </w:tc>
            </w:tr>
          </w:tbl>
          <w:p w:rsidR="00461BFB" w:rsidRPr="00EF7864" w:rsidRDefault="00461BFB" w:rsidP="009E59CB">
            <w:pPr>
              <w:pStyle w:val="Normal1"/>
              <w:spacing w:before="0" w:beforeAutospacing="0" w:after="0" w:afterAutospacing="0"/>
              <w:jc w:val="both"/>
              <w:rPr>
                <w:rStyle w:val="Strong"/>
                <w:sz w:val="28"/>
                <w:szCs w:val="28"/>
              </w:rPr>
            </w:pPr>
            <w:r w:rsidRPr="00EF7864">
              <w:rPr>
                <w:sz w:val="28"/>
                <w:szCs w:val="28"/>
              </w:rPr>
              <w:t>Svins lodmetālos, ko izmanto elektriskos savienojumos ar temperatūras mērīšanas sensoriem ierīcēs, kuras ir paredzēts periodiski izmantot temperatūrā, kas ir zemāka nekā – 150 C</w:t>
            </w:r>
            <w:r w:rsidR="00CF25C4">
              <w:rPr>
                <w:sz w:val="28"/>
                <w:szCs w:val="28"/>
              </w:rPr>
              <w:t>°</w:t>
            </w:r>
            <w:r w:rsidRPr="00EF7864">
              <w:rPr>
                <w:sz w:val="28"/>
                <w:szCs w:val="28"/>
              </w:rPr>
              <w:t>.</w:t>
            </w:r>
          </w:p>
        </w:tc>
        <w:tc>
          <w:tcPr>
            <w:tcW w:w="2766" w:type="dxa"/>
          </w:tcPr>
          <w:p w:rsidR="00461BFB" w:rsidRPr="00EF7864" w:rsidRDefault="00461BFB" w:rsidP="00EF7864">
            <w:pPr>
              <w:rPr>
                <w:rStyle w:val="Strong"/>
                <w:rFonts w:ascii="Times New Roman" w:hAnsi="Times New Roman" w:cs="Times New Roman"/>
                <w:b w:val="0"/>
                <w:sz w:val="28"/>
                <w:szCs w:val="28"/>
              </w:rPr>
            </w:pPr>
            <w:r w:rsidRPr="00EF7864">
              <w:rPr>
                <w:rStyle w:val="Strong"/>
                <w:rFonts w:ascii="Times New Roman" w:hAnsi="Times New Roman" w:cs="Times New Roman"/>
                <w:b w:val="0"/>
                <w:sz w:val="28"/>
                <w:szCs w:val="28"/>
              </w:rPr>
              <w:t>Spēkā līdz 2021.</w:t>
            </w:r>
            <w:r w:rsidR="00CF25C4">
              <w:rPr>
                <w:rStyle w:val="Strong"/>
                <w:rFonts w:ascii="Times New Roman" w:hAnsi="Times New Roman" w:cs="Times New Roman"/>
                <w:b w:val="0"/>
                <w:sz w:val="28"/>
                <w:szCs w:val="28"/>
              </w:rPr>
              <w:t> </w:t>
            </w:r>
            <w:r w:rsidRPr="00EF7864">
              <w:rPr>
                <w:rStyle w:val="Strong"/>
                <w:rFonts w:ascii="Times New Roman" w:hAnsi="Times New Roman" w:cs="Times New Roman"/>
                <w:b w:val="0"/>
                <w:sz w:val="28"/>
                <w:szCs w:val="28"/>
              </w:rPr>
              <w:t>gada 30.</w:t>
            </w:r>
            <w:r w:rsidR="00CF25C4">
              <w:rPr>
                <w:rStyle w:val="Strong"/>
                <w:rFonts w:ascii="Times New Roman" w:hAnsi="Times New Roman" w:cs="Times New Roman"/>
                <w:b w:val="0"/>
                <w:sz w:val="28"/>
                <w:szCs w:val="28"/>
              </w:rPr>
              <w:t> j</w:t>
            </w:r>
            <w:r w:rsidRPr="00EF7864">
              <w:rPr>
                <w:rStyle w:val="Strong"/>
                <w:rFonts w:ascii="Times New Roman" w:hAnsi="Times New Roman" w:cs="Times New Roman"/>
                <w:b w:val="0"/>
                <w:sz w:val="28"/>
                <w:szCs w:val="28"/>
              </w:rPr>
              <w:t>ūnijam</w:t>
            </w:r>
            <w:r w:rsidR="00CF25C4">
              <w:rPr>
                <w:rStyle w:val="Strong"/>
                <w:rFonts w:ascii="Times New Roman" w:hAnsi="Times New Roman" w:cs="Times New Roman"/>
                <w:b w:val="0"/>
                <w:sz w:val="28"/>
                <w:szCs w:val="28"/>
              </w:rPr>
              <w:t>.”</w:t>
            </w:r>
          </w:p>
        </w:tc>
      </w:tr>
    </w:tbl>
    <w:p w:rsidR="00461BFB" w:rsidRPr="00EF7864" w:rsidRDefault="00461BFB" w:rsidP="00EF7864">
      <w:pPr>
        <w:spacing w:after="0" w:line="240" w:lineRule="auto"/>
        <w:rPr>
          <w:rStyle w:val="Strong"/>
          <w:rFonts w:ascii="Times New Roman" w:hAnsi="Times New Roman" w:cs="Times New Roman"/>
          <w:sz w:val="28"/>
          <w:szCs w:val="28"/>
        </w:rPr>
      </w:pPr>
    </w:p>
    <w:p w:rsidR="00EF7864" w:rsidRDefault="00EF7864" w:rsidP="00EF7864">
      <w:pPr>
        <w:pStyle w:val="ListParagraph"/>
        <w:numPr>
          <w:ilvl w:val="0"/>
          <w:numId w:val="1"/>
        </w:numPr>
        <w:spacing w:after="0" w:line="240" w:lineRule="auto"/>
        <w:outlineLvl w:val="2"/>
        <w:rPr>
          <w:rFonts w:ascii="Times New Roman" w:eastAsia="Times New Roman" w:hAnsi="Times New Roman" w:cs="Times New Roman"/>
          <w:bCs/>
          <w:sz w:val="28"/>
          <w:szCs w:val="28"/>
          <w:lang w:eastAsia="lv-LV"/>
        </w:rPr>
      </w:pPr>
      <w:r w:rsidRPr="00EF7864">
        <w:rPr>
          <w:rFonts w:ascii="Times New Roman" w:eastAsia="Times New Roman" w:hAnsi="Times New Roman" w:cs="Times New Roman"/>
          <w:bCs/>
          <w:sz w:val="28"/>
          <w:szCs w:val="28"/>
          <w:lang w:eastAsia="lv-LV"/>
        </w:rPr>
        <w:t>Izteikt</w:t>
      </w:r>
      <w:r w:rsidR="00133FE1" w:rsidRPr="00EF7864">
        <w:rPr>
          <w:rFonts w:ascii="Times New Roman" w:eastAsia="Times New Roman" w:hAnsi="Times New Roman" w:cs="Times New Roman"/>
          <w:bCs/>
          <w:sz w:val="28"/>
          <w:szCs w:val="28"/>
          <w:lang w:eastAsia="lv-LV"/>
        </w:rPr>
        <w:t xml:space="preserve"> 4.</w:t>
      </w:r>
      <w:r w:rsidR="00CF25C4">
        <w:rPr>
          <w:rFonts w:ascii="Times New Roman" w:eastAsia="Times New Roman" w:hAnsi="Times New Roman" w:cs="Times New Roman"/>
          <w:bCs/>
          <w:sz w:val="28"/>
          <w:szCs w:val="28"/>
          <w:lang w:eastAsia="lv-LV"/>
        </w:rPr>
        <w:t> </w:t>
      </w:r>
      <w:r w:rsidR="00133FE1" w:rsidRPr="00EF7864">
        <w:rPr>
          <w:rFonts w:ascii="Times New Roman" w:eastAsia="Times New Roman" w:hAnsi="Times New Roman" w:cs="Times New Roman"/>
          <w:bCs/>
          <w:sz w:val="28"/>
          <w:szCs w:val="28"/>
          <w:lang w:eastAsia="lv-LV"/>
        </w:rPr>
        <w:t>pielikuma 14.</w:t>
      </w:r>
      <w:r w:rsidR="00CF25C4">
        <w:rPr>
          <w:rFonts w:ascii="Times New Roman" w:eastAsia="Times New Roman" w:hAnsi="Times New Roman" w:cs="Times New Roman"/>
          <w:bCs/>
          <w:sz w:val="28"/>
          <w:szCs w:val="28"/>
          <w:lang w:eastAsia="lv-LV"/>
        </w:rPr>
        <w:t> </w:t>
      </w:r>
      <w:r w:rsidR="00133FE1" w:rsidRPr="00EF7864">
        <w:rPr>
          <w:rFonts w:ascii="Times New Roman" w:eastAsia="Times New Roman" w:hAnsi="Times New Roman" w:cs="Times New Roman"/>
          <w:bCs/>
          <w:sz w:val="28"/>
          <w:szCs w:val="28"/>
          <w:lang w:eastAsia="lv-LV"/>
        </w:rPr>
        <w:t>punktu</w:t>
      </w:r>
      <w:r w:rsidRPr="00EF7864">
        <w:rPr>
          <w:rFonts w:ascii="Times New Roman" w:eastAsia="Times New Roman" w:hAnsi="Times New Roman" w:cs="Times New Roman"/>
          <w:bCs/>
          <w:sz w:val="28"/>
          <w:szCs w:val="28"/>
          <w:lang w:eastAsia="lv-LV"/>
        </w:rPr>
        <w:t xml:space="preserve"> šādā redakcijā:</w:t>
      </w:r>
    </w:p>
    <w:p w:rsidR="00EF7864" w:rsidRDefault="00EF7864" w:rsidP="00EF7864">
      <w:pPr>
        <w:spacing w:after="0" w:line="240" w:lineRule="auto"/>
        <w:outlineLvl w:val="2"/>
        <w:rPr>
          <w:rFonts w:ascii="Times New Roman" w:eastAsia="Times New Roman" w:hAnsi="Times New Roman" w:cs="Times New Roman"/>
          <w:bCs/>
          <w:sz w:val="28"/>
          <w:szCs w:val="28"/>
          <w:lang w:eastAsia="lv-LV"/>
        </w:rPr>
      </w:pPr>
    </w:p>
    <w:tbl>
      <w:tblPr>
        <w:tblStyle w:val="TableGrid"/>
        <w:tblW w:w="8295" w:type="dxa"/>
        <w:tblLook w:val="04A0" w:firstRow="1" w:lastRow="0" w:firstColumn="1" w:lastColumn="0" w:noHBand="0" w:noVBand="1"/>
      </w:tblPr>
      <w:tblGrid>
        <w:gridCol w:w="846"/>
        <w:gridCol w:w="4684"/>
        <w:gridCol w:w="2765"/>
      </w:tblGrid>
      <w:tr w:rsidR="00EF7864" w:rsidTr="00EF7864">
        <w:tc>
          <w:tcPr>
            <w:tcW w:w="846" w:type="dxa"/>
          </w:tcPr>
          <w:p w:rsidR="00EF7864" w:rsidRPr="00EF7864" w:rsidRDefault="00CF25C4" w:rsidP="00EF7864">
            <w:pP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w:t>
            </w:r>
            <w:r w:rsidR="00EF7864" w:rsidRPr="00EF7864">
              <w:rPr>
                <w:rFonts w:ascii="Times New Roman" w:eastAsia="Times New Roman" w:hAnsi="Times New Roman" w:cs="Times New Roman"/>
                <w:sz w:val="28"/>
                <w:szCs w:val="28"/>
                <w:lang w:eastAsia="lv-LV"/>
              </w:rPr>
              <w:t>14.</w:t>
            </w:r>
          </w:p>
        </w:tc>
        <w:tc>
          <w:tcPr>
            <w:tcW w:w="4684" w:type="dxa"/>
          </w:tcPr>
          <w:p w:rsidR="00EF7864" w:rsidRPr="00EF7864" w:rsidRDefault="00EF7864" w:rsidP="00EF7864">
            <w:pPr>
              <w:jc w:val="both"/>
              <w:rPr>
                <w:rFonts w:ascii="Times New Roman" w:eastAsia="Times New Roman" w:hAnsi="Times New Roman" w:cs="Times New Roman"/>
                <w:sz w:val="28"/>
                <w:szCs w:val="28"/>
                <w:lang w:eastAsia="lv-LV"/>
              </w:rPr>
            </w:pPr>
            <w:r w:rsidRPr="00EF7864">
              <w:rPr>
                <w:rFonts w:ascii="Times New Roman" w:eastAsia="Times New Roman" w:hAnsi="Times New Roman" w:cs="Times New Roman"/>
                <w:sz w:val="28"/>
                <w:szCs w:val="28"/>
                <w:lang w:eastAsia="lv-LV"/>
              </w:rPr>
              <w:t>Svins, kadmijs un sešvērtīgais hroms atkārtoti izmantotās rezerves detaļās, kas iegūtas no medicīnas ierīcēm, kuras laistas tirgū pirms 2014.</w:t>
            </w:r>
            <w:r w:rsidR="00CF25C4">
              <w:rPr>
                <w:rFonts w:ascii="Times New Roman" w:eastAsia="Times New Roman" w:hAnsi="Times New Roman" w:cs="Times New Roman"/>
                <w:sz w:val="28"/>
                <w:szCs w:val="28"/>
                <w:lang w:eastAsia="lv-LV"/>
              </w:rPr>
              <w:t> </w:t>
            </w:r>
            <w:r w:rsidRPr="00EF7864">
              <w:rPr>
                <w:rFonts w:ascii="Times New Roman" w:eastAsia="Times New Roman" w:hAnsi="Times New Roman" w:cs="Times New Roman"/>
                <w:sz w:val="28"/>
                <w:szCs w:val="28"/>
                <w:lang w:eastAsia="lv-LV"/>
              </w:rPr>
              <w:t>gada 22.</w:t>
            </w:r>
            <w:r w:rsidR="00CF25C4">
              <w:rPr>
                <w:rFonts w:ascii="Times New Roman" w:eastAsia="Times New Roman" w:hAnsi="Times New Roman" w:cs="Times New Roman"/>
                <w:sz w:val="28"/>
                <w:szCs w:val="28"/>
                <w:lang w:eastAsia="lv-LV"/>
              </w:rPr>
              <w:t> </w:t>
            </w:r>
            <w:r w:rsidRPr="00EF7864">
              <w:rPr>
                <w:rFonts w:ascii="Times New Roman" w:eastAsia="Times New Roman" w:hAnsi="Times New Roman" w:cs="Times New Roman"/>
                <w:sz w:val="28"/>
                <w:szCs w:val="28"/>
                <w:lang w:eastAsia="lv-LV"/>
              </w:rPr>
              <w:t>jūlija un tiks izmantotas iekārtās, kas minētas 8.</w:t>
            </w:r>
            <w:r w:rsidR="00CF25C4">
              <w:rPr>
                <w:rFonts w:ascii="Times New Roman" w:eastAsia="Times New Roman" w:hAnsi="Times New Roman" w:cs="Times New Roman"/>
                <w:sz w:val="28"/>
                <w:szCs w:val="28"/>
                <w:lang w:eastAsia="lv-LV"/>
              </w:rPr>
              <w:t> </w:t>
            </w:r>
            <w:r w:rsidRPr="00EF7864">
              <w:rPr>
                <w:rFonts w:ascii="Times New Roman" w:eastAsia="Times New Roman" w:hAnsi="Times New Roman" w:cs="Times New Roman"/>
                <w:sz w:val="28"/>
                <w:szCs w:val="28"/>
                <w:lang w:eastAsia="lv-LV"/>
              </w:rPr>
              <w:t>kategorijā atbilstoši normatīvajiem aktiem par elektrisko un elektronisko iekārtu kategorijām un par prasībām elektrisko un elektronisko iekārtu marķēšanai un informācijas sniegšanai, kuras laistas tirgū pirms 2021.</w:t>
            </w:r>
            <w:r w:rsidR="00CF25C4">
              <w:rPr>
                <w:rFonts w:ascii="Times New Roman" w:eastAsia="Times New Roman" w:hAnsi="Times New Roman" w:cs="Times New Roman"/>
                <w:sz w:val="28"/>
                <w:szCs w:val="28"/>
                <w:lang w:eastAsia="lv-LV"/>
              </w:rPr>
              <w:t> </w:t>
            </w:r>
            <w:r w:rsidRPr="00EF7864">
              <w:rPr>
                <w:rFonts w:ascii="Times New Roman" w:eastAsia="Times New Roman" w:hAnsi="Times New Roman" w:cs="Times New Roman"/>
                <w:sz w:val="28"/>
                <w:szCs w:val="28"/>
                <w:lang w:eastAsia="lv-LV"/>
              </w:rPr>
              <w:t>gada 22.</w:t>
            </w:r>
            <w:r w:rsidR="00CF25C4">
              <w:rPr>
                <w:rFonts w:ascii="Times New Roman" w:eastAsia="Times New Roman" w:hAnsi="Times New Roman" w:cs="Times New Roman"/>
                <w:sz w:val="28"/>
                <w:szCs w:val="28"/>
                <w:lang w:eastAsia="lv-LV"/>
              </w:rPr>
              <w:t> </w:t>
            </w:r>
            <w:r w:rsidRPr="00EF7864">
              <w:rPr>
                <w:rFonts w:ascii="Times New Roman" w:eastAsia="Times New Roman" w:hAnsi="Times New Roman" w:cs="Times New Roman"/>
                <w:sz w:val="28"/>
                <w:szCs w:val="28"/>
                <w:lang w:eastAsia="lv-LV"/>
              </w:rPr>
              <w:t>jūlija, ar nosacījumu, ka minētā atkārtotā izmantošana notiek revidējamās slēgta cikla uzņēmumu mijmaiņas sistēmās un ka par detaļu atkārtoto izmantošanu ir paziņots patērētājam</w:t>
            </w:r>
            <w:r w:rsidR="003F733D">
              <w:rPr>
                <w:rFonts w:ascii="Times New Roman" w:eastAsia="Times New Roman" w:hAnsi="Times New Roman" w:cs="Times New Roman"/>
                <w:sz w:val="28"/>
                <w:szCs w:val="28"/>
                <w:lang w:eastAsia="lv-LV"/>
              </w:rPr>
              <w:t>.</w:t>
            </w:r>
          </w:p>
        </w:tc>
        <w:tc>
          <w:tcPr>
            <w:tcW w:w="2765" w:type="dxa"/>
          </w:tcPr>
          <w:p w:rsidR="00EF7864" w:rsidRPr="00EF7864" w:rsidRDefault="00EF7864" w:rsidP="00EF7864">
            <w:pPr>
              <w:rPr>
                <w:rFonts w:ascii="Times New Roman" w:eastAsia="Times New Roman" w:hAnsi="Times New Roman" w:cs="Times New Roman"/>
                <w:sz w:val="28"/>
                <w:szCs w:val="28"/>
                <w:lang w:eastAsia="lv-LV"/>
              </w:rPr>
            </w:pPr>
            <w:r w:rsidRPr="00EF7864">
              <w:rPr>
                <w:rFonts w:ascii="Times New Roman" w:eastAsia="Times New Roman" w:hAnsi="Times New Roman" w:cs="Times New Roman"/>
                <w:sz w:val="28"/>
                <w:szCs w:val="28"/>
                <w:lang w:eastAsia="lv-LV"/>
              </w:rPr>
              <w:t>Spēkā līdz 2017.</w:t>
            </w:r>
            <w:r w:rsidR="00CF25C4">
              <w:rPr>
                <w:rFonts w:ascii="Times New Roman" w:eastAsia="Times New Roman" w:hAnsi="Times New Roman" w:cs="Times New Roman"/>
                <w:sz w:val="28"/>
                <w:szCs w:val="28"/>
                <w:lang w:eastAsia="lv-LV"/>
              </w:rPr>
              <w:t> </w:t>
            </w:r>
            <w:r w:rsidR="00BB4FC1">
              <w:rPr>
                <w:rFonts w:ascii="Times New Roman" w:eastAsia="Times New Roman" w:hAnsi="Times New Roman" w:cs="Times New Roman"/>
                <w:sz w:val="28"/>
                <w:szCs w:val="28"/>
                <w:lang w:eastAsia="lv-LV"/>
              </w:rPr>
              <w:t>gada 5</w:t>
            </w:r>
            <w:r w:rsidRPr="00EF7864">
              <w:rPr>
                <w:rFonts w:ascii="Times New Roman" w:eastAsia="Times New Roman" w:hAnsi="Times New Roman" w:cs="Times New Roman"/>
                <w:sz w:val="28"/>
                <w:szCs w:val="28"/>
                <w:lang w:eastAsia="lv-LV"/>
              </w:rPr>
              <w:t>.</w:t>
            </w:r>
            <w:r w:rsidR="00CF25C4">
              <w:rPr>
                <w:rFonts w:ascii="Times New Roman" w:eastAsia="Times New Roman" w:hAnsi="Times New Roman" w:cs="Times New Roman"/>
                <w:sz w:val="28"/>
                <w:szCs w:val="28"/>
                <w:lang w:eastAsia="lv-LV"/>
              </w:rPr>
              <w:t> n</w:t>
            </w:r>
            <w:r w:rsidRPr="00EF7864">
              <w:rPr>
                <w:rFonts w:ascii="Times New Roman" w:eastAsia="Times New Roman" w:hAnsi="Times New Roman" w:cs="Times New Roman"/>
                <w:sz w:val="28"/>
                <w:szCs w:val="28"/>
                <w:lang w:eastAsia="lv-LV"/>
              </w:rPr>
              <w:t>ovembrim</w:t>
            </w:r>
            <w:r w:rsidR="00CF25C4">
              <w:rPr>
                <w:rFonts w:ascii="Times New Roman" w:eastAsia="Times New Roman" w:hAnsi="Times New Roman" w:cs="Times New Roman"/>
                <w:sz w:val="28"/>
                <w:szCs w:val="28"/>
                <w:lang w:eastAsia="lv-LV"/>
              </w:rPr>
              <w:t>.”</w:t>
            </w:r>
          </w:p>
        </w:tc>
      </w:tr>
    </w:tbl>
    <w:p w:rsidR="000823B4" w:rsidRPr="00EF7864" w:rsidRDefault="000823B4" w:rsidP="00EF7864">
      <w:pPr>
        <w:spacing w:after="0" w:line="240" w:lineRule="auto"/>
        <w:outlineLvl w:val="2"/>
        <w:rPr>
          <w:rFonts w:ascii="Times New Roman" w:eastAsia="Times New Roman" w:hAnsi="Times New Roman" w:cs="Times New Roman"/>
          <w:bCs/>
          <w:sz w:val="28"/>
          <w:szCs w:val="28"/>
          <w:lang w:eastAsia="lv-LV"/>
        </w:rPr>
      </w:pPr>
    </w:p>
    <w:p w:rsidR="00133FE1" w:rsidRPr="00EF7864" w:rsidRDefault="00133FE1" w:rsidP="00EF7864">
      <w:pPr>
        <w:pStyle w:val="ListParagraph"/>
        <w:numPr>
          <w:ilvl w:val="0"/>
          <w:numId w:val="1"/>
        </w:numPr>
        <w:spacing w:after="0" w:line="240" w:lineRule="auto"/>
        <w:outlineLvl w:val="2"/>
        <w:rPr>
          <w:rFonts w:ascii="Times New Roman" w:eastAsia="Times New Roman" w:hAnsi="Times New Roman" w:cs="Times New Roman"/>
          <w:bCs/>
          <w:sz w:val="28"/>
          <w:szCs w:val="28"/>
          <w:lang w:eastAsia="lv-LV"/>
        </w:rPr>
      </w:pPr>
      <w:r w:rsidRPr="00EF7864">
        <w:rPr>
          <w:rFonts w:ascii="Times New Roman" w:eastAsia="Times New Roman" w:hAnsi="Times New Roman" w:cs="Times New Roman"/>
          <w:bCs/>
          <w:sz w:val="28"/>
          <w:szCs w:val="28"/>
          <w:lang w:eastAsia="lv-LV"/>
        </w:rPr>
        <w:lastRenderedPageBreak/>
        <w:t>Papildināt 4.</w:t>
      </w:r>
      <w:r w:rsidR="00CF25C4">
        <w:rPr>
          <w:rFonts w:ascii="Times New Roman" w:eastAsia="Times New Roman" w:hAnsi="Times New Roman" w:cs="Times New Roman"/>
          <w:bCs/>
          <w:sz w:val="28"/>
          <w:szCs w:val="28"/>
          <w:lang w:eastAsia="lv-LV"/>
        </w:rPr>
        <w:t> </w:t>
      </w:r>
      <w:r w:rsidRPr="00EF7864">
        <w:rPr>
          <w:rFonts w:ascii="Times New Roman" w:eastAsia="Times New Roman" w:hAnsi="Times New Roman" w:cs="Times New Roman"/>
          <w:bCs/>
          <w:sz w:val="28"/>
          <w:szCs w:val="28"/>
          <w:lang w:eastAsia="lv-LV"/>
        </w:rPr>
        <w:t>pielikumu ar 14.</w:t>
      </w:r>
      <w:r w:rsidRPr="00EF7864">
        <w:rPr>
          <w:rFonts w:ascii="Times New Roman" w:eastAsia="Times New Roman" w:hAnsi="Times New Roman" w:cs="Times New Roman"/>
          <w:bCs/>
          <w:sz w:val="28"/>
          <w:szCs w:val="28"/>
          <w:vertAlign w:val="superscript"/>
          <w:lang w:eastAsia="lv-LV"/>
        </w:rPr>
        <w:t>1</w:t>
      </w:r>
      <w:r w:rsidR="00CF25C4">
        <w:rPr>
          <w:rFonts w:ascii="Times New Roman" w:eastAsia="Times New Roman" w:hAnsi="Times New Roman" w:cs="Times New Roman"/>
          <w:bCs/>
          <w:sz w:val="28"/>
          <w:szCs w:val="28"/>
          <w:lang w:eastAsia="lv-LV"/>
        </w:rPr>
        <w:t> </w:t>
      </w:r>
      <w:r w:rsidRPr="00EF7864">
        <w:rPr>
          <w:rFonts w:ascii="Times New Roman" w:eastAsia="Times New Roman" w:hAnsi="Times New Roman" w:cs="Times New Roman"/>
          <w:bCs/>
          <w:sz w:val="28"/>
          <w:szCs w:val="28"/>
          <w:lang w:eastAsia="lv-LV"/>
        </w:rPr>
        <w:t>punktu šādā redakcijā:</w:t>
      </w:r>
    </w:p>
    <w:tbl>
      <w:tblPr>
        <w:tblStyle w:val="TableGrid"/>
        <w:tblW w:w="0" w:type="auto"/>
        <w:tblLook w:val="04A0" w:firstRow="1" w:lastRow="0" w:firstColumn="1" w:lastColumn="0" w:noHBand="0" w:noVBand="1"/>
      </w:tblPr>
      <w:tblGrid>
        <w:gridCol w:w="781"/>
        <w:gridCol w:w="4826"/>
        <w:gridCol w:w="2766"/>
      </w:tblGrid>
      <w:tr w:rsidR="00133FE1" w:rsidRPr="00EF7864" w:rsidTr="00133FE1">
        <w:tc>
          <w:tcPr>
            <w:tcW w:w="704" w:type="dxa"/>
          </w:tcPr>
          <w:p w:rsidR="00133FE1" w:rsidRPr="00EF7864" w:rsidRDefault="00CF25C4" w:rsidP="00EF7864">
            <w:pPr>
              <w:outlineLvl w:val="2"/>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t>„</w:t>
            </w:r>
            <w:r w:rsidR="00133FE1" w:rsidRPr="00EF7864">
              <w:rPr>
                <w:rFonts w:ascii="Times New Roman" w:eastAsia="Times New Roman" w:hAnsi="Times New Roman" w:cs="Times New Roman"/>
                <w:bCs/>
                <w:sz w:val="28"/>
                <w:szCs w:val="28"/>
                <w:lang w:eastAsia="lv-LV"/>
              </w:rPr>
              <w:t>14.</w:t>
            </w:r>
            <w:r w:rsidR="00133FE1" w:rsidRPr="00EF7864">
              <w:rPr>
                <w:rFonts w:ascii="Times New Roman" w:eastAsia="Times New Roman" w:hAnsi="Times New Roman" w:cs="Times New Roman"/>
                <w:bCs/>
                <w:sz w:val="28"/>
                <w:szCs w:val="28"/>
                <w:vertAlign w:val="superscript"/>
                <w:lang w:eastAsia="lv-LV"/>
              </w:rPr>
              <w:t>1</w:t>
            </w:r>
          </w:p>
        </w:tc>
        <w:tc>
          <w:tcPr>
            <w:tcW w:w="4826" w:type="dxa"/>
          </w:tcPr>
          <w:p w:rsidR="00133FE1" w:rsidRPr="00EF7864" w:rsidRDefault="00133FE1" w:rsidP="00552C53">
            <w:pPr>
              <w:pStyle w:val="Normal1"/>
              <w:spacing w:before="0" w:beforeAutospacing="0" w:after="0" w:afterAutospacing="0"/>
              <w:jc w:val="both"/>
              <w:rPr>
                <w:sz w:val="28"/>
                <w:szCs w:val="28"/>
              </w:rPr>
            </w:pPr>
            <w:r w:rsidRPr="00EF7864">
              <w:rPr>
                <w:sz w:val="28"/>
                <w:szCs w:val="28"/>
              </w:rPr>
              <w:t xml:space="preserve">Svins, kadmijs, sešvērtīgais hroms un polibromdifenilēteri (PBDE) rezerves daļās, kas iegūtas no medicīniskajām ierīcēm, tostarp </w:t>
            </w:r>
            <w:r w:rsidRPr="003F733D">
              <w:rPr>
                <w:rStyle w:val="italic"/>
                <w:i/>
                <w:sz w:val="28"/>
                <w:szCs w:val="28"/>
              </w:rPr>
              <w:t>in vitro</w:t>
            </w:r>
            <w:r w:rsidRPr="00EF7864">
              <w:rPr>
                <w:sz w:val="28"/>
                <w:szCs w:val="28"/>
              </w:rPr>
              <w:t xml:space="preserve"> diagnostikas medicīniskajām ierīcēm, vai elektronu mikroskopiem un to piederumiem un izmantotas to remontēšanā vai atjaunošanā, ar nosacījumu, ka atkārtotā izmantošana notiek revidējamās slēgta cikla uzņēmumu mijmaiņas sistēmās un ka par detaļu atkārtoto izmantošanu ikreiz ir paziņots pircējam.</w:t>
            </w:r>
          </w:p>
        </w:tc>
        <w:tc>
          <w:tcPr>
            <w:tcW w:w="2766" w:type="dxa"/>
          </w:tcPr>
          <w:p w:rsidR="00133FE1" w:rsidRPr="00EF7864" w:rsidRDefault="00461BFB" w:rsidP="00EF7864">
            <w:pPr>
              <w:jc w:val="both"/>
              <w:outlineLvl w:val="2"/>
              <w:rPr>
                <w:rFonts w:ascii="Times New Roman" w:eastAsia="Times New Roman" w:hAnsi="Times New Roman" w:cs="Times New Roman"/>
                <w:bCs/>
                <w:sz w:val="28"/>
                <w:szCs w:val="28"/>
                <w:lang w:eastAsia="lv-LV"/>
              </w:rPr>
            </w:pPr>
            <w:r w:rsidRPr="00EF7864">
              <w:rPr>
                <w:rFonts w:ascii="Times New Roman" w:eastAsia="Times New Roman" w:hAnsi="Times New Roman" w:cs="Times New Roman"/>
                <w:bCs/>
                <w:sz w:val="28"/>
                <w:szCs w:val="28"/>
                <w:lang w:eastAsia="lv-LV"/>
              </w:rPr>
              <w:t xml:space="preserve">Spēkā </w:t>
            </w:r>
            <w:r w:rsidR="00EF7864" w:rsidRPr="00EF7864">
              <w:rPr>
                <w:rFonts w:ascii="Times New Roman" w:eastAsia="Times New Roman" w:hAnsi="Times New Roman" w:cs="Times New Roman"/>
                <w:bCs/>
                <w:sz w:val="28"/>
                <w:szCs w:val="28"/>
                <w:lang w:eastAsia="lv-LV"/>
              </w:rPr>
              <w:t>no 2017.</w:t>
            </w:r>
            <w:r w:rsidR="00CF25C4">
              <w:rPr>
                <w:rFonts w:ascii="Times New Roman" w:eastAsia="Times New Roman" w:hAnsi="Times New Roman" w:cs="Times New Roman"/>
                <w:bCs/>
                <w:sz w:val="28"/>
                <w:szCs w:val="28"/>
                <w:lang w:eastAsia="lv-LV"/>
              </w:rPr>
              <w:t> </w:t>
            </w:r>
            <w:r w:rsidR="00EF7864" w:rsidRPr="00EF7864">
              <w:rPr>
                <w:rFonts w:ascii="Times New Roman" w:eastAsia="Times New Roman" w:hAnsi="Times New Roman" w:cs="Times New Roman"/>
                <w:bCs/>
                <w:sz w:val="28"/>
                <w:szCs w:val="28"/>
                <w:lang w:eastAsia="lv-LV"/>
              </w:rPr>
              <w:t>gada 6.</w:t>
            </w:r>
            <w:r w:rsidR="00CF25C4">
              <w:rPr>
                <w:rFonts w:ascii="Times New Roman" w:eastAsia="Times New Roman" w:hAnsi="Times New Roman" w:cs="Times New Roman"/>
                <w:bCs/>
                <w:sz w:val="28"/>
                <w:szCs w:val="28"/>
                <w:lang w:eastAsia="lv-LV"/>
              </w:rPr>
              <w:t> </w:t>
            </w:r>
            <w:r w:rsidR="00EF7864" w:rsidRPr="00EF7864">
              <w:rPr>
                <w:rFonts w:ascii="Times New Roman" w:eastAsia="Times New Roman" w:hAnsi="Times New Roman" w:cs="Times New Roman"/>
                <w:bCs/>
                <w:sz w:val="28"/>
                <w:szCs w:val="28"/>
                <w:lang w:eastAsia="lv-LV"/>
              </w:rPr>
              <w:t xml:space="preserve">novembra </w:t>
            </w:r>
            <w:r w:rsidRPr="00EF7864">
              <w:rPr>
                <w:rFonts w:ascii="Times New Roman" w:eastAsia="Times New Roman" w:hAnsi="Times New Roman" w:cs="Times New Roman"/>
                <w:bCs/>
                <w:sz w:val="28"/>
                <w:szCs w:val="28"/>
                <w:lang w:eastAsia="lv-LV"/>
              </w:rPr>
              <w:t>līdz:</w:t>
            </w:r>
          </w:p>
          <w:p w:rsidR="00461BFB" w:rsidRPr="00EF7864" w:rsidRDefault="00461BFB" w:rsidP="00EF7864">
            <w:pPr>
              <w:pStyle w:val="ListParagraph"/>
              <w:numPr>
                <w:ilvl w:val="0"/>
                <w:numId w:val="2"/>
              </w:numPr>
              <w:ind w:left="0"/>
              <w:jc w:val="both"/>
              <w:outlineLvl w:val="2"/>
              <w:rPr>
                <w:rFonts w:ascii="Times New Roman" w:eastAsia="Times New Roman" w:hAnsi="Times New Roman" w:cs="Times New Roman"/>
                <w:bCs/>
                <w:sz w:val="28"/>
                <w:szCs w:val="28"/>
                <w:lang w:eastAsia="lv-LV"/>
              </w:rPr>
            </w:pPr>
            <w:r w:rsidRPr="00EF7864">
              <w:rPr>
                <w:rFonts w:ascii="Times New Roman" w:hAnsi="Times New Roman" w:cs="Times New Roman"/>
                <w:sz w:val="28"/>
                <w:szCs w:val="28"/>
              </w:rPr>
              <w:t xml:space="preserve">2021. gada 21. jūlijam attiecībā uz lietojumiem medicīniskās ierīcēs, kas nav </w:t>
            </w:r>
            <w:r w:rsidRPr="003F733D">
              <w:rPr>
                <w:rStyle w:val="italic"/>
                <w:rFonts w:ascii="Times New Roman" w:hAnsi="Times New Roman" w:cs="Times New Roman"/>
                <w:i/>
                <w:sz w:val="28"/>
                <w:szCs w:val="28"/>
              </w:rPr>
              <w:t>in vitro</w:t>
            </w:r>
            <w:r w:rsidRPr="00EF7864">
              <w:rPr>
                <w:rFonts w:ascii="Times New Roman" w:hAnsi="Times New Roman" w:cs="Times New Roman"/>
                <w:sz w:val="28"/>
                <w:szCs w:val="28"/>
              </w:rPr>
              <w:t xml:space="preserve"> diagnostikas medicīniskās ierīces;</w:t>
            </w:r>
          </w:p>
          <w:p w:rsidR="00461BFB" w:rsidRPr="00EF7864" w:rsidRDefault="00461BFB" w:rsidP="00EF7864">
            <w:pPr>
              <w:pStyle w:val="ListParagraph"/>
              <w:numPr>
                <w:ilvl w:val="0"/>
                <w:numId w:val="2"/>
              </w:numPr>
              <w:ind w:left="0"/>
              <w:jc w:val="both"/>
              <w:outlineLvl w:val="2"/>
              <w:rPr>
                <w:rFonts w:ascii="Times New Roman" w:eastAsia="Times New Roman" w:hAnsi="Times New Roman" w:cs="Times New Roman"/>
                <w:bCs/>
                <w:sz w:val="28"/>
                <w:szCs w:val="28"/>
                <w:lang w:eastAsia="lv-LV"/>
              </w:rPr>
            </w:pPr>
            <w:r w:rsidRPr="00EF7864">
              <w:rPr>
                <w:rFonts w:ascii="Times New Roman" w:hAnsi="Times New Roman" w:cs="Times New Roman"/>
                <w:sz w:val="28"/>
                <w:szCs w:val="28"/>
              </w:rPr>
              <w:t xml:space="preserve">2023. gada 21. jūlijā attiecībā uz lietojumiem </w:t>
            </w:r>
            <w:r w:rsidRPr="003F733D">
              <w:rPr>
                <w:rStyle w:val="italic"/>
                <w:rFonts w:ascii="Times New Roman" w:hAnsi="Times New Roman" w:cs="Times New Roman"/>
                <w:i/>
                <w:sz w:val="28"/>
                <w:szCs w:val="28"/>
              </w:rPr>
              <w:t>in vitro</w:t>
            </w:r>
            <w:r w:rsidRPr="00EF7864">
              <w:rPr>
                <w:rFonts w:ascii="Times New Roman" w:hAnsi="Times New Roman" w:cs="Times New Roman"/>
                <w:sz w:val="28"/>
                <w:szCs w:val="28"/>
              </w:rPr>
              <w:t xml:space="preserve"> diagnostikas medicīniskās ierīcēs;</w:t>
            </w:r>
          </w:p>
          <w:p w:rsidR="00461BFB" w:rsidRPr="00EF7864" w:rsidRDefault="00461BFB" w:rsidP="00EF7864">
            <w:pPr>
              <w:pStyle w:val="ListParagraph"/>
              <w:numPr>
                <w:ilvl w:val="0"/>
                <w:numId w:val="2"/>
              </w:numPr>
              <w:ind w:left="0"/>
              <w:jc w:val="both"/>
              <w:outlineLvl w:val="2"/>
              <w:rPr>
                <w:rFonts w:ascii="Times New Roman" w:eastAsia="Times New Roman" w:hAnsi="Times New Roman" w:cs="Times New Roman"/>
                <w:bCs/>
                <w:sz w:val="28"/>
                <w:szCs w:val="28"/>
                <w:lang w:eastAsia="lv-LV"/>
              </w:rPr>
            </w:pPr>
            <w:r w:rsidRPr="00EF7864">
              <w:rPr>
                <w:rFonts w:ascii="Times New Roman" w:hAnsi="Times New Roman" w:cs="Times New Roman"/>
                <w:sz w:val="28"/>
                <w:szCs w:val="28"/>
              </w:rPr>
              <w:t>2024. gada 21. jūlijā attiecībā uz lietojumiem elektronu mikroskopos un to piederumos.”</w:t>
            </w:r>
          </w:p>
        </w:tc>
      </w:tr>
    </w:tbl>
    <w:p w:rsidR="000823B4" w:rsidRPr="00EF7864" w:rsidRDefault="000823B4" w:rsidP="00EF7864">
      <w:pPr>
        <w:spacing w:after="0" w:line="240" w:lineRule="auto"/>
        <w:rPr>
          <w:rFonts w:ascii="Times New Roman" w:eastAsia="Times New Roman" w:hAnsi="Times New Roman" w:cs="Times New Roman"/>
          <w:bCs/>
          <w:sz w:val="28"/>
          <w:szCs w:val="28"/>
          <w:lang w:eastAsia="lv-LV"/>
        </w:rPr>
      </w:pPr>
    </w:p>
    <w:p w:rsidR="00461BFB" w:rsidRPr="00EF7864" w:rsidRDefault="00461BFB" w:rsidP="00EF7864">
      <w:pPr>
        <w:pStyle w:val="ListParagraph"/>
        <w:numPr>
          <w:ilvl w:val="0"/>
          <w:numId w:val="1"/>
        </w:numPr>
        <w:spacing w:after="0" w:line="240" w:lineRule="auto"/>
        <w:rPr>
          <w:rFonts w:ascii="Times New Roman" w:hAnsi="Times New Roman" w:cs="Times New Roman"/>
          <w:sz w:val="28"/>
          <w:szCs w:val="28"/>
        </w:rPr>
      </w:pPr>
      <w:r w:rsidRPr="00EF7864">
        <w:rPr>
          <w:rFonts w:ascii="Times New Roman" w:hAnsi="Times New Roman" w:cs="Times New Roman"/>
          <w:sz w:val="28"/>
          <w:szCs w:val="28"/>
        </w:rPr>
        <w:t>Papildināt 4.</w:t>
      </w:r>
      <w:r w:rsidR="00CF25C4">
        <w:rPr>
          <w:rFonts w:ascii="Times New Roman" w:hAnsi="Times New Roman" w:cs="Times New Roman"/>
          <w:sz w:val="28"/>
          <w:szCs w:val="28"/>
        </w:rPr>
        <w:t> </w:t>
      </w:r>
      <w:r w:rsidRPr="00EF7864">
        <w:rPr>
          <w:rFonts w:ascii="Times New Roman" w:hAnsi="Times New Roman" w:cs="Times New Roman"/>
          <w:sz w:val="28"/>
          <w:szCs w:val="28"/>
        </w:rPr>
        <w:t>pielikumu ar 26.</w:t>
      </w:r>
      <w:r w:rsidR="00CF25C4">
        <w:rPr>
          <w:rFonts w:ascii="Times New Roman" w:hAnsi="Times New Roman" w:cs="Times New Roman"/>
          <w:sz w:val="28"/>
          <w:szCs w:val="28"/>
        </w:rPr>
        <w:t> </w:t>
      </w:r>
      <w:r w:rsidRPr="00EF7864">
        <w:rPr>
          <w:rFonts w:ascii="Times New Roman" w:hAnsi="Times New Roman" w:cs="Times New Roman"/>
          <w:sz w:val="28"/>
          <w:szCs w:val="28"/>
        </w:rPr>
        <w:t>punktu šādā redakcijā:</w:t>
      </w:r>
    </w:p>
    <w:tbl>
      <w:tblPr>
        <w:tblStyle w:val="TableGrid"/>
        <w:tblW w:w="0" w:type="auto"/>
        <w:tblLook w:val="04A0" w:firstRow="1" w:lastRow="0" w:firstColumn="1" w:lastColumn="0" w:noHBand="0" w:noVBand="1"/>
      </w:tblPr>
      <w:tblGrid>
        <w:gridCol w:w="704"/>
        <w:gridCol w:w="4826"/>
        <w:gridCol w:w="2766"/>
      </w:tblGrid>
      <w:tr w:rsidR="00461BFB" w:rsidRPr="00EF7864" w:rsidTr="00461BFB">
        <w:tc>
          <w:tcPr>
            <w:tcW w:w="704" w:type="dxa"/>
          </w:tcPr>
          <w:p w:rsidR="00461BFB" w:rsidRPr="00EF7864" w:rsidRDefault="00CF25C4" w:rsidP="00EF7864">
            <w:pPr>
              <w:rPr>
                <w:rFonts w:ascii="Times New Roman" w:hAnsi="Times New Roman" w:cs="Times New Roman"/>
                <w:sz w:val="28"/>
                <w:szCs w:val="28"/>
              </w:rPr>
            </w:pPr>
            <w:r>
              <w:rPr>
                <w:rFonts w:ascii="Times New Roman" w:hAnsi="Times New Roman" w:cs="Times New Roman"/>
                <w:sz w:val="28"/>
                <w:szCs w:val="28"/>
              </w:rPr>
              <w:t>„</w:t>
            </w:r>
            <w:r w:rsidR="00461BFB" w:rsidRPr="00EF7864">
              <w:rPr>
                <w:rFonts w:ascii="Times New Roman" w:hAnsi="Times New Roman" w:cs="Times New Roman"/>
                <w:sz w:val="28"/>
                <w:szCs w:val="28"/>
              </w:rPr>
              <w:t xml:space="preserve">26. </w:t>
            </w:r>
          </w:p>
        </w:tc>
        <w:tc>
          <w:tcPr>
            <w:tcW w:w="4826" w:type="dxa"/>
          </w:tcPr>
          <w:p w:rsidR="00461BFB" w:rsidRPr="00EF7864" w:rsidRDefault="00461BFB" w:rsidP="009E59CB">
            <w:pPr>
              <w:pStyle w:val="Normal1"/>
              <w:spacing w:before="0" w:beforeAutospacing="0" w:after="0" w:afterAutospacing="0"/>
            </w:pPr>
            <w:r w:rsidRPr="00EF7864">
              <w:rPr>
                <w:sz w:val="28"/>
                <w:szCs w:val="28"/>
              </w:rPr>
              <w:t>Kadmija anodi Herša galvaniskajos elementos, kas paredzēti rūpnieciskos monitoringa un kontroles instrumentos izmantojamiem skābekļa sensoriem, ja jānodrošina jutība, kas mazāka nekā 10 ppm.</w:t>
            </w:r>
          </w:p>
        </w:tc>
        <w:tc>
          <w:tcPr>
            <w:tcW w:w="2766" w:type="dxa"/>
          </w:tcPr>
          <w:p w:rsidR="00461BFB" w:rsidRPr="00EF7864" w:rsidRDefault="00461BFB" w:rsidP="00EF7864">
            <w:pPr>
              <w:rPr>
                <w:rFonts w:ascii="Times New Roman" w:hAnsi="Times New Roman" w:cs="Times New Roman"/>
                <w:sz w:val="28"/>
                <w:szCs w:val="28"/>
              </w:rPr>
            </w:pPr>
            <w:r w:rsidRPr="00EF7864">
              <w:rPr>
                <w:rFonts w:ascii="Times New Roman" w:hAnsi="Times New Roman" w:cs="Times New Roman"/>
                <w:sz w:val="28"/>
                <w:szCs w:val="28"/>
              </w:rPr>
              <w:t>Spēkā līdz 2023. gada 15. jūlijam.</w:t>
            </w:r>
            <w:r w:rsidR="00CF25C4">
              <w:rPr>
                <w:rFonts w:ascii="Times New Roman" w:hAnsi="Times New Roman" w:cs="Times New Roman"/>
                <w:sz w:val="28"/>
                <w:szCs w:val="28"/>
              </w:rPr>
              <w:t>”</w:t>
            </w:r>
          </w:p>
        </w:tc>
      </w:tr>
    </w:tbl>
    <w:p w:rsidR="00461BFB" w:rsidRPr="00EF7864" w:rsidRDefault="00461BFB" w:rsidP="00EF7864">
      <w:pPr>
        <w:spacing w:after="0" w:line="240" w:lineRule="auto"/>
        <w:rPr>
          <w:rFonts w:ascii="Times New Roman" w:hAnsi="Times New Roman" w:cs="Times New Roman"/>
          <w:sz w:val="28"/>
          <w:szCs w:val="28"/>
        </w:rPr>
      </w:pPr>
    </w:p>
    <w:p w:rsidR="002602E6" w:rsidRPr="003B468C" w:rsidRDefault="002602E6" w:rsidP="002602E6">
      <w:pPr>
        <w:pStyle w:val="tv2131"/>
        <w:spacing w:before="0" w:line="240" w:lineRule="auto"/>
        <w:ind w:firstLine="0"/>
        <w:jc w:val="left"/>
        <w:rPr>
          <w:rFonts w:ascii="Times New Roman" w:hAnsi="Times New Roman"/>
          <w:sz w:val="28"/>
          <w:szCs w:val="28"/>
        </w:rPr>
      </w:pPr>
      <w:r>
        <w:rPr>
          <w:rFonts w:ascii="Times New Roman" w:hAnsi="Times New Roman"/>
          <w:sz w:val="28"/>
          <w:szCs w:val="28"/>
        </w:rPr>
        <w:t>Ministru prezidents</w:t>
      </w:r>
      <w:r w:rsidRPr="003B468C">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rPr>
        <w:tab/>
        <w:t>M.</w:t>
      </w:r>
      <w:r w:rsidR="00CF25C4">
        <w:rPr>
          <w:rFonts w:ascii="Times New Roman" w:hAnsi="Times New Roman"/>
          <w:sz w:val="28"/>
          <w:szCs w:val="28"/>
        </w:rPr>
        <w:t> </w:t>
      </w:r>
      <w:r>
        <w:rPr>
          <w:rFonts w:ascii="Times New Roman" w:hAnsi="Times New Roman"/>
          <w:sz w:val="28"/>
          <w:szCs w:val="28"/>
        </w:rPr>
        <w:t>Kučinskis</w:t>
      </w:r>
    </w:p>
    <w:p w:rsidR="005156F7" w:rsidRDefault="005156F7" w:rsidP="002602E6">
      <w:pPr>
        <w:pStyle w:val="tv2161"/>
        <w:spacing w:before="0" w:line="240" w:lineRule="auto"/>
        <w:ind w:firstLine="0"/>
        <w:jc w:val="both"/>
        <w:rPr>
          <w:rFonts w:ascii="Times New Roman" w:hAnsi="Times New Roman"/>
          <w:sz w:val="28"/>
          <w:szCs w:val="28"/>
        </w:rPr>
      </w:pPr>
    </w:p>
    <w:p w:rsidR="002602E6" w:rsidRPr="003B468C" w:rsidRDefault="002602E6" w:rsidP="002602E6">
      <w:pPr>
        <w:pStyle w:val="tv2161"/>
        <w:spacing w:before="0" w:line="240" w:lineRule="auto"/>
        <w:ind w:firstLine="0"/>
        <w:jc w:val="both"/>
        <w:rPr>
          <w:rFonts w:ascii="Times New Roman" w:hAnsi="Times New Roman"/>
          <w:sz w:val="28"/>
          <w:szCs w:val="28"/>
        </w:rPr>
      </w:pPr>
      <w:r w:rsidRPr="003B468C">
        <w:rPr>
          <w:rFonts w:ascii="Times New Roman" w:hAnsi="Times New Roman"/>
          <w:sz w:val="28"/>
          <w:szCs w:val="28"/>
        </w:rPr>
        <w:t xml:space="preserve">Vides aizsardzības un </w:t>
      </w:r>
    </w:p>
    <w:p w:rsidR="002602E6" w:rsidRDefault="002602E6" w:rsidP="002602E6">
      <w:pPr>
        <w:spacing w:after="0" w:line="240" w:lineRule="auto"/>
        <w:rPr>
          <w:rFonts w:ascii="Times New Roman" w:hAnsi="Times New Roman"/>
          <w:sz w:val="28"/>
          <w:szCs w:val="28"/>
        </w:rPr>
      </w:pPr>
      <w:r>
        <w:rPr>
          <w:rFonts w:ascii="Times New Roman" w:hAnsi="Times New Roman"/>
          <w:sz w:val="28"/>
          <w:szCs w:val="28"/>
        </w:rPr>
        <w:t>reģionālās attīstības ministrs</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K.</w:t>
      </w:r>
      <w:r w:rsidR="00CF25C4">
        <w:rPr>
          <w:rFonts w:ascii="Times New Roman" w:hAnsi="Times New Roman"/>
          <w:sz w:val="28"/>
          <w:szCs w:val="28"/>
        </w:rPr>
        <w:t> </w:t>
      </w:r>
      <w:r>
        <w:rPr>
          <w:rFonts w:ascii="Times New Roman" w:hAnsi="Times New Roman"/>
          <w:sz w:val="28"/>
          <w:szCs w:val="28"/>
        </w:rPr>
        <w:t>Gerhards</w:t>
      </w:r>
    </w:p>
    <w:p w:rsidR="002602E6" w:rsidRPr="003B468C" w:rsidRDefault="002602E6" w:rsidP="002602E6">
      <w:pPr>
        <w:pStyle w:val="tv2161"/>
        <w:spacing w:before="0" w:line="240" w:lineRule="auto"/>
        <w:ind w:firstLine="0"/>
        <w:jc w:val="both"/>
        <w:rPr>
          <w:rFonts w:ascii="Times New Roman" w:hAnsi="Times New Roman"/>
          <w:sz w:val="28"/>
          <w:szCs w:val="28"/>
        </w:rPr>
      </w:pPr>
    </w:p>
    <w:p w:rsidR="002602E6" w:rsidRPr="003B468C" w:rsidRDefault="002602E6" w:rsidP="002602E6">
      <w:pPr>
        <w:pStyle w:val="tv2161"/>
        <w:spacing w:before="0" w:line="240" w:lineRule="auto"/>
        <w:ind w:firstLine="0"/>
        <w:jc w:val="both"/>
        <w:rPr>
          <w:rFonts w:ascii="Times New Roman" w:hAnsi="Times New Roman"/>
          <w:sz w:val="28"/>
          <w:szCs w:val="28"/>
        </w:rPr>
      </w:pPr>
      <w:r w:rsidRPr="003B468C">
        <w:rPr>
          <w:rFonts w:ascii="Times New Roman" w:hAnsi="Times New Roman"/>
          <w:sz w:val="28"/>
          <w:szCs w:val="28"/>
        </w:rPr>
        <w:t xml:space="preserve">                                                            </w:t>
      </w:r>
      <w:r w:rsidRPr="003B468C">
        <w:rPr>
          <w:rFonts w:ascii="Times New Roman" w:hAnsi="Times New Roman"/>
          <w:sz w:val="28"/>
          <w:szCs w:val="28"/>
        </w:rPr>
        <w:tab/>
        <w:t xml:space="preserve"> </w:t>
      </w:r>
    </w:p>
    <w:p w:rsidR="002602E6" w:rsidRPr="003B468C" w:rsidRDefault="00BB4FC1" w:rsidP="00BB4FC1">
      <w:pPr>
        <w:spacing w:after="0" w:line="240" w:lineRule="auto"/>
        <w:rPr>
          <w:rFonts w:ascii="Times New Roman" w:hAnsi="Times New Roman"/>
          <w:sz w:val="20"/>
          <w:szCs w:val="20"/>
        </w:rPr>
      </w:pPr>
      <w:r>
        <w:rPr>
          <w:rFonts w:ascii="Times New Roman" w:hAnsi="Times New Roman"/>
          <w:sz w:val="20"/>
          <w:szCs w:val="20"/>
        </w:rPr>
        <w:tab/>
      </w:r>
    </w:p>
    <w:p w:rsidR="00BB4FC1" w:rsidRDefault="002602E6" w:rsidP="002602E6">
      <w:pPr>
        <w:spacing w:after="0" w:line="240" w:lineRule="auto"/>
        <w:rPr>
          <w:rFonts w:ascii="Times New Roman" w:hAnsi="Times New Roman"/>
          <w:sz w:val="20"/>
          <w:szCs w:val="20"/>
        </w:rPr>
      </w:pPr>
      <w:r w:rsidRPr="003B468C">
        <w:rPr>
          <w:rFonts w:ascii="Times New Roman" w:hAnsi="Times New Roman"/>
          <w:sz w:val="20"/>
          <w:szCs w:val="20"/>
        </w:rPr>
        <w:t>Doniņa</w:t>
      </w:r>
      <w:r w:rsidR="00BB4FC1">
        <w:rPr>
          <w:rFonts w:ascii="Times New Roman" w:hAnsi="Times New Roman"/>
          <w:sz w:val="20"/>
          <w:szCs w:val="20"/>
        </w:rPr>
        <w:t xml:space="preserve">, </w:t>
      </w:r>
      <w:r w:rsidRPr="003B468C">
        <w:rPr>
          <w:rFonts w:ascii="Times New Roman" w:hAnsi="Times New Roman"/>
          <w:sz w:val="20"/>
          <w:szCs w:val="20"/>
        </w:rPr>
        <w:t>6</w:t>
      </w:r>
      <w:smartTag w:uri="schemas-tilde-lv/tildestengine" w:element="phone">
        <w:smartTagPr>
          <w:attr w:name="phone_number" w:val="7026515"/>
        </w:smartTagPr>
        <w:r w:rsidRPr="003B468C">
          <w:rPr>
            <w:rFonts w:ascii="Times New Roman" w:hAnsi="Times New Roman"/>
            <w:sz w:val="20"/>
            <w:szCs w:val="20"/>
          </w:rPr>
          <w:t>7026515</w:t>
        </w:r>
      </w:smartTag>
      <w:r w:rsidRPr="003B468C">
        <w:rPr>
          <w:rFonts w:ascii="Times New Roman" w:hAnsi="Times New Roman"/>
          <w:sz w:val="20"/>
          <w:szCs w:val="20"/>
        </w:rPr>
        <w:t xml:space="preserve">; </w:t>
      </w:r>
    </w:p>
    <w:p w:rsidR="002602E6" w:rsidRPr="003B468C" w:rsidRDefault="000357F8" w:rsidP="002602E6">
      <w:pPr>
        <w:spacing w:after="0" w:line="240" w:lineRule="auto"/>
        <w:rPr>
          <w:rFonts w:ascii="Times New Roman" w:hAnsi="Times New Roman"/>
          <w:sz w:val="20"/>
          <w:szCs w:val="20"/>
        </w:rPr>
      </w:pPr>
      <w:hyperlink r:id="rId7" w:history="1">
        <w:r w:rsidR="002602E6" w:rsidRPr="003B468C">
          <w:rPr>
            <w:rStyle w:val="Hyperlink"/>
            <w:rFonts w:ascii="Times New Roman" w:hAnsi="Times New Roman"/>
            <w:sz w:val="20"/>
            <w:szCs w:val="20"/>
          </w:rPr>
          <w:t>ilze.donina@varam.gov.lv</w:t>
        </w:r>
      </w:hyperlink>
    </w:p>
    <w:p w:rsidR="002602E6" w:rsidRPr="003B468C" w:rsidRDefault="002602E6" w:rsidP="002602E6">
      <w:pPr>
        <w:pStyle w:val="ListParagraph"/>
        <w:spacing w:after="0" w:line="240" w:lineRule="auto"/>
        <w:jc w:val="both"/>
        <w:rPr>
          <w:rFonts w:ascii="Times New Roman" w:hAnsi="Times New Roman"/>
          <w:sz w:val="28"/>
          <w:szCs w:val="28"/>
        </w:rPr>
      </w:pPr>
      <w:bookmarkStart w:id="1" w:name="_GoBack"/>
      <w:bookmarkEnd w:id="1"/>
    </w:p>
    <w:p w:rsidR="000823B4" w:rsidRPr="00EF7864" w:rsidRDefault="000823B4" w:rsidP="00EF7864">
      <w:pPr>
        <w:spacing w:after="0" w:line="240" w:lineRule="auto"/>
        <w:rPr>
          <w:rFonts w:ascii="Times New Roman" w:hAnsi="Times New Roman" w:cs="Times New Roman"/>
          <w:sz w:val="28"/>
          <w:szCs w:val="28"/>
        </w:rPr>
      </w:pPr>
    </w:p>
    <w:sectPr w:rsidR="000823B4" w:rsidRPr="00EF7864" w:rsidSect="00D6210A">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57F8" w:rsidRDefault="000357F8" w:rsidP="002C7485">
      <w:pPr>
        <w:spacing w:after="0" w:line="240" w:lineRule="auto"/>
      </w:pPr>
      <w:r>
        <w:separator/>
      </w:r>
    </w:p>
  </w:endnote>
  <w:endnote w:type="continuationSeparator" w:id="0">
    <w:p w:rsidR="000357F8" w:rsidRDefault="000357F8" w:rsidP="002C7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485" w:rsidRPr="009E59CB" w:rsidRDefault="00BB4FC1" w:rsidP="002C748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VARAMNot_120117</w:t>
    </w:r>
    <w:r w:rsidR="002C7485" w:rsidRPr="009E59CB">
      <w:rPr>
        <w:rFonts w:ascii="Times New Roman" w:hAnsi="Times New Roman" w:cs="Times New Roman"/>
        <w:sz w:val="20"/>
        <w:szCs w:val="20"/>
      </w:rPr>
      <w:t xml:space="preserve">_ROHS; Ministru kabineta noteikumu projekts </w:t>
    </w:r>
    <w:r w:rsidR="00CF25C4">
      <w:rPr>
        <w:rFonts w:ascii="Times New Roman" w:hAnsi="Times New Roman" w:cs="Times New Roman"/>
        <w:sz w:val="20"/>
        <w:szCs w:val="20"/>
      </w:rPr>
      <w:t>„</w:t>
    </w:r>
    <w:r w:rsidR="002C7485" w:rsidRPr="009E59CB">
      <w:rPr>
        <w:rFonts w:ascii="Times New Roman" w:hAnsi="Times New Roman" w:cs="Times New Roman"/>
        <w:sz w:val="20"/>
        <w:szCs w:val="20"/>
      </w:rPr>
      <w:t>Grozījumi Ministru kabineta 2013.</w:t>
    </w:r>
    <w:r w:rsidR="00CF25C4">
      <w:rPr>
        <w:rFonts w:ascii="Times New Roman" w:hAnsi="Times New Roman" w:cs="Times New Roman"/>
        <w:sz w:val="20"/>
        <w:szCs w:val="20"/>
      </w:rPr>
      <w:t> </w:t>
    </w:r>
    <w:r w:rsidR="002C7485" w:rsidRPr="009E59CB">
      <w:rPr>
        <w:rFonts w:ascii="Times New Roman" w:hAnsi="Times New Roman" w:cs="Times New Roman"/>
        <w:sz w:val="20"/>
        <w:szCs w:val="20"/>
      </w:rPr>
      <w:t>gada 5.</w:t>
    </w:r>
    <w:r w:rsidR="00CF25C4">
      <w:rPr>
        <w:rFonts w:ascii="Times New Roman" w:hAnsi="Times New Roman" w:cs="Times New Roman"/>
        <w:sz w:val="20"/>
        <w:szCs w:val="20"/>
      </w:rPr>
      <w:t> </w:t>
    </w:r>
    <w:r w:rsidR="002C7485" w:rsidRPr="009E59CB">
      <w:rPr>
        <w:rFonts w:ascii="Times New Roman" w:hAnsi="Times New Roman" w:cs="Times New Roman"/>
        <w:sz w:val="20"/>
        <w:szCs w:val="20"/>
      </w:rPr>
      <w:t>februāra noteikumos Nr.</w:t>
    </w:r>
    <w:r w:rsidR="00CF25C4">
      <w:rPr>
        <w:rFonts w:ascii="Times New Roman" w:hAnsi="Times New Roman" w:cs="Times New Roman"/>
        <w:sz w:val="20"/>
        <w:szCs w:val="20"/>
      </w:rPr>
      <w:t> </w:t>
    </w:r>
    <w:r w:rsidR="002C7485" w:rsidRPr="009E59CB">
      <w:rPr>
        <w:rFonts w:ascii="Times New Roman" w:hAnsi="Times New Roman" w:cs="Times New Roman"/>
        <w:sz w:val="20"/>
        <w:szCs w:val="20"/>
      </w:rPr>
      <w:t>84 „Noteikumi par atsevišķu ķīmisku vielu lietošanas ierobežojumiem elektriskajās un elektroniskajās iekārtās””</w:t>
    </w:r>
  </w:p>
  <w:p w:rsidR="002C7485" w:rsidRDefault="002C74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57F8" w:rsidRDefault="000357F8" w:rsidP="002C7485">
      <w:pPr>
        <w:spacing w:after="0" w:line="240" w:lineRule="auto"/>
      </w:pPr>
      <w:r>
        <w:separator/>
      </w:r>
    </w:p>
  </w:footnote>
  <w:footnote w:type="continuationSeparator" w:id="0">
    <w:p w:rsidR="000357F8" w:rsidRDefault="000357F8" w:rsidP="002C74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4771895"/>
      <w:docPartObj>
        <w:docPartGallery w:val="Page Numbers (Top of Page)"/>
        <w:docPartUnique/>
      </w:docPartObj>
    </w:sdtPr>
    <w:sdtEndPr>
      <w:rPr>
        <w:rFonts w:ascii="Times New Roman" w:hAnsi="Times New Roman" w:cs="Times New Roman"/>
        <w:noProof/>
        <w:sz w:val="28"/>
      </w:rPr>
    </w:sdtEndPr>
    <w:sdtContent>
      <w:p w:rsidR="002C7485" w:rsidRPr="002C7485" w:rsidRDefault="008F7E15">
        <w:pPr>
          <w:pStyle w:val="Header"/>
          <w:jc w:val="center"/>
          <w:rPr>
            <w:rFonts w:ascii="Times New Roman" w:hAnsi="Times New Roman" w:cs="Times New Roman"/>
            <w:sz w:val="28"/>
          </w:rPr>
        </w:pPr>
        <w:r w:rsidRPr="002C7485">
          <w:rPr>
            <w:rFonts w:ascii="Times New Roman" w:hAnsi="Times New Roman" w:cs="Times New Roman"/>
            <w:sz w:val="28"/>
          </w:rPr>
          <w:fldChar w:fldCharType="begin"/>
        </w:r>
        <w:r w:rsidR="002C7485" w:rsidRPr="002C7485">
          <w:rPr>
            <w:rFonts w:ascii="Times New Roman" w:hAnsi="Times New Roman" w:cs="Times New Roman"/>
            <w:sz w:val="28"/>
          </w:rPr>
          <w:instrText xml:space="preserve"> PAGE   \* MERGEFORMAT </w:instrText>
        </w:r>
        <w:r w:rsidRPr="002C7485">
          <w:rPr>
            <w:rFonts w:ascii="Times New Roman" w:hAnsi="Times New Roman" w:cs="Times New Roman"/>
            <w:sz w:val="28"/>
          </w:rPr>
          <w:fldChar w:fldCharType="separate"/>
        </w:r>
        <w:r w:rsidR="00BB4FC1">
          <w:rPr>
            <w:rFonts w:ascii="Times New Roman" w:hAnsi="Times New Roman" w:cs="Times New Roman"/>
            <w:noProof/>
            <w:sz w:val="28"/>
          </w:rPr>
          <w:t>2</w:t>
        </w:r>
        <w:r w:rsidRPr="002C7485">
          <w:rPr>
            <w:rFonts w:ascii="Times New Roman" w:hAnsi="Times New Roman" w:cs="Times New Roman"/>
            <w:noProof/>
            <w:sz w:val="28"/>
          </w:rPr>
          <w:fldChar w:fldCharType="end"/>
        </w:r>
      </w:p>
    </w:sdtContent>
  </w:sdt>
  <w:p w:rsidR="002C7485" w:rsidRDefault="002C74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84E19"/>
    <w:multiLevelType w:val="hybridMultilevel"/>
    <w:tmpl w:val="87C28FA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2DC4839"/>
    <w:multiLevelType w:val="hybridMultilevel"/>
    <w:tmpl w:val="1F462D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823B4"/>
    <w:rsid w:val="000357F8"/>
    <w:rsid w:val="00044176"/>
    <w:rsid w:val="000823B4"/>
    <w:rsid w:val="000D6C3A"/>
    <w:rsid w:val="00133FE1"/>
    <w:rsid w:val="0017673E"/>
    <w:rsid w:val="002602E6"/>
    <w:rsid w:val="00273952"/>
    <w:rsid w:val="00294012"/>
    <w:rsid w:val="002C7485"/>
    <w:rsid w:val="00310632"/>
    <w:rsid w:val="003F733D"/>
    <w:rsid w:val="004405E1"/>
    <w:rsid w:val="00461BFB"/>
    <w:rsid w:val="005156F7"/>
    <w:rsid w:val="00552C53"/>
    <w:rsid w:val="005B123F"/>
    <w:rsid w:val="007F2856"/>
    <w:rsid w:val="008F7E15"/>
    <w:rsid w:val="009E59CB"/>
    <w:rsid w:val="00AA1FC6"/>
    <w:rsid w:val="00AB5F1E"/>
    <w:rsid w:val="00B879FE"/>
    <w:rsid w:val="00BB4FC1"/>
    <w:rsid w:val="00CF25C4"/>
    <w:rsid w:val="00D6210A"/>
    <w:rsid w:val="00EF78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hapeDefaults>
    <o:shapedefaults v:ext="edit" spidmax="1026"/>
    <o:shapelayout v:ext="edit">
      <o:idmap v:ext="edit" data="1"/>
    </o:shapelayout>
  </w:shapeDefaults>
  <w:decimalSymbol w:val=","/>
  <w:listSeparator w:val=";"/>
  <w15:docId w15:val="{76F67A8E-4BE3-46A2-9EAC-F6C389267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10A"/>
  </w:style>
  <w:style w:type="paragraph" w:styleId="Heading3">
    <w:name w:val="heading 3"/>
    <w:basedOn w:val="Normal"/>
    <w:link w:val="Heading3Char"/>
    <w:uiPriority w:val="9"/>
    <w:qFormat/>
    <w:rsid w:val="000823B4"/>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823B4"/>
    <w:rPr>
      <w:rFonts w:ascii="Times New Roman" w:eastAsia="Times New Roman" w:hAnsi="Times New Roman" w:cs="Times New Roman"/>
      <w:b/>
      <w:bCs/>
      <w:sz w:val="27"/>
      <w:szCs w:val="27"/>
      <w:lang w:eastAsia="lv-LV"/>
    </w:rPr>
  </w:style>
  <w:style w:type="character" w:styleId="Strong">
    <w:name w:val="Strong"/>
    <w:basedOn w:val="DefaultParagraphFont"/>
    <w:uiPriority w:val="22"/>
    <w:qFormat/>
    <w:rsid w:val="000823B4"/>
    <w:rPr>
      <w:b/>
      <w:bCs/>
    </w:rPr>
  </w:style>
  <w:style w:type="paragraph" w:customStyle="1" w:styleId="Normal1">
    <w:name w:val="Normal1"/>
    <w:basedOn w:val="Normal"/>
    <w:rsid w:val="000823B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italic">
    <w:name w:val="italic"/>
    <w:basedOn w:val="DefaultParagraphFont"/>
    <w:rsid w:val="000823B4"/>
  </w:style>
  <w:style w:type="paragraph" w:styleId="ListParagraph">
    <w:name w:val="List Paragraph"/>
    <w:basedOn w:val="Normal"/>
    <w:uiPriority w:val="34"/>
    <w:qFormat/>
    <w:rsid w:val="000823B4"/>
    <w:pPr>
      <w:ind w:left="720"/>
      <w:contextualSpacing/>
    </w:pPr>
  </w:style>
  <w:style w:type="table" w:styleId="TableGrid">
    <w:name w:val="Table Grid"/>
    <w:basedOn w:val="TableNormal"/>
    <w:uiPriority w:val="39"/>
    <w:rsid w:val="00133F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lab">
    <w:name w:val="naislab"/>
    <w:basedOn w:val="Normal"/>
    <w:rsid w:val="003F733D"/>
    <w:pPr>
      <w:spacing w:before="100" w:beforeAutospacing="1" w:after="100" w:afterAutospacing="1" w:line="240" w:lineRule="auto"/>
      <w:jc w:val="right"/>
    </w:pPr>
    <w:rPr>
      <w:rFonts w:ascii="Times New Roman" w:eastAsia="Times New Roman" w:hAnsi="Times New Roman" w:cs="Times New Roman"/>
      <w:sz w:val="24"/>
      <w:szCs w:val="24"/>
      <w:lang w:val="en-GB"/>
    </w:rPr>
  </w:style>
  <w:style w:type="character" w:styleId="Hyperlink">
    <w:name w:val="Hyperlink"/>
    <w:uiPriority w:val="99"/>
    <w:semiHidden/>
    <w:unhideWhenUsed/>
    <w:rsid w:val="002602E6"/>
    <w:rPr>
      <w:color w:val="0000FF"/>
      <w:u w:val="single"/>
    </w:rPr>
  </w:style>
  <w:style w:type="paragraph" w:customStyle="1" w:styleId="tv2131">
    <w:name w:val="tv2131"/>
    <w:basedOn w:val="Normal"/>
    <w:rsid w:val="002602E6"/>
    <w:pPr>
      <w:spacing w:before="240" w:after="0" w:line="360" w:lineRule="auto"/>
      <w:ind w:firstLine="259"/>
      <w:jc w:val="both"/>
    </w:pPr>
    <w:rPr>
      <w:rFonts w:ascii="Verdana" w:eastAsia="Times New Roman" w:hAnsi="Verdana" w:cs="Times New Roman"/>
      <w:sz w:val="16"/>
      <w:szCs w:val="16"/>
    </w:rPr>
  </w:style>
  <w:style w:type="paragraph" w:customStyle="1" w:styleId="tv2161">
    <w:name w:val="tv2161"/>
    <w:basedOn w:val="Normal"/>
    <w:rsid w:val="002602E6"/>
    <w:pPr>
      <w:spacing w:before="240" w:after="0" w:line="360" w:lineRule="auto"/>
      <w:ind w:firstLine="259"/>
      <w:jc w:val="right"/>
    </w:pPr>
    <w:rPr>
      <w:rFonts w:ascii="Verdana" w:eastAsia="Times New Roman" w:hAnsi="Verdana" w:cs="Times New Roman"/>
      <w:sz w:val="16"/>
      <w:szCs w:val="16"/>
    </w:rPr>
  </w:style>
  <w:style w:type="paragraph" w:styleId="Header">
    <w:name w:val="header"/>
    <w:basedOn w:val="Normal"/>
    <w:link w:val="HeaderChar"/>
    <w:uiPriority w:val="99"/>
    <w:unhideWhenUsed/>
    <w:rsid w:val="002C7485"/>
    <w:pPr>
      <w:tabs>
        <w:tab w:val="center" w:pos="4153"/>
        <w:tab w:val="right" w:pos="8306"/>
      </w:tabs>
      <w:spacing w:after="0" w:line="240" w:lineRule="auto"/>
    </w:pPr>
  </w:style>
  <w:style w:type="character" w:customStyle="1" w:styleId="HeaderChar">
    <w:name w:val="Header Char"/>
    <w:basedOn w:val="DefaultParagraphFont"/>
    <w:link w:val="Header"/>
    <w:uiPriority w:val="99"/>
    <w:rsid w:val="002C7485"/>
  </w:style>
  <w:style w:type="paragraph" w:styleId="Footer">
    <w:name w:val="footer"/>
    <w:basedOn w:val="Normal"/>
    <w:link w:val="FooterChar"/>
    <w:uiPriority w:val="99"/>
    <w:unhideWhenUsed/>
    <w:rsid w:val="002C7485"/>
    <w:pPr>
      <w:tabs>
        <w:tab w:val="center" w:pos="4153"/>
        <w:tab w:val="right" w:pos="8306"/>
      </w:tabs>
      <w:spacing w:after="0" w:line="240" w:lineRule="auto"/>
    </w:pPr>
  </w:style>
  <w:style w:type="character" w:customStyle="1" w:styleId="FooterChar">
    <w:name w:val="Footer Char"/>
    <w:basedOn w:val="DefaultParagraphFont"/>
    <w:link w:val="Footer"/>
    <w:uiPriority w:val="99"/>
    <w:rsid w:val="002C7485"/>
  </w:style>
  <w:style w:type="paragraph" w:styleId="BalloonText">
    <w:name w:val="Balloon Text"/>
    <w:basedOn w:val="Normal"/>
    <w:link w:val="BalloonTextChar"/>
    <w:uiPriority w:val="99"/>
    <w:semiHidden/>
    <w:unhideWhenUsed/>
    <w:rsid w:val="00CF25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5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945989">
      <w:bodyDiv w:val="1"/>
      <w:marLeft w:val="0"/>
      <w:marRight w:val="0"/>
      <w:marTop w:val="0"/>
      <w:marBottom w:val="0"/>
      <w:divBdr>
        <w:top w:val="none" w:sz="0" w:space="0" w:color="auto"/>
        <w:left w:val="none" w:sz="0" w:space="0" w:color="auto"/>
        <w:bottom w:val="none" w:sz="0" w:space="0" w:color="auto"/>
        <w:right w:val="none" w:sz="0" w:space="0" w:color="auto"/>
      </w:divBdr>
      <w:divsChild>
        <w:div w:id="667901566">
          <w:marLeft w:val="0"/>
          <w:marRight w:val="0"/>
          <w:marTop w:val="0"/>
          <w:marBottom w:val="0"/>
          <w:divBdr>
            <w:top w:val="none" w:sz="0" w:space="0" w:color="auto"/>
            <w:left w:val="none" w:sz="0" w:space="0" w:color="auto"/>
            <w:bottom w:val="none" w:sz="0" w:space="0" w:color="auto"/>
            <w:right w:val="none" w:sz="0" w:space="0" w:color="auto"/>
          </w:divBdr>
        </w:div>
      </w:divsChild>
    </w:div>
    <w:div w:id="859701249">
      <w:bodyDiv w:val="1"/>
      <w:marLeft w:val="0"/>
      <w:marRight w:val="0"/>
      <w:marTop w:val="0"/>
      <w:marBottom w:val="0"/>
      <w:divBdr>
        <w:top w:val="none" w:sz="0" w:space="0" w:color="auto"/>
        <w:left w:val="none" w:sz="0" w:space="0" w:color="auto"/>
        <w:bottom w:val="none" w:sz="0" w:space="0" w:color="auto"/>
        <w:right w:val="none" w:sz="0" w:space="0" w:color="auto"/>
      </w:divBdr>
    </w:div>
    <w:div w:id="880170014">
      <w:bodyDiv w:val="1"/>
      <w:marLeft w:val="0"/>
      <w:marRight w:val="0"/>
      <w:marTop w:val="0"/>
      <w:marBottom w:val="0"/>
      <w:divBdr>
        <w:top w:val="none" w:sz="0" w:space="0" w:color="auto"/>
        <w:left w:val="none" w:sz="0" w:space="0" w:color="auto"/>
        <w:bottom w:val="none" w:sz="0" w:space="0" w:color="auto"/>
        <w:right w:val="none" w:sz="0" w:space="0" w:color="auto"/>
      </w:divBdr>
    </w:div>
    <w:div w:id="1070229134">
      <w:bodyDiv w:val="1"/>
      <w:marLeft w:val="0"/>
      <w:marRight w:val="0"/>
      <w:marTop w:val="0"/>
      <w:marBottom w:val="0"/>
      <w:divBdr>
        <w:top w:val="none" w:sz="0" w:space="0" w:color="auto"/>
        <w:left w:val="none" w:sz="0" w:space="0" w:color="auto"/>
        <w:bottom w:val="none" w:sz="0" w:space="0" w:color="auto"/>
        <w:right w:val="none" w:sz="0" w:space="0" w:color="auto"/>
      </w:divBdr>
      <w:divsChild>
        <w:div w:id="276332207">
          <w:marLeft w:val="0"/>
          <w:marRight w:val="0"/>
          <w:marTop w:val="0"/>
          <w:marBottom w:val="0"/>
          <w:divBdr>
            <w:top w:val="none" w:sz="0" w:space="0" w:color="auto"/>
            <w:left w:val="none" w:sz="0" w:space="0" w:color="auto"/>
            <w:bottom w:val="none" w:sz="0" w:space="0" w:color="auto"/>
            <w:right w:val="none" w:sz="0" w:space="0" w:color="auto"/>
          </w:divBdr>
        </w:div>
      </w:divsChild>
    </w:div>
    <w:div w:id="179421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lze.donina@varam.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3026</Words>
  <Characters>1725</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dc:creator>
  <cp:lastModifiedBy>Ilze Doniņa</cp:lastModifiedBy>
  <cp:revision>2</cp:revision>
  <dcterms:created xsi:type="dcterms:W3CDTF">2017-01-12T11:39:00Z</dcterms:created>
  <dcterms:modified xsi:type="dcterms:W3CDTF">2017-01-12T11:39:00Z</dcterms:modified>
</cp:coreProperties>
</file>