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F4" w:rsidRPr="008A0E78" w:rsidRDefault="009117F4" w:rsidP="0072158B">
      <w:pPr>
        <w:jc w:val="center"/>
        <w:rPr>
          <w:sz w:val="28"/>
          <w:lang w:eastAsia="en-US"/>
        </w:rPr>
      </w:pPr>
      <w:r w:rsidRPr="008A0E78">
        <w:rPr>
          <w:sz w:val="28"/>
          <w:lang w:eastAsia="en-US"/>
        </w:rPr>
        <w:t>Ministru kabineta noteikumu projekta</w:t>
      </w:r>
      <w:r w:rsidR="00643FD1" w:rsidRPr="008A0E78">
        <w:rPr>
          <w:sz w:val="28"/>
          <w:lang w:eastAsia="en-US"/>
        </w:rPr>
        <w:t xml:space="preserve"> </w:t>
      </w:r>
      <w:r w:rsidR="00643FD1" w:rsidRPr="008A0E78">
        <w:rPr>
          <w:b/>
          <w:sz w:val="28"/>
          <w:lang w:eastAsia="en-US"/>
        </w:rPr>
        <w:t xml:space="preserve">„Grozījumi Ministru kabineta 2015. gada 7. aprīļa noteikumos Nr. 171 </w:t>
      </w:r>
      <w:r w:rsidR="00032CCB" w:rsidRPr="008A0E78">
        <w:rPr>
          <w:sz w:val="28"/>
          <w:lang w:eastAsia="en-US"/>
        </w:rPr>
        <w:t>„</w:t>
      </w:r>
      <w:r w:rsidR="00227150" w:rsidRPr="008A0E78">
        <w:rPr>
          <w:rStyle w:val="Izteiksmgs"/>
          <w:bCs w:val="0"/>
          <w:sz w:val="28"/>
        </w:rPr>
        <w:t xml:space="preserve">Noteikumi par valsts un Eiropas Savienības atbalsta piešķiršanu, administrēšanu un uzraudzību </w:t>
      </w:r>
      <w:r w:rsidR="00227150" w:rsidRPr="008A0E78">
        <w:rPr>
          <w:rStyle w:val="Izteiksmgs"/>
          <w:sz w:val="28"/>
        </w:rPr>
        <w:t xml:space="preserve">vides, klimata un lauku ainavas uzlabošanai </w:t>
      </w:r>
      <w:r w:rsidR="00227150" w:rsidRPr="008A0E78">
        <w:rPr>
          <w:rStyle w:val="Izteiksmgs"/>
          <w:bCs w:val="0"/>
          <w:sz w:val="28"/>
        </w:rPr>
        <w:t>2014.</w:t>
      </w:r>
      <w:r w:rsidR="00A73BFF" w:rsidRPr="008A0E78">
        <w:rPr>
          <w:rStyle w:val="Izteiksmgs"/>
          <w:bCs w:val="0"/>
          <w:sz w:val="28"/>
        </w:rPr>
        <w:t>–</w:t>
      </w:r>
      <w:r w:rsidR="00227150" w:rsidRPr="008A0E78">
        <w:rPr>
          <w:rStyle w:val="Izteiksmgs"/>
          <w:bCs w:val="0"/>
          <w:sz w:val="28"/>
        </w:rPr>
        <w:t>2020.</w:t>
      </w:r>
      <w:r w:rsidR="00A73BFF" w:rsidRPr="008A0E78">
        <w:rPr>
          <w:rStyle w:val="Izteiksmgs"/>
          <w:bCs w:val="0"/>
          <w:sz w:val="28"/>
        </w:rPr>
        <w:t> </w:t>
      </w:r>
      <w:r w:rsidR="00227150" w:rsidRPr="008A0E78">
        <w:rPr>
          <w:rStyle w:val="Izteiksmgs"/>
          <w:bCs w:val="0"/>
          <w:sz w:val="28"/>
        </w:rPr>
        <w:t>gada plānošanas periodā</w:t>
      </w:r>
      <w:r w:rsidRPr="008A0E78">
        <w:rPr>
          <w:b/>
          <w:sz w:val="28"/>
          <w:lang w:eastAsia="en-US"/>
        </w:rPr>
        <w:t>”</w:t>
      </w:r>
      <w:r w:rsidR="00A73BFF" w:rsidRPr="008A0E78">
        <w:rPr>
          <w:b/>
          <w:sz w:val="28"/>
          <w:lang w:eastAsia="en-US"/>
        </w:rPr>
        <w:t>”</w:t>
      </w:r>
      <w:r w:rsidRPr="008A0E78">
        <w:rPr>
          <w:sz w:val="28"/>
          <w:lang w:eastAsia="en-US"/>
        </w:rPr>
        <w:t xml:space="preserve"> sākotnējās ietekmes novērtējuma </w:t>
      </w:r>
      <w:smartTag w:uri="schemas-tilde-lv/tildestengine" w:element="veidnes">
        <w:smartTagPr>
          <w:attr w:name="text" w:val="ziņojums"/>
          <w:attr w:name="baseform" w:val="ziņojums"/>
          <w:attr w:name="id" w:val="-1"/>
        </w:smartTagPr>
        <w:r w:rsidRPr="008A0E78">
          <w:rPr>
            <w:sz w:val="28"/>
            <w:lang w:eastAsia="en-US"/>
          </w:rPr>
          <w:t>ziņojums</w:t>
        </w:r>
      </w:smartTag>
      <w:r w:rsidRPr="008A0E78">
        <w:rPr>
          <w:sz w:val="28"/>
          <w:lang w:eastAsia="en-US"/>
        </w:rPr>
        <w:t xml:space="preserve"> </w:t>
      </w:r>
      <w:proofErr w:type="gramStart"/>
      <w:r w:rsidRPr="008A0E78">
        <w:rPr>
          <w:sz w:val="28"/>
          <w:lang w:eastAsia="en-US"/>
        </w:rPr>
        <w:t>(</w:t>
      </w:r>
      <w:proofErr w:type="gramEnd"/>
      <w:r w:rsidRPr="008A0E78">
        <w:rPr>
          <w:sz w:val="28"/>
          <w:lang w:eastAsia="en-US"/>
        </w:rPr>
        <w:t>anotācija)</w:t>
      </w:r>
    </w:p>
    <w:p w:rsidR="00945B51" w:rsidRPr="008A0E78" w:rsidRDefault="00945B51" w:rsidP="00227150">
      <w:pPr>
        <w:jc w:val="center"/>
        <w:rPr>
          <w:bCs/>
          <w:sz w:val="28"/>
          <w:szCs w:val="28"/>
        </w:rPr>
      </w:pPr>
    </w:p>
    <w:p w:rsidR="009117F4" w:rsidRPr="002A7678" w:rsidRDefault="009117F4" w:rsidP="006B42E1">
      <w:pPr>
        <w:ind w:firstLine="301"/>
        <w:rPr>
          <w:sz w:val="8"/>
        </w:rPr>
      </w:pPr>
      <w:r w:rsidRPr="002A7678">
        <w:rPr>
          <w:sz w:val="8"/>
        </w:rPr>
        <w:t> </w:t>
      </w:r>
    </w:p>
    <w:tbl>
      <w:tblPr>
        <w:tblW w:w="96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1613"/>
        <w:gridCol w:w="7129"/>
      </w:tblGrid>
      <w:tr w:rsidR="009117F4" w:rsidRPr="005F2CAC" w:rsidTr="008D4EEA">
        <w:trPr>
          <w:trHeight w:val="147"/>
        </w:trPr>
        <w:tc>
          <w:tcPr>
            <w:tcW w:w="9614" w:type="dxa"/>
            <w:gridSpan w:val="3"/>
          </w:tcPr>
          <w:p w:rsidR="009117F4" w:rsidRPr="005F2CAC" w:rsidRDefault="009117F4" w:rsidP="00E06138">
            <w:pPr>
              <w:jc w:val="center"/>
            </w:pPr>
            <w:r w:rsidRPr="005F2CAC">
              <w:rPr>
                <w:b/>
                <w:bCs/>
              </w:rPr>
              <w:t>I. Tiesību akta projekta izstrādes nepieciešamība</w:t>
            </w:r>
          </w:p>
        </w:tc>
      </w:tr>
      <w:tr w:rsidR="009117F4" w:rsidRPr="005F2CAC" w:rsidTr="008D4EEA">
        <w:trPr>
          <w:trHeight w:val="147"/>
        </w:trPr>
        <w:tc>
          <w:tcPr>
            <w:tcW w:w="872" w:type="dxa"/>
          </w:tcPr>
          <w:p w:rsidR="009117F4" w:rsidRPr="005F2CAC" w:rsidRDefault="009117F4" w:rsidP="00E06138">
            <w:pPr>
              <w:spacing w:before="100" w:beforeAutospacing="1" w:after="100" w:afterAutospacing="1" w:line="360" w:lineRule="auto"/>
              <w:ind w:firstLine="19"/>
              <w:jc w:val="both"/>
            </w:pPr>
            <w:r w:rsidRPr="005F2CAC">
              <w:t>1.</w:t>
            </w:r>
          </w:p>
        </w:tc>
        <w:tc>
          <w:tcPr>
            <w:tcW w:w="1613" w:type="dxa"/>
          </w:tcPr>
          <w:p w:rsidR="009117F4" w:rsidRPr="005F2CAC" w:rsidRDefault="009117F4" w:rsidP="00E06138">
            <w:r w:rsidRPr="005F2CAC">
              <w:t>Pamatojums</w:t>
            </w:r>
          </w:p>
        </w:tc>
        <w:tc>
          <w:tcPr>
            <w:tcW w:w="7129" w:type="dxa"/>
          </w:tcPr>
          <w:p w:rsidR="00131E94" w:rsidRPr="005F2CAC" w:rsidRDefault="007C5B5D" w:rsidP="00131E94">
            <w:pPr>
              <w:autoSpaceDE w:val="0"/>
              <w:autoSpaceDN w:val="0"/>
              <w:adjustRightInd w:val="0"/>
              <w:jc w:val="both"/>
            </w:pPr>
            <w:r w:rsidRPr="005F2CAC">
              <w:t>Noteikumu projekts sagatavots, pamatojoties uz Lauksaimniecības un lauku attīstības likuma 5.panta ceturto un septīto daļu</w:t>
            </w:r>
            <w:r w:rsidR="005E6328" w:rsidRPr="005F2CAC">
              <w:t>.</w:t>
            </w:r>
          </w:p>
        </w:tc>
      </w:tr>
      <w:tr w:rsidR="009117F4" w:rsidRPr="00D30FB2" w:rsidTr="008D4EEA">
        <w:trPr>
          <w:trHeight w:val="147"/>
        </w:trPr>
        <w:tc>
          <w:tcPr>
            <w:tcW w:w="872" w:type="dxa"/>
          </w:tcPr>
          <w:p w:rsidR="009117F4" w:rsidRPr="005F2CAC" w:rsidRDefault="009117F4" w:rsidP="00E06138">
            <w:pPr>
              <w:spacing w:before="100" w:beforeAutospacing="1" w:after="100" w:afterAutospacing="1" w:line="360" w:lineRule="auto"/>
              <w:ind w:firstLine="19"/>
              <w:jc w:val="both"/>
            </w:pPr>
            <w:r w:rsidRPr="005F2CAC">
              <w:t>2.</w:t>
            </w:r>
          </w:p>
        </w:tc>
        <w:tc>
          <w:tcPr>
            <w:tcW w:w="1613" w:type="dxa"/>
          </w:tcPr>
          <w:p w:rsidR="009117F4" w:rsidRPr="005F2CAC" w:rsidRDefault="009117F4" w:rsidP="00E06138">
            <w:r w:rsidRPr="005F2CAC">
              <w:t>Pašreizējā situācija un problēmas, kuru risināšanai tiesību akta projekts izstrādāts, tiesiskā regulējuma mērķis un būtība</w:t>
            </w:r>
          </w:p>
        </w:tc>
        <w:tc>
          <w:tcPr>
            <w:tcW w:w="7129" w:type="dxa"/>
          </w:tcPr>
          <w:p w:rsidR="00A512E8" w:rsidRPr="009B3CCA" w:rsidRDefault="00A73BFF" w:rsidP="007B2DBD">
            <w:pPr>
              <w:spacing w:after="120"/>
              <w:jc w:val="both"/>
              <w:rPr>
                <w:b/>
                <w:lang w:eastAsia="en-US"/>
              </w:rPr>
            </w:pPr>
            <w:r>
              <w:rPr>
                <w:lang w:eastAsia="en-US"/>
              </w:rPr>
              <w:t>Patlaban</w:t>
            </w:r>
            <w:r w:rsidR="0012012A" w:rsidRPr="005F2CAC">
              <w:rPr>
                <w:lang w:eastAsia="en-US"/>
              </w:rPr>
              <w:t xml:space="preserve"> valsts un Eiropas Savienības</w:t>
            </w:r>
            <w:r w:rsidR="0036088B" w:rsidRPr="005F2CAC">
              <w:t xml:space="preserve"> atbalsta piešķiršanas kārtību lauku attīstībai – vides</w:t>
            </w:r>
            <w:r w:rsidR="000B0E4C">
              <w:t>, klimata</w:t>
            </w:r>
            <w:r w:rsidR="0036088B" w:rsidRPr="005F2CAC">
              <w:t xml:space="preserve"> un lauku ainavas uzlabošanas pasākumiem </w:t>
            </w:r>
            <w:r>
              <w:t xml:space="preserve">– </w:t>
            </w:r>
            <w:r w:rsidR="0012012A" w:rsidRPr="005F2CAC">
              <w:rPr>
                <w:lang w:eastAsia="en-US"/>
              </w:rPr>
              <w:t xml:space="preserve">nosaka </w:t>
            </w:r>
            <w:r w:rsidR="00643FD1" w:rsidRPr="00643FD1">
              <w:rPr>
                <w:lang w:eastAsia="en-US"/>
              </w:rPr>
              <w:t>Ministru kabineta 2015. gada 7. aprīļa noteikum</w:t>
            </w:r>
            <w:r>
              <w:rPr>
                <w:lang w:eastAsia="en-US"/>
              </w:rPr>
              <w:t>i</w:t>
            </w:r>
            <w:r w:rsidR="00643FD1" w:rsidRPr="00643FD1">
              <w:rPr>
                <w:lang w:eastAsia="en-US"/>
              </w:rPr>
              <w:t xml:space="preserve"> Nr. 171 </w:t>
            </w:r>
            <w:r w:rsidR="00643FD1" w:rsidRPr="00945B51">
              <w:rPr>
                <w:lang w:eastAsia="en-US"/>
              </w:rPr>
              <w:t>„</w:t>
            </w:r>
            <w:r w:rsidR="00643FD1" w:rsidRPr="00945B51">
              <w:rPr>
                <w:rStyle w:val="Izteiksmgs"/>
                <w:bCs w:val="0"/>
              </w:rPr>
              <w:t xml:space="preserve">Noteikumi par valsts un Eiropas Savienības atbalsta piešķiršanu, administrēšanu un uzraudzību </w:t>
            </w:r>
            <w:r w:rsidR="00643FD1" w:rsidRPr="00945B51">
              <w:rPr>
                <w:rStyle w:val="Izteiksmgs"/>
              </w:rPr>
              <w:t xml:space="preserve">vides, klimata un lauku ainavas uzlabošanai </w:t>
            </w:r>
            <w:r w:rsidR="00643FD1" w:rsidRPr="00945B51">
              <w:rPr>
                <w:rStyle w:val="Izteiksmgs"/>
                <w:bCs w:val="0"/>
              </w:rPr>
              <w:t>2014.</w:t>
            </w:r>
            <w:r>
              <w:rPr>
                <w:rStyle w:val="Izteiksmgs"/>
                <w:bCs w:val="0"/>
              </w:rPr>
              <w:t>–</w:t>
            </w:r>
            <w:r w:rsidR="00643FD1" w:rsidRPr="00945B51">
              <w:rPr>
                <w:rStyle w:val="Izteiksmgs"/>
                <w:bCs w:val="0"/>
              </w:rPr>
              <w:t>2020.</w:t>
            </w:r>
            <w:r>
              <w:rPr>
                <w:rStyle w:val="Izteiksmgs"/>
                <w:bCs w:val="0"/>
              </w:rPr>
              <w:t> </w:t>
            </w:r>
            <w:r w:rsidR="00643FD1" w:rsidRPr="00945B51">
              <w:rPr>
                <w:rStyle w:val="Izteiksmgs"/>
                <w:bCs w:val="0"/>
              </w:rPr>
              <w:t>gada plānošanas periodā</w:t>
            </w:r>
            <w:r w:rsidR="00643FD1" w:rsidRPr="00945B51">
              <w:rPr>
                <w:lang w:eastAsia="en-US"/>
              </w:rPr>
              <w:t>”</w:t>
            </w:r>
            <w:r w:rsidR="000B0E4C">
              <w:rPr>
                <w:lang w:eastAsia="en-US"/>
              </w:rPr>
              <w:t xml:space="preserve"> </w:t>
            </w:r>
            <w:r w:rsidR="0012012A" w:rsidRPr="005F2CAC">
              <w:rPr>
                <w:lang w:eastAsia="en-US"/>
              </w:rPr>
              <w:t>(turpmāk –</w:t>
            </w:r>
            <w:r w:rsidR="001C0729">
              <w:rPr>
                <w:lang w:eastAsia="en-US"/>
              </w:rPr>
              <w:t xml:space="preserve"> </w:t>
            </w:r>
            <w:r w:rsidR="0012012A" w:rsidRPr="005F2CAC">
              <w:rPr>
                <w:lang w:eastAsia="en-US"/>
              </w:rPr>
              <w:t>noteikumi Nr.</w:t>
            </w:r>
            <w:r w:rsidR="000B0E4C">
              <w:rPr>
                <w:lang w:eastAsia="en-US"/>
              </w:rPr>
              <w:t>171</w:t>
            </w:r>
            <w:r w:rsidR="0012012A" w:rsidRPr="005F2CAC">
              <w:rPr>
                <w:lang w:eastAsia="en-US"/>
              </w:rPr>
              <w:t>).</w:t>
            </w:r>
            <w:r w:rsidR="000B0E4C">
              <w:rPr>
                <w:lang w:eastAsia="en-US"/>
              </w:rPr>
              <w:t xml:space="preserve"> </w:t>
            </w:r>
            <w:r w:rsidR="00B64EC7" w:rsidRPr="005F2CAC">
              <w:rPr>
                <w:lang w:eastAsia="en-US"/>
              </w:rPr>
              <w:t>Noteikum</w:t>
            </w:r>
            <w:r w:rsidR="00D81B78" w:rsidRPr="005F2CAC">
              <w:rPr>
                <w:lang w:eastAsia="en-US"/>
              </w:rPr>
              <w:t>u projektā</w:t>
            </w:r>
            <w:r w:rsidR="00B64EC7" w:rsidRPr="005F2CAC">
              <w:rPr>
                <w:lang w:eastAsia="en-US"/>
              </w:rPr>
              <w:t xml:space="preserve"> </w:t>
            </w:r>
            <w:r w:rsidRPr="00814935">
              <w:rPr>
                <w:lang w:eastAsia="en-US"/>
              </w:rPr>
              <w:t xml:space="preserve">„Grozījumi Ministru kabineta 2015. gada 7. aprīļa noteikumos Nr. 171 </w:t>
            </w:r>
            <w:r w:rsidRPr="000A7694">
              <w:rPr>
                <w:lang w:eastAsia="en-US"/>
              </w:rPr>
              <w:t>„</w:t>
            </w:r>
            <w:r w:rsidRPr="00814935">
              <w:rPr>
                <w:rStyle w:val="Izteiksmgs"/>
                <w:b w:val="0"/>
                <w:bCs w:val="0"/>
              </w:rPr>
              <w:t xml:space="preserve">Noteikumi par valsts un Eiropas Savienības atbalsta piešķiršanu, administrēšanu un uzraudzību </w:t>
            </w:r>
            <w:r w:rsidRPr="00814935">
              <w:rPr>
                <w:rStyle w:val="Izteiksmgs"/>
                <w:b w:val="0"/>
              </w:rPr>
              <w:t xml:space="preserve">vides, klimata un lauku ainavas uzlabošanai </w:t>
            </w:r>
            <w:r w:rsidRPr="00A73BFF">
              <w:rPr>
                <w:rStyle w:val="Izteiksmgs"/>
                <w:b w:val="0"/>
                <w:bCs w:val="0"/>
              </w:rPr>
              <w:t>2014.</w:t>
            </w:r>
            <w:r>
              <w:rPr>
                <w:rStyle w:val="Izteiksmgs"/>
                <w:b w:val="0"/>
                <w:bCs w:val="0"/>
              </w:rPr>
              <w:t>–</w:t>
            </w:r>
            <w:r w:rsidRPr="00814935">
              <w:rPr>
                <w:rStyle w:val="Izteiksmgs"/>
                <w:b w:val="0"/>
                <w:bCs w:val="0"/>
              </w:rPr>
              <w:t>2020.gada plānošanas periodā</w:t>
            </w:r>
            <w:r w:rsidRPr="00814935">
              <w:rPr>
                <w:lang w:eastAsia="en-US"/>
              </w:rPr>
              <w:t xml:space="preserve">”” </w:t>
            </w:r>
            <w:r>
              <w:rPr>
                <w:lang w:eastAsia="en-US"/>
              </w:rPr>
              <w:t xml:space="preserve">(turpmāk – noteikumu projekts) </w:t>
            </w:r>
            <w:r w:rsidR="00B64EC7" w:rsidRPr="005F2CAC">
              <w:rPr>
                <w:lang w:eastAsia="en-US"/>
              </w:rPr>
              <w:t xml:space="preserve">paredzēts, </w:t>
            </w:r>
            <w:r w:rsidR="001F234A">
              <w:rPr>
                <w:lang w:eastAsia="en-US"/>
              </w:rPr>
              <w:t>novērts vairākas</w:t>
            </w:r>
            <w:r w:rsidR="001F234A" w:rsidRPr="00A512E8">
              <w:rPr>
                <w:lang w:eastAsia="en-US"/>
              </w:rPr>
              <w:t xml:space="preserve"> normatīvā akta tehnisk</w:t>
            </w:r>
            <w:r w:rsidR="001F234A">
              <w:rPr>
                <w:lang w:eastAsia="en-US"/>
              </w:rPr>
              <w:t>ā</w:t>
            </w:r>
            <w:r w:rsidR="001F234A" w:rsidRPr="00A512E8">
              <w:rPr>
                <w:lang w:eastAsia="en-US"/>
              </w:rPr>
              <w:t>s neprecizitātes</w:t>
            </w:r>
            <w:r w:rsidR="001F234A">
              <w:rPr>
                <w:lang w:eastAsia="en-US"/>
              </w:rPr>
              <w:t xml:space="preserve">, kuras tika konstatētas pērn, kad </w:t>
            </w:r>
            <w:r w:rsidR="001F234A" w:rsidRPr="00A512E8">
              <w:rPr>
                <w:lang w:eastAsia="en-US"/>
              </w:rPr>
              <w:t>administrējoš</w:t>
            </w:r>
            <w:r w:rsidR="001F234A">
              <w:rPr>
                <w:lang w:eastAsia="en-US"/>
              </w:rPr>
              <w:t>ā</w:t>
            </w:r>
            <w:r w:rsidR="001F234A" w:rsidRPr="00A512E8">
              <w:rPr>
                <w:lang w:eastAsia="en-US"/>
              </w:rPr>
              <w:t>s iestāde</w:t>
            </w:r>
            <w:r w:rsidR="001F234A">
              <w:rPr>
                <w:lang w:eastAsia="en-US"/>
              </w:rPr>
              <w:t>s</w:t>
            </w:r>
            <w:r w:rsidR="001F234A" w:rsidRPr="00A512E8">
              <w:rPr>
                <w:lang w:eastAsia="en-US"/>
              </w:rPr>
              <w:t xml:space="preserve"> </w:t>
            </w:r>
            <w:r w:rsidR="001F234A">
              <w:rPr>
                <w:lang w:eastAsia="en-US"/>
              </w:rPr>
              <w:t>īstenoja</w:t>
            </w:r>
            <w:r w:rsidR="00A512E8">
              <w:rPr>
                <w:lang w:eastAsia="en-US"/>
              </w:rPr>
              <w:t xml:space="preserve"> 201</w:t>
            </w:r>
            <w:r w:rsidR="001F234A">
              <w:rPr>
                <w:lang w:eastAsia="en-US"/>
              </w:rPr>
              <w:t>6</w:t>
            </w:r>
            <w:r w:rsidR="00A512E8">
              <w:rPr>
                <w:lang w:eastAsia="en-US"/>
              </w:rPr>
              <w:t xml:space="preserve">.gada platību maksājumu iesniegumu </w:t>
            </w:r>
            <w:r w:rsidR="000B0E4C" w:rsidRPr="000B0E4C">
              <w:rPr>
                <w:lang w:eastAsia="en-US"/>
              </w:rPr>
              <w:t>administrēšan</w:t>
            </w:r>
            <w:r w:rsidR="001F234A">
              <w:rPr>
                <w:lang w:eastAsia="en-US"/>
              </w:rPr>
              <w:t>u apmeklējot saimniecības uz vietas, kā arī kamerāli. Konstatējumi neprecizitātēs steidzami</w:t>
            </w:r>
            <w:r>
              <w:rPr>
                <w:lang w:eastAsia="en-US"/>
              </w:rPr>
              <w:t xml:space="preserve"> jā</w:t>
            </w:r>
            <w:r w:rsidR="00A512E8" w:rsidRPr="00A512E8">
              <w:rPr>
                <w:lang w:eastAsia="en-US"/>
              </w:rPr>
              <w:t>novērš</w:t>
            </w:r>
            <w:r w:rsidR="001F234A">
              <w:rPr>
                <w:lang w:eastAsia="en-US"/>
              </w:rPr>
              <w:t xml:space="preserve">, jo </w:t>
            </w:r>
            <w:r w:rsidR="00B86BCA">
              <w:rPr>
                <w:lang w:eastAsia="en-US"/>
              </w:rPr>
              <w:t xml:space="preserve">š.g. </w:t>
            </w:r>
            <w:r w:rsidR="001F234A">
              <w:rPr>
                <w:lang w:eastAsia="en-US"/>
              </w:rPr>
              <w:t xml:space="preserve">aprīlī </w:t>
            </w:r>
            <w:r w:rsidR="00B86BCA">
              <w:rPr>
                <w:lang w:eastAsia="en-US"/>
              </w:rPr>
              <w:t xml:space="preserve">un maijā </w:t>
            </w:r>
            <w:r w:rsidR="001F234A">
              <w:rPr>
                <w:lang w:eastAsia="en-US"/>
              </w:rPr>
              <w:t>tiks uzsākt</w:t>
            </w:r>
            <w:r w:rsidR="00B86BCA">
              <w:rPr>
                <w:lang w:eastAsia="en-US"/>
              </w:rPr>
              <w:t>a jauno 2017.gada</w:t>
            </w:r>
            <w:r w:rsidR="001F234A">
              <w:rPr>
                <w:lang w:eastAsia="en-US"/>
              </w:rPr>
              <w:t xml:space="preserve"> platībmaksājumu pieteikumu pieņemšana no </w:t>
            </w:r>
            <w:r w:rsidR="00B86BCA">
              <w:rPr>
                <w:lang w:eastAsia="en-US"/>
              </w:rPr>
              <w:t xml:space="preserve">visiem </w:t>
            </w:r>
            <w:r w:rsidR="001F234A">
              <w:rPr>
                <w:lang w:eastAsia="en-US"/>
              </w:rPr>
              <w:t>atbalsta pretendentiem</w:t>
            </w:r>
            <w:r w:rsidR="00B86BCA">
              <w:rPr>
                <w:lang w:eastAsia="en-US"/>
              </w:rPr>
              <w:t xml:space="preserve">, </w:t>
            </w:r>
            <w:r w:rsidR="00B86BCA" w:rsidRPr="009B3CCA">
              <w:rPr>
                <w:b/>
                <w:lang w:eastAsia="en-US"/>
              </w:rPr>
              <w:t xml:space="preserve">līdz ar to, </w:t>
            </w:r>
            <w:r w:rsidR="00B86BCA" w:rsidRPr="009B3CCA">
              <w:rPr>
                <w:b/>
              </w:rPr>
              <w:t>jāprecizē šādi noteikumu Nr.171 punkti un apakšpunkti:</w:t>
            </w:r>
          </w:p>
          <w:p w:rsidR="00FF435C" w:rsidRDefault="00C27B8C" w:rsidP="00580170">
            <w:pPr>
              <w:pStyle w:val="Sarakstarindkopa"/>
              <w:numPr>
                <w:ilvl w:val="0"/>
                <w:numId w:val="15"/>
              </w:num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jāpapildina noteikumi ar jaunu apakšpunktu 1.11., </w:t>
            </w:r>
            <w:r w:rsidR="00FF435C">
              <w:rPr>
                <w:rFonts w:ascii="Times New Roman" w:eastAsia="Times New Roman" w:hAnsi="Times New Roman"/>
                <w:sz w:val="24"/>
                <w:szCs w:val="24"/>
              </w:rPr>
              <w:t>norād</w:t>
            </w:r>
            <w:r>
              <w:rPr>
                <w:rFonts w:ascii="Times New Roman" w:eastAsia="Times New Roman" w:hAnsi="Times New Roman"/>
                <w:sz w:val="24"/>
                <w:szCs w:val="24"/>
              </w:rPr>
              <w:t>o</w:t>
            </w:r>
            <w:r w:rsidR="00FF435C">
              <w:rPr>
                <w:rFonts w:ascii="Times New Roman" w:eastAsia="Times New Roman" w:hAnsi="Times New Roman"/>
                <w:sz w:val="24"/>
                <w:szCs w:val="24"/>
              </w:rPr>
              <w:t>t</w:t>
            </w:r>
            <w:r>
              <w:rPr>
                <w:rFonts w:ascii="Times New Roman" w:eastAsia="Times New Roman" w:hAnsi="Times New Roman"/>
                <w:sz w:val="24"/>
                <w:szCs w:val="24"/>
              </w:rPr>
              <w:t xml:space="preserve"> tajā </w:t>
            </w:r>
            <w:r w:rsidR="00FF435C">
              <w:rPr>
                <w:rFonts w:ascii="Times New Roman" w:eastAsia="Times New Roman" w:hAnsi="Times New Roman"/>
                <w:sz w:val="24"/>
                <w:szCs w:val="24"/>
              </w:rPr>
              <w:t xml:space="preserve"> </w:t>
            </w:r>
            <w:r w:rsidR="00C93A9A">
              <w:rPr>
                <w:rFonts w:ascii="Times New Roman" w:eastAsia="Times New Roman" w:hAnsi="Times New Roman"/>
                <w:sz w:val="24"/>
                <w:szCs w:val="24"/>
              </w:rPr>
              <w:t xml:space="preserve">atsauci uz </w:t>
            </w:r>
            <w:r w:rsidR="00FF435C">
              <w:rPr>
                <w:rFonts w:ascii="Times New Roman" w:eastAsia="Times New Roman" w:hAnsi="Times New Roman"/>
                <w:sz w:val="24"/>
                <w:szCs w:val="24"/>
              </w:rPr>
              <w:t>regul</w:t>
            </w:r>
            <w:r w:rsidR="00C93A9A">
              <w:rPr>
                <w:rFonts w:ascii="Times New Roman" w:eastAsia="Times New Roman" w:hAnsi="Times New Roman"/>
                <w:sz w:val="24"/>
                <w:szCs w:val="24"/>
              </w:rPr>
              <w:t>u Nr.</w:t>
            </w:r>
            <w:r>
              <w:rPr>
                <w:rFonts w:ascii="Times New Roman" w:eastAsia="Times New Roman" w:hAnsi="Times New Roman"/>
                <w:sz w:val="24"/>
                <w:szCs w:val="24"/>
              </w:rPr>
              <w:t xml:space="preserve"> 669/2016</w:t>
            </w:r>
            <w:r w:rsidR="00C93A9A">
              <w:rPr>
                <w:rFonts w:ascii="Times New Roman" w:eastAsia="Times New Roman" w:hAnsi="Times New Roman"/>
                <w:sz w:val="24"/>
                <w:szCs w:val="24"/>
              </w:rPr>
              <w:t xml:space="preserve"> un tās</w:t>
            </w:r>
            <w:r w:rsidR="00FF435C">
              <w:rPr>
                <w:rFonts w:ascii="Times New Roman" w:eastAsia="Times New Roman" w:hAnsi="Times New Roman"/>
                <w:sz w:val="24"/>
                <w:szCs w:val="24"/>
              </w:rPr>
              <w:t xml:space="preserve"> nosaukum</w:t>
            </w:r>
            <w:r>
              <w:rPr>
                <w:rFonts w:ascii="Times New Roman" w:eastAsia="Times New Roman" w:hAnsi="Times New Roman"/>
                <w:sz w:val="24"/>
                <w:szCs w:val="24"/>
              </w:rPr>
              <w:t>u</w:t>
            </w:r>
            <w:r w:rsidR="00FF435C">
              <w:rPr>
                <w:rFonts w:ascii="Times New Roman" w:eastAsia="Times New Roman" w:hAnsi="Times New Roman"/>
                <w:sz w:val="24"/>
                <w:szCs w:val="24"/>
              </w:rPr>
              <w:t>;</w:t>
            </w:r>
          </w:p>
          <w:p w:rsidR="000D4EF0" w:rsidRDefault="000D4EF0" w:rsidP="000D4EF0">
            <w:pPr>
              <w:pStyle w:val="Sarakstarindkopa"/>
              <w:numPr>
                <w:ilvl w:val="0"/>
                <w:numId w:val="15"/>
              </w:num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jāveic vairāku noteikumu punktu pašreizējās redakcijas tehniski labojumi, tos salāgojot ar saistītajiem normatīvajiem aktiem </w:t>
            </w:r>
            <w:r w:rsidRPr="000D4EF0">
              <w:rPr>
                <w:rFonts w:ascii="Times New Roman" w:eastAsia="Times New Roman" w:hAnsi="Times New Roman"/>
                <w:sz w:val="24"/>
                <w:szCs w:val="24"/>
              </w:rPr>
              <w:t>par tiešo maksājumu piešķiršanas kārtību lauksaimniekiem</w:t>
            </w:r>
            <w:r>
              <w:rPr>
                <w:rFonts w:ascii="Times New Roman" w:eastAsia="Times New Roman" w:hAnsi="Times New Roman"/>
                <w:sz w:val="24"/>
                <w:szCs w:val="24"/>
              </w:rPr>
              <w:t xml:space="preserve">: 6.1., 7., </w:t>
            </w:r>
            <w:r w:rsidR="00F2352D" w:rsidRPr="00F2352D">
              <w:rPr>
                <w:rFonts w:ascii="Times New Roman" w:eastAsia="Times New Roman" w:hAnsi="Times New Roman"/>
                <w:sz w:val="24"/>
                <w:szCs w:val="24"/>
              </w:rPr>
              <w:t>14.</w:t>
            </w:r>
            <w:r w:rsidR="00F2352D" w:rsidRPr="00F2352D">
              <w:rPr>
                <w:rFonts w:ascii="Times New Roman" w:eastAsia="Times New Roman" w:hAnsi="Times New Roman"/>
                <w:sz w:val="24"/>
                <w:szCs w:val="24"/>
                <w:vertAlign w:val="superscript"/>
              </w:rPr>
              <w:t>2</w:t>
            </w:r>
            <w:r w:rsidR="00C93A9A">
              <w:rPr>
                <w:rFonts w:ascii="Times New Roman" w:eastAsia="Times New Roman" w:hAnsi="Times New Roman"/>
                <w:sz w:val="24"/>
                <w:szCs w:val="24"/>
              </w:rPr>
              <w:t xml:space="preserve"> un</w:t>
            </w:r>
            <w:r w:rsidR="00F2352D" w:rsidRPr="00F2352D">
              <w:rPr>
                <w:rFonts w:ascii="Times New Roman" w:eastAsia="Times New Roman" w:hAnsi="Times New Roman"/>
                <w:sz w:val="24"/>
                <w:szCs w:val="24"/>
              </w:rPr>
              <w:t xml:space="preserve"> 14.</w:t>
            </w:r>
            <w:r w:rsidR="00F2352D" w:rsidRPr="00F2352D">
              <w:rPr>
                <w:rFonts w:ascii="Times New Roman" w:eastAsia="Times New Roman" w:hAnsi="Times New Roman"/>
                <w:sz w:val="24"/>
                <w:szCs w:val="24"/>
                <w:vertAlign w:val="superscript"/>
              </w:rPr>
              <w:t>3</w:t>
            </w:r>
            <w:r w:rsidR="00F2352D" w:rsidRPr="00F2352D">
              <w:rPr>
                <w:rFonts w:ascii="Times New Roman" w:eastAsia="Times New Roman" w:hAnsi="Times New Roman"/>
                <w:sz w:val="24"/>
                <w:szCs w:val="24"/>
              </w:rPr>
              <w:t xml:space="preserve">, </w:t>
            </w:r>
            <w:r w:rsidR="00F2352D">
              <w:rPr>
                <w:rFonts w:ascii="Times New Roman" w:eastAsia="Times New Roman" w:hAnsi="Times New Roman"/>
                <w:sz w:val="24"/>
                <w:szCs w:val="24"/>
              </w:rPr>
              <w:t xml:space="preserve">kā arī atsevišķu normu piemērošanas precizēšana: 17., </w:t>
            </w:r>
            <w:r w:rsidR="00F2352D" w:rsidRPr="00F2352D">
              <w:rPr>
                <w:rFonts w:ascii="Times New Roman" w:eastAsia="Times New Roman" w:hAnsi="Times New Roman"/>
                <w:sz w:val="24"/>
                <w:szCs w:val="24"/>
              </w:rPr>
              <w:t>18</w:t>
            </w:r>
            <w:r w:rsidR="00F2352D">
              <w:rPr>
                <w:rFonts w:ascii="Times New Roman" w:eastAsia="Times New Roman" w:hAnsi="Times New Roman"/>
                <w:sz w:val="24"/>
                <w:szCs w:val="24"/>
              </w:rPr>
              <w:t>., 21., 24.,</w:t>
            </w:r>
            <w:r w:rsidR="001B2A89">
              <w:rPr>
                <w:rFonts w:ascii="Times New Roman" w:eastAsia="Times New Roman" w:hAnsi="Times New Roman"/>
                <w:sz w:val="24"/>
                <w:szCs w:val="24"/>
              </w:rPr>
              <w:t xml:space="preserve"> 77., 86.</w:t>
            </w:r>
            <w:r w:rsidR="00231B01">
              <w:rPr>
                <w:rFonts w:ascii="Times New Roman" w:eastAsia="Times New Roman" w:hAnsi="Times New Roman"/>
                <w:sz w:val="24"/>
                <w:szCs w:val="24"/>
              </w:rPr>
              <w:t>, 87.</w:t>
            </w:r>
            <w:r w:rsidR="001B2A89">
              <w:rPr>
                <w:rFonts w:ascii="Times New Roman" w:eastAsia="Times New Roman" w:hAnsi="Times New Roman"/>
                <w:sz w:val="24"/>
                <w:szCs w:val="24"/>
              </w:rPr>
              <w:t xml:space="preserve">; </w:t>
            </w:r>
            <w:r w:rsidR="00F2352D" w:rsidRPr="00F2352D">
              <w:rPr>
                <w:rFonts w:ascii="Times New Roman" w:eastAsia="Times New Roman" w:hAnsi="Times New Roman"/>
                <w:sz w:val="24"/>
                <w:szCs w:val="24"/>
              </w:rPr>
              <w:t xml:space="preserve"> </w:t>
            </w:r>
            <w:r w:rsidR="00F2352D">
              <w:rPr>
                <w:rFonts w:ascii="Times New Roman" w:eastAsia="Times New Roman" w:hAnsi="Times New Roman"/>
                <w:sz w:val="24"/>
                <w:szCs w:val="24"/>
              </w:rPr>
              <w:t xml:space="preserve"> </w:t>
            </w:r>
          </w:p>
          <w:p w:rsidR="000D4EF0" w:rsidRPr="00F71515" w:rsidRDefault="000D4EF0" w:rsidP="000D4EF0">
            <w:pPr>
              <w:pStyle w:val="Sarakstarindkopa"/>
              <w:numPr>
                <w:ilvl w:val="0"/>
                <w:numId w:val="15"/>
              </w:num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atbilstoši jāievieš </w:t>
            </w:r>
            <w:r w:rsidR="00F2352D">
              <w:rPr>
                <w:rFonts w:ascii="Times New Roman" w:eastAsia="Times New Roman" w:hAnsi="Times New Roman"/>
                <w:sz w:val="24"/>
                <w:szCs w:val="24"/>
              </w:rPr>
              <w:t xml:space="preserve">precizējumi, kas izriet no Eiropas Komisijā apstiprinātajiem Lauku attīstības </w:t>
            </w:r>
            <w:r w:rsidR="00F2352D" w:rsidRPr="00F2352D">
              <w:rPr>
                <w:rFonts w:ascii="Times New Roman" w:eastAsia="Times New Roman" w:hAnsi="Times New Roman"/>
                <w:sz w:val="24"/>
                <w:szCs w:val="24"/>
              </w:rPr>
              <w:t>programmas 2014-2020. gadam atbalsta nosacījumiem:</w:t>
            </w:r>
            <w:r w:rsidRPr="00F2352D">
              <w:rPr>
                <w:rFonts w:ascii="Times New Roman" w:eastAsia="Times New Roman" w:hAnsi="Times New Roman"/>
                <w:sz w:val="24"/>
                <w:szCs w:val="24"/>
              </w:rPr>
              <w:t xml:space="preserve"> </w:t>
            </w:r>
            <w:r w:rsidRPr="000270E2">
              <w:rPr>
                <w:rFonts w:ascii="Times New Roman" w:eastAsia="Times New Roman" w:hAnsi="Times New Roman"/>
                <w:sz w:val="24"/>
                <w:szCs w:val="24"/>
              </w:rPr>
              <w:t xml:space="preserve">12., </w:t>
            </w:r>
            <w:r w:rsidR="00F2352D" w:rsidRPr="000270E2">
              <w:rPr>
                <w:rFonts w:ascii="Times New Roman" w:eastAsia="Times New Roman" w:hAnsi="Times New Roman"/>
                <w:sz w:val="24"/>
                <w:szCs w:val="24"/>
              </w:rPr>
              <w:t>16.</w:t>
            </w:r>
            <w:r w:rsidR="00F2352D" w:rsidRPr="000270E2">
              <w:rPr>
                <w:rFonts w:ascii="Times New Roman" w:eastAsia="Times New Roman" w:hAnsi="Times New Roman"/>
                <w:sz w:val="24"/>
                <w:szCs w:val="24"/>
                <w:vertAlign w:val="superscript"/>
              </w:rPr>
              <w:t>1</w:t>
            </w:r>
            <w:r w:rsidR="00F2352D" w:rsidRPr="000270E2">
              <w:rPr>
                <w:rFonts w:ascii="Times New Roman" w:eastAsia="Times New Roman" w:hAnsi="Times New Roman"/>
                <w:sz w:val="24"/>
                <w:szCs w:val="24"/>
              </w:rPr>
              <w:t>, 16.</w:t>
            </w:r>
            <w:r w:rsidR="00F2352D" w:rsidRPr="000270E2">
              <w:rPr>
                <w:rFonts w:ascii="Times New Roman" w:eastAsia="Times New Roman" w:hAnsi="Times New Roman"/>
                <w:sz w:val="24"/>
                <w:szCs w:val="24"/>
                <w:vertAlign w:val="superscript"/>
              </w:rPr>
              <w:t>2</w:t>
            </w:r>
            <w:r w:rsidR="00F2352D" w:rsidRPr="000270E2">
              <w:rPr>
                <w:rFonts w:ascii="Times New Roman" w:hAnsi="Times New Roman"/>
                <w:iCs/>
                <w:sz w:val="24"/>
                <w:szCs w:val="24"/>
              </w:rPr>
              <w:t xml:space="preserve">, 27.2.1., </w:t>
            </w:r>
            <w:r w:rsidR="00C93A9A" w:rsidRPr="000270E2">
              <w:rPr>
                <w:rFonts w:ascii="Times New Roman" w:hAnsi="Times New Roman"/>
                <w:iCs/>
                <w:sz w:val="24"/>
                <w:szCs w:val="24"/>
              </w:rPr>
              <w:t>27.</w:t>
            </w:r>
            <w:r w:rsidR="00C93A9A" w:rsidRPr="000270E2">
              <w:rPr>
                <w:rFonts w:ascii="Times New Roman" w:hAnsi="Times New Roman"/>
                <w:iCs/>
                <w:sz w:val="24"/>
                <w:szCs w:val="24"/>
                <w:vertAlign w:val="superscript"/>
              </w:rPr>
              <w:t>1</w:t>
            </w:r>
            <w:r w:rsidR="00C93A9A" w:rsidRPr="000270E2">
              <w:rPr>
                <w:rFonts w:ascii="Times New Roman" w:hAnsi="Times New Roman"/>
                <w:iCs/>
                <w:sz w:val="24"/>
                <w:szCs w:val="24"/>
              </w:rPr>
              <w:t xml:space="preserve">, </w:t>
            </w:r>
            <w:r w:rsidR="00C93A9A">
              <w:rPr>
                <w:rFonts w:ascii="Times New Roman" w:hAnsi="Times New Roman"/>
                <w:iCs/>
                <w:sz w:val="24"/>
                <w:szCs w:val="24"/>
              </w:rPr>
              <w:t xml:space="preserve">28.1., 29., </w:t>
            </w:r>
            <w:r w:rsidR="00F2352D" w:rsidRPr="000270E2">
              <w:rPr>
                <w:rFonts w:ascii="Times New Roman" w:hAnsi="Times New Roman"/>
                <w:iCs/>
                <w:sz w:val="24"/>
                <w:szCs w:val="24"/>
              </w:rPr>
              <w:t>30.3.,</w:t>
            </w:r>
            <w:r w:rsidR="00C93A9A">
              <w:rPr>
                <w:rFonts w:ascii="Times New Roman" w:hAnsi="Times New Roman"/>
                <w:iCs/>
                <w:sz w:val="24"/>
                <w:szCs w:val="24"/>
              </w:rPr>
              <w:t xml:space="preserve"> 31.3.,</w:t>
            </w:r>
            <w:r w:rsidR="00F2352D" w:rsidRPr="000270E2">
              <w:rPr>
                <w:rFonts w:ascii="Times New Roman" w:hAnsi="Times New Roman"/>
                <w:iCs/>
                <w:sz w:val="24"/>
                <w:szCs w:val="24"/>
              </w:rPr>
              <w:t xml:space="preserve"> 32.2., 35</w:t>
            </w:r>
            <w:r w:rsidR="00F2352D" w:rsidRPr="00F174F1">
              <w:rPr>
                <w:rFonts w:ascii="Times New Roman" w:hAnsi="Times New Roman"/>
                <w:iCs/>
                <w:sz w:val="24"/>
                <w:szCs w:val="24"/>
              </w:rPr>
              <w:t>., 37.</w:t>
            </w:r>
            <w:r w:rsidR="00D93279" w:rsidRPr="00F174F1">
              <w:rPr>
                <w:rFonts w:ascii="Times New Roman" w:hAnsi="Times New Roman"/>
                <w:iCs/>
                <w:sz w:val="24"/>
                <w:szCs w:val="24"/>
                <w:vertAlign w:val="superscript"/>
              </w:rPr>
              <w:t>3</w:t>
            </w:r>
            <w:r w:rsidR="00F2352D" w:rsidRPr="00F174F1">
              <w:rPr>
                <w:rFonts w:ascii="Times New Roman" w:hAnsi="Times New Roman"/>
                <w:iCs/>
                <w:sz w:val="24"/>
                <w:szCs w:val="24"/>
              </w:rPr>
              <w:t xml:space="preserve">, </w:t>
            </w:r>
            <w:r w:rsidR="000270E2" w:rsidRPr="00F174F1">
              <w:rPr>
                <w:rFonts w:ascii="Times New Roman" w:hAnsi="Times New Roman"/>
                <w:iCs/>
                <w:sz w:val="24"/>
                <w:szCs w:val="24"/>
              </w:rPr>
              <w:t>37.</w:t>
            </w:r>
            <w:r w:rsidR="000270E2" w:rsidRPr="00F174F1">
              <w:rPr>
                <w:rFonts w:ascii="Times New Roman" w:hAnsi="Times New Roman"/>
                <w:iCs/>
                <w:sz w:val="24"/>
                <w:szCs w:val="24"/>
                <w:vertAlign w:val="superscript"/>
              </w:rPr>
              <w:t>4</w:t>
            </w:r>
            <w:r w:rsidR="00231B01" w:rsidRPr="00F174F1">
              <w:rPr>
                <w:rFonts w:ascii="Times New Roman" w:hAnsi="Times New Roman"/>
                <w:iCs/>
                <w:sz w:val="24"/>
                <w:szCs w:val="24"/>
              </w:rPr>
              <w:t>4</w:t>
            </w:r>
            <w:r w:rsidR="000270E2" w:rsidRPr="00F174F1">
              <w:rPr>
                <w:rFonts w:ascii="Times New Roman" w:hAnsi="Times New Roman"/>
                <w:iCs/>
                <w:sz w:val="24"/>
                <w:szCs w:val="24"/>
              </w:rPr>
              <w:t>., 40.,</w:t>
            </w:r>
            <w:r w:rsidR="000270E2" w:rsidRPr="001B2A89">
              <w:rPr>
                <w:rFonts w:ascii="Times New Roman" w:hAnsi="Times New Roman"/>
                <w:iCs/>
                <w:sz w:val="24"/>
                <w:szCs w:val="24"/>
              </w:rPr>
              <w:t xml:space="preserve"> </w:t>
            </w:r>
            <w:r w:rsidR="007C4D20">
              <w:rPr>
                <w:rFonts w:ascii="Times New Roman" w:hAnsi="Times New Roman"/>
                <w:iCs/>
                <w:sz w:val="24"/>
                <w:szCs w:val="24"/>
              </w:rPr>
              <w:t>43.,</w:t>
            </w:r>
            <w:r w:rsidR="000270E2" w:rsidRPr="001B2A89">
              <w:rPr>
                <w:rFonts w:ascii="Times New Roman" w:hAnsi="Times New Roman"/>
                <w:iCs/>
                <w:sz w:val="24"/>
                <w:szCs w:val="24"/>
              </w:rPr>
              <w:t xml:space="preserve"> 44.</w:t>
            </w:r>
            <w:r w:rsidR="000270E2" w:rsidRPr="001B2A89">
              <w:rPr>
                <w:rFonts w:ascii="Times New Roman" w:hAnsi="Times New Roman"/>
                <w:iCs/>
                <w:sz w:val="24"/>
                <w:szCs w:val="24"/>
                <w:vertAlign w:val="superscript"/>
              </w:rPr>
              <w:t>1</w:t>
            </w:r>
            <w:r w:rsidR="000270E2" w:rsidRPr="001B2A89">
              <w:rPr>
                <w:rFonts w:ascii="Times New Roman" w:hAnsi="Times New Roman"/>
                <w:iCs/>
                <w:sz w:val="24"/>
                <w:szCs w:val="24"/>
              </w:rPr>
              <w:t>, 48., 49.1., 49.2., 49.5., 49.</w:t>
            </w:r>
            <w:r w:rsidR="000270E2" w:rsidRPr="001B2A89">
              <w:rPr>
                <w:rFonts w:ascii="Times New Roman" w:hAnsi="Times New Roman"/>
                <w:iCs/>
                <w:sz w:val="24"/>
                <w:szCs w:val="24"/>
                <w:vertAlign w:val="superscript"/>
              </w:rPr>
              <w:t>1</w:t>
            </w:r>
            <w:r w:rsidR="000270E2" w:rsidRPr="001B2A89">
              <w:rPr>
                <w:rFonts w:ascii="Times New Roman" w:hAnsi="Times New Roman"/>
                <w:iCs/>
                <w:sz w:val="24"/>
                <w:szCs w:val="24"/>
              </w:rPr>
              <w:t xml:space="preserve">, 50., 51., </w:t>
            </w:r>
            <w:r w:rsidR="007C4D20">
              <w:rPr>
                <w:rFonts w:ascii="Times New Roman" w:hAnsi="Times New Roman"/>
                <w:iCs/>
                <w:sz w:val="24"/>
                <w:szCs w:val="24"/>
              </w:rPr>
              <w:t xml:space="preserve">53.3., </w:t>
            </w:r>
            <w:r w:rsidR="000270E2" w:rsidRPr="001B2A89">
              <w:rPr>
                <w:rFonts w:ascii="Times New Roman" w:hAnsi="Times New Roman"/>
                <w:iCs/>
                <w:sz w:val="24"/>
                <w:szCs w:val="24"/>
              </w:rPr>
              <w:t>53.</w:t>
            </w:r>
            <w:r w:rsidR="000270E2" w:rsidRPr="001B2A89">
              <w:rPr>
                <w:rFonts w:ascii="Times New Roman" w:hAnsi="Times New Roman"/>
                <w:iCs/>
                <w:sz w:val="24"/>
                <w:szCs w:val="24"/>
                <w:vertAlign w:val="superscript"/>
              </w:rPr>
              <w:t>1</w:t>
            </w:r>
            <w:r w:rsidR="000270E2" w:rsidRPr="001B2A89">
              <w:rPr>
                <w:rFonts w:ascii="Times New Roman" w:hAnsi="Times New Roman"/>
                <w:iCs/>
                <w:sz w:val="24"/>
                <w:szCs w:val="24"/>
              </w:rPr>
              <w:t>, 54., 58.,</w:t>
            </w:r>
            <w:r w:rsidR="007C4D20">
              <w:rPr>
                <w:rFonts w:ascii="Times New Roman" w:hAnsi="Times New Roman"/>
                <w:iCs/>
                <w:sz w:val="24"/>
                <w:szCs w:val="24"/>
              </w:rPr>
              <w:t xml:space="preserve"> 59.,</w:t>
            </w:r>
            <w:r w:rsidR="000270E2" w:rsidRPr="001B2A89">
              <w:rPr>
                <w:rFonts w:ascii="Times New Roman" w:hAnsi="Times New Roman"/>
                <w:iCs/>
                <w:sz w:val="24"/>
                <w:szCs w:val="24"/>
              </w:rPr>
              <w:t xml:space="preserve"> 61.2.3., 61.3., 62., 71., </w:t>
            </w:r>
            <w:r w:rsidR="001B2A89" w:rsidRPr="001B2A89">
              <w:rPr>
                <w:rFonts w:ascii="Times New Roman" w:hAnsi="Times New Roman"/>
                <w:iCs/>
                <w:sz w:val="24"/>
                <w:szCs w:val="24"/>
              </w:rPr>
              <w:t>74.</w:t>
            </w:r>
            <w:r w:rsidR="001B2A89" w:rsidRPr="001B2A89">
              <w:rPr>
                <w:rFonts w:ascii="Times New Roman" w:hAnsi="Times New Roman"/>
                <w:iCs/>
                <w:sz w:val="24"/>
                <w:szCs w:val="24"/>
                <w:vertAlign w:val="superscript"/>
              </w:rPr>
              <w:t>1</w:t>
            </w:r>
            <w:r w:rsidR="001B2A89" w:rsidRPr="001B2A89">
              <w:rPr>
                <w:rFonts w:ascii="Times New Roman" w:hAnsi="Times New Roman"/>
                <w:iCs/>
                <w:sz w:val="24"/>
                <w:szCs w:val="24"/>
              </w:rPr>
              <w:t xml:space="preserve">, </w:t>
            </w:r>
            <w:r w:rsidR="000270E2" w:rsidRPr="007C4D20">
              <w:rPr>
                <w:rFonts w:ascii="Times New Roman" w:hAnsi="Times New Roman"/>
                <w:iCs/>
                <w:sz w:val="24"/>
                <w:szCs w:val="24"/>
              </w:rPr>
              <w:t>75.</w:t>
            </w:r>
            <w:r w:rsidR="000270E2" w:rsidRPr="007C4D20">
              <w:rPr>
                <w:rFonts w:ascii="Times New Roman" w:hAnsi="Times New Roman"/>
                <w:iCs/>
                <w:sz w:val="24"/>
                <w:szCs w:val="24"/>
                <w:vertAlign w:val="superscript"/>
              </w:rPr>
              <w:t>1</w:t>
            </w:r>
            <w:r w:rsidR="007C4D20">
              <w:rPr>
                <w:rFonts w:ascii="Times New Roman" w:hAnsi="Times New Roman"/>
                <w:iCs/>
                <w:sz w:val="24"/>
                <w:szCs w:val="24"/>
              </w:rPr>
              <w:t xml:space="preserve">, </w:t>
            </w:r>
            <w:r w:rsidR="007C4D20" w:rsidRPr="007C4D20">
              <w:rPr>
                <w:rFonts w:ascii="Times New Roman" w:hAnsi="Times New Roman"/>
                <w:iCs/>
                <w:sz w:val="24"/>
                <w:szCs w:val="24"/>
              </w:rPr>
              <w:t>76.</w:t>
            </w:r>
            <w:r w:rsidR="007C4D20" w:rsidRPr="007C4D20">
              <w:rPr>
                <w:rFonts w:ascii="Times New Roman" w:hAnsi="Times New Roman"/>
                <w:iCs/>
                <w:sz w:val="24"/>
                <w:szCs w:val="24"/>
                <w:vertAlign w:val="superscript"/>
              </w:rPr>
              <w:t>1</w:t>
            </w:r>
            <w:r w:rsidR="007C4D20" w:rsidRPr="007C4D20">
              <w:rPr>
                <w:rFonts w:ascii="Times New Roman" w:hAnsi="Times New Roman"/>
                <w:iCs/>
                <w:sz w:val="24"/>
                <w:szCs w:val="24"/>
              </w:rPr>
              <w:t>, 77.</w:t>
            </w:r>
          </w:p>
          <w:p w:rsidR="00F71515" w:rsidRDefault="00624F8A" w:rsidP="00E84FF8">
            <w:pPr>
              <w:spacing w:after="120"/>
              <w:ind w:left="69"/>
              <w:jc w:val="both"/>
            </w:pPr>
            <w:r>
              <w:t>Noteikumos Nr.171 t</w:t>
            </w:r>
            <w:r w:rsidR="00F71515">
              <w:t xml:space="preserve">iek svītrots </w:t>
            </w:r>
            <w:r>
              <w:t>4</w:t>
            </w:r>
            <w:r w:rsidR="00F71515">
              <w:t xml:space="preserve">6.punkts, jo prasības, </w:t>
            </w:r>
            <w:r>
              <w:t>k</w:t>
            </w:r>
            <w:r w:rsidR="00F71515">
              <w:t>as attiecināmas uz atbalsta pretendentu,</w:t>
            </w:r>
            <w:r>
              <w:t xml:space="preserve"> kuram ir</w:t>
            </w:r>
            <w:r w:rsidRPr="00624F8A">
              <w:t xml:space="preserve"> augkopības saimniecība un,</w:t>
            </w:r>
            <w:r w:rsidR="00F71515">
              <w:t xml:space="preserve"> kas saimniekojot izmantojot bioloģiskās lauksaimniecības praksi un metodes, turpmāk tiek iekļautas normatīvajos aktos par b</w:t>
            </w:r>
            <w:r w:rsidR="00F71515" w:rsidRPr="007C4D20">
              <w:t>ioloģiskās lauksaimniecības uzraudzības un kontroles kārtīb</w:t>
            </w:r>
            <w:r w:rsidR="00F71515">
              <w:t xml:space="preserve">u. Vienlaicīgi šāds lauksaimnieks savā saimniekošanas praksē </w:t>
            </w:r>
            <w:r w:rsidR="00F71515" w:rsidRPr="00F71515">
              <w:t xml:space="preserve">var izmantot Latvijā audzējamu kultūraugu audzēšanas vadlīnijas, kas izdotas saskaņā ar Augu aizsardzības likumu, ciktāl tās nav pretrunā ar bioloģiskās </w:t>
            </w:r>
            <w:r w:rsidR="00F71515" w:rsidRPr="00F71515">
              <w:lastRenderedPageBreak/>
              <w:t>ražošanas metodēm, kas noteiktas saskaņā ar regulu Nr. </w:t>
            </w:r>
            <w:hyperlink r:id="rId8" w:tgtFrame="_blank" w:history="1">
              <w:r w:rsidR="00F71515" w:rsidRPr="00F71515">
                <w:t>834/2007</w:t>
              </w:r>
            </w:hyperlink>
            <w:r w:rsidR="00F71515" w:rsidRPr="00F71515">
              <w:t xml:space="preserve"> un šo normatīvajiem aktiem </w:t>
            </w:r>
            <w:r w:rsidR="00F71515">
              <w:t>par b</w:t>
            </w:r>
            <w:r w:rsidR="00F71515" w:rsidRPr="007C4D20">
              <w:t>ioloģiskās lauksaimniecības uzraudzības un kontroles kārtīb</w:t>
            </w:r>
            <w:r w:rsidR="00F71515">
              <w:t xml:space="preserve">u. </w:t>
            </w:r>
          </w:p>
          <w:p w:rsidR="00A94D7E" w:rsidRPr="00A94D7E" w:rsidRDefault="00A94D7E" w:rsidP="00E84FF8">
            <w:pPr>
              <w:spacing w:after="120"/>
              <w:ind w:left="69"/>
              <w:jc w:val="both"/>
            </w:pPr>
            <w:r>
              <w:t xml:space="preserve">Tāpat, tiek </w:t>
            </w:r>
            <w:proofErr w:type="gramStart"/>
            <w:r>
              <w:t>precizēta arī noteikumu</w:t>
            </w:r>
            <w:proofErr w:type="gramEnd"/>
            <w:r>
              <w:t xml:space="preserve"> 61.5.appakšpunkta redakcija, jo, </w:t>
            </w:r>
            <w:r w:rsidRPr="00A94D7E">
              <w:t xml:space="preserve">attiecībā uz likumpārkāpumiem, kas kvalificējami kā noziedzīgi nodarījumi, Lauku atbalsta dienestam no Sodu reģistra ir sniedzamas ziņas tikai par naudas soda nomaksu, bet ne par videi un mežam nodarīto zaudējumu atlīdzināšanas faktu. </w:t>
            </w:r>
            <w:r w:rsidR="00644228">
              <w:t>S</w:t>
            </w:r>
            <w:r w:rsidRPr="00A94D7E">
              <w:t>adarbība ar Iekšlietu ministrijas Informācijas centru ir plānota, Lauku atbalsta dienestam nodrošinot piekļuvi attiecīgajiem Sodu reģistra datiem tiešsaistes režīmā pēc starpresoru vienošanās noslēgšanas Iekšlietu ministrijas Informācijas centra un Lauku atbalsta dienesta starpā</w:t>
            </w:r>
            <w:r w:rsidR="00644228">
              <w:t>. A</w:t>
            </w:r>
            <w:r w:rsidRPr="00A94D7E">
              <w:t>ttiecībā uz likumpārkāpumiem, kas klasificējami kā noziedzīgi nodarījumi, Lauku atbalsta dienestam informācija no Sodu reģistra būs pieejama “jā/nē” režīmā (vispārīgs apstiprinājums/noliegums par datu esamību Sodu reģistrā par personas sodāmību, nekonkretizējot nodarījumu, Krimināllikuma pantu), un pēc sākotnējās informācijas saņemšanas no Sodu reģistra tam būs iespējams precizēt ziņas, veicot rakstveida pieprasījumu Iekšlietu ministrijas Informācijas centram.</w:t>
            </w:r>
          </w:p>
          <w:p w:rsidR="00E84FF8" w:rsidRDefault="00A73BFF" w:rsidP="00E84FF8">
            <w:pPr>
              <w:spacing w:after="120"/>
              <w:ind w:left="69"/>
              <w:jc w:val="both"/>
            </w:pPr>
            <w:r w:rsidRPr="007C4D20">
              <w:t>Tā kā</w:t>
            </w:r>
            <w:r w:rsidR="00E84FF8" w:rsidRPr="007C4D20">
              <w:t xml:space="preserve"> 201</w:t>
            </w:r>
            <w:r w:rsidR="007F00BB" w:rsidRPr="007C4D20">
              <w:t>6</w:t>
            </w:r>
            <w:r w:rsidR="00E84FF8" w:rsidRPr="007C4D20">
              <w:t>.</w:t>
            </w:r>
            <w:r w:rsidR="00357FC8" w:rsidRPr="007C4D20">
              <w:t xml:space="preserve"> </w:t>
            </w:r>
            <w:r w:rsidR="00E84FF8" w:rsidRPr="007C4D20">
              <w:t>gad</w:t>
            </w:r>
            <w:r w:rsidR="00357FC8" w:rsidRPr="007C4D20">
              <w:t>ā</w:t>
            </w:r>
            <w:r w:rsidR="00E84FF8" w:rsidRPr="007C4D20">
              <w:t xml:space="preserve"> ir stāju</w:t>
            </w:r>
            <w:r w:rsidR="00357FC8" w:rsidRPr="007C4D20">
              <w:t>sies</w:t>
            </w:r>
            <w:r w:rsidR="00E84FF8" w:rsidRPr="007C4D20">
              <w:t xml:space="preserve"> spēkā </w:t>
            </w:r>
            <w:r w:rsidR="006039A6" w:rsidRPr="007C4D20">
              <w:rPr>
                <w:b/>
                <w:iCs/>
              </w:rPr>
              <w:t>Komisijas 2016</w:t>
            </w:r>
            <w:r w:rsidR="006039A6" w:rsidRPr="006039A6">
              <w:rPr>
                <w:b/>
                <w:iCs/>
              </w:rPr>
              <w:t>. gada 28. aprīļa Īstenošanas regula (ES) Nr. </w:t>
            </w:r>
            <w:hyperlink r:id="rId9" w:tgtFrame="_blank" w:history="1">
              <w:r w:rsidR="006039A6" w:rsidRPr="006039A6">
                <w:rPr>
                  <w:b/>
                  <w:iCs/>
                </w:rPr>
                <w:t>669/201</w:t>
              </w:r>
            </w:hyperlink>
            <w:r w:rsidR="006039A6" w:rsidRPr="006039A6">
              <w:rPr>
                <w:b/>
                <w:iCs/>
              </w:rPr>
              <w:t>6 ar ko Īstenošanas Regulu (ES) Nr. 808/2014 groza attiecībā uz lauku attīstības programmu grozīšanu un saturu, šo programmu publicitāti un konversijas likmēm pārrēķināšanai nosacītajās mājlopu vienībās</w:t>
            </w:r>
            <w:r w:rsidR="00E84FF8">
              <w:t xml:space="preserve"> </w:t>
            </w:r>
            <w:r w:rsidR="00D73F02">
              <w:t xml:space="preserve">(turpmāk - </w:t>
            </w:r>
            <w:r w:rsidR="00D73F02" w:rsidRPr="00DC26CD">
              <w:t xml:space="preserve">regula Nr. </w:t>
            </w:r>
            <w:r w:rsidR="00D73F02">
              <w:t>669/2016</w:t>
            </w:r>
            <w:hyperlink r:id="rId10" w:tgtFrame="_blank" w:history="1">
              <w:r w:rsidR="00D73F02">
                <w:t>)</w:t>
              </w:r>
            </w:hyperlink>
            <w:r w:rsidR="00D73F02">
              <w:t xml:space="preserve"> </w:t>
            </w:r>
            <w:r w:rsidR="001C0729">
              <w:t>un tās</w:t>
            </w:r>
            <w:r w:rsidR="00E84FF8">
              <w:t xml:space="preserve"> nosacījumi ir labvēlīgāki atbalsta pretendentam, ti</w:t>
            </w:r>
            <w:r>
              <w:t>ek</w:t>
            </w:r>
            <w:r w:rsidR="00E84FF8">
              <w:t xml:space="preserve"> precizēta </w:t>
            </w:r>
            <w:r w:rsidR="00942229" w:rsidRPr="00E84FF8">
              <w:t xml:space="preserve">noteikumu </w:t>
            </w:r>
            <w:r w:rsidR="002C4EA4" w:rsidRPr="00597D8F">
              <w:t xml:space="preserve">Nr.171 </w:t>
            </w:r>
            <w:r w:rsidR="00597D8F" w:rsidRPr="00597D8F">
              <w:t>3.</w:t>
            </w:r>
            <w:r w:rsidR="006039A6" w:rsidRPr="00597D8F">
              <w:t xml:space="preserve">pielikuma </w:t>
            </w:r>
            <w:r w:rsidR="00942229" w:rsidRPr="00597D8F">
              <w:t>redakcij</w:t>
            </w:r>
            <w:r w:rsidR="00E84FF8" w:rsidRPr="00597D8F">
              <w:t>a</w:t>
            </w:r>
            <w:r w:rsidR="00942229" w:rsidRPr="00597D8F">
              <w:t>,</w:t>
            </w:r>
            <w:r w:rsidR="00942229" w:rsidRPr="00E84FF8">
              <w:t xml:space="preserve"> </w:t>
            </w:r>
            <w:r>
              <w:t xml:space="preserve">paredzot </w:t>
            </w:r>
            <w:r w:rsidR="00942229" w:rsidRPr="00E84FF8">
              <w:t xml:space="preserve">atbalsta pretendentiem </w:t>
            </w:r>
            <w:r w:rsidR="00E84FF8" w:rsidRPr="00E84FF8">
              <w:t>kārtējā gad</w:t>
            </w:r>
            <w:r w:rsidR="00E84FF8">
              <w:t>ā iespējam</w:t>
            </w:r>
            <w:r>
              <w:t>ā</w:t>
            </w:r>
            <w:r w:rsidR="00E84FF8" w:rsidRPr="00E84FF8">
              <w:t xml:space="preserve"> atbalsta </w:t>
            </w:r>
            <w:r w:rsidR="006039A6">
              <w:t>aprēķinam pielietot grupētus koeficientus.</w:t>
            </w:r>
          </w:p>
          <w:p w:rsidR="00744590" w:rsidRDefault="00CA29D5" w:rsidP="00A73BFF">
            <w:pPr>
              <w:spacing w:after="120"/>
              <w:jc w:val="both"/>
            </w:pPr>
            <w:r>
              <w:t xml:space="preserve">Atbilstoši noteikumu </w:t>
            </w:r>
            <w:r w:rsidR="002C4EA4" w:rsidRPr="00FF435C">
              <w:t>Nr.171</w:t>
            </w:r>
            <w:r w:rsidR="002C4EA4" w:rsidRPr="00A73BFF">
              <w:t xml:space="preserve"> </w:t>
            </w:r>
            <w:r w:rsidR="00F235EA">
              <w:t xml:space="preserve">19.punktam ir izvērtēts </w:t>
            </w:r>
            <w:r w:rsidR="00F235EA" w:rsidRPr="00F235EA">
              <w:t>iepriekšējā gadā aizsākto saistību ap</w:t>
            </w:r>
            <w:r w:rsidR="00A73BFF">
              <w:t>mērs</w:t>
            </w:r>
            <w:r w:rsidR="00F235EA">
              <w:t xml:space="preserve"> un tā ietekme uz atbalst</w:t>
            </w:r>
            <w:r w:rsidR="001C0729">
              <w:t>a</w:t>
            </w:r>
            <w:r w:rsidR="00F235EA">
              <w:t>m pieejamo finansējumu</w:t>
            </w:r>
            <w:r w:rsidR="00A73BFF">
              <w:t>, tāpēc</w:t>
            </w:r>
            <w:r w:rsidR="00F235EA">
              <w:t xml:space="preserve"> no</w:t>
            </w:r>
            <w:r w:rsidR="00A73BFF">
              <w:t>teikumi Nr.171</w:t>
            </w:r>
            <w:r w:rsidR="00F235EA">
              <w:t xml:space="preserve"> tiek </w:t>
            </w:r>
            <w:r w:rsidR="00F235EA" w:rsidRPr="007C4D20">
              <w:t>papildināt</w:t>
            </w:r>
            <w:r w:rsidR="00A73BFF" w:rsidRPr="007C4D20">
              <w:t>i</w:t>
            </w:r>
            <w:r w:rsidR="00F235EA" w:rsidRPr="007C4D20">
              <w:t xml:space="preserve"> </w:t>
            </w:r>
            <w:r w:rsidR="00F235EA" w:rsidRPr="007C4D20">
              <w:rPr>
                <w:color w:val="000000" w:themeColor="text1"/>
              </w:rPr>
              <w:t xml:space="preserve">ar </w:t>
            </w:r>
            <w:r w:rsidR="001B2A89" w:rsidRPr="007C4D20">
              <w:rPr>
                <w:iCs/>
                <w:color w:val="000000" w:themeColor="text1"/>
              </w:rPr>
              <w:t>95.</w:t>
            </w:r>
            <w:r w:rsidR="001B2A89" w:rsidRPr="007C4D20">
              <w:rPr>
                <w:iCs/>
                <w:color w:val="000000" w:themeColor="text1"/>
                <w:vertAlign w:val="superscript"/>
              </w:rPr>
              <w:t>1</w:t>
            </w:r>
            <w:r w:rsidR="001B2A89" w:rsidRPr="007C4D20">
              <w:rPr>
                <w:iCs/>
                <w:color w:val="000000" w:themeColor="text1"/>
              </w:rPr>
              <w:t xml:space="preserve"> un 95.</w:t>
            </w:r>
            <w:r w:rsidR="001B2A89" w:rsidRPr="007C4D20">
              <w:rPr>
                <w:iCs/>
                <w:color w:val="000000" w:themeColor="text1"/>
                <w:vertAlign w:val="superscript"/>
              </w:rPr>
              <w:t>2</w:t>
            </w:r>
            <w:r w:rsidR="00F235EA" w:rsidRPr="007C4D20">
              <w:rPr>
                <w:color w:val="000000" w:themeColor="text1"/>
              </w:rPr>
              <w:t xml:space="preserve"> </w:t>
            </w:r>
            <w:r w:rsidR="00A73BFF" w:rsidRPr="007C4D20">
              <w:rPr>
                <w:color w:val="000000" w:themeColor="text1"/>
              </w:rPr>
              <w:t>p</w:t>
            </w:r>
            <w:r w:rsidR="00F235EA" w:rsidRPr="007C4D20">
              <w:rPr>
                <w:color w:val="000000" w:themeColor="text1"/>
              </w:rPr>
              <w:t>unktu, nosakot, ka 2016.</w:t>
            </w:r>
            <w:r w:rsidR="00DF7CF8" w:rsidRPr="007C4D20">
              <w:rPr>
                <w:color w:val="000000" w:themeColor="text1"/>
              </w:rPr>
              <w:t xml:space="preserve"> </w:t>
            </w:r>
            <w:r w:rsidR="00F235EA" w:rsidRPr="007C4D20">
              <w:rPr>
                <w:color w:val="000000" w:themeColor="text1"/>
              </w:rPr>
              <w:t>gadā atbalsta pretendents var uzņemties</w:t>
            </w:r>
            <w:r w:rsidR="00F235EA" w:rsidRPr="007C4D20">
              <w:t xml:space="preserve"> jaunas daudzgadu saistības, </w:t>
            </w:r>
            <w:r w:rsidR="00A73BFF" w:rsidRPr="007C4D20">
              <w:t xml:space="preserve">kā arī </w:t>
            </w:r>
            <w:r w:rsidR="00F235EA" w:rsidRPr="007C4D20">
              <w:t>paplašināt vai pagarināt esošās daudzgadu saistības pasākumos „Agrovide un klimats",</w:t>
            </w:r>
            <w:r w:rsidR="006039A6" w:rsidRPr="007C4D20">
              <w:t xml:space="preserve"> b</w:t>
            </w:r>
            <w:r w:rsidR="007C4D20" w:rsidRPr="007C4D20">
              <w:t>et šīs darbības</w:t>
            </w:r>
            <w:r w:rsidR="007C4D20">
              <w:t xml:space="preserve"> ir ierobežotas </w:t>
            </w:r>
            <w:r w:rsidR="006039A6">
              <w:t>un diferencētas pasākumā</w:t>
            </w:r>
            <w:r w:rsidR="00F235EA" w:rsidRPr="00F235EA">
              <w:t xml:space="preserve"> „Bioloģiskā lauksaimniecība”</w:t>
            </w:r>
            <w:r w:rsidR="00F235EA">
              <w:t>.</w:t>
            </w:r>
          </w:p>
          <w:p w:rsidR="008B1D7B" w:rsidRDefault="008B1D7B" w:rsidP="00A73BFF">
            <w:pPr>
              <w:spacing w:after="120"/>
              <w:jc w:val="both"/>
            </w:pPr>
            <w:r>
              <w:t xml:space="preserve">Atbilstoši plānotajiem grozījumiem noteikumu </w:t>
            </w:r>
            <w:r w:rsidR="002C4EA4" w:rsidRPr="00FF435C">
              <w:t>Nr.171</w:t>
            </w:r>
            <w:r w:rsidR="002C4EA4" w:rsidRPr="00A73BFF">
              <w:t xml:space="preserve"> </w:t>
            </w:r>
            <w:r>
              <w:t xml:space="preserve">pamattekstā ir jāprecizē </w:t>
            </w:r>
            <w:r w:rsidR="002C4EA4">
              <w:t xml:space="preserve">arī </w:t>
            </w:r>
            <w:r>
              <w:t xml:space="preserve">šādi </w:t>
            </w:r>
            <w:r w:rsidR="002C4EA4">
              <w:t xml:space="preserve">to </w:t>
            </w:r>
            <w:r>
              <w:t>pielikumi:</w:t>
            </w:r>
          </w:p>
          <w:p w:rsidR="008B1D7B" w:rsidRDefault="008B1D7B" w:rsidP="008B1D7B">
            <w:pPr>
              <w:pStyle w:val="Sarakstarindkopa"/>
              <w:numPr>
                <w:ilvl w:val="0"/>
                <w:numId w:val="15"/>
              </w:numPr>
              <w:spacing w:after="120"/>
              <w:jc w:val="both"/>
              <w:rPr>
                <w:rFonts w:ascii="Times New Roman" w:eastAsia="Times New Roman" w:hAnsi="Times New Roman"/>
                <w:sz w:val="24"/>
                <w:szCs w:val="24"/>
              </w:rPr>
            </w:pPr>
            <w:r>
              <w:rPr>
                <w:rFonts w:ascii="Times New Roman" w:eastAsia="Times New Roman" w:hAnsi="Times New Roman"/>
                <w:sz w:val="24"/>
                <w:szCs w:val="24"/>
              </w:rPr>
              <w:t>2</w:t>
            </w:r>
            <w:r w:rsidRPr="00580170">
              <w:rPr>
                <w:rFonts w:ascii="Times New Roman" w:eastAsia="Times New Roman" w:hAnsi="Times New Roman"/>
                <w:sz w:val="24"/>
                <w:szCs w:val="24"/>
              </w:rPr>
              <w:t>.</w:t>
            </w:r>
            <w:r w:rsidR="00D73F02">
              <w:rPr>
                <w:rFonts w:ascii="Times New Roman" w:eastAsia="Times New Roman" w:hAnsi="Times New Roman"/>
                <w:sz w:val="24"/>
                <w:szCs w:val="24"/>
              </w:rPr>
              <w:t xml:space="preserve"> </w:t>
            </w:r>
            <w:r w:rsidRPr="00580170">
              <w:rPr>
                <w:rFonts w:ascii="Times New Roman" w:eastAsia="Times New Roman" w:hAnsi="Times New Roman"/>
                <w:sz w:val="24"/>
                <w:szCs w:val="24"/>
              </w:rPr>
              <w:t>p</w:t>
            </w:r>
            <w:r>
              <w:rPr>
                <w:rFonts w:ascii="Times New Roman" w:eastAsia="Times New Roman" w:hAnsi="Times New Roman"/>
                <w:sz w:val="24"/>
                <w:szCs w:val="24"/>
              </w:rPr>
              <w:t>ielikuma redakcija, papildinot to</w:t>
            </w:r>
            <w:r w:rsidR="008F1BBC">
              <w:rPr>
                <w:rFonts w:ascii="Times New Roman" w:eastAsia="Times New Roman" w:hAnsi="Times New Roman"/>
                <w:sz w:val="24"/>
                <w:szCs w:val="24"/>
              </w:rPr>
              <w:t xml:space="preserve"> ar kolonnu, kas identificē z</w:t>
            </w:r>
            <w:r w:rsidR="008F1BBC" w:rsidRPr="008F1BBC">
              <w:rPr>
                <w:rFonts w:ascii="Times New Roman" w:eastAsia="Times New Roman" w:hAnsi="Times New Roman"/>
                <w:sz w:val="24"/>
                <w:szCs w:val="24"/>
              </w:rPr>
              <w:t>ālāja veid</w:t>
            </w:r>
            <w:r w:rsidR="008F1BBC">
              <w:rPr>
                <w:rFonts w:ascii="Times New Roman" w:eastAsia="Times New Roman" w:hAnsi="Times New Roman"/>
                <w:sz w:val="24"/>
                <w:szCs w:val="24"/>
              </w:rPr>
              <w:t>u</w:t>
            </w:r>
            <w:r w:rsidR="008F1BBC" w:rsidRPr="008F1BBC">
              <w:rPr>
                <w:rFonts w:ascii="Times New Roman" w:eastAsia="Times New Roman" w:hAnsi="Times New Roman"/>
                <w:sz w:val="24"/>
                <w:szCs w:val="24"/>
              </w:rPr>
              <w:t xml:space="preserve"> pēc t</w:t>
            </w:r>
            <w:r w:rsidR="008F1BBC">
              <w:rPr>
                <w:rFonts w:ascii="Times New Roman" w:eastAsia="Times New Roman" w:hAnsi="Times New Roman"/>
                <w:sz w:val="24"/>
                <w:szCs w:val="24"/>
              </w:rPr>
              <w:t>o</w:t>
            </w:r>
            <w:r w:rsidR="008F1BBC" w:rsidRPr="008F1BBC">
              <w:rPr>
                <w:rFonts w:ascii="Times New Roman" w:eastAsia="Times New Roman" w:hAnsi="Times New Roman"/>
                <w:sz w:val="24"/>
                <w:szCs w:val="24"/>
              </w:rPr>
              <w:t xml:space="preserve"> ražības</w:t>
            </w:r>
            <w:r w:rsidR="008F1BBC">
              <w:rPr>
                <w:rFonts w:ascii="Times New Roman" w:eastAsia="Times New Roman" w:hAnsi="Times New Roman"/>
                <w:sz w:val="24"/>
                <w:szCs w:val="24"/>
              </w:rPr>
              <w:t>, kā arī precizējot atsevišķus biotopa kodu</w:t>
            </w:r>
            <w:r w:rsidR="00D73F02">
              <w:rPr>
                <w:rFonts w:ascii="Times New Roman" w:eastAsia="Times New Roman" w:hAnsi="Times New Roman"/>
                <w:sz w:val="24"/>
                <w:szCs w:val="24"/>
              </w:rPr>
              <w:t>s, atbi</w:t>
            </w:r>
            <w:r w:rsidR="008F1BBC">
              <w:rPr>
                <w:rFonts w:ascii="Times New Roman" w:eastAsia="Times New Roman" w:hAnsi="Times New Roman"/>
                <w:sz w:val="24"/>
                <w:szCs w:val="24"/>
              </w:rPr>
              <w:t>l</w:t>
            </w:r>
            <w:r w:rsidR="00D73F02">
              <w:rPr>
                <w:rFonts w:ascii="Times New Roman" w:eastAsia="Times New Roman" w:hAnsi="Times New Roman"/>
                <w:sz w:val="24"/>
                <w:szCs w:val="24"/>
              </w:rPr>
              <w:t>s</w:t>
            </w:r>
            <w:r w:rsidR="008F1BBC">
              <w:rPr>
                <w:rFonts w:ascii="Times New Roman" w:eastAsia="Times New Roman" w:hAnsi="Times New Roman"/>
                <w:sz w:val="24"/>
                <w:szCs w:val="24"/>
              </w:rPr>
              <w:t>t</w:t>
            </w:r>
            <w:r w:rsidR="00D73F02">
              <w:rPr>
                <w:rFonts w:ascii="Times New Roman" w:eastAsia="Times New Roman" w:hAnsi="Times New Roman"/>
                <w:sz w:val="24"/>
                <w:szCs w:val="24"/>
              </w:rPr>
              <w:t>o</w:t>
            </w:r>
            <w:r w:rsidR="008F1BBC">
              <w:rPr>
                <w:rFonts w:ascii="Times New Roman" w:eastAsia="Times New Roman" w:hAnsi="Times New Roman"/>
                <w:sz w:val="24"/>
                <w:szCs w:val="24"/>
              </w:rPr>
              <w:t xml:space="preserve">ši to </w:t>
            </w:r>
            <w:r w:rsidR="00D73F02">
              <w:rPr>
                <w:rFonts w:ascii="Times New Roman" w:eastAsia="Times New Roman" w:hAnsi="Times New Roman"/>
                <w:sz w:val="24"/>
                <w:szCs w:val="24"/>
              </w:rPr>
              <w:t xml:space="preserve">optimālajām </w:t>
            </w:r>
            <w:r w:rsidR="008F1BBC">
              <w:rPr>
                <w:rFonts w:ascii="Times New Roman" w:eastAsia="Times New Roman" w:hAnsi="Times New Roman"/>
                <w:sz w:val="24"/>
                <w:szCs w:val="24"/>
              </w:rPr>
              <w:t xml:space="preserve">apsaimniekošanas </w:t>
            </w:r>
            <w:r w:rsidR="00D73F02">
              <w:rPr>
                <w:rFonts w:ascii="Times New Roman" w:eastAsia="Times New Roman" w:hAnsi="Times New Roman"/>
                <w:sz w:val="24"/>
                <w:szCs w:val="24"/>
              </w:rPr>
              <w:t>v</w:t>
            </w:r>
            <w:r w:rsidR="008F1BBC">
              <w:rPr>
                <w:rFonts w:ascii="Times New Roman" w:eastAsia="Times New Roman" w:hAnsi="Times New Roman"/>
                <w:sz w:val="24"/>
                <w:szCs w:val="24"/>
              </w:rPr>
              <w:t>adlīnij</w:t>
            </w:r>
            <w:r w:rsidR="00D73F02">
              <w:rPr>
                <w:rFonts w:ascii="Times New Roman" w:eastAsia="Times New Roman" w:hAnsi="Times New Roman"/>
                <w:sz w:val="24"/>
                <w:szCs w:val="24"/>
              </w:rPr>
              <w:t>ām;</w:t>
            </w:r>
          </w:p>
          <w:p w:rsidR="008B1D7B" w:rsidRDefault="008B1D7B" w:rsidP="008B1D7B">
            <w:pPr>
              <w:pStyle w:val="Sarakstarindkopa"/>
              <w:numPr>
                <w:ilvl w:val="0"/>
                <w:numId w:val="15"/>
              </w:numPr>
              <w:spacing w:after="120"/>
              <w:jc w:val="both"/>
              <w:rPr>
                <w:rFonts w:ascii="Times New Roman" w:eastAsia="Times New Roman" w:hAnsi="Times New Roman"/>
                <w:sz w:val="24"/>
                <w:szCs w:val="24"/>
              </w:rPr>
            </w:pPr>
            <w:r>
              <w:rPr>
                <w:rFonts w:ascii="Times New Roman" w:eastAsia="Times New Roman" w:hAnsi="Times New Roman"/>
                <w:sz w:val="24"/>
                <w:szCs w:val="24"/>
              </w:rPr>
              <w:t>3.</w:t>
            </w:r>
            <w:r w:rsidR="00D73F02">
              <w:rPr>
                <w:rFonts w:ascii="Times New Roman" w:eastAsia="Times New Roman" w:hAnsi="Times New Roman"/>
                <w:sz w:val="24"/>
                <w:szCs w:val="24"/>
              </w:rPr>
              <w:t xml:space="preserve"> </w:t>
            </w:r>
            <w:r>
              <w:rPr>
                <w:rFonts w:ascii="Times New Roman" w:eastAsia="Times New Roman" w:hAnsi="Times New Roman"/>
                <w:sz w:val="24"/>
                <w:szCs w:val="24"/>
              </w:rPr>
              <w:t>pielikuma redakcija,</w:t>
            </w:r>
            <w:r w:rsidR="00D73F02">
              <w:rPr>
                <w:rFonts w:ascii="Times New Roman" w:eastAsia="Times New Roman" w:hAnsi="Times New Roman"/>
                <w:sz w:val="24"/>
                <w:szCs w:val="24"/>
              </w:rPr>
              <w:t xml:space="preserve"> atbilstoši </w:t>
            </w:r>
            <w:r w:rsidR="00D73F02" w:rsidRPr="00D73F02">
              <w:rPr>
                <w:rFonts w:ascii="Times New Roman" w:eastAsia="Times New Roman" w:hAnsi="Times New Roman"/>
                <w:sz w:val="24"/>
                <w:szCs w:val="24"/>
              </w:rPr>
              <w:t>regula</w:t>
            </w:r>
            <w:r w:rsidR="00D73F02">
              <w:rPr>
                <w:rFonts w:ascii="Times New Roman" w:eastAsia="Times New Roman" w:hAnsi="Times New Roman"/>
                <w:sz w:val="24"/>
                <w:szCs w:val="24"/>
              </w:rPr>
              <w:t>s</w:t>
            </w:r>
            <w:r w:rsidR="00BF630A">
              <w:rPr>
                <w:rFonts w:ascii="Times New Roman" w:eastAsia="Times New Roman" w:hAnsi="Times New Roman"/>
                <w:sz w:val="24"/>
                <w:szCs w:val="24"/>
              </w:rPr>
              <w:t xml:space="preserve"> Nr</w:t>
            </w:r>
            <w:r w:rsidR="00BF630A" w:rsidRPr="00BF630A">
              <w:rPr>
                <w:rFonts w:ascii="Times New Roman" w:eastAsia="Times New Roman" w:hAnsi="Times New Roman"/>
                <w:sz w:val="24"/>
                <w:szCs w:val="24"/>
              </w:rPr>
              <w:t>. 669/2016 1. panta 2. punkt</w:t>
            </w:r>
            <w:r w:rsidR="00BF630A">
              <w:rPr>
                <w:rFonts w:ascii="Times New Roman" w:eastAsia="Times New Roman" w:hAnsi="Times New Roman"/>
                <w:sz w:val="24"/>
                <w:szCs w:val="24"/>
              </w:rPr>
              <w:t>ā</w:t>
            </w:r>
            <w:r w:rsidR="00BF630A" w:rsidRPr="00BF630A">
              <w:rPr>
                <w:rFonts w:ascii="Times New Roman" w:eastAsia="Times New Roman" w:hAnsi="Times New Roman"/>
                <w:sz w:val="24"/>
                <w:szCs w:val="24"/>
              </w:rPr>
              <w:t xml:space="preserve"> un II pielikumā noteikt</w:t>
            </w:r>
            <w:r w:rsidR="00BF630A">
              <w:rPr>
                <w:rFonts w:ascii="Times New Roman" w:eastAsia="Times New Roman" w:hAnsi="Times New Roman"/>
                <w:sz w:val="24"/>
                <w:szCs w:val="24"/>
              </w:rPr>
              <w:t xml:space="preserve">ajām </w:t>
            </w:r>
            <w:r w:rsidR="00D73F02">
              <w:rPr>
                <w:rFonts w:ascii="Times New Roman" w:eastAsia="Times New Roman" w:hAnsi="Times New Roman"/>
                <w:sz w:val="24"/>
                <w:szCs w:val="24"/>
              </w:rPr>
              <w:t xml:space="preserve">prasībām, kopumā </w:t>
            </w:r>
            <w:r>
              <w:rPr>
                <w:rFonts w:ascii="Times New Roman" w:eastAsia="Times New Roman" w:hAnsi="Times New Roman"/>
                <w:sz w:val="24"/>
                <w:szCs w:val="24"/>
              </w:rPr>
              <w:t xml:space="preserve">piemērojot pretendentam labvēlīgāku normu attiecībā uz </w:t>
            </w:r>
            <w:r w:rsidR="00D73F02">
              <w:rPr>
                <w:rFonts w:ascii="Times New Roman" w:eastAsia="Times New Roman" w:hAnsi="Times New Roman"/>
                <w:sz w:val="24"/>
                <w:szCs w:val="24"/>
              </w:rPr>
              <w:t>vairāku sugu dzīvnieku</w:t>
            </w:r>
            <w:r>
              <w:rPr>
                <w:rFonts w:ascii="Times New Roman" w:eastAsia="Times New Roman" w:hAnsi="Times New Roman"/>
                <w:sz w:val="24"/>
                <w:szCs w:val="24"/>
              </w:rPr>
              <w:t xml:space="preserve"> pārrēķiniem nosacītajās liellopu vienībās;</w:t>
            </w:r>
          </w:p>
          <w:p w:rsidR="007C4D20" w:rsidRPr="007C4D20" w:rsidRDefault="002321A8" w:rsidP="00F64690">
            <w:pPr>
              <w:pStyle w:val="Sarakstarindkopa"/>
              <w:numPr>
                <w:ilvl w:val="0"/>
                <w:numId w:val="15"/>
              </w:numPr>
              <w:spacing w:after="120"/>
              <w:jc w:val="both"/>
            </w:pPr>
            <w:r>
              <w:rPr>
                <w:rFonts w:ascii="Times New Roman" w:eastAsia="Times New Roman" w:hAnsi="Times New Roman"/>
                <w:sz w:val="24"/>
                <w:szCs w:val="24"/>
              </w:rPr>
              <w:t xml:space="preserve">5. </w:t>
            </w:r>
            <w:r w:rsidR="00350DCD">
              <w:rPr>
                <w:rFonts w:ascii="Times New Roman" w:eastAsia="Times New Roman" w:hAnsi="Times New Roman"/>
                <w:sz w:val="24"/>
                <w:szCs w:val="24"/>
              </w:rPr>
              <w:t xml:space="preserve">pielikuma </w:t>
            </w:r>
            <w:r>
              <w:rPr>
                <w:rFonts w:ascii="Times New Roman" w:eastAsia="Times New Roman" w:hAnsi="Times New Roman"/>
                <w:sz w:val="24"/>
                <w:szCs w:val="24"/>
              </w:rPr>
              <w:t>redakcija</w:t>
            </w:r>
            <w:r w:rsidR="007C4D20">
              <w:rPr>
                <w:rFonts w:ascii="Times New Roman" w:eastAsia="Times New Roman" w:hAnsi="Times New Roman"/>
                <w:sz w:val="24"/>
                <w:szCs w:val="24"/>
              </w:rPr>
              <w:t>, kas tiek izteikta jaunā redakcijā, no kuras dzēstas prasības, kas attiecināmas uz atbalsta pretendentu, kas saimniekojot izmanto bioloģiskās lauksaimniecības praksi un metodes, jo tās</w:t>
            </w:r>
            <w:r w:rsidR="00BF630A">
              <w:rPr>
                <w:rFonts w:ascii="Times New Roman" w:eastAsia="Times New Roman" w:hAnsi="Times New Roman"/>
                <w:sz w:val="24"/>
                <w:szCs w:val="24"/>
              </w:rPr>
              <w:t xml:space="preserve"> turpmāk </w:t>
            </w:r>
            <w:r w:rsidR="007C4D20">
              <w:rPr>
                <w:rFonts w:ascii="Times New Roman" w:eastAsia="Times New Roman" w:hAnsi="Times New Roman"/>
                <w:sz w:val="24"/>
                <w:szCs w:val="24"/>
              </w:rPr>
              <w:t>tiek</w:t>
            </w:r>
            <w:r w:rsidR="00BF630A">
              <w:rPr>
                <w:rFonts w:ascii="Times New Roman" w:eastAsia="Times New Roman" w:hAnsi="Times New Roman"/>
                <w:sz w:val="24"/>
                <w:szCs w:val="24"/>
              </w:rPr>
              <w:t xml:space="preserve"> iekļautas </w:t>
            </w:r>
            <w:r w:rsidR="007C4D20">
              <w:rPr>
                <w:rFonts w:ascii="Times New Roman" w:eastAsia="Times New Roman" w:hAnsi="Times New Roman"/>
                <w:sz w:val="24"/>
                <w:szCs w:val="24"/>
              </w:rPr>
              <w:t xml:space="preserve">normatīvajos aktos par </w:t>
            </w:r>
            <w:r w:rsidR="007C4D20">
              <w:rPr>
                <w:rFonts w:ascii="Times New Roman" w:eastAsia="Times New Roman" w:hAnsi="Times New Roman"/>
                <w:sz w:val="24"/>
                <w:szCs w:val="24"/>
              </w:rPr>
              <w:lastRenderedPageBreak/>
              <w:t>b</w:t>
            </w:r>
            <w:r w:rsidR="007C4D20" w:rsidRPr="007C4D20">
              <w:rPr>
                <w:rFonts w:ascii="Times New Roman" w:eastAsia="Times New Roman" w:hAnsi="Times New Roman"/>
                <w:sz w:val="24"/>
                <w:szCs w:val="24"/>
              </w:rPr>
              <w:t>ioloģiskās lauksaimniecības uzraudzības un kontroles kārtīb</w:t>
            </w:r>
            <w:r w:rsidR="00BF630A">
              <w:rPr>
                <w:rFonts w:ascii="Times New Roman" w:eastAsia="Times New Roman" w:hAnsi="Times New Roman"/>
                <w:sz w:val="24"/>
                <w:szCs w:val="24"/>
              </w:rPr>
              <w:t>u. Papildus noteikumu projekts ir papildināts ar diviem punktiem: 5</w:t>
            </w:r>
            <w:r w:rsidR="00A271CF">
              <w:rPr>
                <w:rFonts w:ascii="Times New Roman" w:eastAsia="Times New Roman" w:hAnsi="Times New Roman"/>
                <w:sz w:val="24"/>
                <w:szCs w:val="24"/>
              </w:rPr>
              <w:t>1</w:t>
            </w:r>
            <w:r w:rsidR="00BF630A">
              <w:rPr>
                <w:rFonts w:ascii="Times New Roman" w:eastAsia="Times New Roman" w:hAnsi="Times New Roman"/>
                <w:sz w:val="24"/>
                <w:szCs w:val="24"/>
              </w:rPr>
              <w:t>. un 5</w:t>
            </w:r>
            <w:r w:rsidR="00A271CF">
              <w:rPr>
                <w:rFonts w:ascii="Times New Roman" w:eastAsia="Times New Roman" w:hAnsi="Times New Roman"/>
                <w:sz w:val="24"/>
                <w:szCs w:val="24"/>
              </w:rPr>
              <w:t>4</w:t>
            </w:r>
            <w:r w:rsidR="00BF630A">
              <w:rPr>
                <w:rFonts w:ascii="Times New Roman" w:eastAsia="Times New Roman" w:hAnsi="Times New Roman"/>
                <w:sz w:val="24"/>
                <w:szCs w:val="24"/>
              </w:rPr>
              <w:t>., kuri nosaka, ka šis 5.pielikums tiks svītrots ar 2018.gada 1.janvāri, jo pēc šī datuma prasības, kas attiecināmas uz atbalsta pretendentu, kas saimniekojot izmanto videi draudzīgas metodes dārzkopībā tiks iekļautas normatīvajos aktos par l</w:t>
            </w:r>
            <w:r w:rsidR="00BF630A" w:rsidRPr="00BF630A">
              <w:rPr>
                <w:rFonts w:ascii="Times New Roman" w:eastAsia="Times New Roman" w:hAnsi="Times New Roman"/>
                <w:sz w:val="24"/>
                <w:szCs w:val="24"/>
              </w:rPr>
              <w:t>auksaimniecības produktu integrētās audzēšanas, uzglabāšanas un marķēšanas prasīb</w:t>
            </w:r>
            <w:r w:rsidR="00BF630A">
              <w:rPr>
                <w:rFonts w:ascii="Times New Roman" w:eastAsia="Times New Roman" w:hAnsi="Times New Roman"/>
                <w:sz w:val="24"/>
                <w:szCs w:val="24"/>
              </w:rPr>
              <w:t>u</w:t>
            </w:r>
            <w:r w:rsidR="00BF630A" w:rsidRPr="00BF630A">
              <w:rPr>
                <w:rFonts w:ascii="Times New Roman" w:eastAsia="Times New Roman" w:hAnsi="Times New Roman"/>
                <w:sz w:val="24"/>
                <w:szCs w:val="24"/>
              </w:rPr>
              <w:t xml:space="preserve"> un kontroles kārtīb</w:t>
            </w:r>
            <w:r w:rsidR="00BF630A">
              <w:rPr>
                <w:rFonts w:ascii="Times New Roman" w:eastAsia="Times New Roman" w:hAnsi="Times New Roman"/>
                <w:sz w:val="24"/>
                <w:szCs w:val="24"/>
              </w:rPr>
              <w:t>u. Lai nodrošinātu atbalstu īstenošanas nepārtrauktību šajā starpposmā, noteikumu projekts papildināts arī ar citiem diviem punktiem, - 1</w:t>
            </w:r>
            <w:r w:rsidR="00A271CF">
              <w:rPr>
                <w:rFonts w:ascii="Times New Roman" w:eastAsia="Times New Roman" w:hAnsi="Times New Roman"/>
                <w:sz w:val="24"/>
                <w:szCs w:val="24"/>
              </w:rPr>
              <w:t>5</w:t>
            </w:r>
            <w:r w:rsidR="00BF630A">
              <w:rPr>
                <w:rFonts w:ascii="Times New Roman" w:eastAsia="Times New Roman" w:hAnsi="Times New Roman"/>
                <w:sz w:val="24"/>
                <w:szCs w:val="24"/>
              </w:rPr>
              <w:t>. un 1</w:t>
            </w:r>
            <w:r w:rsidR="00A271CF">
              <w:rPr>
                <w:rFonts w:ascii="Times New Roman" w:eastAsia="Times New Roman" w:hAnsi="Times New Roman"/>
                <w:sz w:val="24"/>
                <w:szCs w:val="24"/>
              </w:rPr>
              <w:t>6</w:t>
            </w:r>
            <w:r w:rsidR="00BF630A">
              <w:rPr>
                <w:rFonts w:ascii="Times New Roman" w:eastAsia="Times New Roman" w:hAnsi="Times New Roman"/>
                <w:sz w:val="24"/>
                <w:szCs w:val="24"/>
              </w:rPr>
              <w:t xml:space="preserve">., kuri arī stāsies spēkā ar 2018.gada 1.janvāri. </w:t>
            </w:r>
          </w:p>
          <w:p w:rsidR="00350DCD" w:rsidRPr="00544AEF" w:rsidRDefault="00350DCD" w:rsidP="008B1D7B">
            <w:pPr>
              <w:pStyle w:val="Sarakstarindkopa"/>
              <w:numPr>
                <w:ilvl w:val="0"/>
                <w:numId w:val="15"/>
              </w:numPr>
              <w:spacing w:after="120"/>
              <w:jc w:val="both"/>
              <w:rPr>
                <w:rFonts w:ascii="Times New Roman" w:eastAsia="Times New Roman" w:hAnsi="Times New Roman"/>
                <w:sz w:val="24"/>
                <w:szCs w:val="24"/>
              </w:rPr>
            </w:pPr>
            <w:r w:rsidRPr="00544AEF">
              <w:rPr>
                <w:rFonts w:ascii="Times New Roman" w:eastAsia="Times New Roman" w:hAnsi="Times New Roman"/>
                <w:sz w:val="24"/>
                <w:szCs w:val="24"/>
              </w:rPr>
              <w:t>6. pielikuma redakcija</w:t>
            </w:r>
            <w:r w:rsidR="00367BB1">
              <w:rPr>
                <w:rFonts w:ascii="Times New Roman" w:eastAsia="Times New Roman" w:hAnsi="Times New Roman"/>
                <w:sz w:val="24"/>
                <w:szCs w:val="24"/>
              </w:rPr>
              <w:t>,</w:t>
            </w:r>
            <w:r w:rsidRPr="00544AEF">
              <w:rPr>
                <w:rFonts w:ascii="Times New Roman" w:eastAsia="Times New Roman" w:hAnsi="Times New Roman"/>
                <w:sz w:val="24"/>
                <w:szCs w:val="24"/>
              </w:rPr>
              <w:t xml:space="preserve"> administratīvā sloga mazināšanas nolūkā, </w:t>
            </w:r>
            <w:r w:rsidR="00367BB1">
              <w:rPr>
                <w:rFonts w:ascii="Times New Roman" w:eastAsia="Times New Roman" w:hAnsi="Times New Roman"/>
                <w:sz w:val="24"/>
                <w:szCs w:val="24"/>
              </w:rPr>
              <w:t xml:space="preserve">ievaddaļā </w:t>
            </w:r>
            <w:r w:rsidRPr="00544AEF">
              <w:rPr>
                <w:rFonts w:ascii="Times New Roman" w:eastAsia="Times New Roman" w:hAnsi="Times New Roman"/>
                <w:sz w:val="24"/>
                <w:szCs w:val="24"/>
              </w:rPr>
              <w:t xml:space="preserve">papildinot ar ierakstu, kas sertificējošajai iestādei ļauj sniegt vienu vienotu slēdzienu par atbalsta pretendenta saimniecības stāvokli, ja nepilnības nav konstatētas, un tikai </w:t>
            </w:r>
            <w:r w:rsidR="002C4EA4">
              <w:rPr>
                <w:rFonts w:ascii="Times New Roman" w:eastAsia="Times New Roman" w:hAnsi="Times New Roman"/>
                <w:sz w:val="24"/>
                <w:szCs w:val="24"/>
              </w:rPr>
              <w:t xml:space="preserve">pēc </w:t>
            </w:r>
            <w:r w:rsidRPr="00544AEF">
              <w:rPr>
                <w:rFonts w:ascii="Times New Roman" w:eastAsia="Times New Roman" w:hAnsi="Times New Roman"/>
                <w:sz w:val="24"/>
                <w:szCs w:val="24"/>
              </w:rPr>
              <w:t xml:space="preserve">konstatētas nepilnības </w:t>
            </w:r>
            <w:r w:rsidR="002C4EA4">
              <w:rPr>
                <w:rFonts w:ascii="Times New Roman" w:eastAsia="Times New Roman" w:hAnsi="Times New Roman"/>
                <w:sz w:val="24"/>
                <w:szCs w:val="24"/>
              </w:rPr>
              <w:t>norādot</w:t>
            </w:r>
            <w:r w:rsidRPr="00544AEF">
              <w:rPr>
                <w:rFonts w:ascii="Times New Roman" w:eastAsia="Times New Roman" w:hAnsi="Times New Roman"/>
                <w:sz w:val="24"/>
                <w:szCs w:val="24"/>
              </w:rPr>
              <w:t xml:space="preserve"> papildu informācija, kas prasīta </w:t>
            </w:r>
            <w:r w:rsidR="002C4EA4">
              <w:rPr>
                <w:rFonts w:ascii="Times New Roman" w:eastAsia="Times New Roman" w:hAnsi="Times New Roman"/>
                <w:sz w:val="24"/>
                <w:szCs w:val="24"/>
              </w:rPr>
              <w:t>attiecīgajā</w:t>
            </w:r>
            <w:r w:rsidR="00367BB1">
              <w:rPr>
                <w:rFonts w:ascii="Times New Roman" w:eastAsia="Times New Roman" w:hAnsi="Times New Roman"/>
                <w:sz w:val="24"/>
                <w:szCs w:val="24"/>
              </w:rPr>
              <w:t xml:space="preserve"> tabulā. Pēc līdzīga principa precizēta arī 1.un 2.tabulas redakcija.</w:t>
            </w:r>
          </w:p>
          <w:p w:rsidR="008B1D7B" w:rsidRPr="00744590" w:rsidRDefault="002321A8" w:rsidP="00367BB1">
            <w:pPr>
              <w:pStyle w:val="Sarakstarindkopa"/>
              <w:numPr>
                <w:ilvl w:val="0"/>
                <w:numId w:val="15"/>
              </w:numPr>
              <w:spacing w:after="120"/>
              <w:jc w:val="both"/>
            </w:pPr>
            <w:r>
              <w:rPr>
                <w:rFonts w:ascii="Times New Roman" w:eastAsia="Times New Roman" w:hAnsi="Times New Roman"/>
                <w:sz w:val="24"/>
                <w:szCs w:val="24"/>
              </w:rPr>
              <w:t>8.pielikuma redakcija,</w:t>
            </w:r>
            <w:r w:rsidR="00F85C13">
              <w:rPr>
                <w:rFonts w:ascii="Times New Roman" w:eastAsia="Times New Roman" w:hAnsi="Times New Roman"/>
                <w:sz w:val="24"/>
                <w:szCs w:val="24"/>
              </w:rPr>
              <w:t xml:space="preserve"> </w:t>
            </w:r>
            <w:r w:rsidR="00F832C1">
              <w:rPr>
                <w:rFonts w:ascii="Times New Roman" w:eastAsia="Times New Roman" w:hAnsi="Times New Roman"/>
                <w:sz w:val="24"/>
                <w:szCs w:val="24"/>
              </w:rPr>
              <w:t xml:space="preserve">pārskatīta pilnībā, to precizējot, atbilstoši katram </w:t>
            </w:r>
            <w:r w:rsidR="00F85C13">
              <w:rPr>
                <w:rFonts w:ascii="Times New Roman" w:eastAsia="Times New Roman" w:hAnsi="Times New Roman"/>
                <w:sz w:val="24"/>
                <w:szCs w:val="24"/>
              </w:rPr>
              <w:t>aktivitātes veida</w:t>
            </w:r>
            <w:r w:rsidR="00F832C1">
              <w:rPr>
                <w:rFonts w:ascii="Times New Roman" w:eastAsia="Times New Roman" w:hAnsi="Times New Roman"/>
                <w:sz w:val="24"/>
                <w:szCs w:val="24"/>
              </w:rPr>
              <w:t>m</w:t>
            </w:r>
            <w:r w:rsidR="00F85C13">
              <w:rPr>
                <w:rFonts w:ascii="Times New Roman" w:eastAsia="Times New Roman" w:hAnsi="Times New Roman"/>
                <w:sz w:val="24"/>
                <w:szCs w:val="24"/>
              </w:rPr>
              <w:t xml:space="preserve"> un konstatēta</w:t>
            </w:r>
            <w:r w:rsidR="00F832C1">
              <w:rPr>
                <w:rFonts w:ascii="Times New Roman" w:eastAsia="Times New Roman" w:hAnsi="Times New Roman"/>
                <w:sz w:val="24"/>
                <w:szCs w:val="24"/>
              </w:rPr>
              <w:t>jai</w:t>
            </w:r>
            <w:r w:rsidR="00F85C13">
              <w:rPr>
                <w:rFonts w:ascii="Times New Roman" w:eastAsia="Times New Roman" w:hAnsi="Times New Roman"/>
                <w:sz w:val="24"/>
                <w:szCs w:val="24"/>
              </w:rPr>
              <w:t xml:space="preserve"> neatbilstība</w:t>
            </w:r>
            <w:r w:rsidR="00F832C1">
              <w:rPr>
                <w:rFonts w:ascii="Times New Roman" w:eastAsia="Times New Roman" w:hAnsi="Times New Roman"/>
                <w:sz w:val="24"/>
                <w:szCs w:val="24"/>
              </w:rPr>
              <w:t>i</w:t>
            </w:r>
            <w:r w:rsidR="00367BB1">
              <w:rPr>
                <w:rFonts w:ascii="Times New Roman" w:eastAsia="Times New Roman" w:hAnsi="Times New Roman"/>
                <w:sz w:val="24"/>
                <w:szCs w:val="24"/>
              </w:rPr>
              <w:t>.</w:t>
            </w:r>
          </w:p>
        </w:tc>
      </w:tr>
      <w:tr w:rsidR="009117F4" w:rsidRPr="00D30FB2" w:rsidTr="008D4EEA">
        <w:trPr>
          <w:trHeight w:val="147"/>
        </w:trPr>
        <w:tc>
          <w:tcPr>
            <w:tcW w:w="872" w:type="dxa"/>
          </w:tcPr>
          <w:p w:rsidR="009117F4" w:rsidRPr="00D30FB2" w:rsidRDefault="009117F4" w:rsidP="00E06138">
            <w:pPr>
              <w:spacing w:before="100" w:beforeAutospacing="1" w:after="100" w:afterAutospacing="1" w:line="360" w:lineRule="auto"/>
              <w:ind w:firstLine="19"/>
              <w:jc w:val="both"/>
            </w:pPr>
            <w:r w:rsidRPr="00D30FB2">
              <w:lastRenderedPageBreak/>
              <w:t>3.</w:t>
            </w:r>
          </w:p>
        </w:tc>
        <w:tc>
          <w:tcPr>
            <w:tcW w:w="1613" w:type="dxa"/>
          </w:tcPr>
          <w:p w:rsidR="009117F4" w:rsidRPr="00D30FB2" w:rsidRDefault="00110153" w:rsidP="00E06138">
            <w:r w:rsidRPr="00D30FB2">
              <w:t xml:space="preserve">Projekta izstrādē iesaistītās </w:t>
            </w:r>
            <w:r w:rsidR="009117F4" w:rsidRPr="00D30FB2">
              <w:t>institūcijas</w:t>
            </w:r>
          </w:p>
        </w:tc>
        <w:tc>
          <w:tcPr>
            <w:tcW w:w="7129" w:type="dxa"/>
          </w:tcPr>
          <w:p w:rsidR="009117F4" w:rsidRPr="006D0A21" w:rsidRDefault="009117F4" w:rsidP="000A3303">
            <w:pPr>
              <w:jc w:val="both"/>
              <w:rPr>
                <w:bCs/>
                <w:lang w:eastAsia="en-US"/>
              </w:rPr>
            </w:pPr>
            <w:r w:rsidRPr="00D30FB2">
              <w:rPr>
                <w:lang w:eastAsia="en-US"/>
              </w:rPr>
              <w:t>Zemkopības ministrija</w:t>
            </w:r>
            <w:r w:rsidR="007F2259" w:rsidRPr="00D30FB2">
              <w:rPr>
                <w:lang w:eastAsia="en-US"/>
              </w:rPr>
              <w:t>,</w:t>
            </w:r>
            <w:r w:rsidRPr="00D30FB2">
              <w:rPr>
                <w:lang w:eastAsia="en-US"/>
              </w:rPr>
              <w:t xml:space="preserve"> </w:t>
            </w:r>
            <w:r w:rsidR="0021371F" w:rsidRPr="00D30FB2">
              <w:rPr>
                <w:lang w:eastAsia="en-US"/>
              </w:rPr>
              <w:t>Lauku atbalsta dienests</w:t>
            </w:r>
            <w:r w:rsidR="000A3303">
              <w:rPr>
                <w:lang w:eastAsia="en-US"/>
              </w:rPr>
              <w:t>,</w:t>
            </w:r>
            <w:r w:rsidR="00E84FF8">
              <w:rPr>
                <w:lang w:eastAsia="en-US"/>
              </w:rPr>
              <w:t xml:space="preserve"> </w:t>
            </w:r>
            <w:r w:rsidR="000A3303">
              <w:rPr>
                <w:lang w:eastAsia="en-US"/>
              </w:rPr>
              <w:t xml:space="preserve">Valsts meža dienests, Lauksaimniecības datu centrs, Valsts augu aizsardzības dienests, </w:t>
            </w:r>
            <w:r w:rsidR="00E84FF8">
              <w:rPr>
                <w:lang w:eastAsia="en-US"/>
              </w:rPr>
              <w:t>Dabas aizsardzības pārvalde</w:t>
            </w:r>
            <w:r w:rsidR="000A3303">
              <w:rPr>
                <w:lang w:eastAsia="en-US"/>
              </w:rPr>
              <w:t xml:space="preserve"> un </w:t>
            </w:r>
            <w:r w:rsidR="000A3303" w:rsidRPr="000A3303">
              <w:rPr>
                <w:lang w:eastAsia="en-US"/>
              </w:rPr>
              <w:t>Vides aizsardzības un reģionālas attīstības ministrijas</w:t>
            </w:r>
          </w:p>
        </w:tc>
      </w:tr>
      <w:tr w:rsidR="009117F4" w:rsidRPr="00D30FB2" w:rsidTr="008D4EEA">
        <w:trPr>
          <w:trHeight w:val="147"/>
        </w:trPr>
        <w:tc>
          <w:tcPr>
            <w:tcW w:w="872" w:type="dxa"/>
          </w:tcPr>
          <w:p w:rsidR="009117F4" w:rsidRPr="00D30FB2" w:rsidRDefault="009117F4" w:rsidP="00E06138">
            <w:pPr>
              <w:spacing w:before="100" w:beforeAutospacing="1" w:after="100" w:afterAutospacing="1" w:line="360" w:lineRule="auto"/>
              <w:ind w:firstLine="19"/>
              <w:jc w:val="both"/>
            </w:pPr>
            <w:r w:rsidRPr="00D30FB2">
              <w:t>4.</w:t>
            </w:r>
          </w:p>
        </w:tc>
        <w:tc>
          <w:tcPr>
            <w:tcW w:w="1613" w:type="dxa"/>
          </w:tcPr>
          <w:p w:rsidR="009117F4" w:rsidRPr="00D30FB2" w:rsidRDefault="009117F4" w:rsidP="00E06138">
            <w:r w:rsidRPr="00D30FB2">
              <w:t>Cita informācija</w:t>
            </w:r>
          </w:p>
        </w:tc>
        <w:tc>
          <w:tcPr>
            <w:tcW w:w="7129" w:type="dxa"/>
          </w:tcPr>
          <w:p w:rsidR="009117F4" w:rsidRPr="00D30FB2" w:rsidRDefault="009117F4" w:rsidP="00E06138">
            <w:pPr>
              <w:spacing w:before="100" w:beforeAutospacing="1" w:after="100" w:afterAutospacing="1" w:line="360" w:lineRule="auto"/>
            </w:pPr>
            <w:r w:rsidRPr="00D30FB2">
              <w:t>Nav</w:t>
            </w:r>
          </w:p>
        </w:tc>
      </w:tr>
    </w:tbl>
    <w:p w:rsidR="008B6DFD" w:rsidRPr="00D30FB2" w:rsidRDefault="008B6DFD" w:rsidP="006B42E1">
      <w:pPr>
        <w:ind w:firstLine="301"/>
      </w:pPr>
    </w:p>
    <w:tbl>
      <w:tblPr>
        <w:tblW w:w="550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2262"/>
        <w:gridCol w:w="6957"/>
      </w:tblGrid>
      <w:tr w:rsidR="009117F4" w:rsidRPr="00D30FB2" w:rsidTr="00CD1BE7">
        <w:trPr>
          <w:trHeight w:val="555"/>
        </w:trPr>
        <w:tc>
          <w:tcPr>
            <w:tcW w:w="5000" w:type="pct"/>
            <w:gridSpan w:val="3"/>
          </w:tcPr>
          <w:p w:rsidR="009117F4" w:rsidRPr="00D30FB2" w:rsidRDefault="009117F4" w:rsidP="00E06138">
            <w:pPr>
              <w:spacing w:before="100" w:beforeAutospacing="1" w:after="100" w:afterAutospacing="1"/>
              <w:ind w:firstLine="301"/>
              <w:jc w:val="center"/>
              <w:rPr>
                <w:b/>
                <w:bCs/>
              </w:rPr>
            </w:pPr>
            <w:r w:rsidRPr="00D30FB2">
              <w:rPr>
                <w:b/>
                <w:bCs/>
              </w:rPr>
              <w:t>II. Tiesību akta projekta ietekme uz sabiedrību, tautsaimniecības attīstību un administratīvo slogu</w:t>
            </w:r>
          </w:p>
        </w:tc>
      </w:tr>
      <w:tr w:rsidR="009117F4" w:rsidRPr="00D30FB2" w:rsidTr="00CD1BE7">
        <w:trPr>
          <w:trHeight w:val="465"/>
        </w:trPr>
        <w:tc>
          <w:tcPr>
            <w:tcW w:w="382" w:type="pct"/>
          </w:tcPr>
          <w:p w:rsidR="009117F4" w:rsidRPr="00D30FB2" w:rsidRDefault="009117F4" w:rsidP="00E06138">
            <w:r w:rsidRPr="00D30FB2">
              <w:t>1.</w:t>
            </w:r>
          </w:p>
        </w:tc>
        <w:tc>
          <w:tcPr>
            <w:tcW w:w="1133" w:type="pct"/>
          </w:tcPr>
          <w:p w:rsidR="009117F4" w:rsidRPr="00D30FB2" w:rsidRDefault="009117F4" w:rsidP="00E06138">
            <w:pPr>
              <w:rPr>
                <w:lang w:eastAsia="en-US"/>
              </w:rPr>
            </w:pPr>
            <w:r w:rsidRPr="00D30FB2">
              <w:rPr>
                <w:lang w:eastAsia="en-US"/>
              </w:rPr>
              <w:t>Sabiedrības mērķgrupas, kuras tiesiskais regulējums ietekmē vai varētu ietekmēt</w:t>
            </w:r>
          </w:p>
        </w:tc>
        <w:tc>
          <w:tcPr>
            <w:tcW w:w="3485" w:type="pct"/>
          </w:tcPr>
          <w:p w:rsidR="00274145" w:rsidRDefault="00274145" w:rsidP="00260D3F">
            <w:pPr>
              <w:pStyle w:val="naiskr"/>
              <w:numPr>
                <w:ilvl w:val="0"/>
                <w:numId w:val="13"/>
              </w:numPr>
              <w:spacing w:before="0" w:after="0"/>
              <w:jc w:val="both"/>
            </w:pPr>
            <w:r>
              <w:t xml:space="preserve">Aptuveni </w:t>
            </w:r>
            <w:r w:rsidR="00045F10">
              <w:t>8000</w:t>
            </w:r>
            <w:r w:rsidRPr="00F15076">
              <w:t xml:space="preserve"> </w:t>
            </w:r>
            <w:r w:rsidRPr="00603054">
              <w:rPr>
                <w:lang w:eastAsia="en-US"/>
              </w:rPr>
              <w:t>„Agrovide un klimats”</w:t>
            </w:r>
            <w:r w:rsidRPr="00881992">
              <w:t xml:space="preserve"> </w:t>
            </w:r>
            <w:r>
              <w:t>atbalsta saņemšanas pretendentu.</w:t>
            </w:r>
          </w:p>
          <w:p w:rsidR="00252D8B" w:rsidRDefault="00E72504" w:rsidP="00260D3F">
            <w:pPr>
              <w:pStyle w:val="naiskr"/>
              <w:numPr>
                <w:ilvl w:val="0"/>
                <w:numId w:val="13"/>
              </w:numPr>
              <w:spacing w:before="0" w:after="0"/>
              <w:jc w:val="both"/>
            </w:pPr>
            <w:r>
              <w:t>Aptuveni 45</w:t>
            </w:r>
            <w:r w:rsidR="00252D8B">
              <w:t xml:space="preserve">00 </w:t>
            </w:r>
            <w:r w:rsidR="00252D8B" w:rsidRPr="00603054">
              <w:rPr>
                <w:lang w:eastAsia="en-US"/>
              </w:rPr>
              <w:t>„Bioloģiskā lauksaimniecība”</w:t>
            </w:r>
            <w:r w:rsidR="00252D8B">
              <w:rPr>
                <w:lang w:eastAsia="en-US"/>
              </w:rPr>
              <w:t xml:space="preserve"> </w:t>
            </w:r>
            <w:r w:rsidR="00252D8B">
              <w:t>atbalsta saņemšanas pretendentu</w:t>
            </w:r>
            <w:r w:rsidR="00A73BFF">
              <w:t>.</w:t>
            </w:r>
          </w:p>
          <w:p w:rsidR="00776129" w:rsidRDefault="00776129" w:rsidP="00252D8B">
            <w:pPr>
              <w:pStyle w:val="naiskr"/>
              <w:numPr>
                <w:ilvl w:val="0"/>
                <w:numId w:val="13"/>
              </w:numPr>
              <w:spacing w:before="0" w:after="0"/>
              <w:jc w:val="both"/>
              <w:rPr>
                <w:lang w:eastAsia="en-US"/>
              </w:rPr>
            </w:pPr>
            <w:r>
              <w:t xml:space="preserve">Aptuveni </w:t>
            </w:r>
            <w:r>
              <w:rPr>
                <w:lang w:eastAsia="en-US"/>
              </w:rPr>
              <w:t xml:space="preserve">4000 </w:t>
            </w:r>
            <w:r w:rsidRPr="00603054">
              <w:rPr>
                <w:lang w:eastAsia="en-US"/>
              </w:rPr>
              <w:t>„</w:t>
            </w:r>
            <w:r w:rsidRPr="00776129">
              <w:rPr>
                <w:lang w:eastAsia="en-US"/>
              </w:rPr>
              <w:t>Natura 2000 un Ūdens pamatdirektīvas maksājum</w:t>
            </w:r>
            <w:r w:rsidRPr="00603054">
              <w:rPr>
                <w:lang w:eastAsia="en-US"/>
              </w:rPr>
              <w:t xml:space="preserve">” </w:t>
            </w:r>
            <w:r>
              <w:rPr>
                <w:lang w:eastAsia="en-US"/>
              </w:rPr>
              <w:t>atbalsta saņemšanas pretendentu.</w:t>
            </w:r>
          </w:p>
          <w:p w:rsidR="00260D3F" w:rsidRPr="00D30FB2" w:rsidRDefault="00260D3F" w:rsidP="00252D8B">
            <w:pPr>
              <w:pStyle w:val="naiskr"/>
              <w:numPr>
                <w:ilvl w:val="0"/>
                <w:numId w:val="13"/>
              </w:numPr>
              <w:spacing w:before="0" w:after="0"/>
              <w:jc w:val="both"/>
            </w:pPr>
            <w:r>
              <w:t xml:space="preserve">Aptuveni 45 000 </w:t>
            </w:r>
            <w:r w:rsidR="00252D8B" w:rsidRPr="00603054">
              <w:rPr>
                <w:lang w:eastAsia="en-US"/>
              </w:rPr>
              <w:t xml:space="preserve">„Maksājumi apgabaliem, kuros ir dabas vai citi specifiski ierobežojumi” </w:t>
            </w:r>
            <w:r>
              <w:t>atbalsta saņemšanas pretendentu.</w:t>
            </w:r>
          </w:p>
        </w:tc>
      </w:tr>
      <w:tr w:rsidR="009117F4" w:rsidRPr="00D30FB2" w:rsidTr="00CD1BE7">
        <w:trPr>
          <w:trHeight w:val="510"/>
        </w:trPr>
        <w:tc>
          <w:tcPr>
            <w:tcW w:w="382" w:type="pct"/>
          </w:tcPr>
          <w:p w:rsidR="009117F4" w:rsidRPr="00D30FB2" w:rsidRDefault="009117F4" w:rsidP="00E06138">
            <w:r w:rsidRPr="00D30FB2">
              <w:t>2.</w:t>
            </w:r>
          </w:p>
        </w:tc>
        <w:tc>
          <w:tcPr>
            <w:tcW w:w="1133" w:type="pct"/>
          </w:tcPr>
          <w:p w:rsidR="009117F4" w:rsidRPr="00D30FB2" w:rsidRDefault="009117F4" w:rsidP="00E06138">
            <w:pPr>
              <w:rPr>
                <w:lang w:eastAsia="en-US"/>
              </w:rPr>
            </w:pPr>
            <w:r w:rsidRPr="00D30FB2">
              <w:rPr>
                <w:lang w:eastAsia="en-US"/>
              </w:rPr>
              <w:t>Tiesiskā regulējuma ietekme uz tautsaimniecību un administratīvo slogu</w:t>
            </w:r>
          </w:p>
        </w:tc>
        <w:tc>
          <w:tcPr>
            <w:tcW w:w="3485" w:type="pct"/>
          </w:tcPr>
          <w:p w:rsidR="00133BE0" w:rsidRPr="00D30FB2" w:rsidRDefault="00E279A4" w:rsidP="002C4EA4">
            <w:pPr>
              <w:jc w:val="both"/>
              <w:rPr>
                <w:lang w:eastAsia="en-US"/>
              </w:rPr>
            </w:pPr>
            <w:r w:rsidRPr="00D30FB2">
              <w:rPr>
                <w:lang w:eastAsia="en-US"/>
              </w:rPr>
              <w:t xml:space="preserve">Noteikumu projekta </w:t>
            </w:r>
            <w:r w:rsidR="00A73BFF">
              <w:rPr>
                <w:lang w:eastAsia="en-US"/>
              </w:rPr>
              <w:t>pieņemšana do</w:t>
            </w:r>
            <w:r w:rsidR="002C4EA4">
              <w:rPr>
                <w:lang w:eastAsia="en-US"/>
              </w:rPr>
              <w:t>s</w:t>
            </w:r>
            <w:r w:rsidR="00A73BFF">
              <w:rPr>
                <w:lang w:eastAsia="en-US"/>
              </w:rPr>
              <w:t xml:space="preserve"> iespēju</w:t>
            </w:r>
            <w:r w:rsidRPr="00D30FB2">
              <w:rPr>
                <w:lang w:eastAsia="en-US"/>
              </w:rPr>
              <w:t xml:space="preserve"> </w:t>
            </w:r>
            <w:r w:rsidR="00106AC9" w:rsidRPr="00603054">
              <w:t>lauku attīstības platībatkarīgo</w:t>
            </w:r>
            <w:r w:rsidR="00106AC9">
              <w:t xml:space="preserve"> maksājumu</w:t>
            </w:r>
            <w:r w:rsidRPr="00D30FB2">
              <w:rPr>
                <w:lang w:eastAsia="en-US"/>
              </w:rPr>
              <w:t xml:space="preserve"> piešķir</w:t>
            </w:r>
            <w:r w:rsidR="002C4EA4">
              <w:rPr>
                <w:lang w:eastAsia="en-US"/>
              </w:rPr>
              <w:t>t</w:t>
            </w:r>
            <w:r w:rsidRPr="00D30FB2">
              <w:rPr>
                <w:lang w:eastAsia="en-US"/>
              </w:rPr>
              <w:t xml:space="preserve"> pretendentiem, k</w:t>
            </w:r>
            <w:r w:rsidR="002C4EA4">
              <w:rPr>
                <w:lang w:eastAsia="en-US"/>
              </w:rPr>
              <w:t>as</w:t>
            </w:r>
            <w:r w:rsidRPr="00D30FB2">
              <w:rPr>
                <w:lang w:eastAsia="en-US"/>
              </w:rPr>
              <w:t xml:space="preserve"> atbildīs a</w:t>
            </w:r>
            <w:r w:rsidR="00942DF1">
              <w:rPr>
                <w:lang w:eastAsia="en-US"/>
              </w:rPr>
              <w:t xml:space="preserve">tbalsta saņemšanas nosacījumiem, </w:t>
            </w:r>
            <w:r w:rsidR="00A73BFF">
              <w:rPr>
                <w:lang w:eastAsia="en-US"/>
              </w:rPr>
              <w:t>un tas</w:t>
            </w:r>
            <w:r w:rsidR="00942DF1">
              <w:rPr>
                <w:lang w:eastAsia="en-US"/>
              </w:rPr>
              <w:t xml:space="preserve"> </w:t>
            </w:r>
            <w:r w:rsidR="00106AC9">
              <w:rPr>
                <w:lang w:eastAsia="en-US"/>
              </w:rPr>
              <w:t>ne</w:t>
            </w:r>
            <w:r w:rsidR="00F4551F" w:rsidRPr="00D30FB2">
              <w:rPr>
                <w:lang w:eastAsia="en-US"/>
              </w:rPr>
              <w:t>radīs administratīv</w:t>
            </w:r>
            <w:r w:rsidR="005E4799" w:rsidRPr="00D30FB2">
              <w:rPr>
                <w:lang w:eastAsia="en-US"/>
              </w:rPr>
              <w:t>ā sloga p</w:t>
            </w:r>
            <w:r w:rsidR="00A73BFF">
              <w:rPr>
                <w:lang w:eastAsia="en-US"/>
              </w:rPr>
              <w:t>alielināšanos</w:t>
            </w:r>
            <w:r w:rsidR="005E4799" w:rsidRPr="00D30FB2">
              <w:rPr>
                <w:lang w:eastAsia="en-US"/>
              </w:rPr>
              <w:t xml:space="preserve"> </w:t>
            </w:r>
            <w:r w:rsidR="00106AC9" w:rsidRPr="00603054">
              <w:t>lauku attīstības platībatkarīgo</w:t>
            </w:r>
            <w:r w:rsidR="005E4799" w:rsidRPr="00D30FB2">
              <w:rPr>
                <w:lang w:eastAsia="en-US"/>
              </w:rPr>
              <w:t xml:space="preserve"> maksājumu pretendentiem, </w:t>
            </w:r>
            <w:r w:rsidR="00106AC9">
              <w:rPr>
                <w:lang w:eastAsia="en-US"/>
              </w:rPr>
              <w:t>jo pamat</w:t>
            </w:r>
            <w:r w:rsidR="002C4EA4">
              <w:rPr>
                <w:lang w:eastAsia="en-US"/>
              </w:rPr>
              <w:t>os</w:t>
            </w:r>
            <w:r w:rsidR="00106AC9">
              <w:rPr>
                <w:lang w:eastAsia="en-US"/>
              </w:rPr>
              <w:t xml:space="preserve"> tiek saglabāta iepriekšējā plānošanas perioda atbalsta administrēšanas pieeja.</w:t>
            </w:r>
          </w:p>
        </w:tc>
      </w:tr>
      <w:tr w:rsidR="009117F4" w:rsidRPr="00D30FB2" w:rsidTr="00CD1BE7">
        <w:trPr>
          <w:trHeight w:val="510"/>
        </w:trPr>
        <w:tc>
          <w:tcPr>
            <w:tcW w:w="382" w:type="pct"/>
          </w:tcPr>
          <w:p w:rsidR="009117F4" w:rsidRPr="00D30FB2" w:rsidRDefault="009117F4" w:rsidP="00E06138">
            <w:r w:rsidRPr="00D30FB2">
              <w:t>3.</w:t>
            </w:r>
          </w:p>
        </w:tc>
        <w:tc>
          <w:tcPr>
            <w:tcW w:w="1133" w:type="pct"/>
          </w:tcPr>
          <w:p w:rsidR="009117F4" w:rsidRPr="00D30FB2" w:rsidRDefault="009117F4" w:rsidP="00E06138">
            <w:pPr>
              <w:rPr>
                <w:lang w:eastAsia="en-US"/>
              </w:rPr>
            </w:pPr>
            <w:r w:rsidRPr="00D30FB2">
              <w:rPr>
                <w:lang w:eastAsia="en-US"/>
              </w:rPr>
              <w:t>Administratīvo izmaksu monetārs novērtējums</w:t>
            </w:r>
            <w:r w:rsidR="002B42DB">
              <w:rPr>
                <w:lang w:eastAsia="en-US"/>
              </w:rPr>
              <w:t>.</w:t>
            </w:r>
          </w:p>
        </w:tc>
        <w:tc>
          <w:tcPr>
            <w:tcW w:w="3485" w:type="pct"/>
          </w:tcPr>
          <w:p w:rsidR="009117F4" w:rsidRPr="00D30FB2" w:rsidRDefault="007E22BA" w:rsidP="00A73BFF">
            <w:pPr>
              <w:jc w:val="both"/>
            </w:pPr>
            <w:bookmarkStart w:id="0" w:name="p-468669"/>
            <w:bookmarkStart w:id="1" w:name="p24"/>
            <w:bookmarkEnd w:id="0"/>
            <w:bookmarkEnd w:id="1"/>
            <w:r>
              <w:rPr>
                <w:lang w:eastAsia="en-US"/>
              </w:rPr>
              <w:t xml:space="preserve">Lai pieteiktos uz kādu no iepriekšminētajiem </w:t>
            </w:r>
            <w:r>
              <w:t>lauku attīstības platībatkarīgajiem atbalstiem</w:t>
            </w:r>
            <w:r w:rsidR="00A73BFF">
              <w:t>,</w:t>
            </w:r>
            <w:r w:rsidR="00F8527F">
              <w:t xml:space="preserve"> nepieciešams aizpildīt </w:t>
            </w:r>
            <w:r>
              <w:rPr>
                <w:lang w:eastAsia="en-US"/>
              </w:rPr>
              <w:t>Vienot</w:t>
            </w:r>
            <w:r w:rsidR="00F8527F">
              <w:rPr>
                <w:lang w:eastAsia="en-US"/>
              </w:rPr>
              <w:t>o</w:t>
            </w:r>
            <w:r>
              <w:rPr>
                <w:lang w:eastAsia="en-US"/>
              </w:rPr>
              <w:t xml:space="preserve"> iesniegum</w:t>
            </w:r>
            <w:r w:rsidR="00F8527F">
              <w:rPr>
                <w:lang w:eastAsia="en-US"/>
              </w:rPr>
              <w:t>u saskaņā ar normatīvajiem aktiem par t</w:t>
            </w:r>
            <w:r w:rsidR="00F8527F">
              <w:t xml:space="preserve">iešo maksājumu piešķiršanas kārtību lauksaimniekiem. Šis iesniegums ir Ministru kabineta 2015.gada 10.marta noteikumu Nr.126 ”Tiešo maksājumu piešķiršanas kārtība lauksaimniekiem” (turpmāk – noteikumi </w:t>
            </w:r>
            <w:r w:rsidR="00A73BFF">
              <w:t>N</w:t>
            </w:r>
            <w:r w:rsidR="00F8527F">
              <w:t xml:space="preserve">r.126) 1.pielikums, un tā aizpildīšanas </w:t>
            </w:r>
            <w:r w:rsidR="00F8527F">
              <w:rPr>
                <w:lang w:eastAsia="en-US"/>
              </w:rPr>
              <w:t>a</w:t>
            </w:r>
            <w:r w:rsidRPr="00D30FB2">
              <w:rPr>
                <w:lang w:eastAsia="en-US"/>
              </w:rPr>
              <w:t>dministratīvo izmaksu monetārs novērtējums</w:t>
            </w:r>
            <w:r w:rsidR="00F8527F">
              <w:rPr>
                <w:lang w:eastAsia="en-US"/>
              </w:rPr>
              <w:t xml:space="preserve"> ir ietverts noteikumu Nr.126 anotācijā</w:t>
            </w:r>
            <w:r w:rsidR="00F8527F">
              <w:t xml:space="preserve">, kas ir par pamatu </w:t>
            </w:r>
            <w:r w:rsidR="00F8527F">
              <w:lastRenderedPageBreak/>
              <w:t xml:space="preserve">arī šī noteikumu projekta </w:t>
            </w:r>
            <w:r>
              <w:t>atbalsta pasākumi</w:t>
            </w:r>
            <w:r w:rsidR="00F8527F">
              <w:t xml:space="preserve">em. </w:t>
            </w:r>
            <w:r w:rsidR="00A73BFF">
              <w:rPr>
                <w:b/>
              </w:rPr>
              <w:t>Ievērojot minēto,</w:t>
            </w:r>
            <w:r w:rsidR="00F8527F" w:rsidRPr="008907EA">
              <w:rPr>
                <w:b/>
              </w:rPr>
              <w:t xml:space="preserve"> šajā noteikumu projektā administratīvo izmaksu monetārais novērtējums nav iekļaujams.</w:t>
            </w:r>
            <w:r w:rsidR="00F8527F">
              <w:t xml:space="preserve"> </w:t>
            </w:r>
          </w:p>
        </w:tc>
      </w:tr>
      <w:tr w:rsidR="009117F4" w:rsidRPr="00D30FB2" w:rsidTr="00CD1BE7">
        <w:trPr>
          <w:trHeight w:val="345"/>
        </w:trPr>
        <w:tc>
          <w:tcPr>
            <w:tcW w:w="382" w:type="pct"/>
          </w:tcPr>
          <w:p w:rsidR="009117F4" w:rsidRPr="00D30FB2" w:rsidRDefault="009117F4" w:rsidP="00E06138">
            <w:r w:rsidRPr="00D30FB2">
              <w:lastRenderedPageBreak/>
              <w:t>4.</w:t>
            </w:r>
          </w:p>
        </w:tc>
        <w:tc>
          <w:tcPr>
            <w:tcW w:w="1133" w:type="pct"/>
          </w:tcPr>
          <w:p w:rsidR="009117F4" w:rsidRPr="00D30FB2" w:rsidRDefault="009117F4" w:rsidP="00E06138">
            <w:pPr>
              <w:rPr>
                <w:lang w:eastAsia="en-US"/>
              </w:rPr>
            </w:pPr>
            <w:r w:rsidRPr="00D30FB2">
              <w:rPr>
                <w:lang w:eastAsia="en-US"/>
              </w:rPr>
              <w:t>Cita informācija</w:t>
            </w:r>
          </w:p>
        </w:tc>
        <w:tc>
          <w:tcPr>
            <w:tcW w:w="3485" w:type="pct"/>
          </w:tcPr>
          <w:p w:rsidR="009117F4" w:rsidRPr="00D30FB2" w:rsidRDefault="009C2D35" w:rsidP="00E06138">
            <w:pPr>
              <w:spacing w:before="100" w:beforeAutospacing="1" w:after="100" w:afterAutospacing="1" w:line="360" w:lineRule="auto"/>
            </w:pPr>
            <w:r w:rsidRPr="00D30FB2">
              <w:t>Nav</w:t>
            </w:r>
          </w:p>
        </w:tc>
      </w:tr>
    </w:tbl>
    <w:p w:rsidR="00777B15" w:rsidRDefault="00777B15" w:rsidP="00777B15">
      <w:pPr>
        <w:pStyle w:val="a"/>
        <w:tabs>
          <w:tab w:val="left" w:pos="1494"/>
          <w:tab w:val="center" w:pos="4357"/>
        </w:tabs>
        <w:spacing w:before="0" w:beforeAutospacing="0" w:after="0" w:afterAutospacing="0"/>
        <w:rPr>
          <w:b/>
        </w:rPr>
      </w:pPr>
      <w:r>
        <w:rPr>
          <w:b/>
        </w:rPr>
        <w:tab/>
      </w:r>
    </w:p>
    <w:p w:rsidR="00777B15" w:rsidRDefault="00777B15" w:rsidP="00777B15">
      <w:pPr>
        <w:pStyle w:val="a"/>
        <w:tabs>
          <w:tab w:val="left" w:pos="1494"/>
          <w:tab w:val="center" w:pos="4357"/>
        </w:tabs>
        <w:spacing w:before="0" w:beforeAutospacing="0" w:after="0" w:afterAutospacing="0"/>
        <w:rPr>
          <w:b/>
        </w:rPr>
      </w:pPr>
      <w:r>
        <w:rPr>
          <w:b/>
        </w:rPr>
        <w:t xml:space="preserve">Anotācijas III, </w:t>
      </w:r>
      <w:r w:rsidR="00A624CC">
        <w:rPr>
          <w:b/>
        </w:rPr>
        <w:t xml:space="preserve">un </w:t>
      </w:r>
      <w:r w:rsidRPr="00B8565C">
        <w:rPr>
          <w:b/>
        </w:rPr>
        <w:t>IV</w:t>
      </w:r>
      <w:r>
        <w:rPr>
          <w:b/>
        </w:rPr>
        <w:t xml:space="preserve"> </w:t>
      </w:r>
      <w:r w:rsidR="00A624CC">
        <w:rPr>
          <w:b/>
        </w:rPr>
        <w:t xml:space="preserve">- </w:t>
      </w:r>
      <w:r w:rsidRPr="00B8565C">
        <w:rPr>
          <w:b/>
        </w:rPr>
        <w:t>projekts šo jomu neskar.</w:t>
      </w:r>
    </w:p>
    <w:p w:rsidR="00A624CC" w:rsidRDefault="00943E4E" w:rsidP="00943E4E">
      <w:r w:rsidRPr="00D30FB2">
        <w:t> </w:t>
      </w:r>
    </w:p>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2627"/>
        <w:gridCol w:w="6291"/>
      </w:tblGrid>
      <w:tr w:rsidR="00DC26CD" w:rsidRPr="00DC26CD" w:rsidTr="00F64690">
        <w:tc>
          <w:tcPr>
            <w:tcW w:w="5000" w:type="pct"/>
            <w:gridSpan w:val="3"/>
          </w:tcPr>
          <w:p w:rsidR="00A624CC" w:rsidRPr="00DC26CD" w:rsidRDefault="00A624CC" w:rsidP="00F64690">
            <w:pPr>
              <w:rPr>
                <w:b/>
                <w:bCs/>
              </w:rPr>
            </w:pPr>
            <w:r w:rsidRPr="00DC26CD">
              <w:rPr>
                <w:b/>
                <w:bCs/>
              </w:rPr>
              <w:t>V. Tiesību akta projekta atbilstība Latvijas Republikas starptautiskajām saistībām</w:t>
            </w:r>
          </w:p>
        </w:tc>
      </w:tr>
      <w:tr w:rsidR="00DC26CD" w:rsidRPr="00DC26CD" w:rsidTr="00F64690">
        <w:tc>
          <w:tcPr>
            <w:tcW w:w="393" w:type="pct"/>
          </w:tcPr>
          <w:p w:rsidR="00A624CC" w:rsidRPr="00DC26CD" w:rsidRDefault="00A624CC" w:rsidP="00F64690">
            <w:r w:rsidRPr="00DC26CD">
              <w:t>1.</w:t>
            </w:r>
          </w:p>
        </w:tc>
        <w:tc>
          <w:tcPr>
            <w:tcW w:w="1357" w:type="pct"/>
          </w:tcPr>
          <w:p w:rsidR="00A624CC" w:rsidRPr="00DC26CD" w:rsidRDefault="00A624CC" w:rsidP="00F64690">
            <w:r w:rsidRPr="00DC26CD">
              <w:t>Saistības pret Eiropas Savienību</w:t>
            </w:r>
          </w:p>
        </w:tc>
        <w:tc>
          <w:tcPr>
            <w:tcW w:w="3250" w:type="pct"/>
          </w:tcPr>
          <w:p w:rsidR="00A624CC" w:rsidRPr="00225E21" w:rsidRDefault="00A624CC" w:rsidP="00F64690">
            <w:pPr>
              <w:jc w:val="both"/>
            </w:pPr>
            <w:r w:rsidRPr="00225E21">
              <w:t>Noteikumu projekts ir sagatavots, pamatojoties uz šād</w:t>
            </w:r>
            <w:r w:rsidR="001E000E" w:rsidRPr="00225E21">
              <w:t xml:space="preserve">u </w:t>
            </w:r>
            <w:r w:rsidRPr="00225E21">
              <w:t>regul</w:t>
            </w:r>
            <w:r w:rsidR="001E000E" w:rsidRPr="00225E21">
              <w:t>u</w:t>
            </w:r>
            <w:r w:rsidRPr="00225E21">
              <w:t>:</w:t>
            </w:r>
          </w:p>
          <w:p w:rsidR="007107CD" w:rsidRPr="00225E21" w:rsidRDefault="004F113B" w:rsidP="004F113B">
            <w:pPr>
              <w:pStyle w:val="Punkts"/>
            </w:pPr>
            <w:r w:rsidRPr="00225E21">
              <w:t xml:space="preserve">1) </w:t>
            </w:r>
            <w:r w:rsidR="00BD1AA6" w:rsidRPr="00225E21">
              <w:t>Komisijas 2016. gada 28. aprīļa Īstenošanas regula (ES) Nr. </w:t>
            </w:r>
            <w:hyperlink r:id="rId11" w:tgtFrame="_blank" w:history="1">
              <w:r w:rsidR="00BD1AA6" w:rsidRPr="00225E21">
                <w:t>669/201</w:t>
              </w:r>
            </w:hyperlink>
            <w:r w:rsidR="00BD1AA6" w:rsidRPr="00225E21">
              <w:t>6 ar ko Īstenošanas Regulu (ES) Nr. 808/2014 groza attiecībā uz lauku attīstības programmu grozīšanu un saturu, šo programmu publicitāti un konversijas likmēm pārrēķināšanai nosacītajās mājlopu vienībās</w:t>
            </w:r>
            <w:r w:rsidRPr="00225E21">
              <w:t>;</w:t>
            </w:r>
          </w:p>
          <w:p w:rsidR="004F113B" w:rsidRPr="00225E21" w:rsidRDefault="004F113B" w:rsidP="004F113B">
            <w:pPr>
              <w:jc w:val="both"/>
            </w:pPr>
            <w:r w:rsidRPr="00225E21">
              <w:t>2) Komisijas 2014. gada 17. jūlija Īstenošanas regulu (ES) Nr. 808/2014, ar kuru paredz noteikumus, kā piemērot Eiropas Parlamenta un Padomes Regulu (ES) Nr. 1305/2013 par atbalstu lauku attīstībai no Eiropas Lauksaimniecības fonda lauku attīstībai (ELFLA);</w:t>
            </w:r>
          </w:p>
          <w:p w:rsidR="004F113B" w:rsidRPr="00225E21" w:rsidRDefault="00B43173" w:rsidP="00B43173">
            <w:pPr>
              <w:jc w:val="both"/>
            </w:pPr>
            <w:r w:rsidRPr="00225E21">
              <w:t>3) Eiropas Parlamenta un Padomes 2013. gada 17. decembra Regulas (ES) Nr. 1306/2013 par kopējās lauksaimniecības politikas finansēšanu, pārvaldību un uzraudzību un Padomes Regulu (EEK) Nr. 352/78, (EK) Nr. 165/94, (EK) Nr. 2799/98, (EK) Nr. 814/2000, (EK) Nr. 1290/2005 un (EK) Nr. 485/2008 atcelšanu;</w:t>
            </w:r>
          </w:p>
          <w:p w:rsidR="00F64690" w:rsidRPr="00225E21" w:rsidRDefault="00F64690" w:rsidP="00F64690">
            <w:pPr>
              <w:jc w:val="both"/>
            </w:pPr>
            <w:r w:rsidRPr="00225E21">
              <w:t>4) Padomes 2013. gada 17. decembra Regulas (ES) Nr. 1305/2013 par atbalstu lauku attīstībai no Eiropas Lauksaimniecības fonda lauku attīstībai (ELFLA) un ar ko atceļ Padomes Regulu (EK) Nr. 1698/2005;</w:t>
            </w:r>
          </w:p>
          <w:p w:rsidR="00F64690" w:rsidRPr="00225E21" w:rsidRDefault="00F64690" w:rsidP="00F64690">
            <w:pPr>
              <w:jc w:val="both"/>
            </w:pPr>
            <w:r w:rsidRPr="00225E21">
              <w:t>5) Padomes 2007. gada 28. jūnija Regulu (EK) Nr. 834/2007 par bioloģisko ražošanu un bioloģisko produktu marķēšanu un par Regulas (EEK) Nr. 2092/91 atcelšanu;</w:t>
            </w:r>
          </w:p>
          <w:p w:rsidR="00F64690" w:rsidRPr="004F113B" w:rsidRDefault="00F64690" w:rsidP="00225E21">
            <w:pPr>
              <w:jc w:val="both"/>
            </w:pPr>
            <w:r w:rsidRPr="00225E21">
              <w:t>6) Komisijas 2014. gada 11. marta Deleģētās regulas (ES) Nr. 640/2014, ar ko papildina Eiropas Parlamenta un Padomes Regulu (ES) Nr. 1306/2013 attiecībā uz integrēto administrācijas un kontroles sistēmu, maksājumu atteikšanas vai atsaukšanas nosacījumiem un administratīvajiem sodiem, kas piemērojami tiešo maksājumu, lauku attīstības atbalsta un savstarpējās atbilstības kontekstā</w:t>
            </w:r>
            <w:r w:rsidR="00225E21" w:rsidRPr="00225E21">
              <w:t>.</w:t>
            </w:r>
          </w:p>
        </w:tc>
      </w:tr>
      <w:tr w:rsidR="00DC26CD" w:rsidRPr="00DC26CD" w:rsidTr="00F64690">
        <w:tc>
          <w:tcPr>
            <w:tcW w:w="393" w:type="pct"/>
          </w:tcPr>
          <w:p w:rsidR="00A624CC" w:rsidRPr="00DC26CD" w:rsidRDefault="00A624CC" w:rsidP="00F64690">
            <w:r w:rsidRPr="00DC26CD">
              <w:t>2.</w:t>
            </w:r>
          </w:p>
        </w:tc>
        <w:tc>
          <w:tcPr>
            <w:tcW w:w="1357" w:type="pct"/>
          </w:tcPr>
          <w:p w:rsidR="00A624CC" w:rsidRPr="00DC26CD" w:rsidRDefault="00A624CC" w:rsidP="00F64690">
            <w:r w:rsidRPr="00DC26CD">
              <w:t>Citas starptautiskās saistības</w:t>
            </w:r>
          </w:p>
        </w:tc>
        <w:tc>
          <w:tcPr>
            <w:tcW w:w="3250" w:type="pct"/>
          </w:tcPr>
          <w:p w:rsidR="00A624CC" w:rsidRPr="00DC26CD" w:rsidRDefault="00A624CC" w:rsidP="00F64690">
            <w:r w:rsidRPr="00DC26CD">
              <w:t>Nav</w:t>
            </w:r>
          </w:p>
        </w:tc>
      </w:tr>
      <w:tr w:rsidR="00DC26CD" w:rsidRPr="00DC26CD" w:rsidTr="00F64690">
        <w:tc>
          <w:tcPr>
            <w:tcW w:w="393" w:type="pct"/>
          </w:tcPr>
          <w:p w:rsidR="00A624CC" w:rsidRPr="00DC26CD" w:rsidRDefault="00A624CC" w:rsidP="00F64690">
            <w:r w:rsidRPr="00DC26CD">
              <w:t>3.</w:t>
            </w:r>
          </w:p>
        </w:tc>
        <w:tc>
          <w:tcPr>
            <w:tcW w:w="1357" w:type="pct"/>
          </w:tcPr>
          <w:p w:rsidR="00A624CC" w:rsidRPr="00DC26CD" w:rsidRDefault="00A624CC" w:rsidP="00F64690">
            <w:r w:rsidRPr="00DC26CD">
              <w:t>Cita informācija</w:t>
            </w:r>
          </w:p>
        </w:tc>
        <w:tc>
          <w:tcPr>
            <w:tcW w:w="3250" w:type="pct"/>
          </w:tcPr>
          <w:p w:rsidR="00A624CC" w:rsidRPr="00DC26CD" w:rsidRDefault="00A624CC" w:rsidP="00F64690">
            <w:r w:rsidRPr="00DC26CD">
              <w:t>Nav</w:t>
            </w:r>
          </w:p>
        </w:tc>
      </w:tr>
    </w:tbl>
    <w:p w:rsidR="00943E4E" w:rsidRDefault="00943E4E" w:rsidP="00943E4E"/>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8"/>
        <w:gridCol w:w="2211"/>
        <w:gridCol w:w="1069"/>
        <w:gridCol w:w="263"/>
        <w:gridCol w:w="3368"/>
      </w:tblGrid>
      <w:tr w:rsidR="00DC26CD" w:rsidRPr="00DC26CD" w:rsidTr="00F64690">
        <w:tc>
          <w:tcPr>
            <w:tcW w:w="5000" w:type="pct"/>
            <w:gridSpan w:val="5"/>
          </w:tcPr>
          <w:p w:rsidR="000645F6" w:rsidRPr="003F6573" w:rsidRDefault="000645F6" w:rsidP="00F64690">
            <w:pPr>
              <w:rPr>
                <w:b/>
                <w:bCs/>
              </w:rPr>
            </w:pPr>
            <w:r w:rsidRPr="003F6573">
              <w:rPr>
                <w:b/>
                <w:bCs/>
              </w:rPr>
              <w:t>1.tabula</w:t>
            </w:r>
            <w:r w:rsidRPr="003F6573">
              <w:rPr>
                <w:b/>
                <w:bCs/>
              </w:rPr>
              <w:br/>
              <w:t>Tiesību akta projekta atbilstība ES tiesību aktiem</w:t>
            </w:r>
          </w:p>
        </w:tc>
      </w:tr>
      <w:tr w:rsidR="00DC26CD" w:rsidRPr="00DC26CD" w:rsidTr="00F64690">
        <w:tc>
          <w:tcPr>
            <w:tcW w:w="1430" w:type="pct"/>
          </w:tcPr>
          <w:p w:rsidR="000645F6" w:rsidRPr="003F6573" w:rsidRDefault="000645F6" w:rsidP="00F64690">
            <w:r w:rsidRPr="003F6573">
              <w:t>Attiecīgā ES tiesību akta datums, numurs un nosaukums</w:t>
            </w:r>
          </w:p>
        </w:tc>
        <w:tc>
          <w:tcPr>
            <w:tcW w:w="3570" w:type="pct"/>
            <w:gridSpan w:val="4"/>
          </w:tcPr>
          <w:p w:rsidR="000645F6" w:rsidRDefault="004F113B" w:rsidP="003F6573">
            <w:pPr>
              <w:pStyle w:val="Punkts"/>
              <w:rPr>
                <w:iCs/>
                <w:szCs w:val="28"/>
              </w:rPr>
            </w:pPr>
            <w:r>
              <w:rPr>
                <w:iCs/>
                <w:szCs w:val="28"/>
              </w:rPr>
              <w:t xml:space="preserve">1) </w:t>
            </w:r>
            <w:r w:rsidR="00B322C1" w:rsidRPr="008824BC">
              <w:rPr>
                <w:iCs/>
                <w:szCs w:val="28"/>
              </w:rPr>
              <w:t>Komisijas 2016. gada 28. aprīļa Īstenošanas regulai (ES) Nr. </w:t>
            </w:r>
            <w:hyperlink r:id="rId12" w:tgtFrame="_blank" w:history="1">
              <w:r w:rsidR="00B322C1" w:rsidRPr="008824BC">
                <w:rPr>
                  <w:iCs/>
                  <w:szCs w:val="28"/>
                </w:rPr>
                <w:t>669/201</w:t>
              </w:r>
            </w:hyperlink>
            <w:r w:rsidR="00B322C1" w:rsidRPr="008824BC">
              <w:rPr>
                <w:iCs/>
                <w:szCs w:val="28"/>
              </w:rPr>
              <w:t xml:space="preserve">6, ar ko Īstenošanas Regulu (ES) Nr. 808/2014 groza attiecībā uz lauku attīstības programmu grozīšanu un saturu, šo </w:t>
            </w:r>
            <w:r w:rsidR="00B322C1" w:rsidRPr="008824BC">
              <w:rPr>
                <w:iCs/>
                <w:szCs w:val="28"/>
              </w:rPr>
              <w:lastRenderedPageBreak/>
              <w:t>programmu publicitāti un konversijas likmēm pārrēķināšanai nosacītajās mājlopu vienībās (turpmāk – regula Nr. </w:t>
            </w:r>
            <w:hyperlink r:id="rId13" w:tgtFrame="_blank" w:history="1">
              <w:r w:rsidR="00B322C1" w:rsidRPr="008824BC">
                <w:rPr>
                  <w:iCs/>
                  <w:szCs w:val="28"/>
                </w:rPr>
                <w:t>669/201</w:t>
              </w:r>
            </w:hyperlink>
            <w:r w:rsidR="00B322C1" w:rsidRPr="008824BC">
              <w:rPr>
                <w:iCs/>
                <w:szCs w:val="28"/>
              </w:rPr>
              <w:t>6</w:t>
            </w:r>
            <w:r>
              <w:rPr>
                <w:iCs/>
                <w:szCs w:val="28"/>
              </w:rPr>
              <w:t>);</w:t>
            </w:r>
          </w:p>
          <w:p w:rsidR="004F113B" w:rsidRPr="00A776D6" w:rsidRDefault="004F113B" w:rsidP="00A776D6">
            <w:pPr>
              <w:jc w:val="both"/>
            </w:pPr>
            <w:r>
              <w:t xml:space="preserve">2) </w:t>
            </w:r>
            <w:r w:rsidR="00783388" w:rsidRPr="004F113B">
              <w:t>Komisijas 2014. gada 17. jūlija Īstenošanas r</w:t>
            </w:r>
            <w:r w:rsidR="00783388" w:rsidRPr="00A776D6">
              <w:t>egulu (ES) Nr. 808/2014, ar kuru paredz noteikumus, kā piemērot Eiropas Parlamenta un Padomes Regulu (ES) Nr. 1305/2013 par atbalstu lauku attīstībai no Eiropas Lauksaimniecības fonda lauku attīstībai (ELFLA)</w:t>
            </w:r>
            <w:r w:rsidR="00783388" w:rsidRPr="00A776D6">
              <w:rPr>
                <w:iCs/>
              </w:rPr>
              <w:t xml:space="preserve"> (turpmāk – regula Nr. </w:t>
            </w:r>
            <w:hyperlink r:id="rId14" w:tgtFrame="_blank" w:history="1">
              <w:r w:rsidR="00783388" w:rsidRPr="00A776D6">
                <w:rPr>
                  <w:iCs/>
                </w:rPr>
                <w:t>808/201</w:t>
              </w:r>
            </w:hyperlink>
            <w:r w:rsidR="00783388" w:rsidRPr="00A776D6">
              <w:t>4</w:t>
            </w:r>
            <w:r w:rsidR="00783388" w:rsidRPr="00A776D6">
              <w:rPr>
                <w:iCs/>
              </w:rPr>
              <w:t>)</w:t>
            </w:r>
            <w:r w:rsidR="00783388" w:rsidRPr="00A776D6">
              <w:t>;</w:t>
            </w:r>
          </w:p>
          <w:p w:rsidR="00B43173" w:rsidRPr="00A776D6" w:rsidRDefault="00B43173" w:rsidP="00A776D6">
            <w:pPr>
              <w:jc w:val="both"/>
            </w:pPr>
            <w:r w:rsidRPr="00A776D6">
              <w:t>3) Eiropas Parlamenta un Padomes 2013. gada 17. decembra Regulas (ES) Nr. 1306/2013 par kopējās lauksaimniecības politikas finansēšanu, pārvaldību un uzraudzību un Padomes Regulu (EEK) Nr. 352/78, (EK) Nr. 165/94, (EK) Nr. 2799/98, (EK) Nr. 814/2000, (EK) Nr. 1290/2005 un (EK) Nr. 485/2008 atcelšanu (turpmāk – Regula Nr. 1306/2013);</w:t>
            </w:r>
          </w:p>
          <w:p w:rsidR="00F64690" w:rsidRPr="00A776D6" w:rsidRDefault="00F64690" w:rsidP="00A776D6">
            <w:pPr>
              <w:jc w:val="both"/>
            </w:pPr>
            <w:r w:rsidRPr="00A776D6">
              <w:t>4) Padomes 2013. gada 17. decembra Regulas (ES) Nr. 1305/2013 par atbalstu lauku attīstībai no Eiropas Lauksaimniecības fonda lauku attīstībai (ELFLA) un ar ko atceļ Padomes Regulu (EK) Nr. 1698/2005 (turpmāk – Regula Nr. 1305/2013);</w:t>
            </w:r>
          </w:p>
          <w:p w:rsidR="004F113B" w:rsidRPr="00A776D6" w:rsidRDefault="00F64690" w:rsidP="00A776D6">
            <w:pPr>
              <w:jc w:val="both"/>
            </w:pPr>
            <w:r w:rsidRPr="00A776D6">
              <w:t>5) Padomes 2007. gada 28. jūnija Regulu (EK) Nr. 834/2007 par bioloģisko ražošanu un bioloģisko produktu marķēšanu un par Regulas (EEK) Nr. 2092/91 atcelšanu (turpmāk - Regula Nr. 834/2007);</w:t>
            </w:r>
          </w:p>
          <w:p w:rsidR="00F64690" w:rsidRPr="004F113B" w:rsidRDefault="00F64690" w:rsidP="00225E21">
            <w:pPr>
              <w:jc w:val="both"/>
            </w:pPr>
            <w:r w:rsidRPr="00A776D6">
              <w:t>6) Komisijas 2014. gada 11. marta Deleģētās regulas (ES) Nr. 640/2014, ar ko papildina Eiropas Parlamenta un Padomes Regulu (ES) Nr. 1306/2013 attiecībā uz integrēto administrācijas un kontroles sistēmu, maksājumu atteikšanas vai atsaukšanas nosacījumiem un administratīvajiem sodiem, kas piemērojami tiešo maksājumu, lauku attīstības atbalsta un savstarpējās atbilstības kontekstā, (turpmāk – Regula Nr. 640/2014)</w:t>
            </w:r>
            <w:r w:rsidR="00225E21">
              <w:t>.</w:t>
            </w:r>
          </w:p>
        </w:tc>
      </w:tr>
      <w:tr w:rsidR="00DC26CD" w:rsidRPr="00DC26CD" w:rsidTr="00F64690">
        <w:tc>
          <w:tcPr>
            <w:tcW w:w="1430" w:type="pct"/>
          </w:tcPr>
          <w:p w:rsidR="000645F6" w:rsidRPr="00DC26CD" w:rsidRDefault="000645F6" w:rsidP="00F64690">
            <w:r w:rsidRPr="00DC26CD">
              <w:lastRenderedPageBreak/>
              <w:t>A</w:t>
            </w:r>
          </w:p>
        </w:tc>
        <w:tc>
          <w:tcPr>
            <w:tcW w:w="1142" w:type="pct"/>
          </w:tcPr>
          <w:p w:rsidR="000645F6" w:rsidRPr="00DC26CD" w:rsidRDefault="000645F6" w:rsidP="00F64690">
            <w:r w:rsidRPr="00DC26CD">
              <w:t>B</w:t>
            </w:r>
          </w:p>
        </w:tc>
        <w:tc>
          <w:tcPr>
            <w:tcW w:w="552" w:type="pct"/>
          </w:tcPr>
          <w:p w:rsidR="000645F6" w:rsidRPr="00DC26CD" w:rsidRDefault="000645F6" w:rsidP="00F64690">
            <w:r w:rsidRPr="00DC26CD">
              <w:t>C</w:t>
            </w:r>
          </w:p>
        </w:tc>
        <w:tc>
          <w:tcPr>
            <w:tcW w:w="1876" w:type="pct"/>
            <w:gridSpan w:val="2"/>
          </w:tcPr>
          <w:p w:rsidR="000645F6" w:rsidRPr="00DC26CD" w:rsidRDefault="000645F6" w:rsidP="00F64690">
            <w:r w:rsidRPr="00DC26CD">
              <w:t>D</w:t>
            </w:r>
          </w:p>
        </w:tc>
      </w:tr>
      <w:tr w:rsidR="00DC26CD" w:rsidRPr="00DC26CD" w:rsidTr="00FD7657">
        <w:trPr>
          <w:trHeight w:val="584"/>
        </w:trPr>
        <w:tc>
          <w:tcPr>
            <w:tcW w:w="1430" w:type="pct"/>
          </w:tcPr>
          <w:p w:rsidR="00FD7657" w:rsidRPr="00DC26CD" w:rsidRDefault="00225E21" w:rsidP="00A26BD0">
            <w:pPr>
              <w:rPr>
                <w:bCs/>
              </w:rPr>
            </w:pPr>
            <w:r>
              <w:rPr>
                <w:bCs/>
              </w:rPr>
              <w:t>R</w:t>
            </w:r>
            <w:r w:rsidR="00FD7657" w:rsidRPr="00F141A3">
              <w:rPr>
                <w:bCs/>
              </w:rPr>
              <w:t xml:space="preserve">egulas </w:t>
            </w:r>
            <w:r w:rsidR="003F6573" w:rsidRPr="00F141A3">
              <w:t xml:space="preserve">Nr.699/2016 </w:t>
            </w:r>
            <w:r w:rsidR="00FD7657" w:rsidRPr="00F141A3">
              <w:rPr>
                <w:bCs/>
              </w:rPr>
              <w:t>1.</w:t>
            </w:r>
            <w:r w:rsidR="00A26BD0">
              <w:rPr>
                <w:bCs/>
              </w:rPr>
              <w:t>p</w:t>
            </w:r>
            <w:r w:rsidR="00FD7657" w:rsidRPr="00F141A3">
              <w:rPr>
                <w:bCs/>
              </w:rPr>
              <w:t>ant</w:t>
            </w:r>
            <w:r w:rsidR="00A26BD0">
              <w:rPr>
                <w:bCs/>
              </w:rPr>
              <w:t>a</w:t>
            </w:r>
            <w:r w:rsidR="003F6573" w:rsidRPr="00F141A3">
              <w:rPr>
                <w:bCs/>
              </w:rPr>
              <w:t xml:space="preserve"> 2</w:t>
            </w:r>
            <w:r w:rsidR="00FD7657" w:rsidRPr="00F141A3">
              <w:rPr>
                <w:bCs/>
              </w:rPr>
              <w:t>.punkts</w:t>
            </w:r>
            <w:r w:rsidR="003F6573" w:rsidRPr="00F141A3">
              <w:rPr>
                <w:bCs/>
              </w:rPr>
              <w:t xml:space="preserve"> un II</w:t>
            </w:r>
            <w:r w:rsidR="003F6573">
              <w:rPr>
                <w:bCs/>
              </w:rPr>
              <w:t xml:space="preserve"> pielikums</w:t>
            </w:r>
          </w:p>
        </w:tc>
        <w:tc>
          <w:tcPr>
            <w:tcW w:w="1142" w:type="pct"/>
          </w:tcPr>
          <w:p w:rsidR="00FD7657" w:rsidRPr="00DC26CD" w:rsidRDefault="00FD7657" w:rsidP="004F113B">
            <w:pPr>
              <w:rPr>
                <w:bCs/>
              </w:rPr>
            </w:pPr>
            <w:r w:rsidRPr="00DC26CD">
              <w:rPr>
                <w:bCs/>
              </w:rPr>
              <w:t xml:space="preserve">Noteikumu projekta </w:t>
            </w:r>
            <w:r w:rsidR="00523258">
              <w:rPr>
                <w:bCs/>
              </w:rPr>
              <w:t>1.</w:t>
            </w:r>
            <w:r w:rsidR="00432A95">
              <w:rPr>
                <w:bCs/>
              </w:rPr>
              <w:t>4</w:t>
            </w:r>
            <w:r w:rsidR="004F113B">
              <w:rPr>
                <w:bCs/>
              </w:rPr>
              <w:t>9</w:t>
            </w:r>
            <w:r w:rsidR="00F508F2">
              <w:rPr>
                <w:bCs/>
              </w:rPr>
              <w:t xml:space="preserve">. </w:t>
            </w:r>
            <w:r w:rsidRPr="00DC26CD">
              <w:rPr>
                <w:bCs/>
              </w:rPr>
              <w:t>punkts</w:t>
            </w:r>
            <w:r w:rsidR="003F6573">
              <w:rPr>
                <w:bCs/>
              </w:rPr>
              <w:t xml:space="preserve"> </w:t>
            </w:r>
          </w:p>
        </w:tc>
        <w:tc>
          <w:tcPr>
            <w:tcW w:w="552" w:type="pct"/>
          </w:tcPr>
          <w:p w:rsidR="00FD7657" w:rsidRPr="00DC26CD" w:rsidRDefault="00FD7657" w:rsidP="00F64690">
            <w:pPr>
              <w:rPr>
                <w:bCs/>
              </w:rPr>
            </w:pPr>
            <w:r w:rsidRPr="00DC26CD">
              <w:rPr>
                <w:bCs/>
              </w:rPr>
              <w:t>Ieviests pilnībā</w:t>
            </w:r>
          </w:p>
        </w:tc>
        <w:tc>
          <w:tcPr>
            <w:tcW w:w="1876" w:type="pct"/>
            <w:gridSpan w:val="2"/>
          </w:tcPr>
          <w:p w:rsidR="00FD7657" w:rsidRPr="00DC26CD" w:rsidRDefault="00FD7657" w:rsidP="00F64690">
            <w:pPr>
              <w:rPr>
                <w:bCs/>
              </w:rPr>
            </w:pPr>
            <w:r w:rsidRPr="00DC26CD">
              <w:rPr>
                <w:bCs/>
              </w:rPr>
              <w:t>Neparedz stingrākas prasības kā ES tiesību normas.</w:t>
            </w:r>
          </w:p>
        </w:tc>
      </w:tr>
      <w:tr w:rsidR="004F113B" w:rsidRPr="00DC26CD" w:rsidTr="00FD7657">
        <w:trPr>
          <w:trHeight w:val="584"/>
        </w:trPr>
        <w:tc>
          <w:tcPr>
            <w:tcW w:w="1430" w:type="pct"/>
          </w:tcPr>
          <w:p w:rsidR="004F113B" w:rsidRDefault="00225E21" w:rsidP="00A26BD0">
            <w:pPr>
              <w:rPr>
                <w:bCs/>
              </w:rPr>
            </w:pPr>
            <w:r>
              <w:rPr>
                <w:sz w:val="22"/>
                <w:szCs w:val="22"/>
              </w:rPr>
              <w:t>R</w:t>
            </w:r>
            <w:r w:rsidR="004F113B" w:rsidRPr="00614DC4">
              <w:rPr>
                <w:sz w:val="22"/>
                <w:szCs w:val="22"/>
              </w:rPr>
              <w:t>egulas Nr. 808/2014 9.panta 1. un 2. punkt</w:t>
            </w:r>
            <w:r w:rsidR="00783388">
              <w:rPr>
                <w:sz w:val="22"/>
                <w:szCs w:val="22"/>
              </w:rPr>
              <w:t>s</w:t>
            </w:r>
            <w:r w:rsidR="004F113B" w:rsidRPr="00614DC4">
              <w:rPr>
                <w:sz w:val="22"/>
                <w:szCs w:val="22"/>
              </w:rPr>
              <w:t xml:space="preserve"> un II pielikum</w:t>
            </w:r>
            <w:r w:rsidR="00783388">
              <w:rPr>
                <w:sz w:val="22"/>
                <w:szCs w:val="22"/>
              </w:rPr>
              <w:t>s</w:t>
            </w:r>
          </w:p>
        </w:tc>
        <w:tc>
          <w:tcPr>
            <w:tcW w:w="1142" w:type="pct"/>
          </w:tcPr>
          <w:p w:rsidR="004F113B" w:rsidRPr="00DC26CD" w:rsidRDefault="004F113B" w:rsidP="004F113B">
            <w:pPr>
              <w:rPr>
                <w:bCs/>
              </w:rPr>
            </w:pPr>
            <w:r w:rsidRPr="00DC26CD">
              <w:rPr>
                <w:bCs/>
              </w:rPr>
              <w:t xml:space="preserve">Noteikumu projekta </w:t>
            </w:r>
            <w:r w:rsidR="00523258">
              <w:rPr>
                <w:bCs/>
              </w:rPr>
              <w:t>1.</w:t>
            </w:r>
            <w:r>
              <w:rPr>
                <w:bCs/>
              </w:rPr>
              <w:t xml:space="preserve">49. </w:t>
            </w:r>
            <w:r w:rsidRPr="00DC26CD">
              <w:rPr>
                <w:bCs/>
              </w:rPr>
              <w:t>punkts</w:t>
            </w:r>
          </w:p>
        </w:tc>
        <w:tc>
          <w:tcPr>
            <w:tcW w:w="552" w:type="pct"/>
          </w:tcPr>
          <w:p w:rsidR="004F113B" w:rsidRPr="00DC26CD" w:rsidRDefault="004F113B" w:rsidP="00F64690">
            <w:pPr>
              <w:rPr>
                <w:bCs/>
              </w:rPr>
            </w:pPr>
            <w:r w:rsidRPr="00DC26CD">
              <w:rPr>
                <w:bCs/>
              </w:rPr>
              <w:t>Ieviests pilnībā</w:t>
            </w:r>
          </w:p>
        </w:tc>
        <w:tc>
          <w:tcPr>
            <w:tcW w:w="1876" w:type="pct"/>
            <w:gridSpan w:val="2"/>
          </w:tcPr>
          <w:p w:rsidR="004F113B" w:rsidRPr="00DC26CD" w:rsidRDefault="004F113B" w:rsidP="00F64690">
            <w:pPr>
              <w:rPr>
                <w:bCs/>
              </w:rPr>
            </w:pPr>
            <w:r w:rsidRPr="00DC26CD">
              <w:rPr>
                <w:bCs/>
              </w:rPr>
              <w:t>Neparedz stingrākas prasības kā ES tiesību normas.</w:t>
            </w:r>
          </w:p>
        </w:tc>
      </w:tr>
      <w:tr w:rsidR="00225E21" w:rsidRPr="00DC26CD" w:rsidTr="00FD7657">
        <w:trPr>
          <w:trHeight w:val="584"/>
        </w:trPr>
        <w:tc>
          <w:tcPr>
            <w:tcW w:w="1430" w:type="pct"/>
          </w:tcPr>
          <w:p w:rsidR="00225E21" w:rsidRDefault="00225E21" w:rsidP="00225E21">
            <w:pPr>
              <w:rPr>
                <w:sz w:val="22"/>
                <w:szCs w:val="22"/>
              </w:rPr>
            </w:pPr>
            <w:r>
              <w:rPr>
                <w:sz w:val="22"/>
                <w:szCs w:val="22"/>
              </w:rPr>
              <w:t>Regula Nr. 1306/</w:t>
            </w:r>
            <w:r w:rsidRPr="00225E21">
              <w:rPr>
                <w:sz w:val="22"/>
                <w:szCs w:val="22"/>
              </w:rPr>
              <w:t>2013 2. panta 2. punkts</w:t>
            </w:r>
          </w:p>
        </w:tc>
        <w:tc>
          <w:tcPr>
            <w:tcW w:w="1142" w:type="pct"/>
          </w:tcPr>
          <w:p w:rsidR="00225E21" w:rsidRPr="00DC26CD" w:rsidRDefault="00225E21" w:rsidP="004F113B">
            <w:pPr>
              <w:rPr>
                <w:bCs/>
              </w:rPr>
            </w:pPr>
            <w:r w:rsidRPr="00DC26CD">
              <w:rPr>
                <w:bCs/>
              </w:rPr>
              <w:t xml:space="preserve">Noteikumu projekta </w:t>
            </w:r>
            <w:r w:rsidR="00523258">
              <w:rPr>
                <w:bCs/>
              </w:rPr>
              <w:t>1.</w:t>
            </w:r>
            <w:r>
              <w:rPr>
                <w:bCs/>
              </w:rPr>
              <w:t xml:space="preserve">3. </w:t>
            </w:r>
            <w:r w:rsidRPr="00DC26CD">
              <w:rPr>
                <w:bCs/>
              </w:rPr>
              <w:t>punkts</w:t>
            </w:r>
          </w:p>
        </w:tc>
        <w:tc>
          <w:tcPr>
            <w:tcW w:w="552" w:type="pct"/>
          </w:tcPr>
          <w:p w:rsidR="00225E21" w:rsidRPr="00DC26CD" w:rsidRDefault="00225E21" w:rsidP="008425B6">
            <w:pPr>
              <w:rPr>
                <w:bCs/>
              </w:rPr>
            </w:pPr>
            <w:r w:rsidRPr="00DC26CD">
              <w:rPr>
                <w:bCs/>
              </w:rPr>
              <w:t>Ieviests pilnībā</w:t>
            </w:r>
          </w:p>
        </w:tc>
        <w:tc>
          <w:tcPr>
            <w:tcW w:w="1876" w:type="pct"/>
            <w:gridSpan w:val="2"/>
          </w:tcPr>
          <w:p w:rsidR="00225E21" w:rsidRPr="00DC26CD" w:rsidRDefault="00225E21" w:rsidP="008425B6">
            <w:pPr>
              <w:rPr>
                <w:bCs/>
              </w:rPr>
            </w:pPr>
            <w:r w:rsidRPr="00DC26CD">
              <w:rPr>
                <w:bCs/>
              </w:rPr>
              <w:t>Neparedz stingrākas prasības kā ES tiesību normas.</w:t>
            </w:r>
          </w:p>
        </w:tc>
      </w:tr>
      <w:tr w:rsidR="00225E21" w:rsidRPr="00DC26CD" w:rsidTr="00FD7657">
        <w:trPr>
          <w:trHeight w:val="584"/>
        </w:trPr>
        <w:tc>
          <w:tcPr>
            <w:tcW w:w="1430" w:type="pct"/>
          </w:tcPr>
          <w:p w:rsidR="00225E21" w:rsidRPr="00614DC4" w:rsidRDefault="00225E21" w:rsidP="00225E21">
            <w:pPr>
              <w:rPr>
                <w:sz w:val="22"/>
                <w:szCs w:val="22"/>
              </w:rPr>
            </w:pPr>
            <w:r>
              <w:rPr>
                <w:sz w:val="22"/>
                <w:szCs w:val="22"/>
              </w:rPr>
              <w:t xml:space="preserve">Regula Nr. 1305/2013 </w:t>
            </w:r>
            <w:r w:rsidRPr="00614DC4">
              <w:rPr>
                <w:sz w:val="22"/>
                <w:szCs w:val="22"/>
              </w:rPr>
              <w:t>47. panta 1. punkt</w:t>
            </w:r>
            <w:r>
              <w:rPr>
                <w:sz w:val="22"/>
                <w:szCs w:val="22"/>
              </w:rPr>
              <w:t>s</w:t>
            </w:r>
          </w:p>
        </w:tc>
        <w:tc>
          <w:tcPr>
            <w:tcW w:w="1142" w:type="pct"/>
          </w:tcPr>
          <w:p w:rsidR="00225E21" w:rsidRPr="00DC26CD" w:rsidRDefault="00225E21" w:rsidP="00225E21">
            <w:pPr>
              <w:rPr>
                <w:bCs/>
              </w:rPr>
            </w:pPr>
            <w:r w:rsidRPr="00DC26CD">
              <w:rPr>
                <w:bCs/>
              </w:rPr>
              <w:t>Noteikumu projekta</w:t>
            </w:r>
            <w:r>
              <w:rPr>
                <w:bCs/>
              </w:rPr>
              <w:t xml:space="preserve">. </w:t>
            </w:r>
            <w:r w:rsidR="00523258">
              <w:rPr>
                <w:bCs/>
              </w:rPr>
              <w:t>1.</w:t>
            </w:r>
            <w:r>
              <w:rPr>
                <w:bCs/>
              </w:rPr>
              <w:t>4.</w:t>
            </w:r>
            <w:r w:rsidRPr="00DC26CD">
              <w:rPr>
                <w:bCs/>
              </w:rPr>
              <w:t>punkts</w:t>
            </w:r>
          </w:p>
        </w:tc>
        <w:tc>
          <w:tcPr>
            <w:tcW w:w="552" w:type="pct"/>
          </w:tcPr>
          <w:p w:rsidR="00225E21" w:rsidRPr="00DC26CD" w:rsidRDefault="00225E21" w:rsidP="008425B6">
            <w:pPr>
              <w:rPr>
                <w:bCs/>
              </w:rPr>
            </w:pPr>
            <w:r w:rsidRPr="00DC26CD">
              <w:rPr>
                <w:bCs/>
              </w:rPr>
              <w:t>Ieviests pilnībā</w:t>
            </w:r>
          </w:p>
        </w:tc>
        <w:tc>
          <w:tcPr>
            <w:tcW w:w="1876" w:type="pct"/>
            <w:gridSpan w:val="2"/>
          </w:tcPr>
          <w:p w:rsidR="00225E21" w:rsidRPr="00DC26CD" w:rsidRDefault="00225E21" w:rsidP="008425B6">
            <w:pPr>
              <w:rPr>
                <w:bCs/>
              </w:rPr>
            </w:pPr>
            <w:r w:rsidRPr="00DC26CD">
              <w:rPr>
                <w:bCs/>
              </w:rPr>
              <w:t>Neparedz stingrākas prasības kā ES tiesību normas.</w:t>
            </w:r>
          </w:p>
        </w:tc>
      </w:tr>
      <w:tr w:rsidR="00225E21" w:rsidRPr="00DC26CD" w:rsidTr="00FD7657">
        <w:trPr>
          <w:trHeight w:val="584"/>
        </w:trPr>
        <w:tc>
          <w:tcPr>
            <w:tcW w:w="1430" w:type="pct"/>
          </w:tcPr>
          <w:p w:rsidR="00225E21" w:rsidRPr="00614DC4" w:rsidRDefault="00225E21" w:rsidP="00225E21">
            <w:pPr>
              <w:rPr>
                <w:sz w:val="22"/>
                <w:szCs w:val="22"/>
              </w:rPr>
            </w:pPr>
            <w:r>
              <w:rPr>
                <w:sz w:val="22"/>
                <w:szCs w:val="22"/>
              </w:rPr>
              <w:t>Regula Nr. 1305/2013 47. panta</w:t>
            </w:r>
            <w:r w:rsidRPr="00614DC4">
              <w:rPr>
                <w:sz w:val="22"/>
                <w:szCs w:val="22"/>
              </w:rPr>
              <w:t xml:space="preserve"> 2. punkt</w:t>
            </w:r>
            <w:r>
              <w:rPr>
                <w:sz w:val="22"/>
                <w:szCs w:val="22"/>
              </w:rPr>
              <w:t>s</w:t>
            </w:r>
          </w:p>
        </w:tc>
        <w:tc>
          <w:tcPr>
            <w:tcW w:w="1142" w:type="pct"/>
          </w:tcPr>
          <w:p w:rsidR="00225E21" w:rsidRPr="00DC26CD" w:rsidRDefault="00225E21" w:rsidP="008425B6">
            <w:pPr>
              <w:rPr>
                <w:bCs/>
              </w:rPr>
            </w:pPr>
            <w:r w:rsidRPr="00DC26CD">
              <w:rPr>
                <w:bCs/>
              </w:rPr>
              <w:t xml:space="preserve">Noteikumu projekta </w:t>
            </w:r>
            <w:r w:rsidR="00523258">
              <w:rPr>
                <w:bCs/>
              </w:rPr>
              <w:t>1.</w:t>
            </w:r>
            <w:r>
              <w:rPr>
                <w:bCs/>
              </w:rPr>
              <w:t xml:space="preserve">5. </w:t>
            </w:r>
            <w:r w:rsidRPr="00DC26CD">
              <w:rPr>
                <w:bCs/>
              </w:rPr>
              <w:t>punkts</w:t>
            </w:r>
          </w:p>
        </w:tc>
        <w:tc>
          <w:tcPr>
            <w:tcW w:w="552" w:type="pct"/>
          </w:tcPr>
          <w:p w:rsidR="00225E21" w:rsidRPr="00DC26CD" w:rsidRDefault="00225E21" w:rsidP="008425B6">
            <w:pPr>
              <w:rPr>
                <w:bCs/>
              </w:rPr>
            </w:pPr>
            <w:r w:rsidRPr="00DC26CD">
              <w:rPr>
                <w:bCs/>
              </w:rPr>
              <w:t>Ieviests pilnībā</w:t>
            </w:r>
          </w:p>
        </w:tc>
        <w:tc>
          <w:tcPr>
            <w:tcW w:w="1876" w:type="pct"/>
            <w:gridSpan w:val="2"/>
          </w:tcPr>
          <w:p w:rsidR="00225E21" w:rsidRPr="00DC26CD" w:rsidRDefault="00225E21" w:rsidP="008425B6">
            <w:pPr>
              <w:rPr>
                <w:bCs/>
              </w:rPr>
            </w:pPr>
            <w:r w:rsidRPr="00DC26CD">
              <w:rPr>
                <w:bCs/>
              </w:rPr>
              <w:t>Neparedz stingrākas prasības kā ES tiesību normas.</w:t>
            </w:r>
          </w:p>
        </w:tc>
      </w:tr>
      <w:tr w:rsidR="00225E21" w:rsidRPr="00DC26CD" w:rsidTr="00FD7657">
        <w:trPr>
          <w:trHeight w:val="584"/>
        </w:trPr>
        <w:tc>
          <w:tcPr>
            <w:tcW w:w="1430" w:type="pct"/>
          </w:tcPr>
          <w:p w:rsidR="00225E21" w:rsidRPr="00614DC4" w:rsidRDefault="00225E21" w:rsidP="00225E21">
            <w:pPr>
              <w:rPr>
                <w:sz w:val="22"/>
                <w:szCs w:val="22"/>
              </w:rPr>
            </w:pPr>
            <w:r w:rsidRPr="00614DC4">
              <w:rPr>
                <w:sz w:val="22"/>
                <w:szCs w:val="22"/>
              </w:rPr>
              <w:t xml:space="preserve">Regulas Nr. 834/2007 </w:t>
            </w:r>
            <w:r>
              <w:rPr>
                <w:sz w:val="22"/>
                <w:szCs w:val="22"/>
              </w:rPr>
              <w:t>28.pants</w:t>
            </w:r>
            <w:r w:rsidRPr="00614DC4">
              <w:rPr>
                <w:sz w:val="22"/>
                <w:szCs w:val="22"/>
              </w:rPr>
              <w:t xml:space="preserve"> </w:t>
            </w:r>
          </w:p>
        </w:tc>
        <w:tc>
          <w:tcPr>
            <w:tcW w:w="1142" w:type="pct"/>
          </w:tcPr>
          <w:p w:rsidR="00225E21" w:rsidRPr="00DC26CD" w:rsidRDefault="00225E21" w:rsidP="00225E21">
            <w:pPr>
              <w:jc w:val="both"/>
              <w:rPr>
                <w:bCs/>
              </w:rPr>
            </w:pPr>
            <w:r>
              <w:rPr>
                <w:sz w:val="22"/>
                <w:szCs w:val="22"/>
              </w:rPr>
              <w:t>N</w:t>
            </w:r>
            <w:r w:rsidRPr="00614DC4">
              <w:rPr>
                <w:sz w:val="22"/>
                <w:szCs w:val="22"/>
              </w:rPr>
              <w:t>oteikumu projekt</w:t>
            </w:r>
            <w:r>
              <w:rPr>
                <w:sz w:val="22"/>
                <w:szCs w:val="22"/>
              </w:rPr>
              <w:t>a</w:t>
            </w:r>
            <w:r w:rsidRPr="00614DC4">
              <w:rPr>
                <w:sz w:val="22"/>
                <w:szCs w:val="22"/>
              </w:rPr>
              <w:t xml:space="preserve"> </w:t>
            </w:r>
            <w:r w:rsidR="00523258">
              <w:rPr>
                <w:sz w:val="22"/>
                <w:szCs w:val="22"/>
              </w:rPr>
              <w:t>1.</w:t>
            </w:r>
            <w:r w:rsidRPr="00614DC4">
              <w:rPr>
                <w:sz w:val="22"/>
                <w:szCs w:val="22"/>
              </w:rPr>
              <w:t>21. punkt</w:t>
            </w:r>
            <w:r>
              <w:rPr>
                <w:sz w:val="22"/>
                <w:szCs w:val="22"/>
              </w:rPr>
              <w:t>s</w:t>
            </w:r>
            <w:r w:rsidRPr="00614DC4">
              <w:rPr>
                <w:sz w:val="22"/>
                <w:szCs w:val="22"/>
              </w:rPr>
              <w:t xml:space="preserve"> </w:t>
            </w:r>
          </w:p>
        </w:tc>
        <w:tc>
          <w:tcPr>
            <w:tcW w:w="552" w:type="pct"/>
          </w:tcPr>
          <w:p w:rsidR="00225E21" w:rsidRPr="00DC26CD" w:rsidRDefault="00225E21" w:rsidP="008425B6">
            <w:pPr>
              <w:rPr>
                <w:bCs/>
              </w:rPr>
            </w:pPr>
            <w:r w:rsidRPr="00DC26CD">
              <w:rPr>
                <w:bCs/>
              </w:rPr>
              <w:t>Ieviests pilnībā</w:t>
            </w:r>
          </w:p>
        </w:tc>
        <w:tc>
          <w:tcPr>
            <w:tcW w:w="1876" w:type="pct"/>
            <w:gridSpan w:val="2"/>
          </w:tcPr>
          <w:p w:rsidR="00225E21" w:rsidRPr="00DC26CD" w:rsidRDefault="00225E21" w:rsidP="008425B6">
            <w:pPr>
              <w:rPr>
                <w:bCs/>
              </w:rPr>
            </w:pPr>
            <w:r w:rsidRPr="00DC26CD">
              <w:rPr>
                <w:bCs/>
              </w:rPr>
              <w:t>Neparedz stingrākas prasības kā ES tiesību normas.</w:t>
            </w:r>
          </w:p>
        </w:tc>
      </w:tr>
      <w:tr w:rsidR="00225E21" w:rsidRPr="00DC26CD" w:rsidTr="00FD7657">
        <w:trPr>
          <w:trHeight w:val="584"/>
        </w:trPr>
        <w:tc>
          <w:tcPr>
            <w:tcW w:w="1430" w:type="pct"/>
          </w:tcPr>
          <w:p w:rsidR="00225E21" w:rsidRPr="00614DC4" w:rsidRDefault="00225E21" w:rsidP="00225E21">
            <w:pPr>
              <w:rPr>
                <w:sz w:val="22"/>
                <w:szCs w:val="22"/>
              </w:rPr>
            </w:pPr>
            <w:r w:rsidRPr="00FE1FF2">
              <w:t>Nr. 1305/2013 28. panta 2. punktu</w:t>
            </w:r>
          </w:p>
        </w:tc>
        <w:tc>
          <w:tcPr>
            <w:tcW w:w="1142" w:type="pct"/>
          </w:tcPr>
          <w:p w:rsidR="00225E21" w:rsidRDefault="00225E21" w:rsidP="00225E21">
            <w:pPr>
              <w:jc w:val="both"/>
              <w:rPr>
                <w:sz w:val="22"/>
                <w:szCs w:val="22"/>
              </w:rPr>
            </w:pPr>
            <w:r>
              <w:rPr>
                <w:sz w:val="22"/>
                <w:szCs w:val="22"/>
              </w:rPr>
              <w:t>N</w:t>
            </w:r>
            <w:r w:rsidRPr="00614DC4">
              <w:rPr>
                <w:sz w:val="22"/>
                <w:szCs w:val="22"/>
              </w:rPr>
              <w:t>oteikumu projekt</w:t>
            </w:r>
            <w:r>
              <w:rPr>
                <w:sz w:val="22"/>
                <w:szCs w:val="22"/>
              </w:rPr>
              <w:t xml:space="preserve">a </w:t>
            </w:r>
            <w:r w:rsidR="00523258">
              <w:rPr>
                <w:sz w:val="22"/>
                <w:szCs w:val="22"/>
              </w:rPr>
              <w:t>1.</w:t>
            </w:r>
            <w:r w:rsidRPr="00614DC4">
              <w:rPr>
                <w:sz w:val="22"/>
                <w:szCs w:val="22"/>
              </w:rPr>
              <w:t>1</w:t>
            </w:r>
            <w:r>
              <w:rPr>
                <w:sz w:val="22"/>
                <w:szCs w:val="22"/>
              </w:rPr>
              <w:t>3</w:t>
            </w:r>
            <w:r w:rsidRPr="00614DC4">
              <w:rPr>
                <w:sz w:val="22"/>
                <w:szCs w:val="22"/>
              </w:rPr>
              <w:t>. punkt</w:t>
            </w:r>
            <w:r>
              <w:rPr>
                <w:sz w:val="22"/>
                <w:szCs w:val="22"/>
              </w:rPr>
              <w:t>s</w:t>
            </w:r>
          </w:p>
        </w:tc>
        <w:tc>
          <w:tcPr>
            <w:tcW w:w="552" w:type="pct"/>
          </w:tcPr>
          <w:p w:rsidR="00225E21" w:rsidRPr="00DC26CD" w:rsidRDefault="00225E21" w:rsidP="008425B6">
            <w:pPr>
              <w:rPr>
                <w:bCs/>
              </w:rPr>
            </w:pPr>
            <w:r w:rsidRPr="00DC26CD">
              <w:rPr>
                <w:bCs/>
              </w:rPr>
              <w:t>Ieviests pilnībā</w:t>
            </w:r>
          </w:p>
        </w:tc>
        <w:tc>
          <w:tcPr>
            <w:tcW w:w="1876" w:type="pct"/>
            <w:gridSpan w:val="2"/>
          </w:tcPr>
          <w:p w:rsidR="00225E21" w:rsidRPr="00DC26CD" w:rsidRDefault="00225E21" w:rsidP="008425B6">
            <w:pPr>
              <w:rPr>
                <w:bCs/>
              </w:rPr>
            </w:pPr>
            <w:r w:rsidRPr="00DC26CD">
              <w:rPr>
                <w:bCs/>
              </w:rPr>
              <w:t>Neparedz stingrākas prasības kā ES tiesību normas.</w:t>
            </w:r>
          </w:p>
        </w:tc>
      </w:tr>
      <w:tr w:rsidR="00225E21" w:rsidRPr="00DC26CD" w:rsidTr="00FD7657">
        <w:trPr>
          <w:trHeight w:val="584"/>
        </w:trPr>
        <w:tc>
          <w:tcPr>
            <w:tcW w:w="1430" w:type="pct"/>
          </w:tcPr>
          <w:p w:rsidR="00225E21" w:rsidRPr="00614DC4" w:rsidRDefault="00225E21" w:rsidP="00225E21">
            <w:pPr>
              <w:rPr>
                <w:sz w:val="22"/>
                <w:szCs w:val="22"/>
              </w:rPr>
            </w:pPr>
            <w:r w:rsidRPr="00614DC4">
              <w:rPr>
                <w:sz w:val="22"/>
                <w:szCs w:val="22"/>
              </w:rPr>
              <w:t>Regulas Nr. 834/2007 3</w:t>
            </w:r>
            <w:r>
              <w:rPr>
                <w:sz w:val="22"/>
                <w:szCs w:val="22"/>
              </w:rPr>
              <w:t>. panta “b” un “c” apakšpunkts</w:t>
            </w:r>
          </w:p>
        </w:tc>
        <w:tc>
          <w:tcPr>
            <w:tcW w:w="1142" w:type="pct"/>
          </w:tcPr>
          <w:p w:rsidR="00225E21" w:rsidRPr="00614DC4" w:rsidRDefault="00225E21" w:rsidP="00A776D6">
            <w:pPr>
              <w:rPr>
                <w:sz w:val="22"/>
                <w:szCs w:val="22"/>
              </w:rPr>
            </w:pPr>
            <w:r>
              <w:rPr>
                <w:sz w:val="22"/>
                <w:szCs w:val="22"/>
              </w:rPr>
              <w:t>N</w:t>
            </w:r>
            <w:r w:rsidRPr="00614DC4">
              <w:rPr>
                <w:sz w:val="22"/>
                <w:szCs w:val="22"/>
              </w:rPr>
              <w:t xml:space="preserve">oteikumu projekta </w:t>
            </w:r>
            <w:r w:rsidR="00523258">
              <w:rPr>
                <w:sz w:val="22"/>
                <w:szCs w:val="22"/>
              </w:rPr>
              <w:t>1.</w:t>
            </w:r>
            <w:r w:rsidRPr="00614DC4">
              <w:rPr>
                <w:sz w:val="22"/>
                <w:szCs w:val="22"/>
              </w:rPr>
              <w:t>5</w:t>
            </w:r>
            <w:r>
              <w:rPr>
                <w:sz w:val="22"/>
                <w:szCs w:val="22"/>
              </w:rPr>
              <w:t>2</w:t>
            </w:r>
            <w:r w:rsidRPr="00614DC4">
              <w:rPr>
                <w:sz w:val="22"/>
                <w:szCs w:val="22"/>
              </w:rPr>
              <w:t xml:space="preserve">. </w:t>
            </w:r>
            <w:r>
              <w:rPr>
                <w:sz w:val="22"/>
                <w:szCs w:val="22"/>
              </w:rPr>
              <w:t xml:space="preserve">un </w:t>
            </w:r>
            <w:r w:rsidR="00523258">
              <w:rPr>
                <w:sz w:val="22"/>
                <w:szCs w:val="22"/>
              </w:rPr>
              <w:t>1.</w:t>
            </w:r>
            <w:r w:rsidRPr="00614DC4">
              <w:rPr>
                <w:sz w:val="22"/>
                <w:szCs w:val="22"/>
              </w:rPr>
              <w:t>5</w:t>
            </w:r>
            <w:r>
              <w:rPr>
                <w:sz w:val="22"/>
                <w:szCs w:val="22"/>
              </w:rPr>
              <w:t>3</w:t>
            </w:r>
            <w:r w:rsidRPr="00614DC4">
              <w:rPr>
                <w:sz w:val="22"/>
                <w:szCs w:val="22"/>
              </w:rPr>
              <w:t>. punkt</w:t>
            </w:r>
            <w:r>
              <w:rPr>
                <w:sz w:val="22"/>
                <w:szCs w:val="22"/>
              </w:rPr>
              <w:t>s</w:t>
            </w:r>
          </w:p>
        </w:tc>
        <w:tc>
          <w:tcPr>
            <w:tcW w:w="552" w:type="pct"/>
          </w:tcPr>
          <w:p w:rsidR="00225E21" w:rsidRPr="00DC26CD" w:rsidRDefault="00225E21" w:rsidP="008425B6">
            <w:pPr>
              <w:rPr>
                <w:bCs/>
              </w:rPr>
            </w:pPr>
            <w:r w:rsidRPr="00DC26CD">
              <w:rPr>
                <w:bCs/>
              </w:rPr>
              <w:t>Ieviests pilnībā</w:t>
            </w:r>
          </w:p>
        </w:tc>
        <w:tc>
          <w:tcPr>
            <w:tcW w:w="1876" w:type="pct"/>
            <w:gridSpan w:val="2"/>
          </w:tcPr>
          <w:p w:rsidR="00225E21" w:rsidRPr="00DC26CD" w:rsidRDefault="00225E21" w:rsidP="008425B6">
            <w:pPr>
              <w:rPr>
                <w:bCs/>
              </w:rPr>
            </w:pPr>
            <w:r w:rsidRPr="00DC26CD">
              <w:rPr>
                <w:bCs/>
              </w:rPr>
              <w:t>Neparedz stingrākas prasības kā ES tiesību normas.</w:t>
            </w:r>
          </w:p>
        </w:tc>
      </w:tr>
      <w:tr w:rsidR="00225E21" w:rsidRPr="00DC26CD" w:rsidTr="00FD7657">
        <w:trPr>
          <w:trHeight w:val="584"/>
        </w:trPr>
        <w:tc>
          <w:tcPr>
            <w:tcW w:w="1430" w:type="pct"/>
          </w:tcPr>
          <w:p w:rsidR="00225E21" w:rsidRPr="00614DC4" w:rsidRDefault="00225E21" w:rsidP="00225E21">
            <w:pPr>
              <w:rPr>
                <w:sz w:val="22"/>
                <w:szCs w:val="22"/>
              </w:rPr>
            </w:pPr>
            <w:r w:rsidRPr="00614DC4">
              <w:rPr>
                <w:sz w:val="22"/>
                <w:szCs w:val="22"/>
              </w:rPr>
              <w:t>Regula Nr. 640/2014</w:t>
            </w:r>
            <w:r>
              <w:rPr>
                <w:sz w:val="22"/>
                <w:szCs w:val="22"/>
              </w:rPr>
              <w:t xml:space="preserve"> 31. un 13.pants </w:t>
            </w:r>
          </w:p>
        </w:tc>
        <w:tc>
          <w:tcPr>
            <w:tcW w:w="1142" w:type="pct"/>
          </w:tcPr>
          <w:p w:rsidR="00225E21" w:rsidRPr="00614DC4" w:rsidRDefault="00225E21" w:rsidP="00A776D6">
            <w:pPr>
              <w:jc w:val="both"/>
              <w:rPr>
                <w:sz w:val="22"/>
                <w:szCs w:val="22"/>
              </w:rPr>
            </w:pPr>
            <w:r>
              <w:rPr>
                <w:sz w:val="22"/>
                <w:szCs w:val="22"/>
              </w:rPr>
              <w:t>N</w:t>
            </w:r>
            <w:r w:rsidRPr="00614DC4">
              <w:rPr>
                <w:sz w:val="22"/>
                <w:szCs w:val="22"/>
              </w:rPr>
              <w:t xml:space="preserve">oteikumu projekta </w:t>
            </w:r>
            <w:r w:rsidR="00523258">
              <w:rPr>
                <w:sz w:val="22"/>
                <w:szCs w:val="22"/>
              </w:rPr>
              <w:t>1.</w:t>
            </w:r>
            <w:r>
              <w:rPr>
                <w:sz w:val="22"/>
                <w:szCs w:val="22"/>
              </w:rPr>
              <w:t>53</w:t>
            </w:r>
            <w:r w:rsidRPr="00614DC4">
              <w:rPr>
                <w:sz w:val="22"/>
                <w:szCs w:val="22"/>
              </w:rPr>
              <w:t>. punkt</w:t>
            </w:r>
            <w:r>
              <w:rPr>
                <w:sz w:val="22"/>
                <w:szCs w:val="22"/>
              </w:rPr>
              <w:t>s</w:t>
            </w:r>
          </w:p>
        </w:tc>
        <w:tc>
          <w:tcPr>
            <w:tcW w:w="552" w:type="pct"/>
          </w:tcPr>
          <w:p w:rsidR="00225E21" w:rsidRPr="00DC26CD" w:rsidRDefault="00225E21" w:rsidP="008425B6">
            <w:pPr>
              <w:rPr>
                <w:bCs/>
              </w:rPr>
            </w:pPr>
            <w:r w:rsidRPr="00DC26CD">
              <w:rPr>
                <w:bCs/>
              </w:rPr>
              <w:t>Ieviests pilnībā</w:t>
            </w:r>
          </w:p>
        </w:tc>
        <w:tc>
          <w:tcPr>
            <w:tcW w:w="1876" w:type="pct"/>
            <w:gridSpan w:val="2"/>
          </w:tcPr>
          <w:p w:rsidR="00225E21" w:rsidRPr="00DC26CD" w:rsidRDefault="00225E21" w:rsidP="008425B6">
            <w:pPr>
              <w:rPr>
                <w:bCs/>
              </w:rPr>
            </w:pPr>
            <w:r w:rsidRPr="00DC26CD">
              <w:rPr>
                <w:bCs/>
              </w:rPr>
              <w:t>Neparedz stingrākas prasības kā ES tiesību normas.</w:t>
            </w:r>
          </w:p>
        </w:tc>
      </w:tr>
      <w:tr w:rsidR="00225E21" w:rsidRPr="00DC26CD" w:rsidTr="00FD7657">
        <w:trPr>
          <w:trHeight w:val="584"/>
        </w:trPr>
        <w:tc>
          <w:tcPr>
            <w:tcW w:w="1430" w:type="pct"/>
          </w:tcPr>
          <w:p w:rsidR="00225E21" w:rsidRPr="00614DC4" w:rsidRDefault="00225E21" w:rsidP="00F64690">
            <w:pPr>
              <w:rPr>
                <w:sz w:val="22"/>
                <w:szCs w:val="22"/>
              </w:rPr>
            </w:pPr>
            <w:r w:rsidRPr="008824BC">
              <w:rPr>
                <w:iCs/>
                <w:szCs w:val="28"/>
              </w:rPr>
              <w:lastRenderedPageBreak/>
              <w:t xml:space="preserve"> </w:t>
            </w:r>
            <w:r>
              <w:rPr>
                <w:iCs/>
                <w:szCs w:val="28"/>
              </w:rPr>
              <w:t xml:space="preserve"> R</w:t>
            </w:r>
            <w:r w:rsidRPr="008824BC">
              <w:rPr>
                <w:iCs/>
                <w:szCs w:val="28"/>
              </w:rPr>
              <w:t>egulas Nr. </w:t>
            </w:r>
            <w:hyperlink r:id="rId15" w:tgtFrame="_blank" w:history="1">
              <w:r w:rsidRPr="008824BC">
                <w:rPr>
                  <w:iCs/>
                  <w:szCs w:val="28"/>
                </w:rPr>
                <w:t>834/2007</w:t>
              </w:r>
            </w:hyperlink>
            <w:r w:rsidRPr="008824BC">
              <w:rPr>
                <w:iCs/>
                <w:szCs w:val="28"/>
              </w:rPr>
              <w:t> </w:t>
            </w:r>
            <w:r w:rsidRPr="00225E21">
              <w:rPr>
                <w:iCs/>
                <w:szCs w:val="28"/>
              </w:rPr>
              <w:t>28.pants</w:t>
            </w:r>
          </w:p>
        </w:tc>
        <w:tc>
          <w:tcPr>
            <w:tcW w:w="1142" w:type="pct"/>
          </w:tcPr>
          <w:p w:rsidR="00225E21" w:rsidRPr="00614DC4" w:rsidRDefault="00225E21" w:rsidP="004F113B">
            <w:pPr>
              <w:rPr>
                <w:sz w:val="22"/>
                <w:szCs w:val="22"/>
              </w:rPr>
            </w:pPr>
            <w:r>
              <w:rPr>
                <w:sz w:val="22"/>
                <w:szCs w:val="22"/>
              </w:rPr>
              <w:t xml:space="preserve">Noteikumu projekta </w:t>
            </w:r>
            <w:r w:rsidR="00523258">
              <w:rPr>
                <w:sz w:val="22"/>
                <w:szCs w:val="22"/>
              </w:rPr>
              <w:t>1.</w:t>
            </w:r>
            <w:r>
              <w:rPr>
                <w:sz w:val="22"/>
                <w:szCs w:val="22"/>
              </w:rPr>
              <w:t>28.punkts</w:t>
            </w:r>
          </w:p>
        </w:tc>
        <w:tc>
          <w:tcPr>
            <w:tcW w:w="552" w:type="pct"/>
          </w:tcPr>
          <w:p w:rsidR="00225E21" w:rsidRPr="00DC26CD" w:rsidRDefault="00225E21" w:rsidP="008425B6">
            <w:pPr>
              <w:rPr>
                <w:bCs/>
              </w:rPr>
            </w:pPr>
            <w:r w:rsidRPr="00DC26CD">
              <w:rPr>
                <w:bCs/>
              </w:rPr>
              <w:t>Ieviests pilnībā</w:t>
            </w:r>
          </w:p>
        </w:tc>
        <w:tc>
          <w:tcPr>
            <w:tcW w:w="1876" w:type="pct"/>
            <w:gridSpan w:val="2"/>
          </w:tcPr>
          <w:p w:rsidR="00225E21" w:rsidRPr="00DC26CD" w:rsidRDefault="00225E21" w:rsidP="008425B6">
            <w:pPr>
              <w:rPr>
                <w:bCs/>
              </w:rPr>
            </w:pPr>
            <w:r w:rsidRPr="00DC26CD">
              <w:rPr>
                <w:bCs/>
              </w:rPr>
              <w:t>Neparedz stingrākas prasības kā ES tiesību normas.</w:t>
            </w:r>
          </w:p>
        </w:tc>
      </w:tr>
      <w:tr w:rsidR="00225E21" w:rsidRPr="00DC26CD" w:rsidTr="00F64690">
        <w:tc>
          <w:tcPr>
            <w:tcW w:w="1430" w:type="pct"/>
          </w:tcPr>
          <w:p w:rsidR="00225E21" w:rsidRPr="00DC26CD" w:rsidRDefault="00225E21" w:rsidP="00AF0BA9">
            <w:pPr>
              <w:jc w:val="both"/>
            </w:pPr>
            <w:r w:rsidRPr="00DC26CD">
              <w:t>Kā ir izmantota ES tiesību aktā paredzētā rīcības brīvība dalībvalstij pārņemt vai ieviest noteiktas ES tiesību akta normas?</w:t>
            </w:r>
            <w:r w:rsidRPr="00DC26CD">
              <w:br/>
              <w:t>Kādēļ?</w:t>
            </w:r>
          </w:p>
        </w:tc>
        <w:tc>
          <w:tcPr>
            <w:tcW w:w="3570" w:type="pct"/>
            <w:gridSpan w:val="4"/>
            <w:shd w:val="clear" w:color="auto" w:fill="auto"/>
          </w:tcPr>
          <w:p w:rsidR="00225E21" w:rsidRDefault="00225E21" w:rsidP="00F141A3">
            <w:pPr>
              <w:pStyle w:val="Parasts1"/>
              <w:spacing w:before="120" w:beforeAutospacing="0" w:after="0" w:afterAutospacing="0" w:line="312" w:lineRule="atLeast"/>
              <w:jc w:val="both"/>
              <w:textAlignment w:val="baseline"/>
              <w:rPr>
                <w:bCs/>
              </w:rPr>
            </w:pPr>
            <w:r w:rsidRPr="00783388">
              <w:rPr>
                <w:bCs/>
              </w:rPr>
              <w:t>Regula</w:t>
            </w:r>
            <w:r w:rsidRPr="00783388">
              <w:t>s Nr. 808/2014 9. panta 1. un 2.punktās un II pielikumā, kā arī regulas</w:t>
            </w:r>
            <w:r w:rsidRPr="00783388">
              <w:rPr>
                <w:bCs/>
              </w:rPr>
              <w:t xml:space="preserve"> Nr.699/2016 1.panta 2.punktā un II pielikumā ir ietverta iespēja dalībvalstīm noteikt savu izvēli par to, vai piemēro šo regulu II pielikumos noteiktās konversijas likmes dažādu kategoriju dzīvnieku skaita konvertēšanai nosacītajās mājlopu vienībās. Tāpat, </w:t>
            </w:r>
            <w:r w:rsidRPr="00783388">
              <w:t>regulas</w:t>
            </w:r>
            <w:r w:rsidRPr="00783388">
              <w:rPr>
                <w:bCs/>
              </w:rPr>
              <w:t xml:space="preserve"> Nr.699/2016 1.panta 2.punktā un II pielikumā </w:t>
            </w:r>
            <w:r>
              <w:rPr>
                <w:bCs/>
              </w:rPr>
              <w:t>ir dota rīcības brīvība dalībvalstīm papildināt šo pielikumā norādīto informāciju</w:t>
            </w:r>
            <w:r w:rsidRPr="00783388">
              <w:rPr>
                <w:bCs/>
              </w:rPr>
              <w:t xml:space="preserve"> ar citām mājlopu vienību kategorijām, ņemot vērā konkrētos </w:t>
            </w:r>
            <w:r>
              <w:rPr>
                <w:bCs/>
              </w:rPr>
              <w:t xml:space="preserve">dalībvalsts agroklimatisko </w:t>
            </w:r>
            <w:r w:rsidRPr="00783388">
              <w:rPr>
                <w:bCs/>
              </w:rPr>
              <w:t>apstākļus</w:t>
            </w:r>
            <w:r>
              <w:rPr>
                <w:bCs/>
              </w:rPr>
              <w:t xml:space="preserve">, audzētos lauksaimniecības dzīvnieku veidus, to dažādās sugas zootehniskās īpatnības, tai skaitā nepieciešamo barības patēriņa dienas devu, kā arī vidējo attiecīgas sugas dzīvnieka pieauguša īpatņa dzīvsvaru, ko pamato ar </w:t>
            </w:r>
            <w:r w:rsidRPr="00783388">
              <w:rPr>
                <w:bCs/>
              </w:rPr>
              <w:t>zinātnisk</w:t>
            </w:r>
            <w:r>
              <w:rPr>
                <w:bCs/>
              </w:rPr>
              <w:t>iem datiem</w:t>
            </w:r>
            <w:r w:rsidRPr="00783388">
              <w:rPr>
                <w:bCs/>
              </w:rPr>
              <w:t>.</w:t>
            </w:r>
          </w:p>
          <w:p w:rsidR="00225E21" w:rsidRDefault="00225E21" w:rsidP="004F113B">
            <w:pPr>
              <w:pStyle w:val="Pamattekstsaratkpi"/>
              <w:widowControl w:val="0"/>
              <w:spacing w:after="0"/>
              <w:ind w:left="0"/>
              <w:jc w:val="both"/>
              <w:rPr>
                <w:lang w:val="lv-LV"/>
              </w:rPr>
            </w:pPr>
          </w:p>
          <w:p w:rsidR="00225E21" w:rsidRPr="00A26BD0" w:rsidRDefault="00225E21" w:rsidP="004F113B">
            <w:pPr>
              <w:pStyle w:val="Pamattekstsaratkpi"/>
              <w:widowControl w:val="0"/>
              <w:spacing w:after="0"/>
              <w:ind w:left="0"/>
              <w:jc w:val="both"/>
              <w:rPr>
                <w:lang w:val="lv-LV"/>
              </w:rPr>
            </w:pPr>
            <w:r w:rsidRPr="00783388">
              <w:rPr>
                <w:lang w:val="lv-LV"/>
              </w:rPr>
              <w:t xml:space="preserve">Šī izvēle </w:t>
            </w:r>
            <w:r w:rsidRPr="00A26BD0">
              <w:rPr>
                <w:lang w:val="lv-LV"/>
              </w:rPr>
              <w:t>paredzēta noteikumu projekta 49.punktā, kur redzams, ka dalībvalsts:</w:t>
            </w:r>
          </w:p>
          <w:p w:rsidR="00225E21" w:rsidRPr="00B76231" w:rsidRDefault="00225E21" w:rsidP="00A26BD0">
            <w:pPr>
              <w:pStyle w:val="Pamattekstsaratkpi"/>
              <w:widowControl w:val="0"/>
              <w:numPr>
                <w:ilvl w:val="0"/>
                <w:numId w:val="19"/>
              </w:numPr>
              <w:spacing w:after="0"/>
              <w:jc w:val="both"/>
              <w:rPr>
                <w:lang w:val="lv-LV"/>
              </w:rPr>
            </w:pPr>
            <w:r w:rsidRPr="00A26BD0">
              <w:rPr>
                <w:lang w:val="lv-LV"/>
              </w:rPr>
              <w:t>tieši piemērojusi</w:t>
            </w:r>
            <w:r>
              <w:rPr>
                <w:lang w:val="lv-LV"/>
              </w:rPr>
              <w:t xml:space="preserve"> visas</w:t>
            </w:r>
            <w:r w:rsidRPr="00A26BD0">
              <w:rPr>
                <w:lang w:val="lv-LV"/>
              </w:rPr>
              <w:t xml:space="preserve"> regul</w:t>
            </w:r>
            <w:r>
              <w:rPr>
                <w:lang w:val="lv-LV"/>
              </w:rPr>
              <w:t>as Nr. 808/2014</w:t>
            </w:r>
            <w:r w:rsidRPr="00A26BD0">
              <w:rPr>
                <w:lang w:val="lv-LV"/>
              </w:rPr>
              <w:t xml:space="preserve"> II pielikumā noteiktās</w:t>
            </w:r>
            <w:r w:rsidRPr="00A26BD0">
              <w:rPr>
                <w:bCs/>
                <w:lang w:val="lv-LV"/>
              </w:rPr>
              <w:t xml:space="preserve"> </w:t>
            </w:r>
            <w:r>
              <w:rPr>
                <w:bCs/>
                <w:lang w:val="lv-LV"/>
              </w:rPr>
              <w:t xml:space="preserve">konversijas likmes, visiem atbilstoši uzskaitītajiem lauksamniecības dzīvniekiem, sadalījumā pa dažādām </w:t>
            </w:r>
            <w:r w:rsidRPr="00B76231">
              <w:rPr>
                <w:lang w:val="lv-LV"/>
              </w:rPr>
              <w:t>kategorijām;</w:t>
            </w:r>
          </w:p>
          <w:p w:rsidR="00225E21" w:rsidRPr="00B76231" w:rsidRDefault="00225E21" w:rsidP="00A26BD0">
            <w:pPr>
              <w:pStyle w:val="Pamattekstsaratkpi"/>
              <w:widowControl w:val="0"/>
              <w:numPr>
                <w:ilvl w:val="0"/>
                <w:numId w:val="19"/>
              </w:numPr>
              <w:spacing w:after="0"/>
              <w:jc w:val="both"/>
              <w:rPr>
                <w:lang w:val="lv-LV"/>
              </w:rPr>
            </w:pPr>
            <w:r w:rsidRPr="00B76231">
              <w:rPr>
                <w:lang w:val="lv-LV"/>
              </w:rPr>
              <w:t>papildus, saskaņā ar regulas Nr.699/2016 1. panta 2. punktu un II pielikumā doto rīcības brīvību, ir papildinājusi sarakstu ar vairākām Latvijas apstākļiem nozīmīgām lauksaimniecības dzīvnieku sugām, nesadalot tās sīkākās kategorijās (vecumklasēs), un tām norādot atbilstoši korekt</w:t>
            </w:r>
            <w:r>
              <w:rPr>
                <w:lang w:val="lv-LV"/>
              </w:rPr>
              <w:t>as (uz zinātnieksim aprēķiniem pamatotas un pierādāmas)</w:t>
            </w:r>
            <w:r w:rsidRPr="00B76231">
              <w:rPr>
                <w:lang w:val="lv-LV"/>
              </w:rPr>
              <w:t xml:space="preserve"> </w:t>
            </w:r>
            <w:r>
              <w:rPr>
                <w:bCs/>
                <w:lang w:val="lv-LV"/>
              </w:rPr>
              <w:t>konversijas likmes, to skaita</w:t>
            </w:r>
            <w:r w:rsidRPr="00B76231">
              <w:rPr>
                <w:bCs/>
                <w:lang w:val="lv-LV"/>
              </w:rPr>
              <w:t xml:space="preserve"> pārrēķināšanai nosacītajās mājlopu vienībās</w:t>
            </w:r>
            <w:r>
              <w:rPr>
                <w:bCs/>
                <w:lang w:val="lv-LV"/>
              </w:rPr>
              <w:t>.</w:t>
            </w:r>
          </w:p>
          <w:p w:rsidR="00225E21" w:rsidRPr="00DC26CD" w:rsidRDefault="00225E21" w:rsidP="00065BBD">
            <w:pPr>
              <w:pStyle w:val="Pamattekstsaratkpi"/>
              <w:widowControl w:val="0"/>
              <w:spacing w:after="0"/>
              <w:ind w:left="0"/>
              <w:jc w:val="both"/>
              <w:rPr>
                <w:lang w:val="lv-LV"/>
              </w:rPr>
            </w:pPr>
            <w:r>
              <w:rPr>
                <w:lang w:val="lv-LV"/>
              </w:rPr>
              <w:t xml:space="preserve">Šāda izvēle veikta, jo Latvijā tradicionāli tiek audzēti daudz vairāk lauksaimniecības dzīvnieku sugu, kuru labturības apstākļu nodrošināšanai tiek izmantota zālē, siens, skābsiens vai pakaiši, nekā tas norādīts regulā Nr.808/2014 un regulā 699/2016. Visi šie lauksaimniecības dzīvnieki ir ekonomiski nozīmīgi, kamdēļ noteikumu Nr.171 3.pielikums ir atbilstoši papildināms arī ar citām dzīvnieku sugām un tām atbilstošajām </w:t>
            </w:r>
            <w:r w:rsidRPr="00065BBD">
              <w:rPr>
                <w:bCs/>
                <w:lang w:val="lv-LV"/>
              </w:rPr>
              <w:t>konversijas likm</w:t>
            </w:r>
            <w:r>
              <w:rPr>
                <w:bCs/>
                <w:lang w:val="lv-LV"/>
              </w:rPr>
              <w:t xml:space="preserve">ēm, to </w:t>
            </w:r>
            <w:r w:rsidRPr="00065BBD">
              <w:rPr>
                <w:bCs/>
                <w:lang w:val="lv-LV"/>
              </w:rPr>
              <w:t>skaita konvertēšanai nosacītajās mājlopu vienībās</w:t>
            </w:r>
            <w:r>
              <w:rPr>
                <w:bCs/>
                <w:lang w:val="lv-LV"/>
              </w:rPr>
              <w:t>.</w:t>
            </w:r>
          </w:p>
        </w:tc>
      </w:tr>
      <w:tr w:rsidR="00225E21" w:rsidRPr="00DC26CD" w:rsidTr="00F64690">
        <w:tc>
          <w:tcPr>
            <w:tcW w:w="1430" w:type="pct"/>
          </w:tcPr>
          <w:p w:rsidR="00225E21" w:rsidRPr="00DC26CD" w:rsidRDefault="00225E21" w:rsidP="00A30C7A">
            <w:r w:rsidRPr="00DC26CD">
              <w:t xml:space="preserve">Saistības sniegt paziņojumu ES institūcijām un ES dalībvalstīm atbilstoši normatīvajiem aktiem, kas regulē informācijas sniegšanu par tehnisko noteikumu, valsts atbalsta piešķiršanas un finanšu noteikumu (attiecībā uz </w:t>
            </w:r>
            <w:r w:rsidRPr="00DC26CD">
              <w:lastRenderedPageBreak/>
              <w:t>monetāro politiku) projektiem</w:t>
            </w:r>
          </w:p>
        </w:tc>
        <w:tc>
          <w:tcPr>
            <w:tcW w:w="3570" w:type="pct"/>
            <w:gridSpan w:val="4"/>
          </w:tcPr>
          <w:p w:rsidR="00225E21" w:rsidRPr="00DC26CD" w:rsidRDefault="00225E21" w:rsidP="00A30C7A">
            <w:pPr>
              <w:rPr>
                <w:sz w:val="28"/>
                <w:lang w:eastAsia="en-US"/>
              </w:rPr>
            </w:pPr>
            <w:r w:rsidRPr="00DC26CD">
              <w:rPr>
                <w:sz w:val="28"/>
                <w:lang w:eastAsia="en-US"/>
              </w:rPr>
              <w:lastRenderedPageBreak/>
              <w:t>Nav</w:t>
            </w:r>
          </w:p>
          <w:p w:rsidR="00225E21" w:rsidRPr="00DC26CD" w:rsidRDefault="00225E21" w:rsidP="00A30C7A"/>
          <w:p w:rsidR="00225E21" w:rsidRPr="00DC26CD" w:rsidRDefault="00225E21" w:rsidP="00A30C7A"/>
          <w:p w:rsidR="00225E21" w:rsidRPr="00DC26CD" w:rsidRDefault="00225E21" w:rsidP="00A30C7A"/>
        </w:tc>
      </w:tr>
      <w:tr w:rsidR="00225E21" w:rsidRPr="00DC26CD" w:rsidTr="00F64690">
        <w:tc>
          <w:tcPr>
            <w:tcW w:w="1430" w:type="pct"/>
          </w:tcPr>
          <w:p w:rsidR="00225E21" w:rsidRPr="00DC26CD" w:rsidRDefault="00225E21" w:rsidP="00A30C7A">
            <w:r w:rsidRPr="00DC26CD">
              <w:t>Cita informācija</w:t>
            </w:r>
          </w:p>
        </w:tc>
        <w:tc>
          <w:tcPr>
            <w:tcW w:w="3570" w:type="pct"/>
            <w:gridSpan w:val="4"/>
          </w:tcPr>
          <w:p w:rsidR="00225E21" w:rsidRPr="00DC26CD" w:rsidRDefault="00225E21" w:rsidP="00A30C7A">
            <w:r w:rsidRPr="00DC26CD">
              <w:t>Nav</w:t>
            </w:r>
          </w:p>
        </w:tc>
      </w:tr>
      <w:tr w:rsidR="00225E21" w:rsidRPr="00DC26CD" w:rsidTr="00F64690">
        <w:tc>
          <w:tcPr>
            <w:tcW w:w="5000" w:type="pct"/>
            <w:gridSpan w:val="5"/>
          </w:tcPr>
          <w:p w:rsidR="00225E21" w:rsidRPr="00DC26CD" w:rsidRDefault="00225E21" w:rsidP="00A30C7A">
            <w:pPr>
              <w:rPr>
                <w:b/>
                <w:bCs/>
              </w:rPr>
            </w:pPr>
            <w:r w:rsidRPr="00DC26CD">
              <w:rPr>
                <w:b/>
                <w:bCs/>
              </w:rPr>
              <w:t>2.tabula</w:t>
            </w:r>
            <w:r w:rsidRPr="00DC26CD">
              <w:rPr>
                <w:b/>
                <w:bCs/>
              </w:rPr>
              <w:br/>
              <w:t>Ar tiesību akta projektu izpildītās vai uzņemtās saistības, kas izriet no starptautiskajiem tiesību aktiem vai starptautiskas institūcijas vai organizācijas dokumentiem.</w:t>
            </w:r>
            <w:r w:rsidRPr="00DC26CD">
              <w:rPr>
                <w:b/>
                <w:bCs/>
              </w:rPr>
              <w:br/>
              <w:t>Pasākumi šo saistību izpildei</w:t>
            </w:r>
          </w:p>
        </w:tc>
      </w:tr>
      <w:tr w:rsidR="00225E21" w:rsidRPr="00DC26CD" w:rsidTr="00F64690">
        <w:tc>
          <w:tcPr>
            <w:tcW w:w="1430" w:type="pct"/>
          </w:tcPr>
          <w:p w:rsidR="00225E21" w:rsidRPr="00DC26CD" w:rsidRDefault="00225E21" w:rsidP="00A30C7A">
            <w:r w:rsidRPr="00DC26CD">
              <w:t>Attiecīgā starptautiskā tiesību akta vai starptautiskas institūcijas vai organizācijas dokumenta (turpmāk – starptautiskais dokuments) datums, numurs un nosaukums</w:t>
            </w:r>
          </w:p>
        </w:tc>
        <w:tc>
          <w:tcPr>
            <w:tcW w:w="3570" w:type="pct"/>
            <w:gridSpan w:val="4"/>
          </w:tcPr>
          <w:p w:rsidR="00225E21" w:rsidRPr="00DC26CD" w:rsidRDefault="00225E21" w:rsidP="00A30C7A">
            <w:r w:rsidRPr="00DC26CD">
              <w:t>Nav</w:t>
            </w:r>
          </w:p>
        </w:tc>
      </w:tr>
      <w:tr w:rsidR="00225E21" w:rsidRPr="00DC26CD" w:rsidTr="00F64690">
        <w:tc>
          <w:tcPr>
            <w:tcW w:w="1430" w:type="pct"/>
          </w:tcPr>
          <w:p w:rsidR="00225E21" w:rsidRPr="00DC26CD" w:rsidRDefault="00225E21" w:rsidP="00A30C7A">
            <w:r w:rsidRPr="00DC26CD">
              <w:t>A</w:t>
            </w:r>
          </w:p>
        </w:tc>
        <w:tc>
          <w:tcPr>
            <w:tcW w:w="1830" w:type="pct"/>
            <w:gridSpan w:val="3"/>
          </w:tcPr>
          <w:p w:rsidR="00225E21" w:rsidRPr="00DC26CD" w:rsidRDefault="00225E21" w:rsidP="00A30C7A">
            <w:r w:rsidRPr="00DC26CD">
              <w:t>B</w:t>
            </w:r>
          </w:p>
        </w:tc>
        <w:tc>
          <w:tcPr>
            <w:tcW w:w="1740" w:type="pct"/>
          </w:tcPr>
          <w:p w:rsidR="00225E21" w:rsidRPr="00DC26CD" w:rsidRDefault="00225E21" w:rsidP="00A30C7A">
            <w:r w:rsidRPr="00DC26CD">
              <w:t>C</w:t>
            </w:r>
          </w:p>
        </w:tc>
      </w:tr>
      <w:tr w:rsidR="00225E21" w:rsidRPr="00DC26CD" w:rsidTr="00F64690">
        <w:tc>
          <w:tcPr>
            <w:tcW w:w="1430" w:type="pct"/>
          </w:tcPr>
          <w:p w:rsidR="00225E21" w:rsidRPr="00DC26CD" w:rsidRDefault="00225E21" w:rsidP="00A30C7A">
            <w:r w:rsidRPr="00DC26CD">
              <w:t>-</w:t>
            </w:r>
          </w:p>
        </w:tc>
        <w:tc>
          <w:tcPr>
            <w:tcW w:w="1830" w:type="pct"/>
            <w:gridSpan w:val="3"/>
          </w:tcPr>
          <w:p w:rsidR="00225E21" w:rsidRPr="00DC26CD" w:rsidRDefault="00225E21" w:rsidP="00A30C7A">
            <w:r w:rsidRPr="00DC26CD">
              <w:t>-</w:t>
            </w:r>
          </w:p>
        </w:tc>
        <w:tc>
          <w:tcPr>
            <w:tcW w:w="1740" w:type="pct"/>
          </w:tcPr>
          <w:p w:rsidR="00225E21" w:rsidRPr="00DC26CD" w:rsidRDefault="00225E21" w:rsidP="00A30C7A">
            <w:r w:rsidRPr="00DC26CD">
              <w:t>-</w:t>
            </w:r>
          </w:p>
        </w:tc>
      </w:tr>
      <w:tr w:rsidR="00225E21" w:rsidRPr="00DC26CD" w:rsidTr="00F64690">
        <w:tc>
          <w:tcPr>
            <w:tcW w:w="1430" w:type="pct"/>
          </w:tcPr>
          <w:p w:rsidR="00225E21" w:rsidRPr="00DC26CD" w:rsidRDefault="00225E21" w:rsidP="00A30C7A">
            <w:r w:rsidRPr="00DC26CD">
              <w:t>Vai starptautiskajā dokumentā paredzētās saistības nav pretrunā ar jau esošajām Latvijas Republikas starptautiskajām saistībām</w:t>
            </w:r>
          </w:p>
        </w:tc>
        <w:tc>
          <w:tcPr>
            <w:tcW w:w="3570" w:type="pct"/>
            <w:gridSpan w:val="4"/>
          </w:tcPr>
          <w:p w:rsidR="00225E21" w:rsidRPr="00DC26CD" w:rsidRDefault="00225E21" w:rsidP="00A30C7A">
            <w:r w:rsidRPr="00DC26CD">
              <w:t>Projekts šo jomu neskar</w:t>
            </w:r>
          </w:p>
        </w:tc>
      </w:tr>
      <w:tr w:rsidR="00225E21" w:rsidRPr="00DC26CD" w:rsidTr="00F64690">
        <w:tc>
          <w:tcPr>
            <w:tcW w:w="1430" w:type="pct"/>
          </w:tcPr>
          <w:p w:rsidR="00225E21" w:rsidRPr="00DC26CD" w:rsidRDefault="00225E21" w:rsidP="00A30C7A">
            <w:r w:rsidRPr="00DC26CD">
              <w:t>Cita informācija</w:t>
            </w:r>
          </w:p>
        </w:tc>
        <w:tc>
          <w:tcPr>
            <w:tcW w:w="3570" w:type="pct"/>
            <w:gridSpan w:val="4"/>
          </w:tcPr>
          <w:p w:rsidR="00225E21" w:rsidRPr="00DC26CD" w:rsidRDefault="00225E21" w:rsidP="00A30C7A">
            <w:r w:rsidRPr="00DC26CD">
              <w:t>Nav</w:t>
            </w:r>
          </w:p>
        </w:tc>
      </w:tr>
    </w:tbl>
    <w:p w:rsidR="00A624CC" w:rsidRPr="00D30FB2" w:rsidRDefault="00A624CC" w:rsidP="00943E4E"/>
    <w:tbl>
      <w:tblPr>
        <w:tblW w:w="534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8"/>
        <w:gridCol w:w="2017"/>
        <w:gridCol w:w="6942"/>
      </w:tblGrid>
      <w:tr w:rsidR="00FA3CCB" w:rsidRPr="00D30FB2" w:rsidTr="007D2EF8">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pPr>
              <w:rPr>
                <w:b/>
                <w:bCs/>
              </w:rPr>
            </w:pPr>
            <w:r w:rsidRPr="00D30FB2">
              <w:rPr>
                <w:b/>
                <w:bCs/>
              </w:rPr>
              <w:t>VI. Sabiedrības līdzdalība un komunikācijas aktivitātes</w:t>
            </w:r>
          </w:p>
        </w:tc>
      </w:tr>
      <w:tr w:rsidR="00FA3CCB" w:rsidRPr="00D30FB2" w:rsidTr="00FE7CA0">
        <w:trPr>
          <w:trHeight w:val="540"/>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1.</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Plānotās sabiedrības līdzdalības un komunikācijas aktivitātes saistībā ar projektu</w:t>
            </w:r>
          </w:p>
        </w:tc>
        <w:tc>
          <w:tcPr>
            <w:tcW w:w="3583" w:type="pct"/>
            <w:tcBorders>
              <w:top w:val="outset" w:sz="6" w:space="0" w:color="414142"/>
              <w:left w:val="outset" w:sz="6" w:space="0" w:color="414142"/>
              <w:bottom w:val="outset" w:sz="6" w:space="0" w:color="414142"/>
              <w:right w:val="outset" w:sz="6" w:space="0" w:color="414142"/>
            </w:tcBorders>
            <w:hideMark/>
          </w:tcPr>
          <w:p w:rsidR="004C6825" w:rsidRPr="00D30FB2" w:rsidRDefault="001C645D" w:rsidP="00CB11D7">
            <w:pPr>
              <w:jc w:val="both"/>
            </w:pPr>
            <w:r>
              <w:t>I</w:t>
            </w:r>
            <w:r w:rsidR="005C64B5" w:rsidRPr="00ED766F">
              <w:rPr>
                <w:iCs/>
              </w:rPr>
              <w:t xml:space="preserve">nformācija </w:t>
            </w:r>
            <w:r w:rsidR="005C64B5">
              <w:rPr>
                <w:iCs/>
              </w:rPr>
              <w:t>p</w:t>
            </w:r>
            <w:r w:rsidR="005C64B5" w:rsidRPr="00ED766F">
              <w:rPr>
                <w:iCs/>
              </w:rPr>
              <w:t>ar no</w:t>
            </w:r>
            <w:r w:rsidR="005C64B5">
              <w:rPr>
                <w:iCs/>
              </w:rPr>
              <w:t>teikumu</w:t>
            </w:r>
            <w:r w:rsidR="005C64B5" w:rsidRPr="00ED766F">
              <w:rPr>
                <w:iCs/>
              </w:rPr>
              <w:t xml:space="preserve"> projektu </w:t>
            </w:r>
            <w:r w:rsidR="00CB11D7">
              <w:rPr>
                <w:iCs/>
              </w:rPr>
              <w:t>tika</w:t>
            </w:r>
            <w:r w:rsidR="005C64B5" w:rsidRPr="00ED766F">
              <w:t xml:space="preserve"> ievietota tīmekļa vie</w:t>
            </w:r>
            <w:r w:rsidR="00CB11D7">
              <w:t xml:space="preserve">tnē </w:t>
            </w:r>
            <w:r w:rsidR="00CB11D7" w:rsidRPr="00CB11D7">
              <w:t>www.zm.gov.lv</w:t>
            </w:r>
            <w:r w:rsidR="00CB11D7">
              <w:t xml:space="preserve">, kā arī papildus tika lūgts to nevalstisko organizāciju viedoklis, kuru darbības jomas attiecas uz normatīvā akta saturu, nosūtot noteikumu projektu no zemkopības ministrijas oficiālā e-pasta zm@zm.gov.lv. </w:t>
            </w:r>
          </w:p>
        </w:tc>
      </w:tr>
      <w:tr w:rsidR="00FA3CCB" w:rsidRPr="00D30FB2" w:rsidTr="00FE7CA0">
        <w:trPr>
          <w:trHeight w:val="330"/>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2.</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Sabiedrības līdzdalība projekta izstrādē</w:t>
            </w:r>
          </w:p>
        </w:tc>
        <w:tc>
          <w:tcPr>
            <w:tcW w:w="3583" w:type="pct"/>
            <w:tcBorders>
              <w:top w:val="outset" w:sz="6" w:space="0" w:color="414142"/>
              <w:left w:val="outset" w:sz="6" w:space="0" w:color="414142"/>
              <w:bottom w:val="outset" w:sz="6" w:space="0" w:color="414142"/>
              <w:right w:val="outset" w:sz="6" w:space="0" w:color="414142"/>
            </w:tcBorders>
            <w:hideMark/>
          </w:tcPr>
          <w:p w:rsidR="00CB11D7" w:rsidRDefault="00693DBB" w:rsidP="00CB11D7">
            <w:pPr>
              <w:jc w:val="both"/>
            </w:pPr>
            <w:r w:rsidRPr="00D30FB2">
              <w:t>Noteikumu projekt</w:t>
            </w:r>
            <w:r w:rsidR="002102BB" w:rsidRPr="00D30FB2">
              <w:t xml:space="preserve">a sagatavošanas </w:t>
            </w:r>
            <w:r w:rsidR="00A73BFF">
              <w:t>gaitā</w:t>
            </w:r>
            <w:r w:rsidR="002102BB" w:rsidRPr="00D30FB2">
              <w:t xml:space="preserve"> </w:t>
            </w:r>
            <w:r w:rsidRPr="00D30FB2">
              <w:t xml:space="preserve">ir notikušas </w:t>
            </w:r>
            <w:r w:rsidR="001001E4" w:rsidRPr="00D30FB2">
              <w:t xml:space="preserve">diskusijas </w:t>
            </w:r>
            <w:r w:rsidR="00072232" w:rsidRPr="00D30FB2">
              <w:t xml:space="preserve">ar pārstāvjiem no </w:t>
            </w:r>
            <w:r w:rsidR="003241BD">
              <w:t>l</w:t>
            </w:r>
            <w:r w:rsidR="00414376">
              <w:t xml:space="preserve">auksaimniecības nozaru kā arī dažādiem </w:t>
            </w:r>
            <w:r w:rsidR="00072232" w:rsidRPr="00D30FB2">
              <w:t>nozaru ekspertiem, zinātniekiem, pētniekiem un konsultantiem.</w:t>
            </w:r>
            <w:r w:rsidR="00777B15">
              <w:t xml:space="preserve"> </w:t>
            </w:r>
          </w:p>
          <w:p w:rsidR="004C6825" w:rsidRPr="00D30FB2" w:rsidRDefault="004C6825" w:rsidP="00CB11D7">
            <w:pPr>
              <w:jc w:val="both"/>
            </w:pPr>
            <w:r w:rsidRPr="00D30FB2">
              <w:t xml:space="preserve">Pēc publicēšanas Zemkopības ministrijas </w:t>
            </w:r>
            <w:r w:rsidR="00A73BFF">
              <w:t>tīmekļa vietnē</w:t>
            </w:r>
            <w:r w:rsidRPr="00D30FB2">
              <w:t xml:space="preserve"> ikvienam</w:t>
            </w:r>
            <w:r w:rsidR="002102BB" w:rsidRPr="00D30FB2">
              <w:t xml:space="preserve"> sabiedrības pārstāvim</w:t>
            </w:r>
            <w:r w:rsidRPr="00D30FB2">
              <w:t xml:space="preserve"> ir iespēja sniegt viedokli, iebildumus un priekšlikumus par </w:t>
            </w:r>
            <w:r w:rsidR="002C4EA4">
              <w:t>sagatavo</w:t>
            </w:r>
            <w:r w:rsidRPr="00D30FB2">
              <w:t xml:space="preserve">to </w:t>
            </w:r>
            <w:r w:rsidR="00E664D9">
              <w:t>n</w:t>
            </w:r>
            <w:r w:rsidRPr="00D30FB2">
              <w:t>oteikumu projektu.</w:t>
            </w:r>
          </w:p>
        </w:tc>
      </w:tr>
      <w:tr w:rsidR="00FA3CCB" w:rsidRPr="00D30FB2" w:rsidTr="00FE7CA0">
        <w:trPr>
          <w:trHeight w:val="465"/>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3.</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Sabiedrības līdzdalības rezultāti</w:t>
            </w:r>
          </w:p>
        </w:tc>
        <w:tc>
          <w:tcPr>
            <w:tcW w:w="3583" w:type="pct"/>
            <w:tcBorders>
              <w:top w:val="outset" w:sz="6" w:space="0" w:color="414142"/>
              <w:left w:val="outset" w:sz="6" w:space="0" w:color="414142"/>
              <w:bottom w:val="outset" w:sz="6" w:space="0" w:color="414142"/>
              <w:right w:val="outset" w:sz="6" w:space="0" w:color="414142"/>
            </w:tcBorders>
            <w:hideMark/>
          </w:tcPr>
          <w:p w:rsidR="00A24D92" w:rsidRPr="00D30FB2" w:rsidRDefault="00A24D92" w:rsidP="006C4042">
            <w:pPr>
              <w:pStyle w:val="tv213"/>
              <w:spacing w:before="0" w:beforeAutospacing="0" w:after="0" w:afterAutospacing="0" w:line="293" w:lineRule="atLeast"/>
              <w:jc w:val="both"/>
            </w:pPr>
            <w:r w:rsidRPr="00D30FB2">
              <w:rPr>
                <w:lang w:eastAsia="en-US"/>
              </w:rPr>
              <w:t xml:space="preserve">Zemkopības ministrijas </w:t>
            </w:r>
            <w:r w:rsidR="00E664D9">
              <w:rPr>
                <w:lang w:eastAsia="en-US"/>
              </w:rPr>
              <w:t>n</w:t>
            </w:r>
            <w:r w:rsidRPr="00D30FB2">
              <w:rPr>
                <w:lang w:eastAsia="en-US"/>
              </w:rPr>
              <w:t>oteikumu projekta izstrādes laikā konsult</w:t>
            </w:r>
            <w:r w:rsidR="00776FC9">
              <w:rPr>
                <w:lang w:eastAsia="en-US"/>
              </w:rPr>
              <w:t>ējās ar Lauku atbalsta dienestu</w:t>
            </w:r>
            <w:r w:rsidR="006C4042">
              <w:rPr>
                <w:lang w:eastAsia="en-US"/>
              </w:rPr>
              <w:t xml:space="preserve">, Valsts meža dienestu, Dabas aizsardzības pārvaldi, </w:t>
            </w:r>
            <w:r w:rsidR="006C4042" w:rsidRPr="006C4042">
              <w:rPr>
                <w:lang w:eastAsia="en-US"/>
              </w:rPr>
              <w:t>Iekšlietu ministrijas Informācijas centr</w:t>
            </w:r>
            <w:r w:rsidR="006C4042">
              <w:rPr>
                <w:lang w:eastAsia="en-US"/>
              </w:rPr>
              <w:t>s, bi</w:t>
            </w:r>
            <w:r w:rsidR="006C4042" w:rsidRPr="006C4042">
              <w:rPr>
                <w:lang w:eastAsia="en-US"/>
              </w:rPr>
              <w:t>edrība “Vides kvalitāte” sertifikācija</w:t>
            </w:r>
            <w:r w:rsidR="006C4042">
              <w:rPr>
                <w:lang w:eastAsia="en-US"/>
              </w:rPr>
              <w:t>s institūcija “Vides kvalitāte”,</w:t>
            </w:r>
            <w:r w:rsidR="006C4042" w:rsidRPr="006C4042">
              <w:rPr>
                <w:lang w:eastAsia="en-US"/>
              </w:rPr>
              <w:t xml:space="preserve"> valsts sabiedrības ar ierobežotu atbildību "Sertifikācijas un testēšanas centrs".</w:t>
            </w:r>
          </w:p>
        </w:tc>
      </w:tr>
      <w:tr w:rsidR="00FA3CCB" w:rsidRPr="00D30FB2" w:rsidTr="00FE7CA0">
        <w:trPr>
          <w:trHeight w:val="465"/>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4.</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Cita informācija</w:t>
            </w:r>
          </w:p>
        </w:tc>
        <w:tc>
          <w:tcPr>
            <w:tcW w:w="3583"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D933F7">
            <w:r w:rsidRPr="00D30FB2">
              <w:t>Nav</w:t>
            </w:r>
          </w:p>
        </w:tc>
      </w:tr>
    </w:tbl>
    <w:p w:rsidR="009117F4" w:rsidRPr="00D30FB2" w:rsidRDefault="00FA3CCB" w:rsidP="001A6197">
      <w:pPr>
        <w:rPr>
          <w:sz w:val="14"/>
        </w:rPr>
      </w:pPr>
      <w:r w:rsidRPr="00D30FB2">
        <w:t> </w:t>
      </w:r>
    </w:p>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3333"/>
        <w:gridCol w:w="5585"/>
      </w:tblGrid>
      <w:tr w:rsidR="009117F4" w:rsidRPr="00D30FB2" w:rsidTr="007D2EF8">
        <w:trPr>
          <w:trHeight w:val="375"/>
        </w:trPr>
        <w:tc>
          <w:tcPr>
            <w:tcW w:w="5000" w:type="pct"/>
            <w:gridSpan w:val="3"/>
          </w:tcPr>
          <w:p w:rsidR="009117F4" w:rsidRPr="00D30FB2" w:rsidRDefault="009117F4" w:rsidP="00E06138">
            <w:pPr>
              <w:spacing w:before="100" w:beforeAutospacing="1" w:after="100" w:afterAutospacing="1" w:line="360" w:lineRule="auto"/>
              <w:ind w:firstLine="300"/>
              <w:jc w:val="center"/>
              <w:rPr>
                <w:b/>
                <w:bCs/>
              </w:rPr>
            </w:pPr>
            <w:r w:rsidRPr="00D30FB2">
              <w:rPr>
                <w:b/>
                <w:bCs/>
              </w:rPr>
              <w:t>VII. Tiesību akta projekta izpildes nodrošināšana un tās ietekme uz institūcijām</w:t>
            </w:r>
          </w:p>
        </w:tc>
      </w:tr>
      <w:tr w:rsidR="009117F4" w:rsidRPr="00D30FB2" w:rsidTr="00FE7CA0">
        <w:trPr>
          <w:trHeight w:val="420"/>
        </w:trPr>
        <w:tc>
          <w:tcPr>
            <w:tcW w:w="393" w:type="pct"/>
          </w:tcPr>
          <w:p w:rsidR="009117F4" w:rsidRPr="00D30FB2" w:rsidRDefault="009117F4" w:rsidP="00E06138">
            <w:r w:rsidRPr="00D30FB2">
              <w:t>1.</w:t>
            </w:r>
          </w:p>
        </w:tc>
        <w:tc>
          <w:tcPr>
            <w:tcW w:w="1722" w:type="pct"/>
          </w:tcPr>
          <w:p w:rsidR="009117F4" w:rsidRPr="00D30FB2" w:rsidRDefault="009117F4" w:rsidP="00E06138">
            <w:r w:rsidRPr="00D30FB2">
              <w:t>Projekta izpildē iesaistītās institūcijas</w:t>
            </w:r>
          </w:p>
        </w:tc>
        <w:tc>
          <w:tcPr>
            <w:tcW w:w="2885" w:type="pct"/>
          </w:tcPr>
          <w:p w:rsidR="009117F4" w:rsidRPr="00D30FB2" w:rsidRDefault="001772F8" w:rsidP="006C4042">
            <w:pPr>
              <w:pStyle w:val="tv213"/>
              <w:spacing w:before="0" w:beforeAutospacing="0" w:after="0" w:afterAutospacing="0" w:line="293" w:lineRule="atLeast"/>
              <w:jc w:val="both"/>
              <w:rPr>
                <w:lang w:eastAsia="en-US"/>
              </w:rPr>
            </w:pPr>
            <w:r w:rsidRPr="00D30FB2">
              <w:rPr>
                <w:lang w:eastAsia="en-US"/>
              </w:rPr>
              <w:t>L</w:t>
            </w:r>
            <w:r w:rsidR="00595C41">
              <w:rPr>
                <w:lang w:eastAsia="en-US"/>
              </w:rPr>
              <w:t>auku atbalsta dienests</w:t>
            </w:r>
            <w:r w:rsidR="006C4042">
              <w:rPr>
                <w:lang w:eastAsia="en-US"/>
              </w:rPr>
              <w:t xml:space="preserve">, Valsts meža dienests, Valsts </w:t>
            </w:r>
            <w:r w:rsidR="006C4042">
              <w:t xml:space="preserve">augu aizsardzības dienests, </w:t>
            </w:r>
            <w:r w:rsidR="00F422C6">
              <w:t xml:space="preserve">Lauksaimniecības datu </w:t>
            </w:r>
            <w:r w:rsidR="00F422C6">
              <w:lastRenderedPageBreak/>
              <w:t>centrs</w:t>
            </w:r>
            <w:r w:rsidR="006C4042">
              <w:t xml:space="preserve">, Dabas aizsardzības pārvalde, </w:t>
            </w:r>
            <w:r w:rsidR="006C4042" w:rsidRPr="006C4042">
              <w:t>Iekšlietu ministrijas Informācijas centr</w:t>
            </w:r>
            <w:r w:rsidR="006C4042">
              <w:t>s, bi</w:t>
            </w:r>
            <w:r w:rsidR="006C4042" w:rsidRPr="006C4042">
              <w:t>edrība “Vides kvalitāte” sertifikācija</w:t>
            </w:r>
            <w:r w:rsidR="006C4042">
              <w:t>s institūcija “Vides kvalitāte”,</w:t>
            </w:r>
            <w:r w:rsidR="006C4042" w:rsidRPr="006C4042">
              <w:t xml:space="preserve"> valsts sabiedrība ar ierobežotu atbildību "Sertifikācijas un testēšanas centrs".</w:t>
            </w:r>
          </w:p>
        </w:tc>
      </w:tr>
      <w:tr w:rsidR="009117F4" w:rsidRPr="00D30FB2" w:rsidTr="00FE7CA0">
        <w:trPr>
          <w:trHeight w:val="450"/>
        </w:trPr>
        <w:tc>
          <w:tcPr>
            <w:tcW w:w="393" w:type="pct"/>
          </w:tcPr>
          <w:p w:rsidR="009117F4" w:rsidRPr="00D30FB2" w:rsidRDefault="009117F4" w:rsidP="00E06138">
            <w:r w:rsidRPr="00D30FB2">
              <w:lastRenderedPageBreak/>
              <w:t>2.</w:t>
            </w:r>
          </w:p>
        </w:tc>
        <w:tc>
          <w:tcPr>
            <w:tcW w:w="1722" w:type="pct"/>
          </w:tcPr>
          <w:p w:rsidR="009117F4" w:rsidRPr="00D30FB2" w:rsidRDefault="009117F4" w:rsidP="00E06138">
            <w:r w:rsidRPr="00D30FB2">
              <w:t>Projekta izpildes ietekme uz pārvaldes funkcijām un institucionālo struktūru. Jaunu institūciju izveide, esošu institūciju likvidācija vai reorganizācija, to ietekme uz institūcijas cilvēkresursiem</w:t>
            </w:r>
          </w:p>
        </w:tc>
        <w:tc>
          <w:tcPr>
            <w:tcW w:w="2885" w:type="pct"/>
          </w:tcPr>
          <w:p w:rsidR="009117F4" w:rsidRPr="00D30FB2" w:rsidRDefault="009C2D35" w:rsidP="00F86060">
            <w:pPr>
              <w:spacing w:before="100" w:beforeAutospacing="1" w:after="100" w:afterAutospacing="1"/>
              <w:jc w:val="both"/>
            </w:pPr>
            <w:r w:rsidRPr="00D30FB2">
              <w:rPr>
                <w:lang w:eastAsia="en-US"/>
              </w:rPr>
              <w:t>Projekts šo jomu neskar</w:t>
            </w:r>
            <w:r w:rsidR="00885E9A" w:rsidRPr="00D30FB2">
              <w:rPr>
                <w:lang w:eastAsia="en-US"/>
              </w:rPr>
              <w:t xml:space="preserve">. </w:t>
            </w:r>
            <w:r w:rsidR="00885E9A" w:rsidRPr="00D30FB2">
              <w:t>Jaunas institūcijas netiks izveidotas</w:t>
            </w:r>
            <w:r w:rsidR="00A73BFF">
              <w:t>,</w:t>
            </w:r>
            <w:r w:rsidR="00885E9A" w:rsidRPr="00D30FB2">
              <w:t xml:space="preserve"> un esošās institūcijas netiks likvidētas vai reorganizētas.</w:t>
            </w:r>
            <w:r w:rsidR="001179D3" w:rsidRPr="00D30FB2">
              <w:t xml:space="preserve"> Projekta izpilde tiks nodrošināta ar pašreizējiem cilvēkresursiem.</w:t>
            </w:r>
          </w:p>
        </w:tc>
      </w:tr>
      <w:tr w:rsidR="009117F4" w:rsidRPr="00D30FB2" w:rsidTr="00FE7CA0">
        <w:trPr>
          <w:trHeight w:val="390"/>
        </w:trPr>
        <w:tc>
          <w:tcPr>
            <w:tcW w:w="393" w:type="pct"/>
          </w:tcPr>
          <w:p w:rsidR="009117F4" w:rsidRPr="00D30FB2" w:rsidRDefault="009117F4" w:rsidP="00E06138">
            <w:r w:rsidRPr="00D30FB2">
              <w:t>3.</w:t>
            </w:r>
          </w:p>
        </w:tc>
        <w:tc>
          <w:tcPr>
            <w:tcW w:w="1722" w:type="pct"/>
          </w:tcPr>
          <w:p w:rsidR="009117F4" w:rsidRPr="00D30FB2" w:rsidRDefault="009117F4" w:rsidP="00E06138">
            <w:r w:rsidRPr="00D30FB2">
              <w:t>Cita informācija</w:t>
            </w:r>
          </w:p>
        </w:tc>
        <w:tc>
          <w:tcPr>
            <w:tcW w:w="2885" w:type="pct"/>
          </w:tcPr>
          <w:p w:rsidR="009117F4" w:rsidRPr="00D30FB2" w:rsidRDefault="009C2D35" w:rsidP="00E06138">
            <w:pPr>
              <w:spacing w:before="100" w:beforeAutospacing="1" w:after="100" w:afterAutospacing="1" w:line="360" w:lineRule="auto"/>
            </w:pPr>
            <w:r w:rsidRPr="00D30FB2">
              <w:t>Nav</w:t>
            </w:r>
          </w:p>
        </w:tc>
      </w:tr>
    </w:tbl>
    <w:p w:rsidR="008F4AAD" w:rsidRDefault="008F4AAD" w:rsidP="009C2D35">
      <w:pPr>
        <w:ind w:right="-284"/>
        <w:jc w:val="both"/>
        <w:rPr>
          <w:sz w:val="28"/>
          <w:szCs w:val="28"/>
          <w:lang w:eastAsia="en-US"/>
        </w:rPr>
      </w:pPr>
    </w:p>
    <w:p w:rsidR="00F01843" w:rsidRDefault="00F01843" w:rsidP="009C2D35">
      <w:pPr>
        <w:ind w:right="-284"/>
        <w:jc w:val="both"/>
        <w:rPr>
          <w:sz w:val="28"/>
          <w:szCs w:val="28"/>
          <w:lang w:eastAsia="en-US"/>
        </w:rPr>
      </w:pPr>
    </w:p>
    <w:p w:rsidR="009117F4" w:rsidRPr="008A0E78" w:rsidRDefault="009117F4" w:rsidP="002A7678">
      <w:pPr>
        <w:ind w:right="-284"/>
        <w:jc w:val="both"/>
        <w:rPr>
          <w:sz w:val="28"/>
          <w:lang w:eastAsia="en-US"/>
        </w:rPr>
      </w:pPr>
      <w:r w:rsidRPr="008A0E78">
        <w:rPr>
          <w:sz w:val="28"/>
          <w:lang w:eastAsia="en-US"/>
        </w:rPr>
        <w:t xml:space="preserve">Zemkopības ministrs </w:t>
      </w:r>
      <w:r w:rsidRPr="008A0E78">
        <w:rPr>
          <w:sz w:val="28"/>
          <w:lang w:eastAsia="en-US"/>
        </w:rPr>
        <w:tab/>
      </w:r>
      <w:r w:rsidRPr="008A0E78">
        <w:rPr>
          <w:sz w:val="28"/>
          <w:lang w:eastAsia="en-US"/>
        </w:rPr>
        <w:tab/>
      </w:r>
      <w:r w:rsidRPr="008A0E78">
        <w:rPr>
          <w:sz w:val="28"/>
          <w:lang w:eastAsia="en-US"/>
        </w:rPr>
        <w:tab/>
      </w:r>
      <w:r w:rsidRPr="008A0E78">
        <w:rPr>
          <w:sz w:val="28"/>
          <w:lang w:eastAsia="en-US"/>
        </w:rPr>
        <w:tab/>
      </w:r>
      <w:r w:rsidRPr="008A0E78">
        <w:rPr>
          <w:sz w:val="28"/>
          <w:lang w:eastAsia="en-US"/>
        </w:rPr>
        <w:tab/>
      </w:r>
      <w:r w:rsidR="002A7678" w:rsidRPr="008A0E78">
        <w:rPr>
          <w:sz w:val="28"/>
          <w:lang w:eastAsia="en-US"/>
        </w:rPr>
        <w:tab/>
      </w:r>
      <w:r w:rsidR="002A7678" w:rsidRPr="008A0E78">
        <w:rPr>
          <w:sz w:val="28"/>
          <w:lang w:eastAsia="en-US"/>
        </w:rPr>
        <w:tab/>
      </w:r>
      <w:r w:rsidR="002A7678" w:rsidRPr="008A0E78">
        <w:rPr>
          <w:sz w:val="28"/>
          <w:lang w:eastAsia="en-US"/>
        </w:rPr>
        <w:tab/>
      </w:r>
      <w:r w:rsidR="009C2D35" w:rsidRPr="008A0E78">
        <w:rPr>
          <w:sz w:val="28"/>
          <w:lang w:eastAsia="en-US"/>
        </w:rPr>
        <w:t xml:space="preserve"> </w:t>
      </w:r>
      <w:r w:rsidRPr="008A0E78">
        <w:rPr>
          <w:sz w:val="28"/>
          <w:lang w:eastAsia="en-US"/>
        </w:rPr>
        <w:t>J.Dūklavs</w:t>
      </w:r>
    </w:p>
    <w:p w:rsidR="00F01843" w:rsidRPr="008A0E78" w:rsidRDefault="00F01843" w:rsidP="00232AA2">
      <w:pPr>
        <w:jc w:val="both"/>
        <w:rPr>
          <w:sz w:val="28"/>
          <w:szCs w:val="20"/>
          <w:lang w:eastAsia="en-US"/>
        </w:rPr>
      </w:pPr>
    </w:p>
    <w:p w:rsidR="008A0E78" w:rsidRPr="008A0E78" w:rsidRDefault="008A0E78" w:rsidP="00232AA2">
      <w:pPr>
        <w:jc w:val="both"/>
        <w:rPr>
          <w:sz w:val="28"/>
          <w:szCs w:val="20"/>
          <w:lang w:eastAsia="en-US"/>
        </w:rPr>
      </w:pPr>
    </w:p>
    <w:p w:rsidR="008A0E78" w:rsidRDefault="008A0E78" w:rsidP="00232AA2">
      <w:pPr>
        <w:jc w:val="both"/>
        <w:rPr>
          <w:sz w:val="28"/>
          <w:szCs w:val="20"/>
          <w:lang w:eastAsia="en-US"/>
        </w:rPr>
      </w:pPr>
      <w:r w:rsidRPr="008A0E78">
        <w:rPr>
          <w:sz w:val="28"/>
          <w:szCs w:val="20"/>
          <w:lang w:eastAsia="en-US"/>
        </w:rPr>
        <w:t>Zemkopības ministrijas valsts sekret</w:t>
      </w:r>
      <w:r>
        <w:rPr>
          <w:sz w:val="28"/>
          <w:szCs w:val="20"/>
          <w:lang w:eastAsia="en-US"/>
        </w:rPr>
        <w:t>āre</w:t>
      </w:r>
      <w:r>
        <w:rPr>
          <w:sz w:val="28"/>
          <w:szCs w:val="20"/>
          <w:lang w:eastAsia="en-US"/>
        </w:rPr>
        <w:tab/>
      </w:r>
      <w:r>
        <w:rPr>
          <w:sz w:val="28"/>
          <w:szCs w:val="20"/>
          <w:lang w:eastAsia="en-US"/>
        </w:rPr>
        <w:tab/>
      </w:r>
      <w:r>
        <w:rPr>
          <w:sz w:val="28"/>
          <w:szCs w:val="20"/>
          <w:lang w:eastAsia="en-US"/>
        </w:rPr>
        <w:tab/>
      </w:r>
      <w:r>
        <w:rPr>
          <w:sz w:val="28"/>
          <w:szCs w:val="20"/>
          <w:lang w:eastAsia="en-US"/>
        </w:rPr>
        <w:tab/>
      </w:r>
      <w:r>
        <w:rPr>
          <w:sz w:val="28"/>
          <w:szCs w:val="20"/>
          <w:lang w:eastAsia="en-US"/>
        </w:rPr>
        <w:tab/>
      </w:r>
      <w:r w:rsidRPr="008A0E78">
        <w:rPr>
          <w:sz w:val="28"/>
          <w:szCs w:val="20"/>
          <w:lang w:eastAsia="en-US"/>
        </w:rPr>
        <w:t>D.Lucaua</w:t>
      </w:r>
    </w:p>
    <w:p w:rsidR="008A0E78" w:rsidRDefault="008A0E78" w:rsidP="00232AA2">
      <w:pPr>
        <w:jc w:val="both"/>
        <w:rPr>
          <w:sz w:val="28"/>
          <w:szCs w:val="20"/>
          <w:lang w:eastAsia="en-US"/>
        </w:rPr>
      </w:pPr>
    </w:p>
    <w:p w:rsidR="008A0E78" w:rsidRDefault="008A0E78" w:rsidP="00232AA2">
      <w:pPr>
        <w:jc w:val="both"/>
        <w:rPr>
          <w:sz w:val="28"/>
          <w:szCs w:val="20"/>
          <w:lang w:eastAsia="en-US"/>
        </w:rPr>
      </w:pPr>
    </w:p>
    <w:p w:rsidR="008A0E78" w:rsidRDefault="008A0E78" w:rsidP="00232AA2">
      <w:pPr>
        <w:jc w:val="both"/>
        <w:rPr>
          <w:sz w:val="28"/>
          <w:szCs w:val="20"/>
          <w:lang w:eastAsia="en-US"/>
        </w:rPr>
      </w:pPr>
    </w:p>
    <w:p w:rsidR="008A0E78" w:rsidRDefault="008A0E78" w:rsidP="00232AA2">
      <w:pPr>
        <w:jc w:val="both"/>
        <w:rPr>
          <w:sz w:val="28"/>
          <w:szCs w:val="20"/>
          <w:lang w:eastAsia="en-US"/>
        </w:rPr>
      </w:pPr>
    </w:p>
    <w:p w:rsidR="008A0E78" w:rsidRPr="008A0E78" w:rsidRDefault="008A0E78" w:rsidP="008A0E78">
      <w:pPr>
        <w:pStyle w:val="Galvene"/>
        <w:rPr>
          <w:rFonts w:ascii="Times New Roman" w:hAnsi="Times New Roman"/>
          <w:sz w:val="24"/>
          <w:szCs w:val="20"/>
        </w:rPr>
      </w:pPr>
      <w:r w:rsidRPr="008A0E78">
        <w:rPr>
          <w:rFonts w:ascii="Times New Roman" w:hAnsi="Times New Roman"/>
          <w:sz w:val="24"/>
          <w:szCs w:val="20"/>
        </w:rPr>
        <w:t>Bāra 67027398</w:t>
      </w:r>
    </w:p>
    <w:p w:rsidR="008A0E78" w:rsidRPr="008A0E78" w:rsidRDefault="008A0E78" w:rsidP="008A0E78">
      <w:pPr>
        <w:pStyle w:val="Galvene"/>
        <w:rPr>
          <w:rFonts w:ascii="Times New Roman" w:hAnsi="Times New Roman"/>
          <w:sz w:val="24"/>
          <w:szCs w:val="20"/>
        </w:rPr>
      </w:pPr>
      <w:r w:rsidRPr="008A0E78">
        <w:rPr>
          <w:rFonts w:ascii="Times New Roman" w:hAnsi="Times New Roman"/>
          <w:sz w:val="24"/>
          <w:szCs w:val="20"/>
        </w:rPr>
        <w:t>gunta.bara@zm.gov.lv</w:t>
      </w:r>
      <w:bookmarkStart w:id="2" w:name="_GoBack"/>
      <w:bookmarkEnd w:id="2"/>
    </w:p>
    <w:sectPr w:rsidR="008A0E78" w:rsidRPr="008A0E78" w:rsidSect="008A0E78">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737" w:rsidRDefault="00587737" w:rsidP="006B42E1">
      <w:pPr>
        <w:rPr>
          <w:rFonts w:ascii="Calibri" w:hAnsi="Calibri"/>
          <w:sz w:val="22"/>
          <w:szCs w:val="22"/>
          <w:lang w:eastAsia="en-US"/>
        </w:rPr>
      </w:pPr>
      <w:r>
        <w:rPr>
          <w:rFonts w:ascii="Calibri" w:hAnsi="Calibri"/>
          <w:sz w:val="22"/>
          <w:szCs w:val="22"/>
          <w:lang w:eastAsia="en-US"/>
        </w:rPr>
        <w:separator/>
      </w:r>
    </w:p>
  </w:endnote>
  <w:endnote w:type="continuationSeparator" w:id="0">
    <w:p w:rsidR="00587737" w:rsidRDefault="00587737" w:rsidP="006B42E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MV Boli"/>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690" w:rsidRPr="008A0E78" w:rsidRDefault="008A0E78" w:rsidP="008A0E78">
    <w:pPr>
      <w:pStyle w:val="Kjene"/>
    </w:pPr>
    <w:r w:rsidRPr="008A0E78">
      <w:rPr>
        <w:rFonts w:ascii="Times New Roman" w:eastAsia="Times New Roman" w:hAnsi="Times New Roman"/>
        <w:sz w:val="20"/>
        <w:szCs w:val="24"/>
        <w:lang w:eastAsia="lv-LV"/>
      </w:rPr>
      <w:t>ZMAnot_090317_Lauk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690" w:rsidRPr="008A0E78" w:rsidRDefault="008A0E78" w:rsidP="008A0E78">
    <w:pPr>
      <w:pStyle w:val="Kjene"/>
    </w:pPr>
    <w:r w:rsidRPr="008A0E78">
      <w:rPr>
        <w:rFonts w:ascii="Times New Roman" w:eastAsia="Times New Roman" w:hAnsi="Times New Roman"/>
        <w:sz w:val="20"/>
        <w:szCs w:val="24"/>
        <w:lang w:eastAsia="lv-LV"/>
      </w:rPr>
      <w:t>ZMAnot_090317_Lauk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737" w:rsidRDefault="00587737" w:rsidP="006B42E1">
      <w:pPr>
        <w:rPr>
          <w:rFonts w:ascii="Calibri" w:hAnsi="Calibri"/>
          <w:sz w:val="22"/>
          <w:szCs w:val="22"/>
          <w:lang w:eastAsia="en-US"/>
        </w:rPr>
      </w:pPr>
      <w:r>
        <w:rPr>
          <w:rFonts w:ascii="Calibri" w:hAnsi="Calibri"/>
          <w:sz w:val="22"/>
          <w:szCs w:val="22"/>
          <w:lang w:eastAsia="en-US"/>
        </w:rPr>
        <w:separator/>
      </w:r>
    </w:p>
  </w:footnote>
  <w:footnote w:type="continuationSeparator" w:id="0">
    <w:p w:rsidR="00587737" w:rsidRDefault="00587737" w:rsidP="006B42E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690" w:rsidRPr="006B42E1" w:rsidRDefault="00F64690" w:rsidP="006B42E1">
    <w:pPr>
      <w:pStyle w:val="Galvene"/>
      <w:jc w:val="center"/>
      <w:rPr>
        <w:rFonts w:ascii="Times New Roman" w:hAnsi="Times New Roman"/>
        <w:sz w:val="24"/>
        <w:szCs w:val="24"/>
      </w:rPr>
    </w:pPr>
    <w:r w:rsidRPr="006B42E1">
      <w:rPr>
        <w:rFonts w:ascii="Times New Roman" w:hAnsi="Times New Roman"/>
        <w:sz w:val="24"/>
        <w:szCs w:val="24"/>
      </w:rPr>
      <w:fldChar w:fldCharType="begin"/>
    </w:r>
    <w:r w:rsidRPr="006B42E1">
      <w:rPr>
        <w:rFonts w:ascii="Times New Roman" w:hAnsi="Times New Roman"/>
        <w:sz w:val="24"/>
        <w:szCs w:val="24"/>
      </w:rPr>
      <w:instrText>PAGE   \* MERGEFORMAT</w:instrText>
    </w:r>
    <w:r w:rsidRPr="006B42E1">
      <w:rPr>
        <w:rFonts w:ascii="Times New Roman" w:hAnsi="Times New Roman"/>
        <w:sz w:val="24"/>
        <w:szCs w:val="24"/>
      </w:rPr>
      <w:fldChar w:fldCharType="separate"/>
    </w:r>
    <w:r w:rsidR="008A0E78">
      <w:rPr>
        <w:rFonts w:ascii="Times New Roman" w:hAnsi="Times New Roman"/>
        <w:noProof/>
        <w:sz w:val="24"/>
        <w:szCs w:val="24"/>
      </w:rPr>
      <w:t>6</w:t>
    </w:r>
    <w:r w:rsidRPr="006B42E1">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3EC8"/>
    <w:multiLevelType w:val="hybridMultilevel"/>
    <w:tmpl w:val="A3323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2B01E3"/>
    <w:multiLevelType w:val="hybridMultilevel"/>
    <w:tmpl w:val="27D224C8"/>
    <w:lvl w:ilvl="0" w:tplc="04260001">
      <w:start w:val="1"/>
      <w:numFmt w:val="bullet"/>
      <w:lvlText w:val=""/>
      <w:lvlJc w:val="left"/>
      <w:pPr>
        <w:ind w:left="429" w:hanging="360"/>
      </w:pPr>
      <w:rPr>
        <w:rFonts w:ascii="Symbol" w:hAnsi="Symbol" w:hint="default"/>
      </w:rPr>
    </w:lvl>
    <w:lvl w:ilvl="1" w:tplc="04260003" w:tentative="1">
      <w:start w:val="1"/>
      <w:numFmt w:val="bullet"/>
      <w:lvlText w:val="o"/>
      <w:lvlJc w:val="left"/>
      <w:pPr>
        <w:ind w:left="1149" w:hanging="360"/>
      </w:pPr>
      <w:rPr>
        <w:rFonts w:ascii="Courier New" w:hAnsi="Courier New" w:cs="Courier New" w:hint="default"/>
      </w:rPr>
    </w:lvl>
    <w:lvl w:ilvl="2" w:tplc="04260005" w:tentative="1">
      <w:start w:val="1"/>
      <w:numFmt w:val="bullet"/>
      <w:lvlText w:val=""/>
      <w:lvlJc w:val="left"/>
      <w:pPr>
        <w:ind w:left="1869" w:hanging="360"/>
      </w:pPr>
      <w:rPr>
        <w:rFonts w:ascii="Wingdings" w:hAnsi="Wingdings" w:hint="default"/>
      </w:rPr>
    </w:lvl>
    <w:lvl w:ilvl="3" w:tplc="04260001" w:tentative="1">
      <w:start w:val="1"/>
      <w:numFmt w:val="bullet"/>
      <w:lvlText w:val=""/>
      <w:lvlJc w:val="left"/>
      <w:pPr>
        <w:ind w:left="2589" w:hanging="360"/>
      </w:pPr>
      <w:rPr>
        <w:rFonts w:ascii="Symbol" w:hAnsi="Symbol" w:hint="default"/>
      </w:rPr>
    </w:lvl>
    <w:lvl w:ilvl="4" w:tplc="04260003" w:tentative="1">
      <w:start w:val="1"/>
      <w:numFmt w:val="bullet"/>
      <w:lvlText w:val="o"/>
      <w:lvlJc w:val="left"/>
      <w:pPr>
        <w:ind w:left="3309" w:hanging="360"/>
      </w:pPr>
      <w:rPr>
        <w:rFonts w:ascii="Courier New" w:hAnsi="Courier New" w:cs="Courier New" w:hint="default"/>
      </w:rPr>
    </w:lvl>
    <w:lvl w:ilvl="5" w:tplc="04260005" w:tentative="1">
      <w:start w:val="1"/>
      <w:numFmt w:val="bullet"/>
      <w:lvlText w:val=""/>
      <w:lvlJc w:val="left"/>
      <w:pPr>
        <w:ind w:left="4029" w:hanging="360"/>
      </w:pPr>
      <w:rPr>
        <w:rFonts w:ascii="Wingdings" w:hAnsi="Wingdings" w:hint="default"/>
      </w:rPr>
    </w:lvl>
    <w:lvl w:ilvl="6" w:tplc="04260001" w:tentative="1">
      <w:start w:val="1"/>
      <w:numFmt w:val="bullet"/>
      <w:lvlText w:val=""/>
      <w:lvlJc w:val="left"/>
      <w:pPr>
        <w:ind w:left="4749" w:hanging="360"/>
      </w:pPr>
      <w:rPr>
        <w:rFonts w:ascii="Symbol" w:hAnsi="Symbol" w:hint="default"/>
      </w:rPr>
    </w:lvl>
    <w:lvl w:ilvl="7" w:tplc="04260003" w:tentative="1">
      <w:start w:val="1"/>
      <w:numFmt w:val="bullet"/>
      <w:lvlText w:val="o"/>
      <w:lvlJc w:val="left"/>
      <w:pPr>
        <w:ind w:left="5469" w:hanging="360"/>
      </w:pPr>
      <w:rPr>
        <w:rFonts w:ascii="Courier New" w:hAnsi="Courier New" w:cs="Courier New" w:hint="default"/>
      </w:rPr>
    </w:lvl>
    <w:lvl w:ilvl="8" w:tplc="04260005" w:tentative="1">
      <w:start w:val="1"/>
      <w:numFmt w:val="bullet"/>
      <w:lvlText w:val=""/>
      <w:lvlJc w:val="left"/>
      <w:pPr>
        <w:ind w:left="6189" w:hanging="360"/>
      </w:pPr>
      <w:rPr>
        <w:rFonts w:ascii="Wingdings" w:hAnsi="Wingdings" w:hint="default"/>
      </w:rPr>
    </w:lvl>
  </w:abstractNum>
  <w:abstractNum w:abstractNumId="2" w15:restartNumberingAfterBreak="0">
    <w:nsid w:val="07F03DF0"/>
    <w:multiLevelType w:val="hybridMultilevel"/>
    <w:tmpl w:val="576E9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AB3BD0"/>
    <w:multiLevelType w:val="hybridMultilevel"/>
    <w:tmpl w:val="92F8E092"/>
    <w:lvl w:ilvl="0" w:tplc="0426000F">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4" w15:restartNumberingAfterBreak="0">
    <w:nsid w:val="10222425"/>
    <w:multiLevelType w:val="hybridMultilevel"/>
    <w:tmpl w:val="9A6EF8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881B49"/>
    <w:multiLevelType w:val="hybridMultilevel"/>
    <w:tmpl w:val="45B8FFF2"/>
    <w:lvl w:ilvl="0" w:tplc="9206647C">
      <w:start w:val="1"/>
      <w:numFmt w:val="decimal"/>
      <w:lvlText w:val="%1)"/>
      <w:lvlJc w:val="left"/>
      <w:pPr>
        <w:ind w:left="720" w:hanging="360"/>
      </w:pPr>
      <w:rPr>
        <w:rFonts w:ascii="Times New Roman" w:hAnsi="Times New Roman" w:cs="Times New Roman" w:hint="default"/>
        <w:color w:val="C55A11"/>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2B593D73"/>
    <w:multiLevelType w:val="hybridMultilevel"/>
    <w:tmpl w:val="9D4CF400"/>
    <w:lvl w:ilvl="0" w:tplc="3C7A7CFE">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1583A8E"/>
    <w:multiLevelType w:val="hybridMultilevel"/>
    <w:tmpl w:val="B0E83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DE1666"/>
    <w:multiLevelType w:val="hybridMultilevel"/>
    <w:tmpl w:val="B636DFCA"/>
    <w:lvl w:ilvl="0" w:tplc="CF7C775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49D95DFE"/>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15:restartNumberingAfterBreak="0">
    <w:nsid w:val="5A7630FE"/>
    <w:multiLevelType w:val="hybridMultilevel"/>
    <w:tmpl w:val="73C48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027091D"/>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15:restartNumberingAfterBreak="0">
    <w:nsid w:val="604A345C"/>
    <w:multiLevelType w:val="hybridMultilevel"/>
    <w:tmpl w:val="646C17FE"/>
    <w:lvl w:ilvl="0" w:tplc="F4642BC4">
      <w:start w:val="35"/>
      <w:numFmt w:val="bullet"/>
      <w:lvlText w:val="-"/>
      <w:lvlJc w:val="left"/>
      <w:pPr>
        <w:ind w:left="789" w:hanging="360"/>
      </w:pPr>
      <w:rPr>
        <w:rFonts w:ascii="Times New Roman" w:eastAsia="Times New Roman" w:hAnsi="Times New Roman" w:cs="Times New Roman" w:hint="default"/>
        <w:sz w:val="24"/>
      </w:rPr>
    </w:lvl>
    <w:lvl w:ilvl="1" w:tplc="04260003" w:tentative="1">
      <w:start w:val="1"/>
      <w:numFmt w:val="bullet"/>
      <w:lvlText w:val="o"/>
      <w:lvlJc w:val="left"/>
      <w:pPr>
        <w:ind w:left="1509" w:hanging="360"/>
      </w:pPr>
      <w:rPr>
        <w:rFonts w:ascii="Courier New" w:hAnsi="Courier New" w:cs="Courier New" w:hint="default"/>
      </w:rPr>
    </w:lvl>
    <w:lvl w:ilvl="2" w:tplc="04260005" w:tentative="1">
      <w:start w:val="1"/>
      <w:numFmt w:val="bullet"/>
      <w:lvlText w:val=""/>
      <w:lvlJc w:val="left"/>
      <w:pPr>
        <w:ind w:left="2229" w:hanging="360"/>
      </w:pPr>
      <w:rPr>
        <w:rFonts w:ascii="Wingdings" w:hAnsi="Wingdings" w:hint="default"/>
      </w:rPr>
    </w:lvl>
    <w:lvl w:ilvl="3" w:tplc="04260001" w:tentative="1">
      <w:start w:val="1"/>
      <w:numFmt w:val="bullet"/>
      <w:lvlText w:val=""/>
      <w:lvlJc w:val="left"/>
      <w:pPr>
        <w:ind w:left="2949" w:hanging="360"/>
      </w:pPr>
      <w:rPr>
        <w:rFonts w:ascii="Symbol" w:hAnsi="Symbol" w:hint="default"/>
      </w:rPr>
    </w:lvl>
    <w:lvl w:ilvl="4" w:tplc="04260003" w:tentative="1">
      <w:start w:val="1"/>
      <w:numFmt w:val="bullet"/>
      <w:lvlText w:val="o"/>
      <w:lvlJc w:val="left"/>
      <w:pPr>
        <w:ind w:left="3669" w:hanging="360"/>
      </w:pPr>
      <w:rPr>
        <w:rFonts w:ascii="Courier New" w:hAnsi="Courier New" w:cs="Courier New" w:hint="default"/>
      </w:rPr>
    </w:lvl>
    <w:lvl w:ilvl="5" w:tplc="04260005" w:tentative="1">
      <w:start w:val="1"/>
      <w:numFmt w:val="bullet"/>
      <w:lvlText w:val=""/>
      <w:lvlJc w:val="left"/>
      <w:pPr>
        <w:ind w:left="4389" w:hanging="360"/>
      </w:pPr>
      <w:rPr>
        <w:rFonts w:ascii="Wingdings" w:hAnsi="Wingdings" w:hint="default"/>
      </w:rPr>
    </w:lvl>
    <w:lvl w:ilvl="6" w:tplc="04260001" w:tentative="1">
      <w:start w:val="1"/>
      <w:numFmt w:val="bullet"/>
      <w:lvlText w:val=""/>
      <w:lvlJc w:val="left"/>
      <w:pPr>
        <w:ind w:left="5109" w:hanging="360"/>
      </w:pPr>
      <w:rPr>
        <w:rFonts w:ascii="Symbol" w:hAnsi="Symbol" w:hint="default"/>
      </w:rPr>
    </w:lvl>
    <w:lvl w:ilvl="7" w:tplc="04260003" w:tentative="1">
      <w:start w:val="1"/>
      <w:numFmt w:val="bullet"/>
      <w:lvlText w:val="o"/>
      <w:lvlJc w:val="left"/>
      <w:pPr>
        <w:ind w:left="5829" w:hanging="360"/>
      </w:pPr>
      <w:rPr>
        <w:rFonts w:ascii="Courier New" w:hAnsi="Courier New" w:cs="Courier New" w:hint="default"/>
      </w:rPr>
    </w:lvl>
    <w:lvl w:ilvl="8" w:tplc="04260005" w:tentative="1">
      <w:start w:val="1"/>
      <w:numFmt w:val="bullet"/>
      <w:lvlText w:val=""/>
      <w:lvlJc w:val="left"/>
      <w:pPr>
        <w:ind w:left="6549" w:hanging="360"/>
      </w:pPr>
      <w:rPr>
        <w:rFonts w:ascii="Wingdings" w:hAnsi="Wingdings" w:hint="default"/>
      </w:rPr>
    </w:lvl>
  </w:abstractNum>
  <w:abstractNum w:abstractNumId="13" w15:restartNumberingAfterBreak="0">
    <w:nsid w:val="6295423C"/>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15" w15:restartNumberingAfterBreak="0">
    <w:nsid w:val="66410F18"/>
    <w:multiLevelType w:val="hybridMultilevel"/>
    <w:tmpl w:val="91CEF3D8"/>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201B17"/>
    <w:multiLevelType w:val="hybridMultilevel"/>
    <w:tmpl w:val="F1F86FDC"/>
    <w:lvl w:ilvl="0" w:tplc="0470A080">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613131A"/>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7C96589C"/>
    <w:multiLevelType w:val="hybridMultilevel"/>
    <w:tmpl w:val="0524800E"/>
    <w:lvl w:ilvl="0" w:tplc="5CB05B04">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8"/>
  </w:num>
  <w:num w:numId="5">
    <w:abstractNumId w:val="11"/>
  </w:num>
  <w:num w:numId="6">
    <w:abstractNumId w:val="2"/>
  </w:num>
  <w:num w:numId="7">
    <w:abstractNumId w:val="6"/>
  </w:num>
  <w:num w:numId="8">
    <w:abstractNumId w:val="7"/>
  </w:num>
  <w:num w:numId="9">
    <w:abstractNumId w:val="13"/>
  </w:num>
  <w:num w:numId="10">
    <w:abstractNumId w:val="15"/>
  </w:num>
  <w:num w:numId="11">
    <w:abstractNumId w:val="17"/>
  </w:num>
  <w:num w:numId="12">
    <w:abstractNumId w:val="10"/>
  </w:num>
  <w:num w:numId="13">
    <w:abstractNumId w:val="3"/>
  </w:num>
  <w:num w:numId="14">
    <w:abstractNumId w:val="0"/>
  </w:num>
  <w:num w:numId="15">
    <w:abstractNumId w:val="1"/>
  </w:num>
  <w:num w:numId="16">
    <w:abstractNumId w:val="18"/>
  </w:num>
  <w:num w:numId="17">
    <w:abstractNumId w:val="16"/>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lv-LV" w:vendorID="71" w:dllVersion="512"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E1"/>
    <w:rsid w:val="00000397"/>
    <w:rsid w:val="00010363"/>
    <w:rsid w:val="0001058D"/>
    <w:rsid w:val="000135B1"/>
    <w:rsid w:val="000141C1"/>
    <w:rsid w:val="00021B33"/>
    <w:rsid w:val="000245E4"/>
    <w:rsid w:val="00025686"/>
    <w:rsid w:val="000270E2"/>
    <w:rsid w:val="000307D6"/>
    <w:rsid w:val="00032CCB"/>
    <w:rsid w:val="00033E73"/>
    <w:rsid w:val="000440CD"/>
    <w:rsid w:val="000450F6"/>
    <w:rsid w:val="000454C9"/>
    <w:rsid w:val="00045DC4"/>
    <w:rsid w:val="00045F10"/>
    <w:rsid w:val="000504C9"/>
    <w:rsid w:val="00050B22"/>
    <w:rsid w:val="000527E3"/>
    <w:rsid w:val="0005367D"/>
    <w:rsid w:val="00054B66"/>
    <w:rsid w:val="00056BFD"/>
    <w:rsid w:val="0006144E"/>
    <w:rsid w:val="00063D28"/>
    <w:rsid w:val="000645F6"/>
    <w:rsid w:val="00064782"/>
    <w:rsid w:val="00065414"/>
    <w:rsid w:val="00065BBD"/>
    <w:rsid w:val="00072232"/>
    <w:rsid w:val="00072919"/>
    <w:rsid w:val="00074F79"/>
    <w:rsid w:val="000752E9"/>
    <w:rsid w:val="00075969"/>
    <w:rsid w:val="000801E3"/>
    <w:rsid w:val="00080C6F"/>
    <w:rsid w:val="00081B49"/>
    <w:rsid w:val="0008302C"/>
    <w:rsid w:val="000861D8"/>
    <w:rsid w:val="00086361"/>
    <w:rsid w:val="00086774"/>
    <w:rsid w:val="00087088"/>
    <w:rsid w:val="00091CE8"/>
    <w:rsid w:val="00091E42"/>
    <w:rsid w:val="00095486"/>
    <w:rsid w:val="000957E5"/>
    <w:rsid w:val="00095F9A"/>
    <w:rsid w:val="000A0487"/>
    <w:rsid w:val="000A3303"/>
    <w:rsid w:val="000A5E3C"/>
    <w:rsid w:val="000A7694"/>
    <w:rsid w:val="000B0071"/>
    <w:rsid w:val="000B0E4C"/>
    <w:rsid w:val="000B16CA"/>
    <w:rsid w:val="000B1D64"/>
    <w:rsid w:val="000B2414"/>
    <w:rsid w:val="000B53DF"/>
    <w:rsid w:val="000B698E"/>
    <w:rsid w:val="000C0408"/>
    <w:rsid w:val="000C0DAB"/>
    <w:rsid w:val="000C13C1"/>
    <w:rsid w:val="000C1D81"/>
    <w:rsid w:val="000C283D"/>
    <w:rsid w:val="000C2DF9"/>
    <w:rsid w:val="000C3027"/>
    <w:rsid w:val="000C3050"/>
    <w:rsid w:val="000C57DA"/>
    <w:rsid w:val="000C7DD4"/>
    <w:rsid w:val="000D16A8"/>
    <w:rsid w:val="000D4EF0"/>
    <w:rsid w:val="000D57AF"/>
    <w:rsid w:val="000D5C8C"/>
    <w:rsid w:val="000E2443"/>
    <w:rsid w:val="000E3C59"/>
    <w:rsid w:val="000E5392"/>
    <w:rsid w:val="000E7B64"/>
    <w:rsid w:val="000F01BE"/>
    <w:rsid w:val="000F442A"/>
    <w:rsid w:val="000F6B11"/>
    <w:rsid w:val="000F6C06"/>
    <w:rsid w:val="000F7756"/>
    <w:rsid w:val="001001E4"/>
    <w:rsid w:val="00106AC9"/>
    <w:rsid w:val="00106FDC"/>
    <w:rsid w:val="00107EAA"/>
    <w:rsid w:val="00110153"/>
    <w:rsid w:val="001130CC"/>
    <w:rsid w:val="00115B9E"/>
    <w:rsid w:val="001166CE"/>
    <w:rsid w:val="00117452"/>
    <w:rsid w:val="001175B7"/>
    <w:rsid w:val="001179D3"/>
    <w:rsid w:val="0012012A"/>
    <w:rsid w:val="00122123"/>
    <w:rsid w:val="001221B8"/>
    <w:rsid w:val="00124391"/>
    <w:rsid w:val="001251F4"/>
    <w:rsid w:val="001305EE"/>
    <w:rsid w:val="001307C8"/>
    <w:rsid w:val="00131E94"/>
    <w:rsid w:val="00133BE0"/>
    <w:rsid w:val="00136660"/>
    <w:rsid w:val="00142EA1"/>
    <w:rsid w:val="00152F9A"/>
    <w:rsid w:val="001543E8"/>
    <w:rsid w:val="00154BF4"/>
    <w:rsid w:val="00155754"/>
    <w:rsid w:val="001569AB"/>
    <w:rsid w:val="00160403"/>
    <w:rsid w:val="0016220B"/>
    <w:rsid w:val="001676A0"/>
    <w:rsid w:val="001702B7"/>
    <w:rsid w:val="00172056"/>
    <w:rsid w:val="00174322"/>
    <w:rsid w:val="001772F8"/>
    <w:rsid w:val="00177785"/>
    <w:rsid w:val="00184D91"/>
    <w:rsid w:val="00187981"/>
    <w:rsid w:val="00196583"/>
    <w:rsid w:val="001A3BFC"/>
    <w:rsid w:val="001A3C80"/>
    <w:rsid w:val="001A4E09"/>
    <w:rsid w:val="001A50BC"/>
    <w:rsid w:val="001A5C18"/>
    <w:rsid w:val="001A6197"/>
    <w:rsid w:val="001A77A9"/>
    <w:rsid w:val="001B2A89"/>
    <w:rsid w:val="001B2CFC"/>
    <w:rsid w:val="001B6789"/>
    <w:rsid w:val="001C0729"/>
    <w:rsid w:val="001C074D"/>
    <w:rsid w:val="001C0B85"/>
    <w:rsid w:val="001C645D"/>
    <w:rsid w:val="001D0B8A"/>
    <w:rsid w:val="001D7165"/>
    <w:rsid w:val="001E000E"/>
    <w:rsid w:val="001E1FC0"/>
    <w:rsid w:val="001E7D8C"/>
    <w:rsid w:val="001F234A"/>
    <w:rsid w:val="001F3B1B"/>
    <w:rsid w:val="001F436B"/>
    <w:rsid w:val="001F574C"/>
    <w:rsid w:val="001F5D71"/>
    <w:rsid w:val="00202987"/>
    <w:rsid w:val="002046BC"/>
    <w:rsid w:val="00205385"/>
    <w:rsid w:val="00207BD9"/>
    <w:rsid w:val="002102BB"/>
    <w:rsid w:val="00210DB4"/>
    <w:rsid w:val="00212CFC"/>
    <w:rsid w:val="0021371F"/>
    <w:rsid w:val="0021641A"/>
    <w:rsid w:val="00217689"/>
    <w:rsid w:val="00217B23"/>
    <w:rsid w:val="0022441C"/>
    <w:rsid w:val="00225E21"/>
    <w:rsid w:val="00227150"/>
    <w:rsid w:val="00231B01"/>
    <w:rsid w:val="002321A8"/>
    <w:rsid w:val="00232AA2"/>
    <w:rsid w:val="00234811"/>
    <w:rsid w:val="002362AB"/>
    <w:rsid w:val="002407C0"/>
    <w:rsid w:val="00242542"/>
    <w:rsid w:val="00243240"/>
    <w:rsid w:val="00243C17"/>
    <w:rsid w:val="0024414A"/>
    <w:rsid w:val="00252D8B"/>
    <w:rsid w:val="00260D3F"/>
    <w:rsid w:val="002679CC"/>
    <w:rsid w:val="00270A74"/>
    <w:rsid w:val="00274145"/>
    <w:rsid w:val="0028045B"/>
    <w:rsid w:val="00282674"/>
    <w:rsid w:val="0028376E"/>
    <w:rsid w:val="0028566A"/>
    <w:rsid w:val="00286AD9"/>
    <w:rsid w:val="002878F6"/>
    <w:rsid w:val="00292364"/>
    <w:rsid w:val="0029537C"/>
    <w:rsid w:val="002A72AF"/>
    <w:rsid w:val="002A73B3"/>
    <w:rsid w:val="002A7678"/>
    <w:rsid w:val="002A7CC2"/>
    <w:rsid w:val="002A7F17"/>
    <w:rsid w:val="002B103A"/>
    <w:rsid w:val="002B37F4"/>
    <w:rsid w:val="002B42DB"/>
    <w:rsid w:val="002B4EBC"/>
    <w:rsid w:val="002C1F64"/>
    <w:rsid w:val="002C4EA4"/>
    <w:rsid w:val="002C5159"/>
    <w:rsid w:val="002D11C7"/>
    <w:rsid w:val="002D34BA"/>
    <w:rsid w:val="002D38B2"/>
    <w:rsid w:val="002D6F69"/>
    <w:rsid w:val="002E180D"/>
    <w:rsid w:val="002E58E1"/>
    <w:rsid w:val="002E7998"/>
    <w:rsid w:val="002F20C6"/>
    <w:rsid w:val="002F4C88"/>
    <w:rsid w:val="002F553E"/>
    <w:rsid w:val="003017F3"/>
    <w:rsid w:val="003057DA"/>
    <w:rsid w:val="00306ABF"/>
    <w:rsid w:val="0031097F"/>
    <w:rsid w:val="00314164"/>
    <w:rsid w:val="00316DF0"/>
    <w:rsid w:val="003177BA"/>
    <w:rsid w:val="00322B25"/>
    <w:rsid w:val="00322EF9"/>
    <w:rsid w:val="003241BD"/>
    <w:rsid w:val="00326540"/>
    <w:rsid w:val="00327FCF"/>
    <w:rsid w:val="0033465E"/>
    <w:rsid w:val="003406F9"/>
    <w:rsid w:val="00350DCD"/>
    <w:rsid w:val="0035236C"/>
    <w:rsid w:val="00352976"/>
    <w:rsid w:val="0035326A"/>
    <w:rsid w:val="00355E2A"/>
    <w:rsid w:val="00357FC8"/>
    <w:rsid w:val="0036088B"/>
    <w:rsid w:val="0036380C"/>
    <w:rsid w:val="00365593"/>
    <w:rsid w:val="00367BB1"/>
    <w:rsid w:val="00371839"/>
    <w:rsid w:val="00374351"/>
    <w:rsid w:val="00383838"/>
    <w:rsid w:val="00385F76"/>
    <w:rsid w:val="00386ACF"/>
    <w:rsid w:val="00386D4D"/>
    <w:rsid w:val="003905FE"/>
    <w:rsid w:val="00391FC6"/>
    <w:rsid w:val="00396B0E"/>
    <w:rsid w:val="003A06E9"/>
    <w:rsid w:val="003A14D9"/>
    <w:rsid w:val="003A22B1"/>
    <w:rsid w:val="003A3B23"/>
    <w:rsid w:val="003A4CE9"/>
    <w:rsid w:val="003A6498"/>
    <w:rsid w:val="003A64CB"/>
    <w:rsid w:val="003A6DEF"/>
    <w:rsid w:val="003A7924"/>
    <w:rsid w:val="003B5E1C"/>
    <w:rsid w:val="003C0519"/>
    <w:rsid w:val="003D048C"/>
    <w:rsid w:val="003D3761"/>
    <w:rsid w:val="003D64F2"/>
    <w:rsid w:val="003E2BF5"/>
    <w:rsid w:val="003E4363"/>
    <w:rsid w:val="003E58C9"/>
    <w:rsid w:val="003F0B16"/>
    <w:rsid w:val="003F2EFD"/>
    <w:rsid w:val="003F5A33"/>
    <w:rsid w:val="003F6573"/>
    <w:rsid w:val="00400C7A"/>
    <w:rsid w:val="00405C9D"/>
    <w:rsid w:val="00406D01"/>
    <w:rsid w:val="00407235"/>
    <w:rsid w:val="004103AB"/>
    <w:rsid w:val="00410FA7"/>
    <w:rsid w:val="00411EAD"/>
    <w:rsid w:val="00413737"/>
    <w:rsid w:val="00414376"/>
    <w:rsid w:val="00414510"/>
    <w:rsid w:val="00414BFC"/>
    <w:rsid w:val="00414C2F"/>
    <w:rsid w:val="004234AA"/>
    <w:rsid w:val="0042573E"/>
    <w:rsid w:val="004302F7"/>
    <w:rsid w:val="00432A95"/>
    <w:rsid w:val="0043387C"/>
    <w:rsid w:val="0043497F"/>
    <w:rsid w:val="004367C7"/>
    <w:rsid w:val="0044165F"/>
    <w:rsid w:val="00442BB6"/>
    <w:rsid w:val="00443EAD"/>
    <w:rsid w:val="004560EA"/>
    <w:rsid w:val="00460BD7"/>
    <w:rsid w:val="00470669"/>
    <w:rsid w:val="00471F64"/>
    <w:rsid w:val="00473D4A"/>
    <w:rsid w:val="00475220"/>
    <w:rsid w:val="00475F87"/>
    <w:rsid w:val="004851D5"/>
    <w:rsid w:val="00495BDF"/>
    <w:rsid w:val="00495CA0"/>
    <w:rsid w:val="004976B3"/>
    <w:rsid w:val="004976CD"/>
    <w:rsid w:val="004A1054"/>
    <w:rsid w:val="004A1446"/>
    <w:rsid w:val="004A3064"/>
    <w:rsid w:val="004A3C96"/>
    <w:rsid w:val="004A5480"/>
    <w:rsid w:val="004A64C6"/>
    <w:rsid w:val="004A72C6"/>
    <w:rsid w:val="004A75AD"/>
    <w:rsid w:val="004C1C6B"/>
    <w:rsid w:val="004C259C"/>
    <w:rsid w:val="004C5413"/>
    <w:rsid w:val="004C5A0A"/>
    <w:rsid w:val="004C66C4"/>
    <w:rsid w:val="004C6825"/>
    <w:rsid w:val="004D4ADE"/>
    <w:rsid w:val="004E1B7F"/>
    <w:rsid w:val="004E251A"/>
    <w:rsid w:val="004E5420"/>
    <w:rsid w:val="004E5E63"/>
    <w:rsid w:val="004E78FE"/>
    <w:rsid w:val="004F113B"/>
    <w:rsid w:val="004F1369"/>
    <w:rsid w:val="004F1787"/>
    <w:rsid w:val="004F2475"/>
    <w:rsid w:val="004F5324"/>
    <w:rsid w:val="004F698B"/>
    <w:rsid w:val="0050329E"/>
    <w:rsid w:val="00507389"/>
    <w:rsid w:val="00515D58"/>
    <w:rsid w:val="00516CA2"/>
    <w:rsid w:val="00521D14"/>
    <w:rsid w:val="00523258"/>
    <w:rsid w:val="00527442"/>
    <w:rsid w:val="0053040D"/>
    <w:rsid w:val="0053269A"/>
    <w:rsid w:val="00537069"/>
    <w:rsid w:val="005418FF"/>
    <w:rsid w:val="005421CE"/>
    <w:rsid w:val="00544AEF"/>
    <w:rsid w:val="00552F8D"/>
    <w:rsid w:val="00561519"/>
    <w:rsid w:val="0057099E"/>
    <w:rsid w:val="0057365C"/>
    <w:rsid w:val="00575D42"/>
    <w:rsid w:val="00580170"/>
    <w:rsid w:val="00583572"/>
    <w:rsid w:val="00587737"/>
    <w:rsid w:val="00590FFC"/>
    <w:rsid w:val="00595C41"/>
    <w:rsid w:val="00597B53"/>
    <w:rsid w:val="00597D8F"/>
    <w:rsid w:val="005A2CB2"/>
    <w:rsid w:val="005A514F"/>
    <w:rsid w:val="005A7131"/>
    <w:rsid w:val="005C083B"/>
    <w:rsid w:val="005C174B"/>
    <w:rsid w:val="005C64B5"/>
    <w:rsid w:val="005D0E1A"/>
    <w:rsid w:val="005D2639"/>
    <w:rsid w:val="005D2B28"/>
    <w:rsid w:val="005D378D"/>
    <w:rsid w:val="005D3DB2"/>
    <w:rsid w:val="005D3E62"/>
    <w:rsid w:val="005D4C64"/>
    <w:rsid w:val="005D5A78"/>
    <w:rsid w:val="005E1126"/>
    <w:rsid w:val="005E162A"/>
    <w:rsid w:val="005E2547"/>
    <w:rsid w:val="005E4799"/>
    <w:rsid w:val="005E6328"/>
    <w:rsid w:val="005F1BF2"/>
    <w:rsid w:val="005F2356"/>
    <w:rsid w:val="005F2CAC"/>
    <w:rsid w:val="005F4B05"/>
    <w:rsid w:val="0060161B"/>
    <w:rsid w:val="00603054"/>
    <w:rsid w:val="006039A6"/>
    <w:rsid w:val="006043B7"/>
    <w:rsid w:val="00605072"/>
    <w:rsid w:val="006050C4"/>
    <w:rsid w:val="006058DD"/>
    <w:rsid w:val="00606205"/>
    <w:rsid w:val="00607050"/>
    <w:rsid w:val="00607083"/>
    <w:rsid w:val="006159D9"/>
    <w:rsid w:val="00615D84"/>
    <w:rsid w:val="00624E0D"/>
    <w:rsid w:val="00624F2A"/>
    <w:rsid w:val="00624F8A"/>
    <w:rsid w:val="00625FE0"/>
    <w:rsid w:val="00633043"/>
    <w:rsid w:val="00636649"/>
    <w:rsid w:val="00640D7A"/>
    <w:rsid w:val="00642C6C"/>
    <w:rsid w:val="00643FD1"/>
    <w:rsid w:val="00644228"/>
    <w:rsid w:val="0065006A"/>
    <w:rsid w:val="00650AD3"/>
    <w:rsid w:val="0065213B"/>
    <w:rsid w:val="00652835"/>
    <w:rsid w:val="006531A3"/>
    <w:rsid w:val="00655B01"/>
    <w:rsid w:val="0065724F"/>
    <w:rsid w:val="0065757D"/>
    <w:rsid w:val="006666DC"/>
    <w:rsid w:val="006666EE"/>
    <w:rsid w:val="006667D4"/>
    <w:rsid w:val="00666816"/>
    <w:rsid w:val="0067231D"/>
    <w:rsid w:val="00674FE0"/>
    <w:rsid w:val="00675F9F"/>
    <w:rsid w:val="00677BC4"/>
    <w:rsid w:val="00681270"/>
    <w:rsid w:val="00682D73"/>
    <w:rsid w:val="006837FD"/>
    <w:rsid w:val="0068388B"/>
    <w:rsid w:val="00687CE5"/>
    <w:rsid w:val="00690BC1"/>
    <w:rsid w:val="006917D6"/>
    <w:rsid w:val="00693DBB"/>
    <w:rsid w:val="00694786"/>
    <w:rsid w:val="00695CA2"/>
    <w:rsid w:val="006A19B6"/>
    <w:rsid w:val="006A449D"/>
    <w:rsid w:val="006A7063"/>
    <w:rsid w:val="006B2A3B"/>
    <w:rsid w:val="006B2CEB"/>
    <w:rsid w:val="006B42E1"/>
    <w:rsid w:val="006B46C2"/>
    <w:rsid w:val="006B5EBF"/>
    <w:rsid w:val="006B6490"/>
    <w:rsid w:val="006C1714"/>
    <w:rsid w:val="006C4042"/>
    <w:rsid w:val="006C6746"/>
    <w:rsid w:val="006C69A8"/>
    <w:rsid w:val="006D0A21"/>
    <w:rsid w:val="006D1ECA"/>
    <w:rsid w:val="006D615F"/>
    <w:rsid w:val="006E1F2C"/>
    <w:rsid w:val="006E63EB"/>
    <w:rsid w:val="006F1C3F"/>
    <w:rsid w:val="006F24FD"/>
    <w:rsid w:val="006F2B65"/>
    <w:rsid w:val="006F7F35"/>
    <w:rsid w:val="00702C5F"/>
    <w:rsid w:val="007107CD"/>
    <w:rsid w:val="00712137"/>
    <w:rsid w:val="007131DB"/>
    <w:rsid w:val="00713973"/>
    <w:rsid w:val="00713D07"/>
    <w:rsid w:val="00717EC7"/>
    <w:rsid w:val="007214B3"/>
    <w:rsid w:val="0072158B"/>
    <w:rsid w:val="00724BC3"/>
    <w:rsid w:val="0072667D"/>
    <w:rsid w:val="0072717A"/>
    <w:rsid w:val="00727B86"/>
    <w:rsid w:val="00730DD0"/>
    <w:rsid w:val="00732892"/>
    <w:rsid w:val="00733C7A"/>
    <w:rsid w:val="00733F64"/>
    <w:rsid w:val="0073404C"/>
    <w:rsid w:val="0073451D"/>
    <w:rsid w:val="0073457B"/>
    <w:rsid w:val="00741D7A"/>
    <w:rsid w:val="007426AC"/>
    <w:rsid w:val="00744354"/>
    <w:rsid w:val="00744584"/>
    <w:rsid w:val="00744590"/>
    <w:rsid w:val="007460CE"/>
    <w:rsid w:val="00747171"/>
    <w:rsid w:val="00747C75"/>
    <w:rsid w:val="00753454"/>
    <w:rsid w:val="00755774"/>
    <w:rsid w:val="00756595"/>
    <w:rsid w:val="00763F08"/>
    <w:rsid w:val="00764117"/>
    <w:rsid w:val="00764FC1"/>
    <w:rsid w:val="00766212"/>
    <w:rsid w:val="00770A9E"/>
    <w:rsid w:val="00774EE0"/>
    <w:rsid w:val="00776129"/>
    <w:rsid w:val="00776FC9"/>
    <w:rsid w:val="00777B15"/>
    <w:rsid w:val="007818E3"/>
    <w:rsid w:val="00781F19"/>
    <w:rsid w:val="00782128"/>
    <w:rsid w:val="00783388"/>
    <w:rsid w:val="007869F1"/>
    <w:rsid w:val="00791AAF"/>
    <w:rsid w:val="00795587"/>
    <w:rsid w:val="007967E9"/>
    <w:rsid w:val="00796F3A"/>
    <w:rsid w:val="007A011F"/>
    <w:rsid w:val="007A0388"/>
    <w:rsid w:val="007A0EE4"/>
    <w:rsid w:val="007A5C52"/>
    <w:rsid w:val="007A6285"/>
    <w:rsid w:val="007B2CFA"/>
    <w:rsid w:val="007B2DBD"/>
    <w:rsid w:val="007B4D5A"/>
    <w:rsid w:val="007B613A"/>
    <w:rsid w:val="007B6FBD"/>
    <w:rsid w:val="007C033F"/>
    <w:rsid w:val="007C4D20"/>
    <w:rsid w:val="007C54A8"/>
    <w:rsid w:val="007C5B5D"/>
    <w:rsid w:val="007D1380"/>
    <w:rsid w:val="007D2EF8"/>
    <w:rsid w:val="007E1E87"/>
    <w:rsid w:val="007E22BA"/>
    <w:rsid w:val="007E5913"/>
    <w:rsid w:val="007E5E0A"/>
    <w:rsid w:val="007E6E49"/>
    <w:rsid w:val="007E7805"/>
    <w:rsid w:val="007F00BB"/>
    <w:rsid w:val="007F2259"/>
    <w:rsid w:val="007F3D9F"/>
    <w:rsid w:val="007F4058"/>
    <w:rsid w:val="007F4B04"/>
    <w:rsid w:val="007F529A"/>
    <w:rsid w:val="007F6F84"/>
    <w:rsid w:val="00806FBE"/>
    <w:rsid w:val="00814935"/>
    <w:rsid w:val="0081658C"/>
    <w:rsid w:val="00816F66"/>
    <w:rsid w:val="0081762F"/>
    <w:rsid w:val="008203CA"/>
    <w:rsid w:val="0082336A"/>
    <w:rsid w:val="008273DA"/>
    <w:rsid w:val="008319F3"/>
    <w:rsid w:val="00833052"/>
    <w:rsid w:val="00833614"/>
    <w:rsid w:val="00835EC1"/>
    <w:rsid w:val="00836B74"/>
    <w:rsid w:val="00842C65"/>
    <w:rsid w:val="00844242"/>
    <w:rsid w:val="0084442A"/>
    <w:rsid w:val="008446B2"/>
    <w:rsid w:val="00847E40"/>
    <w:rsid w:val="00850E8F"/>
    <w:rsid w:val="0085581B"/>
    <w:rsid w:val="00855D1E"/>
    <w:rsid w:val="008602AB"/>
    <w:rsid w:val="00860EE4"/>
    <w:rsid w:val="00860FED"/>
    <w:rsid w:val="00861801"/>
    <w:rsid w:val="00872F1F"/>
    <w:rsid w:val="0087347E"/>
    <w:rsid w:val="00873E30"/>
    <w:rsid w:val="00876A07"/>
    <w:rsid w:val="00877882"/>
    <w:rsid w:val="00880CA8"/>
    <w:rsid w:val="00880F26"/>
    <w:rsid w:val="00882DA1"/>
    <w:rsid w:val="00882E86"/>
    <w:rsid w:val="00885E9A"/>
    <w:rsid w:val="00886AD3"/>
    <w:rsid w:val="008907EA"/>
    <w:rsid w:val="008924DB"/>
    <w:rsid w:val="008946F5"/>
    <w:rsid w:val="00897874"/>
    <w:rsid w:val="008A08A3"/>
    <w:rsid w:val="008A0E78"/>
    <w:rsid w:val="008A1722"/>
    <w:rsid w:val="008A22DA"/>
    <w:rsid w:val="008A415F"/>
    <w:rsid w:val="008B19A5"/>
    <w:rsid w:val="008B1D7B"/>
    <w:rsid w:val="008B5AA3"/>
    <w:rsid w:val="008B6DFD"/>
    <w:rsid w:val="008C0EB2"/>
    <w:rsid w:val="008C13D6"/>
    <w:rsid w:val="008C2225"/>
    <w:rsid w:val="008C2F4B"/>
    <w:rsid w:val="008C331E"/>
    <w:rsid w:val="008C6032"/>
    <w:rsid w:val="008D02C3"/>
    <w:rsid w:val="008D151E"/>
    <w:rsid w:val="008D4EEA"/>
    <w:rsid w:val="008E079D"/>
    <w:rsid w:val="008E11FB"/>
    <w:rsid w:val="008E38E3"/>
    <w:rsid w:val="008E42EB"/>
    <w:rsid w:val="008E5AF8"/>
    <w:rsid w:val="008F0704"/>
    <w:rsid w:val="008F0AFA"/>
    <w:rsid w:val="008F1BBC"/>
    <w:rsid w:val="008F4AAD"/>
    <w:rsid w:val="008F68A0"/>
    <w:rsid w:val="008F76C8"/>
    <w:rsid w:val="008F7ABB"/>
    <w:rsid w:val="009004C1"/>
    <w:rsid w:val="00900EAA"/>
    <w:rsid w:val="00902598"/>
    <w:rsid w:val="0090322F"/>
    <w:rsid w:val="00907F61"/>
    <w:rsid w:val="009117F4"/>
    <w:rsid w:val="00912E77"/>
    <w:rsid w:val="00915D84"/>
    <w:rsid w:val="00916218"/>
    <w:rsid w:val="00917B2A"/>
    <w:rsid w:val="009201CE"/>
    <w:rsid w:val="009217F0"/>
    <w:rsid w:val="0092241D"/>
    <w:rsid w:val="00925500"/>
    <w:rsid w:val="00927AD8"/>
    <w:rsid w:val="009313EC"/>
    <w:rsid w:val="00934646"/>
    <w:rsid w:val="00935417"/>
    <w:rsid w:val="00942229"/>
    <w:rsid w:val="00942DF1"/>
    <w:rsid w:val="00943E4E"/>
    <w:rsid w:val="00944B51"/>
    <w:rsid w:val="00945B51"/>
    <w:rsid w:val="009512AA"/>
    <w:rsid w:val="009519C6"/>
    <w:rsid w:val="00951C45"/>
    <w:rsid w:val="00955F30"/>
    <w:rsid w:val="00956DC9"/>
    <w:rsid w:val="00957CAC"/>
    <w:rsid w:val="0096145B"/>
    <w:rsid w:val="00963B92"/>
    <w:rsid w:val="00963F95"/>
    <w:rsid w:val="009656B0"/>
    <w:rsid w:val="009675DE"/>
    <w:rsid w:val="00970B7E"/>
    <w:rsid w:val="00973A6E"/>
    <w:rsid w:val="00976120"/>
    <w:rsid w:val="009763E1"/>
    <w:rsid w:val="0098329F"/>
    <w:rsid w:val="009844FE"/>
    <w:rsid w:val="00986D2E"/>
    <w:rsid w:val="00990133"/>
    <w:rsid w:val="00993017"/>
    <w:rsid w:val="009976A1"/>
    <w:rsid w:val="0099774F"/>
    <w:rsid w:val="00997DEC"/>
    <w:rsid w:val="009B13DB"/>
    <w:rsid w:val="009B1885"/>
    <w:rsid w:val="009B18CB"/>
    <w:rsid w:val="009B3CCA"/>
    <w:rsid w:val="009C0C91"/>
    <w:rsid w:val="009C10C1"/>
    <w:rsid w:val="009C1F75"/>
    <w:rsid w:val="009C2D35"/>
    <w:rsid w:val="009C4F9C"/>
    <w:rsid w:val="009C5AD5"/>
    <w:rsid w:val="009C5EF5"/>
    <w:rsid w:val="009C769E"/>
    <w:rsid w:val="009D2197"/>
    <w:rsid w:val="009D2FE5"/>
    <w:rsid w:val="009E3299"/>
    <w:rsid w:val="009E3D2F"/>
    <w:rsid w:val="009E42AA"/>
    <w:rsid w:val="009E5AE3"/>
    <w:rsid w:val="009E7E4B"/>
    <w:rsid w:val="009F1E27"/>
    <w:rsid w:val="009F2315"/>
    <w:rsid w:val="009F2A32"/>
    <w:rsid w:val="009F472F"/>
    <w:rsid w:val="009F5434"/>
    <w:rsid w:val="009F55ED"/>
    <w:rsid w:val="009F5F03"/>
    <w:rsid w:val="009F626B"/>
    <w:rsid w:val="009F6F3E"/>
    <w:rsid w:val="009F7902"/>
    <w:rsid w:val="00A039DE"/>
    <w:rsid w:val="00A043BD"/>
    <w:rsid w:val="00A14FFA"/>
    <w:rsid w:val="00A23275"/>
    <w:rsid w:val="00A23590"/>
    <w:rsid w:val="00A24D92"/>
    <w:rsid w:val="00A26902"/>
    <w:rsid w:val="00A26BD0"/>
    <w:rsid w:val="00A271CF"/>
    <w:rsid w:val="00A30C7A"/>
    <w:rsid w:val="00A32466"/>
    <w:rsid w:val="00A353B5"/>
    <w:rsid w:val="00A37AFB"/>
    <w:rsid w:val="00A403C0"/>
    <w:rsid w:val="00A41C37"/>
    <w:rsid w:val="00A438B5"/>
    <w:rsid w:val="00A45092"/>
    <w:rsid w:val="00A4607B"/>
    <w:rsid w:val="00A50B78"/>
    <w:rsid w:val="00A512E8"/>
    <w:rsid w:val="00A52144"/>
    <w:rsid w:val="00A532CA"/>
    <w:rsid w:val="00A5479D"/>
    <w:rsid w:val="00A60FCF"/>
    <w:rsid w:val="00A624CC"/>
    <w:rsid w:val="00A62FAA"/>
    <w:rsid w:val="00A6516F"/>
    <w:rsid w:val="00A70085"/>
    <w:rsid w:val="00A70143"/>
    <w:rsid w:val="00A71AD1"/>
    <w:rsid w:val="00A71ECB"/>
    <w:rsid w:val="00A73BFF"/>
    <w:rsid w:val="00A776D6"/>
    <w:rsid w:val="00A8082E"/>
    <w:rsid w:val="00A8465F"/>
    <w:rsid w:val="00A8470A"/>
    <w:rsid w:val="00A9015D"/>
    <w:rsid w:val="00A93AE4"/>
    <w:rsid w:val="00A9468D"/>
    <w:rsid w:val="00A94D7E"/>
    <w:rsid w:val="00AA2F47"/>
    <w:rsid w:val="00AB3893"/>
    <w:rsid w:val="00AB399D"/>
    <w:rsid w:val="00AC1087"/>
    <w:rsid w:val="00AC3D04"/>
    <w:rsid w:val="00AC4409"/>
    <w:rsid w:val="00AD04FA"/>
    <w:rsid w:val="00AD0A35"/>
    <w:rsid w:val="00AD34CA"/>
    <w:rsid w:val="00AD4704"/>
    <w:rsid w:val="00AD4EDA"/>
    <w:rsid w:val="00AD66A4"/>
    <w:rsid w:val="00AD7431"/>
    <w:rsid w:val="00AE2F44"/>
    <w:rsid w:val="00AE3F48"/>
    <w:rsid w:val="00AE5AA6"/>
    <w:rsid w:val="00AF0BA9"/>
    <w:rsid w:val="00AF0E36"/>
    <w:rsid w:val="00AF13DB"/>
    <w:rsid w:val="00AF31EF"/>
    <w:rsid w:val="00B02C38"/>
    <w:rsid w:val="00B035A0"/>
    <w:rsid w:val="00B06D15"/>
    <w:rsid w:val="00B1446E"/>
    <w:rsid w:val="00B15AFF"/>
    <w:rsid w:val="00B16ADF"/>
    <w:rsid w:val="00B242F3"/>
    <w:rsid w:val="00B265FE"/>
    <w:rsid w:val="00B27603"/>
    <w:rsid w:val="00B31554"/>
    <w:rsid w:val="00B322C1"/>
    <w:rsid w:val="00B375A8"/>
    <w:rsid w:val="00B375C3"/>
    <w:rsid w:val="00B43173"/>
    <w:rsid w:val="00B438B5"/>
    <w:rsid w:val="00B44F22"/>
    <w:rsid w:val="00B469BF"/>
    <w:rsid w:val="00B5096A"/>
    <w:rsid w:val="00B514F8"/>
    <w:rsid w:val="00B51E46"/>
    <w:rsid w:val="00B53CEA"/>
    <w:rsid w:val="00B56A0A"/>
    <w:rsid w:val="00B64711"/>
    <w:rsid w:val="00B64EC7"/>
    <w:rsid w:val="00B65B94"/>
    <w:rsid w:val="00B703BE"/>
    <w:rsid w:val="00B717F5"/>
    <w:rsid w:val="00B718EB"/>
    <w:rsid w:val="00B73219"/>
    <w:rsid w:val="00B7432B"/>
    <w:rsid w:val="00B75356"/>
    <w:rsid w:val="00B76231"/>
    <w:rsid w:val="00B765C2"/>
    <w:rsid w:val="00B82F0B"/>
    <w:rsid w:val="00B83C5F"/>
    <w:rsid w:val="00B86BCA"/>
    <w:rsid w:val="00B90531"/>
    <w:rsid w:val="00B919FF"/>
    <w:rsid w:val="00B91F22"/>
    <w:rsid w:val="00B923B6"/>
    <w:rsid w:val="00B96AD4"/>
    <w:rsid w:val="00BB6F77"/>
    <w:rsid w:val="00BB7EDD"/>
    <w:rsid w:val="00BC2483"/>
    <w:rsid w:val="00BC5598"/>
    <w:rsid w:val="00BC6353"/>
    <w:rsid w:val="00BD066F"/>
    <w:rsid w:val="00BD15F3"/>
    <w:rsid w:val="00BD1AA6"/>
    <w:rsid w:val="00BD4114"/>
    <w:rsid w:val="00BD4816"/>
    <w:rsid w:val="00BD5C15"/>
    <w:rsid w:val="00BE0D82"/>
    <w:rsid w:val="00BF5975"/>
    <w:rsid w:val="00BF5C3C"/>
    <w:rsid w:val="00BF630A"/>
    <w:rsid w:val="00BF6DA5"/>
    <w:rsid w:val="00C01151"/>
    <w:rsid w:val="00C05D05"/>
    <w:rsid w:val="00C05D86"/>
    <w:rsid w:val="00C0646F"/>
    <w:rsid w:val="00C06D3E"/>
    <w:rsid w:val="00C0768E"/>
    <w:rsid w:val="00C20A0E"/>
    <w:rsid w:val="00C248C4"/>
    <w:rsid w:val="00C27277"/>
    <w:rsid w:val="00C27737"/>
    <w:rsid w:val="00C2779A"/>
    <w:rsid w:val="00C27B8C"/>
    <w:rsid w:val="00C30B54"/>
    <w:rsid w:val="00C33321"/>
    <w:rsid w:val="00C344BB"/>
    <w:rsid w:val="00C37B10"/>
    <w:rsid w:val="00C37B5C"/>
    <w:rsid w:val="00C37C64"/>
    <w:rsid w:val="00C37FF1"/>
    <w:rsid w:val="00C437F4"/>
    <w:rsid w:val="00C439CA"/>
    <w:rsid w:val="00C43D6F"/>
    <w:rsid w:val="00C50362"/>
    <w:rsid w:val="00C503E7"/>
    <w:rsid w:val="00C66503"/>
    <w:rsid w:val="00C66DFC"/>
    <w:rsid w:val="00C70BEB"/>
    <w:rsid w:val="00C72789"/>
    <w:rsid w:val="00C771E8"/>
    <w:rsid w:val="00C80105"/>
    <w:rsid w:val="00C80D34"/>
    <w:rsid w:val="00C833F4"/>
    <w:rsid w:val="00C84A35"/>
    <w:rsid w:val="00C851CF"/>
    <w:rsid w:val="00C91D6B"/>
    <w:rsid w:val="00C93A9A"/>
    <w:rsid w:val="00C969B2"/>
    <w:rsid w:val="00C97834"/>
    <w:rsid w:val="00C97916"/>
    <w:rsid w:val="00CA1799"/>
    <w:rsid w:val="00CA29D5"/>
    <w:rsid w:val="00CA4F09"/>
    <w:rsid w:val="00CB0A2C"/>
    <w:rsid w:val="00CB11D7"/>
    <w:rsid w:val="00CB2233"/>
    <w:rsid w:val="00CB754A"/>
    <w:rsid w:val="00CC1A38"/>
    <w:rsid w:val="00CC22CD"/>
    <w:rsid w:val="00CC43FF"/>
    <w:rsid w:val="00CD1BE7"/>
    <w:rsid w:val="00CD1F4E"/>
    <w:rsid w:val="00CD62E9"/>
    <w:rsid w:val="00CF2E64"/>
    <w:rsid w:val="00CF4526"/>
    <w:rsid w:val="00CF473A"/>
    <w:rsid w:val="00CF52D5"/>
    <w:rsid w:val="00CF6AF3"/>
    <w:rsid w:val="00CF7862"/>
    <w:rsid w:val="00D05256"/>
    <w:rsid w:val="00D056EF"/>
    <w:rsid w:val="00D124D2"/>
    <w:rsid w:val="00D150E7"/>
    <w:rsid w:val="00D21DAB"/>
    <w:rsid w:val="00D22DDB"/>
    <w:rsid w:val="00D2317A"/>
    <w:rsid w:val="00D24251"/>
    <w:rsid w:val="00D258AD"/>
    <w:rsid w:val="00D25AE2"/>
    <w:rsid w:val="00D2622C"/>
    <w:rsid w:val="00D304AF"/>
    <w:rsid w:val="00D30C85"/>
    <w:rsid w:val="00D30FB2"/>
    <w:rsid w:val="00D32E48"/>
    <w:rsid w:val="00D378C7"/>
    <w:rsid w:val="00D40ADE"/>
    <w:rsid w:val="00D41D11"/>
    <w:rsid w:val="00D429E6"/>
    <w:rsid w:val="00D47335"/>
    <w:rsid w:val="00D51BF8"/>
    <w:rsid w:val="00D53344"/>
    <w:rsid w:val="00D542F8"/>
    <w:rsid w:val="00D5623C"/>
    <w:rsid w:val="00D56BAA"/>
    <w:rsid w:val="00D57959"/>
    <w:rsid w:val="00D57ACF"/>
    <w:rsid w:val="00D6790A"/>
    <w:rsid w:val="00D71DD5"/>
    <w:rsid w:val="00D73309"/>
    <w:rsid w:val="00D73F02"/>
    <w:rsid w:val="00D75439"/>
    <w:rsid w:val="00D76D29"/>
    <w:rsid w:val="00D81B78"/>
    <w:rsid w:val="00D83F1D"/>
    <w:rsid w:val="00D842CC"/>
    <w:rsid w:val="00D86BE8"/>
    <w:rsid w:val="00D91068"/>
    <w:rsid w:val="00D93092"/>
    <w:rsid w:val="00D93279"/>
    <w:rsid w:val="00D933F7"/>
    <w:rsid w:val="00D934C6"/>
    <w:rsid w:val="00D93AB5"/>
    <w:rsid w:val="00D94886"/>
    <w:rsid w:val="00D9493C"/>
    <w:rsid w:val="00D95324"/>
    <w:rsid w:val="00D967CA"/>
    <w:rsid w:val="00D96FF7"/>
    <w:rsid w:val="00D97FD7"/>
    <w:rsid w:val="00DB0C8F"/>
    <w:rsid w:val="00DB69D7"/>
    <w:rsid w:val="00DC0E1E"/>
    <w:rsid w:val="00DC26CD"/>
    <w:rsid w:val="00DC2F13"/>
    <w:rsid w:val="00DC4083"/>
    <w:rsid w:val="00DC5758"/>
    <w:rsid w:val="00DC779E"/>
    <w:rsid w:val="00DD0382"/>
    <w:rsid w:val="00DD0CF7"/>
    <w:rsid w:val="00DD39C3"/>
    <w:rsid w:val="00DD5584"/>
    <w:rsid w:val="00DE27B1"/>
    <w:rsid w:val="00DF441E"/>
    <w:rsid w:val="00DF7CF8"/>
    <w:rsid w:val="00E00A5A"/>
    <w:rsid w:val="00E01659"/>
    <w:rsid w:val="00E016C1"/>
    <w:rsid w:val="00E01BFE"/>
    <w:rsid w:val="00E0296B"/>
    <w:rsid w:val="00E02A4F"/>
    <w:rsid w:val="00E06138"/>
    <w:rsid w:val="00E0709D"/>
    <w:rsid w:val="00E07A17"/>
    <w:rsid w:val="00E1364B"/>
    <w:rsid w:val="00E13BD4"/>
    <w:rsid w:val="00E15398"/>
    <w:rsid w:val="00E155B2"/>
    <w:rsid w:val="00E17999"/>
    <w:rsid w:val="00E2184E"/>
    <w:rsid w:val="00E252BA"/>
    <w:rsid w:val="00E2575D"/>
    <w:rsid w:val="00E279A4"/>
    <w:rsid w:val="00E27AF0"/>
    <w:rsid w:val="00E331AB"/>
    <w:rsid w:val="00E3354F"/>
    <w:rsid w:val="00E352E4"/>
    <w:rsid w:val="00E3687A"/>
    <w:rsid w:val="00E413E4"/>
    <w:rsid w:val="00E424D5"/>
    <w:rsid w:val="00E45237"/>
    <w:rsid w:val="00E507D8"/>
    <w:rsid w:val="00E54555"/>
    <w:rsid w:val="00E55213"/>
    <w:rsid w:val="00E56EA5"/>
    <w:rsid w:val="00E64126"/>
    <w:rsid w:val="00E64478"/>
    <w:rsid w:val="00E664D9"/>
    <w:rsid w:val="00E6707A"/>
    <w:rsid w:val="00E67821"/>
    <w:rsid w:val="00E67E7E"/>
    <w:rsid w:val="00E702BC"/>
    <w:rsid w:val="00E72504"/>
    <w:rsid w:val="00E74460"/>
    <w:rsid w:val="00E748C2"/>
    <w:rsid w:val="00E76083"/>
    <w:rsid w:val="00E80BB3"/>
    <w:rsid w:val="00E82FC8"/>
    <w:rsid w:val="00E8392E"/>
    <w:rsid w:val="00E84FF8"/>
    <w:rsid w:val="00E85507"/>
    <w:rsid w:val="00E85E43"/>
    <w:rsid w:val="00E875F0"/>
    <w:rsid w:val="00E87D84"/>
    <w:rsid w:val="00E91C89"/>
    <w:rsid w:val="00E920F7"/>
    <w:rsid w:val="00E921C4"/>
    <w:rsid w:val="00E9256A"/>
    <w:rsid w:val="00E952EC"/>
    <w:rsid w:val="00EA2FC5"/>
    <w:rsid w:val="00EA5201"/>
    <w:rsid w:val="00EA776A"/>
    <w:rsid w:val="00EB1B03"/>
    <w:rsid w:val="00EB1D20"/>
    <w:rsid w:val="00EB27A2"/>
    <w:rsid w:val="00EB3F83"/>
    <w:rsid w:val="00EB6C86"/>
    <w:rsid w:val="00EB7480"/>
    <w:rsid w:val="00EB755A"/>
    <w:rsid w:val="00EC484A"/>
    <w:rsid w:val="00EC4FF3"/>
    <w:rsid w:val="00EC7653"/>
    <w:rsid w:val="00ED1EA4"/>
    <w:rsid w:val="00ED5B3C"/>
    <w:rsid w:val="00EE219B"/>
    <w:rsid w:val="00EE3A95"/>
    <w:rsid w:val="00EE556A"/>
    <w:rsid w:val="00EE576A"/>
    <w:rsid w:val="00EF0236"/>
    <w:rsid w:val="00EF06E9"/>
    <w:rsid w:val="00EF1AC2"/>
    <w:rsid w:val="00EF4DDE"/>
    <w:rsid w:val="00F01843"/>
    <w:rsid w:val="00F0248B"/>
    <w:rsid w:val="00F040D5"/>
    <w:rsid w:val="00F043DB"/>
    <w:rsid w:val="00F0537D"/>
    <w:rsid w:val="00F069C1"/>
    <w:rsid w:val="00F10C91"/>
    <w:rsid w:val="00F141A3"/>
    <w:rsid w:val="00F15613"/>
    <w:rsid w:val="00F17334"/>
    <w:rsid w:val="00F174F1"/>
    <w:rsid w:val="00F209A6"/>
    <w:rsid w:val="00F20A52"/>
    <w:rsid w:val="00F2352D"/>
    <w:rsid w:val="00F235EA"/>
    <w:rsid w:val="00F23FF6"/>
    <w:rsid w:val="00F23FFF"/>
    <w:rsid w:val="00F268A3"/>
    <w:rsid w:val="00F269EE"/>
    <w:rsid w:val="00F27A7E"/>
    <w:rsid w:val="00F36064"/>
    <w:rsid w:val="00F40A5B"/>
    <w:rsid w:val="00F422C6"/>
    <w:rsid w:val="00F433CB"/>
    <w:rsid w:val="00F449F4"/>
    <w:rsid w:val="00F4551F"/>
    <w:rsid w:val="00F474F2"/>
    <w:rsid w:val="00F508F2"/>
    <w:rsid w:val="00F61F22"/>
    <w:rsid w:val="00F64690"/>
    <w:rsid w:val="00F7145E"/>
    <w:rsid w:val="00F71515"/>
    <w:rsid w:val="00F71EBE"/>
    <w:rsid w:val="00F73D33"/>
    <w:rsid w:val="00F74BD5"/>
    <w:rsid w:val="00F75912"/>
    <w:rsid w:val="00F761FA"/>
    <w:rsid w:val="00F77674"/>
    <w:rsid w:val="00F8292E"/>
    <w:rsid w:val="00F832C1"/>
    <w:rsid w:val="00F8527F"/>
    <w:rsid w:val="00F85AEC"/>
    <w:rsid w:val="00F85C13"/>
    <w:rsid w:val="00F86000"/>
    <w:rsid w:val="00F86060"/>
    <w:rsid w:val="00F90730"/>
    <w:rsid w:val="00F92499"/>
    <w:rsid w:val="00F92EA5"/>
    <w:rsid w:val="00FA3CCB"/>
    <w:rsid w:val="00FA7D99"/>
    <w:rsid w:val="00FB04A9"/>
    <w:rsid w:val="00FB1AAC"/>
    <w:rsid w:val="00FB5717"/>
    <w:rsid w:val="00FB5AF1"/>
    <w:rsid w:val="00FB64F5"/>
    <w:rsid w:val="00FC12B3"/>
    <w:rsid w:val="00FC3030"/>
    <w:rsid w:val="00FC566E"/>
    <w:rsid w:val="00FC682B"/>
    <w:rsid w:val="00FC6B2F"/>
    <w:rsid w:val="00FD3369"/>
    <w:rsid w:val="00FD7657"/>
    <w:rsid w:val="00FE033E"/>
    <w:rsid w:val="00FE0A12"/>
    <w:rsid w:val="00FE0DF4"/>
    <w:rsid w:val="00FE35E5"/>
    <w:rsid w:val="00FE66CF"/>
    <w:rsid w:val="00FE7C72"/>
    <w:rsid w:val="00FE7CA0"/>
    <w:rsid w:val="00FE7FC6"/>
    <w:rsid w:val="00FF435C"/>
    <w:rsid w:val="00FF498B"/>
    <w:rsid w:val="00FF545E"/>
    <w:rsid w:val="00FF62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097"/>
    <o:shapelayout v:ext="edit">
      <o:idmap v:ext="edit" data="1"/>
    </o:shapelayout>
  </w:shapeDefaults>
  <w:decimalSymbol w:val=","/>
  <w:listSeparator w:val=";"/>
  <w15:docId w15:val="{310551AA-3FDC-43EA-93A8-D2662E91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5A78"/>
    <w:rPr>
      <w:rFonts w:ascii="Times New Roman" w:eastAsia="Times New Roman" w:hAnsi="Times New Roman"/>
      <w:sz w:val="24"/>
      <w:szCs w:val="24"/>
    </w:rPr>
  </w:style>
  <w:style w:type="paragraph" w:styleId="Virsraksts3">
    <w:name w:val="heading 3"/>
    <w:basedOn w:val="Parasts"/>
    <w:next w:val="Parasts"/>
    <w:link w:val="Virsraksts3Rakstz"/>
    <w:semiHidden/>
    <w:unhideWhenUsed/>
    <w:qFormat/>
    <w:locked/>
    <w:rsid w:val="00410FA7"/>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9"/>
    <w:qFormat/>
    <w:rsid w:val="00F23FFF"/>
    <w:pPr>
      <w:keepNext/>
      <w:keepLines/>
      <w:spacing w:before="200" w:line="259" w:lineRule="auto"/>
      <w:outlineLvl w:val="3"/>
    </w:pPr>
    <w:rPr>
      <w:rFonts w:ascii="Calibri Light" w:hAnsi="Calibri Light"/>
      <w:b/>
      <w:bCs/>
      <w:i/>
      <w:iCs/>
      <w:color w:val="5B9BD5"/>
      <w:sz w:val="22"/>
      <w:szCs w:val="22"/>
      <w:lang w:eastAsia="en-US"/>
    </w:rPr>
  </w:style>
  <w:style w:type="paragraph" w:styleId="Virsraksts5">
    <w:name w:val="heading 5"/>
    <w:basedOn w:val="Parasts"/>
    <w:next w:val="Parast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9"/>
    <w:semiHidden/>
    <w:locked/>
    <w:rsid w:val="00F23FFF"/>
    <w:rPr>
      <w:rFonts w:ascii="Calibri Light" w:hAnsi="Calibri Light" w:cs="Times New Roman"/>
      <w:b/>
      <w:bCs/>
      <w:i/>
      <w:iCs/>
      <w:color w:val="5B9BD5"/>
    </w:rPr>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s"/>
    <w:uiPriority w:val="99"/>
    <w:rsid w:val="006B42E1"/>
    <w:pPr>
      <w:spacing w:before="45" w:line="360" w:lineRule="auto"/>
      <w:ind w:firstLine="300"/>
    </w:pPr>
    <w:rPr>
      <w:i/>
      <w:iCs/>
      <w:color w:val="414142"/>
      <w:sz w:val="20"/>
      <w:szCs w:val="20"/>
    </w:rPr>
  </w:style>
  <w:style w:type="paragraph" w:styleId="Galvene">
    <w:name w:val="header"/>
    <w:basedOn w:val="Parast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s"/>
    <w:uiPriority w:val="99"/>
    <w:rsid w:val="006837FD"/>
    <w:pPr>
      <w:spacing w:line="360" w:lineRule="auto"/>
      <w:ind w:firstLine="300"/>
    </w:pPr>
    <w:rPr>
      <w:color w:val="414142"/>
      <w:sz w:val="20"/>
      <w:szCs w:val="20"/>
    </w:rPr>
  </w:style>
  <w:style w:type="paragraph" w:styleId="Parakstszemobjekta">
    <w:name w:val="caption"/>
    <w:basedOn w:val="Parasts"/>
    <w:next w:val="Parast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s"/>
    <w:next w:val="Parasts"/>
    <w:uiPriority w:val="99"/>
    <w:rsid w:val="005D5A78"/>
    <w:pPr>
      <w:autoSpaceDE w:val="0"/>
      <w:autoSpaceDN w:val="0"/>
      <w:adjustRightInd w:val="0"/>
    </w:pPr>
    <w:rPr>
      <w:rFonts w:ascii="EUAlbertina" w:hAnsi="EUAlbertina"/>
    </w:rPr>
  </w:style>
  <w:style w:type="paragraph" w:customStyle="1" w:styleId="Default">
    <w:name w:val="Default"/>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paragraph" w:customStyle="1" w:styleId="naislab">
    <w:name w:val="naislab"/>
    <w:basedOn w:val="Parasts"/>
    <w:uiPriority w:val="99"/>
    <w:rsid w:val="00C80D34"/>
    <w:pPr>
      <w:spacing w:before="100" w:after="100"/>
      <w:jc w:val="right"/>
    </w:pPr>
    <w:rPr>
      <w:rFonts w:eastAsia="Calibri"/>
    </w:rPr>
  </w:style>
  <w:style w:type="character" w:styleId="Komentraatsauce">
    <w:name w:val="annotation reference"/>
    <w:uiPriority w:val="99"/>
    <w:semiHidden/>
    <w:rsid w:val="00CD62E9"/>
    <w:rPr>
      <w:rFonts w:cs="Times New Roman"/>
      <w:sz w:val="16"/>
      <w:szCs w:val="16"/>
    </w:rPr>
  </w:style>
  <w:style w:type="paragraph" w:styleId="Komentrateksts">
    <w:name w:val="annotation text"/>
    <w:basedOn w:val="Parasts"/>
    <w:link w:val="KomentratekstsRakstz"/>
    <w:uiPriority w:val="99"/>
    <w:semiHidden/>
    <w:rsid w:val="00CD62E9"/>
    <w:rPr>
      <w:sz w:val="20"/>
      <w:szCs w:val="20"/>
    </w:rPr>
  </w:style>
  <w:style w:type="character" w:customStyle="1" w:styleId="KomentratekstsRakstz">
    <w:name w:val="Komentāra teksts Rakstz."/>
    <w:link w:val="Komentrateksts"/>
    <w:uiPriority w:val="99"/>
    <w:semiHidden/>
    <w:rsid w:val="002F1D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rsid w:val="00CD62E9"/>
    <w:rPr>
      <w:b/>
      <w:bCs/>
    </w:rPr>
  </w:style>
  <w:style w:type="character" w:customStyle="1" w:styleId="KomentratmaRakstz">
    <w:name w:val="Komentāra tēma Rakstz."/>
    <w:link w:val="Komentratma"/>
    <w:uiPriority w:val="99"/>
    <w:semiHidden/>
    <w:rsid w:val="002F1DE4"/>
    <w:rPr>
      <w:rFonts w:ascii="Times New Roman" w:eastAsia="Times New Roman" w:hAnsi="Times New Roman"/>
      <w:b/>
      <w:bCs/>
      <w:sz w:val="20"/>
      <w:szCs w:val="20"/>
    </w:rPr>
  </w:style>
  <w:style w:type="character" w:customStyle="1" w:styleId="Virsraksts3Rakstz">
    <w:name w:val="Virsraksts 3 Rakstz."/>
    <w:basedOn w:val="Noklusjumarindkopasfonts"/>
    <w:link w:val="Virsraksts3"/>
    <w:semiHidden/>
    <w:rsid w:val="00410FA7"/>
    <w:rPr>
      <w:rFonts w:asciiTheme="majorHAnsi" w:eastAsiaTheme="majorEastAsia" w:hAnsiTheme="majorHAnsi" w:cstheme="majorBidi"/>
      <w:b/>
      <w:bCs/>
      <w:color w:val="4F81BD" w:themeColor="accent1"/>
      <w:sz w:val="24"/>
      <w:szCs w:val="24"/>
    </w:rPr>
  </w:style>
  <w:style w:type="character" w:styleId="Izmantotahipersaite">
    <w:name w:val="FollowedHyperlink"/>
    <w:basedOn w:val="Noklusjumarindkopasfonts"/>
    <w:uiPriority w:val="99"/>
    <w:semiHidden/>
    <w:unhideWhenUsed/>
    <w:rsid w:val="009F626B"/>
    <w:rPr>
      <w:color w:val="800080" w:themeColor="followedHyperlink"/>
      <w:u w:val="single"/>
    </w:rPr>
  </w:style>
  <w:style w:type="paragraph" w:customStyle="1" w:styleId="tv213">
    <w:name w:val="tv213"/>
    <w:basedOn w:val="Parasts"/>
    <w:rsid w:val="009F626B"/>
    <w:pPr>
      <w:spacing w:before="100" w:beforeAutospacing="1" w:after="100" w:afterAutospacing="1"/>
    </w:pPr>
  </w:style>
  <w:style w:type="character" w:customStyle="1" w:styleId="apple-converted-space">
    <w:name w:val="apple-converted-space"/>
    <w:basedOn w:val="Noklusjumarindkopasfonts"/>
    <w:rsid w:val="009F626B"/>
  </w:style>
  <w:style w:type="paragraph" w:styleId="Bezatstarpm">
    <w:name w:val="No Spacing"/>
    <w:uiPriority w:val="1"/>
    <w:qFormat/>
    <w:rsid w:val="008C2F4B"/>
    <w:rPr>
      <w:rFonts w:asciiTheme="minorHAnsi" w:eastAsiaTheme="minorHAnsi" w:hAnsiTheme="minorHAnsi" w:cstheme="minorBidi"/>
      <w:sz w:val="22"/>
      <w:szCs w:val="22"/>
      <w:lang w:eastAsia="en-US"/>
    </w:rPr>
  </w:style>
  <w:style w:type="paragraph" w:styleId="Pamattekstsaratkpi">
    <w:name w:val="Body Text Indent"/>
    <w:basedOn w:val="Parasts"/>
    <w:link w:val="PamattekstsaratkpiRakstz"/>
    <w:rsid w:val="00E82FC8"/>
    <w:pPr>
      <w:spacing w:after="120"/>
      <w:ind w:left="283"/>
    </w:pPr>
    <w:rPr>
      <w:lang w:val="en-GB" w:eastAsia="en-US"/>
    </w:rPr>
  </w:style>
  <w:style w:type="character" w:customStyle="1" w:styleId="BodyTextIndentChar">
    <w:name w:val="Body Text Indent Char"/>
    <w:basedOn w:val="Noklusjumarindkopasfonts"/>
    <w:uiPriority w:val="99"/>
    <w:semiHidden/>
    <w:rsid w:val="00E82FC8"/>
    <w:rPr>
      <w:rFonts w:ascii="Times New Roman" w:eastAsia="Times New Roman" w:hAnsi="Times New Roman"/>
      <w:sz w:val="24"/>
      <w:szCs w:val="24"/>
    </w:rPr>
  </w:style>
  <w:style w:type="character" w:customStyle="1" w:styleId="PamattekstsaratkpiRakstz">
    <w:name w:val="Pamatteksts ar atkāpi Rakstz."/>
    <w:link w:val="Pamattekstsaratkpi"/>
    <w:rsid w:val="00E82FC8"/>
    <w:rPr>
      <w:rFonts w:ascii="Times New Roman" w:eastAsia="Times New Roman" w:hAnsi="Times New Roman"/>
      <w:sz w:val="24"/>
      <w:szCs w:val="24"/>
      <w:lang w:val="en-GB" w:eastAsia="en-US"/>
    </w:rPr>
  </w:style>
  <w:style w:type="character" w:styleId="Izteiksmgs">
    <w:name w:val="Strong"/>
    <w:uiPriority w:val="22"/>
    <w:qFormat/>
    <w:locked/>
    <w:rsid w:val="00227150"/>
    <w:rPr>
      <w:b/>
      <w:bCs/>
    </w:rPr>
  </w:style>
  <w:style w:type="paragraph" w:customStyle="1" w:styleId="Punkts">
    <w:name w:val="Punkts"/>
    <w:basedOn w:val="Pamatteksts"/>
    <w:next w:val="Parasts"/>
    <w:autoRedefine/>
    <w:qFormat/>
    <w:rsid w:val="0036088B"/>
    <w:pPr>
      <w:spacing w:before="120"/>
      <w:jc w:val="both"/>
    </w:pPr>
  </w:style>
  <w:style w:type="paragraph" w:styleId="Pamatteksts">
    <w:name w:val="Body Text"/>
    <w:basedOn w:val="Parasts"/>
    <w:link w:val="PamattekstsRakstz"/>
    <w:uiPriority w:val="99"/>
    <w:semiHidden/>
    <w:unhideWhenUsed/>
    <w:rsid w:val="0036088B"/>
    <w:pPr>
      <w:spacing w:after="120"/>
    </w:pPr>
  </w:style>
  <w:style w:type="character" w:customStyle="1" w:styleId="PamattekstsRakstz">
    <w:name w:val="Pamatteksts Rakstz."/>
    <w:basedOn w:val="Noklusjumarindkopasfonts"/>
    <w:link w:val="Pamatteksts"/>
    <w:uiPriority w:val="99"/>
    <w:semiHidden/>
    <w:rsid w:val="0036088B"/>
    <w:rPr>
      <w:rFonts w:ascii="Times New Roman" w:eastAsia="Times New Roman" w:hAnsi="Times New Roman"/>
      <w:sz w:val="24"/>
      <w:szCs w:val="24"/>
    </w:rPr>
  </w:style>
  <w:style w:type="character" w:styleId="Izclums">
    <w:name w:val="Emphasis"/>
    <w:qFormat/>
    <w:locked/>
    <w:rsid w:val="00603054"/>
    <w:rPr>
      <w:i/>
      <w:iCs/>
    </w:rPr>
  </w:style>
  <w:style w:type="character" w:customStyle="1" w:styleId="st">
    <w:name w:val="st"/>
    <w:basedOn w:val="Noklusjumarindkopasfonts"/>
    <w:rsid w:val="006D0A21"/>
  </w:style>
  <w:style w:type="paragraph" w:customStyle="1" w:styleId="naiskr">
    <w:name w:val="naiskr"/>
    <w:basedOn w:val="Parasts"/>
    <w:rsid w:val="00260D3F"/>
    <w:pPr>
      <w:spacing w:before="75" w:after="75"/>
    </w:pPr>
  </w:style>
  <w:style w:type="paragraph" w:customStyle="1" w:styleId="naisnod">
    <w:name w:val="naisnod"/>
    <w:basedOn w:val="Parasts"/>
    <w:rsid w:val="009F5F03"/>
    <w:pPr>
      <w:spacing w:before="150" w:after="150"/>
      <w:jc w:val="center"/>
    </w:pPr>
    <w:rPr>
      <w:b/>
      <w:bCs/>
    </w:rPr>
  </w:style>
  <w:style w:type="paragraph" w:customStyle="1" w:styleId="a">
    <w:basedOn w:val="Parasts"/>
    <w:next w:val="Paraststmeklis"/>
    <w:uiPriority w:val="99"/>
    <w:rsid w:val="00777B15"/>
    <w:pPr>
      <w:spacing w:before="100" w:beforeAutospacing="1" w:after="100" w:afterAutospacing="1"/>
    </w:pPr>
  </w:style>
  <w:style w:type="paragraph" w:styleId="Paraststmeklis">
    <w:name w:val="Normal (Web)"/>
    <w:basedOn w:val="Parasts"/>
    <w:uiPriority w:val="99"/>
    <w:semiHidden/>
    <w:unhideWhenUsed/>
    <w:rsid w:val="00777B15"/>
  </w:style>
  <w:style w:type="paragraph" w:customStyle="1" w:styleId="naisf">
    <w:name w:val="naisf"/>
    <w:basedOn w:val="Parasts"/>
    <w:rsid w:val="00764117"/>
    <w:pPr>
      <w:spacing w:before="100" w:beforeAutospacing="1" w:after="100" w:afterAutospacing="1"/>
    </w:pPr>
  </w:style>
  <w:style w:type="paragraph" w:customStyle="1" w:styleId="Parasts1">
    <w:name w:val="Parasts1"/>
    <w:basedOn w:val="Parasts"/>
    <w:rsid w:val="003F65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5785">
      <w:bodyDiv w:val="1"/>
      <w:marLeft w:val="0"/>
      <w:marRight w:val="0"/>
      <w:marTop w:val="0"/>
      <w:marBottom w:val="0"/>
      <w:divBdr>
        <w:top w:val="none" w:sz="0" w:space="0" w:color="auto"/>
        <w:left w:val="none" w:sz="0" w:space="0" w:color="auto"/>
        <w:bottom w:val="none" w:sz="0" w:space="0" w:color="auto"/>
        <w:right w:val="none" w:sz="0" w:space="0" w:color="auto"/>
      </w:divBdr>
    </w:div>
    <w:div w:id="140464816">
      <w:bodyDiv w:val="1"/>
      <w:marLeft w:val="0"/>
      <w:marRight w:val="0"/>
      <w:marTop w:val="0"/>
      <w:marBottom w:val="0"/>
      <w:divBdr>
        <w:top w:val="none" w:sz="0" w:space="0" w:color="auto"/>
        <w:left w:val="none" w:sz="0" w:space="0" w:color="auto"/>
        <w:bottom w:val="none" w:sz="0" w:space="0" w:color="auto"/>
        <w:right w:val="none" w:sz="0" w:space="0" w:color="auto"/>
      </w:divBdr>
    </w:div>
    <w:div w:id="161969595">
      <w:bodyDiv w:val="1"/>
      <w:marLeft w:val="0"/>
      <w:marRight w:val="0"/>
      <w:marTop w:val="0"/>
      <w:marBottom w:val="0"/>
      <w:divBdr>
        <w:top w:val="none" w:sz="0" w:space="0" w:color="auto"/>
        <w:left w:val="none" w:sz="0" w:space="0" w:color="auto"/>
        <w:bottom w:val="none" w:sz="0" w:space="0" w:color="auto"/>
        <w:right w:val="none" w:sz="0" w:space="0" w:color="auto"/>
      </w:divBdr>
    </w:div>
    <w:div w:id="267082437">
      <w:bodyDiv w:val="1"/>
      <w:marLeft w:val="0"/>
      <w:marRight w:val="0"/>
      <w:marTop w:val="0"/>
      <w:marBottom w:val="0"/>
      <w:divBdr>
        <w:top w:val="none" w:sz="0" w:space="0" w:color="auto"/>
        <w:left w:val="none" w:sz="0" w:space="0" w:color="auto"/>
        <w:bottom w:val="none" w:sz="0" w:space="0" w:color="auto"/>
        <w:right w:val="none" w:sz="0" w:space="0" w:color="auto"/>
      </w:divBdr>
    </w:div>
    <w:div w:id="281614500">
      <w:bodyDiv w:val="1"/>
      <w:marLeft w:val="0"/>
      <w:marRight w:val="0"/>
      <w:marTop w:val="0"/>
      <w:marBottom w:val="0"/>
      <w:divBdr>
        <w:top w:val="none" w:sz="0" w:space="0" w:color="auto"/>
        <w:left w:val="none" w:sz="0" w:space="0" w:color="auto"/>
        <w:bottom w:val="none" w:sz="0" w:space="0" w:color="auto"/>
        <w:right w:val="none" w:sz="0" w:space="0" w:color="auto"/>
      </w:divBdr>
    </w:div>
    <w:div w:id="330647245">
      <w:bodyDiv w:val="1"/>
      <w:marLeft w:val="0"/>
      <w:marRight w:val="0"/>
      <w:marTop w:val="0"/>
      <w:marBottom w:val="0"/>
      <w:divBdr>
        <w:top w:val="none" w:sz="0" w:space="0" w:color="auto"/>
        <w:left w:val="none" w:sz="0" w:space="0" w:color="auto"/>
        <w:bottom w:val="none" w:sz="0" w:space="0" w:color="auto"/>
        <w:right w:val="none" w:sz="0" w:space="0" w:color="auto"/>
      </w:divBdr>
    </w:div>
    <w:div w:id="399327353">
      <w:bodyDiv w:val="1"/>
      <w:marLeft w:val="0"/>
      <w:marRight w:val="0"/>
      <w:marTop w:val="0"/>
      <w:marBottom w:val="0"/>
      <w:divBdr>
        <w:top w:val="none" w:sz="0" w:space="0" w:color="auto"/>
        <w:left w:val="none" w:sz="0" w:space="0" w:color="auto"/>
        <w:bottom w:val="none" w:sz="0" w:space="0" w:color="auto"/>
        <w:right w:val="none" w:sz="0" w:space="0" w:color="auto"/>
      </w:divBdr>
    </w:div>
    <w:div w:id="405804263">
      <w:bodyDiv w:val="1"/>
      <w:marLeft w:val="0"/>
      <w:marRight w:val="0"/>
      <w:marTop w:val="0"/>
      <w:marBottom w:val="0"/>
      <w:divBdr>
        <w:top w:val="none" w:sz="0" w:space="0" w:color="auto"/>
        <w:left w:val="none" w:sz="0" w:space="0" w:color="auto"/>
        <w:bottom w:val="none" w:sz="0" w:space="0" w:color="auto"/>
        <w:right w:val="none" w:sz="0" w:space="0" w:color="auto"/>
      </w:divBdr>
    </w:div>
    <w:div w:id="463351974">
      <w:bodyDiv w:val="1"/>
      <w:marLeft w:val="0"/>
      <w:marRight w:val="0"/>
      <w:marTop w:val="0"/>
      <w:marBottom w:val="0"/>
      <w:divBdr>
        <w:top w:val="none" w:sz="0" w:space="0" w:color="auto"/>
        <w:left w:val="none" w:sz="0" w:space="0" w:color="auto"/>
        <w:bottom w:val="none" w:sz="0" w:space="0" w:color="auto"/>
        <w:right w:val="none" w:sz="0" w:space="0" w:color="auto"/>
      </w:divBdr>
    </w:div>
    <w:div w:id="481703356">
      <w:bodyDiv w:val="1"/>
      <w:marLeft w:val="0"/>
      <w:marRight w:val="0"/>
      <w:marTop w:val="0"/>
      <w:marBottom w:val="0"/>
      <w:divBdr>
        <w:top w:val="none" w:sz="0" w:space="0" w:color="auto"/>
        <w:left w:val="none" w:sz="0" w:space="0" w:color="auto"/>
        <w:bottom w:val="none" w:sz="0" w:space="0" w:color="auto"/>
        <w:right w:val="none" w:sz="0" w:space="0" w:color="auto"/>
      </w:divBdr>
      <w:divsChild>
        <w:div w:id="616255877">
          <w:marLeft w:val="0"/>
          <w:marRight w:val="0"/>
          <w:marTop w:val="480"/>
          <w:marBottom w:val="240"/>
          <w:divBdr>
            <w:top w:val="none" w:sz="0" w:space="0" w:color="auto"/>
            <w:left w:val="none" w:sz="0" w:space="0" w:color="auto"/>
            <w:bottom w:val="none" w:sz="0" w:space="0" w:color="auto"/>
            <w:right w:val="none" w:sz="0" w:space="0" w:color="auto"/>
          </w:divBdr>
        </w:div>
        <w:div w:id="1963926635">
          <w:marLeft w:val="0"/>
          <w:marRight w:val="0"/>
          <w:marTop w:val="0"/>
          <w:marBottom w:val="567"/>
          <w:divBdr>
            <w:top w:val="none" w:sz="0" w:space="0" w:color="auto"/>
            <w:left w:val="none" w:sz="0" w:space="0" w:color="auto"/>
            <w:bottom w:val="none" w:sz="0" w:space="0" w:color="auto"/>
            <w:right w:val="none" w:sz="0" w:space="0" w:color="auto"/>
          </w:divBdr>
        </w:div>
      </w:divsChild>
    </w:div>
    <w:div w:id="490870295">
      <w:bodyDiv w:val="1"/>
      <w:marLeft w:val="0"/>
      <w:marRight w:val="0"/>
      <w:marTop w:val="0"/>
      <w:marBottom w:val="0"/>
      <w:divBdr>
        <w:top w:val="none" w:sz="0" w:space="0" w:color="auto"/>
        <w:left w:val="none" w:sz="0" w:space="0" w:color="auto"/>
        <w:bottom w:val="none" w:sz="0" w:space="0" w:color="auto"/>
        <w:right w:val="none" w:sz="0" w:space="0" w:color="auto"/>
      </w:divBdr>
    </w:div>
    <w:div w:id="614559045">
      <w:bodyDiv w:val="1"/>
      <w:marLeft w:val="0"/>
      <w:marRight w:val="0"/>
      <w:marTop w:val="0"/>
      <w:marBottom w:val="0"/>
      <w:divBdr>
        <w:top w:val="none" w:sz="0" w:space="0" w:color="auto"/>
        <w:left w:val="none" w:sz="0" w:space="0" w:color="auto"/>
        <w:bottom w:val="none" w:sz="0" w:space="0" w:color="auto"/>
        <w:right w:val="none" w:sz="0" w:space="0" w:color="auto"/>
      </w:divBdr>
    </w:div>
    <w:div w:id="664432724">
      <w:bodyDiv w:val="1"/>
      <w:marLeft w:val="0"/>
      <w:marRight w:val="0"/>
      <w:marTop w:val="0"/>
      <w:marBottom w:val="0"/>
      <w:divBdr>
        <w:top w:val="none" w:sz="0" w:space="0" w:color="auto"/>
        <w:left w:val="none" w:sz="0" w:space="0" w:color="auto"/>
        <w:bottom w:val="none" w:sz="0" w:space="0" w:color="auto"/>
        <w:right w:val="none" w:sz="0" w:space="0" w:color="auto"/>
      </w:divBdr>
    </w:div>
    <w:div w:id="717162885">
      <w:bodyDiv w:val="1"/>
      <w:marLeft w:val="0"/>
      <w:marRight w:val="0"/>
      <w:marTop w:val="0"/>
      <w:marBottom w:val="0"/>
      <w:divBdr>
        <w:top w:val="none" w:sz="0" w:space="0" w:color="auto"/>
        <w:left w:val="none" w:sz="0" w:space="0" w:color="auto"/>
        <w:bottom w:val="none" w:sz="0" w:space="0" w:color="auto"/>
        <w:right w:val="none" w:sz="0" w:space="0" w:color="auto"/>
      </w:divBdr>
      <w:divsChild>
        <w:div w:id="1478036265">
          <w:marLeft w:val="0"/>
          <w:marRight w:val="0"/>
          <w:marTop w:val="0"/>
          <w:marBottom w:val="0"/>
          <w:divBdr>
            <w:top w:val="none" w:sz="0" w:space="0" w:color="auto"/>
            <w:left w:val="none" w:sz="0" w:space="0" w:color="auto"/>
            <w:bottom w:val="none" w:sz="0" w:space="0" w:color="auto"/>
            <w:right w:val="none" w:sz="0" w:space="0" w:color="auto"/>
          </w:divBdr>
          <w:divsChild>
            <w:div w:id="1253321523">
              <w:marLeft w:val="0"/>
              <w:marRight w:val="0"/>
              <w:marTop w:val="0"/>
              <w:marBottom w:val="0"/>
              <w:divBdr>
                <w:top w:val="none" w:sz="0" w:space="0" w:color="auto"/>
                <w:left w:val="none" w:sz="0" w:space="0" w:color="auto"/>
                <w:bottom w:val="none" w:sz="0" w:space="0" w:color="auto"/>
                <w:right w:val="none" w:sz="0" w:space="0" w:color="auto"/>
              </w:divBdr>
              <w:divsChild>
                <w:div w:id="1536969585">
                  <w:marLeft w:val="0"/>
                  <w:marRight w:val="0"/>
                  <w:marTop w:val="0"/>
                  <w:marBottom w:val="0"/>
                  <w:divBdr>
                    <w:top w:val="none" w:sz="0" w:space="0" w:color="auto"/>
                    <w:left w:val="none" w:sz="0" w:space="0" w:color="auto"/>
                    <w:bottom w:val="none" w:sz="0" w:space="0" w:color="auto"/>
                    <w:right w:val="none" w:sz="0" w:space="0" w:color="auto"/>
                  </w:divBdr>
                  <w:divsChild>
                    <w:div w:id="1670137219">
                      <w:marLeft w:val="0"/>
                      <w:marRight w:val="0"/>
                      <w:marTop w:val="0"/>
                      <w:marBottom w:val="0"/>
                      <w:divBdr>
                        <w:top w:val="none" w:sz="0" w:space="0" w:color="auto"/>
                        <w:left w:val="none" w:sz="0" w:space="0" w:color="auto"/>
                        <w:bottom w:val="none" w:sz="0" w:space="0" w:color="auto"/>
                        <w:right w:val="none" w:sz="0" w:space="0" w:color="auto"/>
                      </w:divBdr>
                      <w:divsChild>
                        <w:div w:id="1748767236">
                          <w:marLeft w:val="0"/>
                          <w:marRight w:val="0"/>
                          <w:marTop w:val="0"/>
                          <w:marBottom w:val="0"/>
                          <w:divBdr>
                            <w:top w:val="none" w:sz="0" w:space="0" w:color="auto"/>
                            <w:left w:val="none" w:sz="0" w:space="0" w:color="auto"/>
                            <w:bottom w:val="none" w:sz="0" w:space="0" w:color="auto"/>
                            <w:right w:val="none" w:sz="0" w:space="0" w:color="auto"/>
                          </w:divBdr>
                          <w:divsChild>
                            <w:div w:id="671642730">
                              <w:marLeft w:val="0"/>
                              <w:marRight w:val="0"/>
                              <w:marTop w:val="480"/>
                              <w:marBottom w:val="240"/>
                              <w:divBdr>
                                <w:top w:val="none" w:sz="0" w:space="0" w:color="auto"/>
                                <w:left w:val="none" w:sz="0" w:space="0" w:color="auto"/>
                                <w:bottom w:val="none" w:sz="0" w:space="0" w:color="auto"/>
                                <w:right w:val="none" w:sz="0" w:space="0" w:color="auto"/>
                              </w:divBdr>
                            </w:div>
                            <w:div w:id="101465340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629923">
      <w:bodyDiv w:val="1"/>
      <w:marLeft w:val="0"/>
      <w:marRight w:val="0"/>
      <w:marTop w:val="0"/>
      <w:marBottom w:val="0"/>
      <w:divBdr>
        <w:top w:val="none" w:sz="0" w:space="0" w:color="auto"/>
        <w:left w:val="none" w:sz="0" w:space="0" w:color="auto"/>
        <w:bottom w:val="none" w:sz="0" w:space="0" w:color="auto"/>
        <w:right w:val="none" w:sz="0" w:space="0" w:color="auto"/>
      </w:divBdr>
    </w:div>
    <w:div w:id="758913651">
      <w:bodyDiv w:val="1"/>
      <w:marLeft w:val="0"/>
      <w:marRight w:val="0"/>
      <w:marTop w:val="0"/>
      <w:marBottom w:val="0"/>
      <w:divBdr>
        <w:top w:val="none" w:sz="0" w:space="0" w:color="auto"/>
        <w:left w:val="none" w:sz="0" w:space="0" w:color="auto"/>
        <w:bottom w:val="none" w:sz="0" w:space="0" w:color="auto"/>
        <w:right w:val="none" w:sz="0" w:space="0" w:color="auto"/>
      </w:divBdr>
    </w:div>
    <w:div w:id="778180308">
      <w:bodyDiv w:val="1"/>
      <w:marLeft w:val="0"/>
      <w:marRight w:val="0"/>
      <w:marTop w:val="0"/>
      <w:marBottom w:val="0"/>
      <w:divBdr>
        <w:top w:val="none" w:sz="0" w:space="0" w:color="auto"/>
        <w:left w:val="none" w:sz="0" w:space="0" w:color="auto"/>
        <w:bottom w:val="none" w:sz="0" w:space="0" w:color="auto"/>
        <w:right w:val="none" w:sz="0" w:space="0" w:color="auto"/>
      </w:divBdr>
    </w:div>
    <w:div w:id="925265057">
      <w:bodyDiv w:val="1"/>
      <w:marLeft w:val="0"/>
      <w:marRight w:val="0"/>
      <w:marTop w:val="0"/>
      <w:marBottom w:val="0"/>
      <w:divBdr>
        <w:top w:val="none" w:sz="0" w:space="0" w:color="auto"/>
        <w:left w:val="none" w:sz="0" w:space="0" w:color="auto"/>
        <w:bottom w:val="none" w:sz="0" w:space="0" w:color="auto"/>
        <w:right w:val="none" w:sz="0" w:space="0" w:color="auto"/>
      </w:divBdr>
    </w:div>
    <w:div w:id="933509740">
      <w:bodyDiv w:val="1"/>
      <w:marLeft w:val="0"/>
      <w:marRight w:val="0"/>
      <w:marTop w:val="0"/>
      <w:marBottom w:val="0"/>
      <w:divBdr>
        <w:top w:val="none" w:sz="0" w:space="0" w:color="auto"/>
        <w:left w:val="none" w:sz="0" w:space="0" w:color="auto"/>
        <w:bottom w:val="none" w:sz="0" w:space="0" w:color="auto"/>
        <w:right w:val="none" w:sz="0" w:space="0" w:color="auto"/>
      </w:divBdr>
    </w:div>
    <w:div w:id="1017657619">
      <w:bodyDiv w:val="1"/>
      <w:marLeft w:val="0"/>
      <w:marRight w:val="0"/>
      <w:marTop w:val="0"/>
      <w:marBottom w:val="0"/>
      <w:divBdr>
        <w:top w:val="none" w:sz="0" w:space="0" w:color="auto"/>
        <w:left w:val="none" w:sz="0" w:space="0" w:color="auto"/>
        <w:bottom w:val="none" w:sz="0" w:space="0" w:color="auto"/>
        <w:right w:val="none" w:sz="0" w:space="0" w:color="auto"/>
      </w:divBdr>
    </w:div>
    <w:div w:id="1071123948">
      <w:bodyDiv w:val="1"/>
      <w:marLeft w:val="0"/>
      <w:marRight w:val="0"/>
      <w:marTop w:val="0"/>
      <w:marBottom w:val="0"/>
      <w:divBdr>
        <w:top w:val="none" w:sz="0" w:space="0" w:color="auto"/>
        <w:left w:val="none" w:sz="0" w:space="0" w:color="auto"/>
        <w:bottom w:val="none" w:sz="0" w:space="0" w:color="auto"/>
        <w:right w:val="none" w:sz="0" w:space="0" w:color="auto"/>
      </w:divBdr>
    </w:div>
    <w:div w:id="1083257527">
      <w:bodyDiv w:val="1"/>
      <w:marLeft w:val="0"/>
      <w:marRight w:val="0"/>
      <w:marTop w:val="0"/>
      <w:marBottom w:val="0"/>
      <w:divBdr>
        <w:top w:val="none" w:sz="0" w:space="0" w:color="auto"/>
        <w:left w:val="none" w:sz="0" w:space="0" w:color="auto"/>
        <w:bottom w:val="none" w:sz="0" w:space="0" w:color="auto"/>
        <w:right w:val="none" w:sz="0" w:space="0" w:color="auto"/>
      </w:divBdr>
    </w:div>
    <w:div w:id="1117455536">
      <w:bodyDiv w:val="1"/>
      <w:marLeft w:val="0"/>
      <w:marRight w:val="0"/>
      <w:marTop w:val="0"/>
      <w:marBottom w:val="0"/>
      <w:divBdr>
        <w:top w:val="none" w:sz="0" w:space="0" w:color="auto"/>
        <w:left w:val="none" w:sz="0" w:space="0" w:color="auto"/>
        <w:bottom w:val="none" w:sz="0" w:space="0" w:color="auto"/>
        <w:right w:val="none" w:sz="0" w:space="0" w:color="auto"/>
      </w:divBdr>
    </w:div>
    <w:div w:id="1153721113">
      <w:bodyDiv w:val="1"/>
      <w:marLeft w:val="0"/>
      <w:marRight w:val="0"/>
      <w:marTop w:val="0"/>
      <w:marBottom w:val="0"/>
      <w:divBdr>
        <w:top w:val="none" w:sz="0" w:space="0" w:color="auto"/>
        <w:left w:val="none" w:sz="0" w:space="0" w:color="auto"/>
        <w:bottom w:val="none" w:sz="0" w:space="0" w:color="auto"/>
        <w:right w:val="none" w:sz="0" w:space="0" w:color="auto"/>
      </w:divBdr>
    </w:div>
    <w:div w:id="1161119590">
      <w:bodyDiv w:val="1"/>
      <w:marLeft w:val="0"/>
      <w:marRight w:val="0"/>
      <w:marTop w:val="0"/>
      <w:marBottom w:val="0"/>
      <w:divBdr>
        <w:top w:val="none" w:sz="0" w:space="0" w:color="auto"/>
        <w:left w:val="none" w:sz="0" w:space="0" w:color="auto"/>
        <w:bottom w:val="none" w:sz="0" w:space="0" w:color="auto"/>
        <w:right w:val="none" w:sz="0" w:space="0" w:color="auto"/>
      </w:divBdr>
    </w:div>
    <w:div w:id="1164248595">
      <w:bodyDiv w:val="1"/>
      <w:marLeft w:val="0"/>
      <w:marRight w:val="0"/>
      <w:marTop w:val="0"/>
      <w:marBottom w:val="0"/>
      <w:divBdr>
        <w:top w:val="none" w:sz="0" w:space="0" w:color="auto"/>
        <w:left w:val="none" w:sz="0" w:space="0" w:color="auto"/>
        <w:bottom w:val="none" w:sz="0" w:space="0" w:color="auto"/>
        <w:right w:val="none" w:sz="0" w:space="0" w:color="auto"/>
      </w:divBdr>
    </w:div>
    <w:div w:id="1165852194">
      <w:bodyDiv w:val="1"/>
      <w:marLeft w:val="0"/>
      <w:marRight w:val="0"/>
      <w:marTop w:val="0"/>
      <w:marBottom w:val="0"/>
      <w:divBdr>
        <w:top w:val="none" w:sz="0" w:space="0" w:color="auto"/>
        <w:left w:val="none" w:sz="0" w:space="0" w:color="auto"/>
        <w:bottom w:val="none" w:sz="0" w:space="0" w:color="auto"/>
        <w:right w:val="none" w:sz="0" w:space="0" w:color="auto"/>
      </w:divBdr>
    </w:div>
    <w:div w:id="1182085294">
      <w:bodyDiv w:val="1"/>
      <w:marLeft w:val="0"/>
      <w:marRight w:val="0"/>
      <w:marTop w:val="0"/>
      <w:marBottom w:val="0"/>
      <w:divBdr>
        <w:top w:val="none" w:sz="0" w:space="0" w:color="auto"/>
        <w:left w:val="none" w:sz="0" w:space="0" w:color="auto"/>
        <w:bottom w:val="none" w:sz="0" w:space="0" w:color="auto"/>
        <w:right w:val="none" w:sz="0" w:space="0" w:color="auto"/>
      </w:divBdr>
    </w:div>
    <w:div w:id="1235093209">
      <w:bodyDiv w:val="1"/>
      <w:marLeft w:val="0"/>
      <w:marRight w:val="0"/>
      <w:marTop w:val="0"/>
      <w:marBottom w:val="0"/>
      <w:divBdr>
        <w:top w:val="none" w:sz="0" w:space="0" w:color="auto"/>
        <w:left w:val="none" w:sz="0" w:space="0" w:color="auto"/>
        <w:bottom w:val="none" w:sz="0" w:space="0" w:color="auto"/>
        <w:right w:val="none" w:sz="0" w:space="0" w:color="auto"/>
      </w:divBdr>
    </w:div>
    <w:div w:id="1252349241">
      <w:bodyDiv w:val="1"/>
      <w:marLeft w:val="0"/>
      <w:marRight w:val="0"/>
      <w:marTop w:val="0"/>
      <w:marBottom w:val="0"/>
      <w:divBdr>
        <w:top w:val="none" w:sz="0" w:space="0" w:color="auto"/>
        <w:left w:val="none" w:sz="0" w:space="0" w:color="auto"/>
        <w:bottom w:val="none" w:sz="0" w:space="0" w:color="auto"/>
        <w:right w:val="none" w:sz="0" w:space="0" w:color="auto"/>
      </w:divBdr>
    </w:div>
    <w:div w:id="1255741681">
      <w:bodyDiv w:val="1"/>
      <w:marLeft w:val="0"/>
      <w:marRight w:val="0"/>
      <w:marTop w:val="0"/>
      <w:marBottom w:val="0"/>
      <w:divBdr>
        <w:top w:val="none" w:sz="0" w:space="0" w:color="auto"/>
        <w:left w:val="none" w:sz="0" w:space="0" w:color="auto"/>
        <w:bottom w:val="none" w:sz="0" w:space="0" w:color="auto"/>
        <w:right w:val="none" w:sz="0" w:space="0" w:color="auto"/>
      </w:divBdr>
    </w:div>
    <w:div w:id="1267470311">
      <w:bodyDiv w:val="1"/>
      <w:marLeft w:val="0"/>
      <w:marRight w:val="0"/>
      <w:marTop w:val="0"/>
      <w:marBottom w:val="0"/>
      <w:divBdr>
        <w:top w:val="none" w:sz="0" w:space="0" w:color="auto"/>
        <w:left w:val="none" w:sz="0" w:space="0" w:color="auto"/>
        <w:bottom w:val="none" w:sz="0" w:space="0" w:color="auto"/>
        <w:right w:val="none" w:sz="0" w:space="0" w:color="auto"/>
      </w:divBdr>
    </w:div>
    <w:div w:id="1269387789">
      <w:bodyDiv w:val="1"/>
      <w:marLeft w:val="0"/>
      <w:marRight w:val="0"/>
      <w:marTop w:val="0"/>
      <w:marBottom w:val="0"/>
      <w:divBdr>
        <w:top w:val="none" w:sz="0" w:space="0" w:color="auto"/>
        <w:left w:val="none" w:sz="0" w:space="0" w:color="auto"/>
        <w:bottom w:val="none" w:sz="0" w:space="0" w:color="auto"/>
        <w:right w:val="none" w:sz="0" w:space="0" w:color="auto"/>
      </w:divBdr>
    </w:div>
    <w:div w:id="1311522461">
      <w:bodyDiv w:val="1"/>
      <w:marLeft w:val="0"/>
      <w:marRight w:val="0"/>
      <w:marTop w:val="0"/>
      <w:marBottom w:val="0"/>
      <w:divBdr>
        <w:top w:val="none" w:sz="0" w:space="0" w:color="auto"/>
        <w:left w:val="none" w:sz="0" w:space="0" w:color="auto"/>
        <w:bottom w:val="none" w:sz="0" w:space="0" w:color="auto"/>
        <w:right w:val="none" w:sz="0" w:space="0" w:color="auto"/>
      </w:divBdr>
    </w:div>
    <w:div w:id="1345128406">
      <w:bodyDiv w:val="1"/>
      <w:marLeft w:val="0"/>
      <w:marRight w:val="0"/>
      <w:marTop w:val="0"/>
      <w:marBottom w:val="0"/>
      <w:divBdr>
        <w:top w:val="none" w:sz="0" w:space="0" w:color="auto"/>
        <w:left w:val="none" w:sz="0" w:space="0" w:color="auto"/>
        <w:bottom w:val="none" w:sz="0" w:space="0" w:color="auto"/>
        <w:right w:val="none" w:sz="0" w:space="0" w:color="auto"/>
      </w:divBdr>
    </w:div>
    <w:div w:id="1428692322">
      <w:bodyDiv w:val="1"/>
      <w:marLeft w:val="0"/>
      <w:marRight w:val="0"/>
      <w:marTop w:val="0"/>
      <w:marBottom w:val="0"/>
      <w:divBdr>
        <w:top w:val="none" w:sz="0" w:space="0" w:color="auto"/>
        <w:left w:val="none" w:sz="0" w:space="0" w:color="auto"/>
        <w:bottom w:val="none" w:sz="0" w:space="0" w:color="auto"/>
        <w:right w:val="none" w:sz="0" w:space="0" w:color="auto"/>
      </w:divBdr>
    </w:div>
    <w:div w:id="1433554743">
      <w:bodyDiv w:val="1"/>
      <w:marLeft w:val="0"/>
      <w:marRight w:val="0"/>
      <w:marTop w:val="0"/>
      <w:marBottom w:val="0"/>
      <w:divBdr>
        <w:top w:val="none" w:sz="0" w:space="0" w:color="auto"/>
        <w:left w:val="none" w:sz="0" w:space="0" w:color="auto"/>
        <w:bottom w:val="none" w:sz="0" w:space="0" w:color="auto"/>
        <w:right w:val="none" w:sz="0" w:space="0" w:color="auto"/>
      </w:divBdr>
    </w:div>
    <w:div w:id="1484934765">
      <w:marLeft w:val="0"/>
      <w:marRight w:val="0"/>
      <w:marTop w:val="0"/>
      <w:marBottom w:val="0"/>
      <w:divBdr>
        <w:top w:val="none" w:sz="0" w:space="0" w:color="auto"/>
        <w:left w:val="none" w:sz="0" w:space="0" w:color="auto"/>
        <w:bottom w:val="none" w:sz="0" w:space="0" w:color="auto"/>
        <w:right w:val="none" w:sz="0" w:space="0" w:color="auto"/>
      </w:divBdr>
      <w:divsChild>
        <w:div w:id="1484934779">
          <w:marLeft w:val="0"/>
          <w:marRight w:val="0"/>
          <w:marTop w:val="0"/>
          <w:marBottom w:val="0"/>
          <w:divBdr>
            <w:top w:val="none" w:sz="0" w:space="0" w:color="auto"/>
            <w:left w:val="none" w:sz="0" w:space="0" w:color="auto"/>
            <w:bottom w:val="none" w:sz="0" w:space="0" w:color="auto"/>
            <w:right w:val="none" w:sz="0" w:space="0" w:color="auto"/>
          </w:divBdr>
          <w:divsChild>
            <w:div w:id="1484934788">
              <w:marLeft w:val="0"/>
              <w:marRight w:val="0"/>
              <w:marTop w:val="0"/>
              <w:marBottom w:val="0"/>
              <w:divBdr>
                <w:top w:val="none" w:sz="0" w:space="0" w:color="auto"/>
                <w:left w:val="none" w:sz="0" w:space="0" w:color="auto"/>
                <w:bottom w:val="none" w:sz="0" w:space="0" w:color="auto"/>
                <w:right w:val="none" w:sz="0" w:space="0" w:color="auto"/>
              </w:divBdr>
              <w:divsChild>
                <w:div w:id="1484934770">
                  <w:marLeft w:val="0"/>
                  <w:marRight w:val="0"/>
                  <w:marTop w:val="0"/>
                  <w:marBottom w:val="0"/>
                  <w:divBdr>
                    <w:top w:val="none" w:sz="0" w:space="0" w:color="auto"/>
                    <w:left w:val="none" w:sz="0" w:space="0" w:color="auto"/>
                    <w:bottom w:val="none" w:sz="0" w:space="0" w:color="auto"/>
                    <w:right w:val="none" w:sz="0" w:space="0" w:color="auto"/>
                  </w:divBdr>
                  <w:divsChild>
                    <w:div w:id="1484934769">
                      <w:marLeft w:val="0"/>
                      <w:marRight w:val="0"/>
                      <w:marTop w:val="0"/>
                      <w:marBottom w:val="0"/>
                      <w:divBdr>
                        <w:top w:val="none" w:sz="0" w:space="0" w:color="auto"/>
                        <w:left w:val="none" w:sz="0" w:space="0" w:color="auto"/>
                        <w:bottom w:val="none" w:sz="0" w:space="0" w:color="auto"/>
                        <w:right w:val="none" w:sz="0" w:space="0" w:color="auto"/>
                      </w:divBdr>
                      <w:divsChild>
                        <w:div w:id="1484934774">
                          <w:marLeft w:val="0"/>
                          <w:marRight w:val="0"/>
                          <w:marTop w:val="0"/>
                          <w:marBottom w:val="0"/>
                          <w:divBdr>
                            <w:top w:val="none" w:sz="0" w:space="0" w:color="auto"/>
                            <w:left w:val="none" w:sz="0" w:space="0" w:color="auto"/>
                            <w:bottom w:val="none" w:sz="0" w:space="0" w:color="auto"/>
                            <w:right w:val="none" w:sz="0" w:space="0" w:color="auto"/>
                          </w:divBdr>
                          <w:divsChild>
                            <w:div w:id="1484934768">
                              <w:marLeft w:val="0"/>
                              <w:marRight w:val="0"/>
                              <w:marTop w:val="400"/>
                              <w:marBottom w:val="0"/>
                              <w:divBdr>
                                <w:top w:val="none" w:sz="0" w:space="0" w:color="auto"/>
                                <w:left w:val="none" w:sz="0" w:space="0" w:color="auto"/>
                                <w:bottom w:val="none" w:sz="0" w:space="0" w:color="auto"/>
                                <w:right w:val="none" w:sz="0" w:space="0" w:color="auto"/>
                              </w:divBdr>
                            </w:div>
                            <w:div w:id="1484934790">
                              <w:marLeft w:val="0"/>
                              <w:marRight w:val="0"/>
                              <w:marTop w:val="240"/>
                              <w:marBottom w:val="0"/>
                              <w:divBdr>
                                <w:top w:val="none" w:sz="0" w:space="0" w:color="auto"/>
                                <w:left w:val="none" w:sz="0" w:space="0" w:color="auto"/>
                                <w:bottom w:val="none" w:sz="0" w:space="0" w:color="auto"/>
                                <w:right w:val="none" w:sz="0" w:space="0" w:color="auto"/>
                              </w:divBdr>
                            </w:div>
                            <w:div w:id="1484934792">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484934766">
      <w:marLeft w:val="0"/>
      <w:marRight w:val="0"/>
      <w:marTop w:val="0"/>
      <w:marBottom w:val="0"/>
      <w:divBdr>
        <w:top w:val="none" w:sz="0" w:space="0" w:color="auto"/>
        <w:left w:val="none" w:sz="0" w:space="0" w:color="auto"/>
        <w:bottom w:val="none" w:sz="0" w:space="0" w:color="auto"/>
        <w:right w:val="none" w:sz="0" w:space="0" w:color="auto"/>
      </w:divBdr>
    </w:div>
    <w:div w:id="1484934767">
      <w:marLeft w:val="0"/>
      <w:marRight w:val="0"/>
      <w:marTop w:val="0"/>
      <w:marBottom w:val="0"/>
      <w:divBdr>
        <w:top w:val="none" w:sz="0" w:space="0" w:color="auto"/>
        <w:left w:val="none" w:sz="0" w:space="0" w:color="auto"/>
        <w:bottom w:val="none" w:sz="0" w:space="0" w:color="auto"/>
        <w:right w:val="none" w:sz="0" w:space="0" w:color="auto"/>
      </w:divBdr>
    </w:div>
    <w:div w:id="1484934771">
      <w:marLeft w:val="0"/>
      <w:marRight w:val="0"/>
      <w:marTop w:val="0"/>
      <w:marBottom w:val="0"/>
      <w:divBdr>
        <w:top w:val="none" w:sz="0" w:space="0" w:color="auto"/>
        <w:left w:val="none" w:sz="0" w:space="0" w:color="auto"/>
        <w:bottom w:val="none" w:sz="0" w:space="0" w:color="auto"/>
        <w:right w:val="none" w:sz="0" w:space="0" w:color="auto"/>
      </w:divBdr>
    </w:div>
    <w:div w:id="1484934780">
      <w:marLeft w:val="0"/>
      <w:marRight w:val="0"/>
      <w:marTop w:val="0"/>
      <w:marBottom w:val="0"/>
      <w:divBdr>
        <w:top w:val="none" w:sz="0" w:space="0" w:color="auto"/>
        <w:left w:val="none" w:sz="0" w:space="0" w:color="auto"/>
        <w:bottom w:val="none" w:sz="0" w:space="0" w:color="auto"/>
        <w:right w:val="none" w:sz="0" w:space="0" w:color="auto"/>
      </w:divBdr>
    </w:div>
    <w:div w:id="1484934781">
      <w:marLeft w:val="0"/>
      <w:marRight w:val="0"/>
      <w:marTop w:val="0"/>
      <w:marBottom w:val="0"/>
      <w:divBdr>
        <w:top w:val="none" w:sz="0" w:space="0" w:color="auto"/>
        <w:left w:val="none" w:sz="0" w:space="0" w:color="auto"/>
        <w:bottom w:val="none" w:sz="0" w:space="0" w:color="auto"/>
        <w:right w:val="none" w:sz="0" w:space="0" w:color="auto"/>
      </w:divBdr>
      <w:divsChild>
        <w:div w:id="1484934782">
          <w:marLeft w:val="0"/>
          <w:marRight w:val="0"/>
          <w:marTop w:val="0"/>
          <w:marBottom w:val="0"/>
          <w:divBdr>
            <w:top w:val="none" w:sz="0" w:space="0" w:color="auto"/>
            <w:left w:val="none" w:sz="0" w:space="0" w:color="auto"/>
            <w:bottom w:val="none" w:sz="0" w:space="0" w:color="auto"/>
            <w:right w:val="none" w:sz="0" w:space="0" w:color="auto"/>
          </w:divBdr>
          <w:divsChild>
            <w:div w:id="1484934785">
              <w:marLeft w:val="0"/>
              <w:marRight w:val="0"/>
              <w:marTop w:val="0"/>
              <w:marBottom w:val="0"/>
              <w:divBdr>
                <w:top w:val="none" w:sz="0" w:space="0" w:color="auto"/>
                <w:left w:val="none" w:sz="0" w:space="0" w:color="auto"/>
                <w:bottom w:val="none" w:sz="0" w:space="0" w:color="auto"/>
                <w:right w:val="none" w:sz="0" w:space="0" w:color="auto"/>
              </w:divBdr>
              <w:divsChild>
                <w:div w:id="1484934776">
                  <w:marLeft w:val="0"/>
                  <w:marRight w:val="0"/>
                  <w:marTop w:val="0"/>
                  <w:marBottom w:val="0"/>
                  <w:divBdr>
                    <w:top w:val="none" w:sz="0" w:space="0" w:color="auto"/>
                    <w:left w:val="none" w:sz="0" w:space="0" w:color="auto"/>
                    <w:bottom w:val="none" w:sz="0" w:space="0" w:color="auto"/>
                    <w:right w:val="none" w:sz="0" w:space="0" w:color="auto"/>
                  </w:divBdr>
                  <w:divsChild>
                    <w:div w:id="1484934791">
                      <w:marLeft w:val="0"/>
                      <w:marRight w:val="0"/>
                      <w:marTop w:val="0"/>
                      <w:marBottom w:val="0"/>
                      <w:divBdr>
                        <w:top w:val="none" w:sz="0" w:space="0" w:color="auto"/>
                        <w:left w:val="none" w:sz="0" w:space="0" w:color="auto"/>
                        <w:bottom w:val="none" w:sz="0" w:space="0" w:color="auto"/>
                        <w:right w:val="none" w:sz="0" w:space="0" w:color="auto"/>
                      </w:divBdr>
                      <w:divsChild>
                        <w:div w:id="1484934784">
                          <w:marLeft w:val="0"/>
                          <w:marRight w:val="0"/>
                          <w:marTop w:val="0"/>
                          <w:marBottom w:val="0"/>
                          <w:divBdr>
                            <w:top w:val="none" w:sz="0" w:space="0" w:color="auto"/>
                            <w:left w:val="none" w:sz="0" w:space="0" w:color="auto"/>
                            <w:bottom w:val="none" w:sz="0" w:space="0" w:color="auto"/>
                            <w:right w:val="none" w:sz="0" w:space="0" w:color="auto"/>
                          </w:divBdr>
                          <w:divsChild>
                            <w:div w:id="14849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934787">
      <w:marLeft w:val="0"/>
      <w:marRight w:val="0"/>
      <w:marTop w:val="0"/>
      <w:marBottom w:val="0"/>
      <w:divBdr>
        <w:top w:val="none" w:sz="0" w:space="0" w:color="auto"/>
        <w:left w:val="none" w:sz="0" w:space="0" w:color="auto"/>
        <w:bottom w:val="none" w:sz="0" w:space="0" w:color="auto"/>
        <w:right w:val="none" w:sz="0" w:space="0" w:color="auto"/>
      </w:divBdr>
      <w:divsChild>
        <w:div w:id="1484934775">
          <w:marLeft w:val="0"/>
          <w:marRight w:val="0"/>
          <w:marTop w:val="0"/>
          <w:marBottom w:val="0"/>
          <w:divBdr>
            <w:top w:val="none" w:sz="0" w:space="0" w:color="auto"/>
            <w:left w:val="none" w:sz="0" w:space="0" w:color="auto"/>
            <w:bottom w:val="none" w:sz="0" w:space="0" w:color="auto"/>
            <w:right w:val="none" w:sz="0" w:space="0" w:color="auto"/>
          </w:divBdr>
          <w:divsChild>
            <w:div w:id="1484934789">
              <w:marLeft w:val="0"/>
              <w:marRight w:val="0"/>
              <w:marTop w:val="0"/>
              <w:marBottom w:val="0"/>
              <w:divBdr>
                <w:top w:val="none" w:sz="0" w:space="0" w:color="auto"/>
                <w:left w:val="none" w:sz="0" w:space="0" w:color="auto"/>
                <w:bottom w:val="none" w:sz="0" w:space="0" w:color="auto"/>
                <w:right w:val="none" w:sz="0" w:space="0" w:color="auto"/>
              </w:divBdr>
              <w:divsChild>
                <w:div w:id="1484934777">
                  <w:marLeft w:val="0"/>
                  <w:marRight w:val="0"/>
                  <w:marTop w:val="0"/>
                  <w:marBottom w:val="0"/>
                  <w:divBdr>
                    <w:top w:val="none" w:sz="0" w:space="0" w:color="auto"/>
                    <w:left w:val="none" w:sz="0" w:space="0" w:color="auto"/>
                    <w:bottom w:val="none" w:sz="0" w:space="0" w:color="auto"/>
                    <w:right w:val="none" w:sz="0" w:space="0" w:color="auto"/>
                  </w:divBdr>
                  <w:divsChild>
                    <w:div w:id="1484934783">
                      <w:marLeft w:val="0"/>
                      <w:marRight w:val="0"/>
                      <w:marTop w:val="0"/>
                      <w:marBottom w:val="0"/>
                      <w:divBdr>
                        <w:top w:val="none" w:sz="0" w:space="0" w:color="auto"/>
                        <w:left w:val="none" w:sz="0" w:space="0" w:color="auto"/>
                        <w:bottom w:val="none" w:sz="0" w:space="0" w:color="auto"/>
                        <w:right w:val="none" w:sz="0" w:space="0" w:color="auto"/>
                      </w:divBdr>
                      <w:divsChild>
                        <w:div w:id="1484934772">
                          <w:marLeft w:val="0"/>
                          <w:marRight w:val="0"/>
                          <w:marTop w:val="0"/>
                          <w:marBottom w:val="0"/>
                          <w:divBdr>
                            <w:top w:val="none" w:sz="0" w:space="0" w:color="auto"/>
                            <w:left w:val="none" w:sz="0" w:space="0" w:color="auto"/>
                            <w:bottom w:val="none" w:sz="0" w:space="0" w:color="auto"/>
                            <w:right w:val="none" w:sz="0" w:space="0" w:color="auto"/>
                          </w:divBdr>
                          <w:divsChild>
                            <w:div w:id="1484934786">
                              <w:marLeft w:val="0"/>
                              <w:marRight w:val="0"/>
                              <w:marTop w:val="0"/>
                              <w:marBottom w:val="0"/>
                              <w:divBdr>
                                <w:top w:val="none" w:sz="0" w:space="0" w:color="auto"/>
                                <w:left w:val="none" w:sz="0" w:space="0" w:color="auto"/>
                                <w:bottom w:val="none" w:sz="0" w:space="0" w:color="auto"/>
                                <w:right w:val="none" w:sz="0" w:space="0" w:color="auto"/>
                              </w:divBdr>
                              <w:divsChild>
                                <w:div w:id="14849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154234">
      <w:bodyDiv w:val="1"/>
      <w:marLeft w:val="0"/>
      <w:marRight w:val="0"/>
      <w:marTop w:val="0"/>
      <w:marBottom w:val="0"/>
      <w:divBdr>
        <w:top w:val="none" w:sz="0" w:space="0" w:color="auto"/>
        <w:left w:val="none" w:sz="0" w:space="0" w:color="auto"/>
        <w:bottom w:val="none" w:sz="0" w:space="0" w:color="auto"/>
        <w:right w:val="none" w:sz="0" w:space="0" w:color="auto"/>
      </w:divBdr>
    </w:div>
    <w:div w:id="1506675023">
      <w:bodyDiv w:val="1"/>
      <w:marLeft w:val="0"/>
      <w:marRight w:val="0"/>
      <w:marTop w:val="0"/>
      <w:marBottom w:val="0"/>
      <w:divBdr>
        <w:top w:val="none" w:sz="0" w:space="0" w:color="auto"/>
        <w:left w:val="none" w:sz="0" w:space="0" w:color="auto"/>
        <w:bottom w:val="none" w:sz="0" w:space="0" w:color="auto"/>
        <w:right w:val="none" w:sz="0" w:space="0" w:color="auto"/>
      </w:divBdr>
    </w:div>
    <w:div w:id="1512184818">
      <w:bodyDiv w:val="1"/>
      <w:marLeft w:val="0"/>
      <w:marRight w:val="0"/>
      <w:marTop w:val="0"/>
      <w:marBottom w:val="0"/>
      <w:divBdr>
        <w:top w:val="none" w:sz="0" w:space="0" w:color="auto"/>
        <w:left w:val="none" w:sz="0" w:space="0" w:color="auto"/>
        <w:bottom w:val="none" w:sz="0" w:space="0" w:color="auto"/>
        <w:right w:val="none" w:sz="0" w:space="0" w:color="auto"/>
      </w:divBdr>
    </w:div>
    <w:div w:id="1657686816">
      <w:bodyDiv w:val="1"/>
      <w:marLeft w:val="0"/>
      <w:marRight w:val="0"/>
      <w:marTop w:val="0"/>
      <w:marBottom w:val="0"/>
      <w:divBdr>
        <w:top w:val="none" w:sz="0" w:space="0" w:color="auto"/>
        <w:left w:val="none" w:sz="0" w:space="0" w:color="auto"/>
        <w:bottom w:val="none" w:sz="0" w:space="0" w:color="auto"/>
        <w:right w:val="none" w:sz="0" w:space="0" w:color="auto"/>
      </w:divBdr>
    </w:div>
    <w:div w:id="1695880141">
      <w:bodyDiv w:val="1"/>
      <w:marLeft w:val="0"/>
      <w:marRight w:val="0"/>
      <w:marTop w:val="0"/>
      <w:marBottom w:val="0"/>
      <w:divBdr>
        <w:top w:val="none" w:sz="0" w:space="0" w:color="auto"/>
        <w:left w:val="none" w:sz="0" w:space="0" w:color="auto"/>
        <w:bottom w:val="none" w:sz="0" w:space="0" w:color="auto"/>
        <w:right w:val="none" w:sz="0" w:space="0" w:color="auto"/>
      </w:divBdr>
    </w:div>
    <w:div w:id="1858231407">
      <w:bodyDiv w:val="1"/>
      <w:marLeft w:val="0"/>
      <w:marRight w:val="0"/>
      <w:marTop w:val="0"/>
      <w:marBottom w:val="0"/>
      <w:divBdr>
        <w:top w:val="none" w:sz="0" w:space="0" w:color="auto"/>
        <w:left w:val="none" w:sz="0" w:space="0" w:color="auto"/>
        <w:bottom w:val="none" w:sz="0" w:space="0" w:color="auto"/>
        <w:right w:val="none" w:sz="0" w:space="0" w:color="auto"/>
      </w:divBdr>
    </w:div>
    <w:div w:id="1871140379">
      <w:bodyDiv w:val="1"/>
      <w:marLeft w:val="0"/>
      <w:marRight w:val="0"/>
      <w:marTop w:val="0"/>
      <w:marBottom w:val="0"/>
      <w:divBdr>
        <w:top w:val="none" w:sz="0" w:space="0" w:color="auto"/>
        <w:left w:val="none" w:sz="0" w:space="0" w:color="auto"/>
        <w:bottom w:val="none" w:sz="0" w:space="0" w:color="auto"/>
        <w:right w:val="none" w:sz="0" w:space="0" w:color="auto"/>
      </w:divBdr>
    </w:div>
    <w:div w:id="1975866700">
      <w:bodyDiv w:val="1"/>
      <w:marLeft w:val="0"/>
      <w:marRight w:val="0"/>
      <w:marTop w:val="0"/>
      <w:marBottom w:val="0"/>
      <w:divBdr>
        <w:top w:val="none" w:sz="0" w:space="0" w:color="auto"/>
        <w:left w:val="none" w:sz="0" w:space="0" w:color="auto"/>
        <w:bottom w:val="none" w:sz="0" w:space="0" w:color="auto"/>
        <w:right w:val="none" w:sz="0" w:space="0" w:color="auto"/>
      </w:divBdr>
    </w:div>
    <w:div w:id="20788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7/834/oj/?locale=LV" TargetMode="External"/><Relationship Id="rId13" Type="http://schemas.openxmlformats.org/officeDocument/2006/relationships/hyperlink" Target="http://eur-lex.europa.eu/eli/reg/2011/679?local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1/679?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1/679?locale=LV" TargetMode="External"/><Relationship Id="rId5" Type="http://schemas.openxmlformats.org/officeDocument/2006/relationships/webSettings" Target="webSettings.xml"/><Relationship Id="rId15" Type="http://schemas.openxmlformats.org/officeDocument/2006/relationships/hyperlink" Target="http://eur-lex.europa.eu/eli/reg/2007/834/oj/?locale=LV" TargetMode="External"/><Relationship Id="rId10" Type="http://schemas.openxmlformats.org/officeDocument/2006/relationships/hyperlink" Target="http://eur-lex.europa.eu/eli/reg/2013/1305?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11/679?locale=LV" TargetMode="External"/><Relationship Id="rId14" Type="http://schemas.openxmlformats.org/officeDocument/2006/relationships/hyperlink" Target="http://eur-lex.europa.eu/eli/reg/2011/679?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16C7B-59AC-49B7-A9FB-3F9AB574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2496</Words>
  <Characters>17992</Characters>
  <Application>Microsoft Office Word</Application>
  <DocSecurity>0</DocSecurity>
  <Lines>149</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Sākotnējās ietekmes novērtējuma ziņojums (anotācija)</vt:lpstr>
      <vt:lpstr>Sākotnējās ietekmes novērtējuma ziņojums (anotācija)</vt:lpstr>
    </vt:vector>
  </TitlesOfParts>
  <Company>ZM</Company>
  <LinksUpToDate>false</LinksUpToDate>
  <CharactersWithSpaces>20448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7. aprīļa noteikumos Nr. 171 „Noteikumi par valsts un Eiropas Savienības atbalsta piešķiršanu, administrēšanu un uzraudzību vides, klimata un lauku ainavas uzlabošanai 2014.–2020. gada plānošanas periodā”” sākotnējās ietekmes novērtējuma ziņojums (anotācija)</dc:title>
  <dc:subject>Anotācija</dc:subject>
  <dc:creator>Gunta Bāra</dc:creator>
  <dc:description>Gunta.Bara@zm.gov.lv G.Bāra 67027398</dc:description>
  <cp:lastModifiedBy>Sanita Žagare</cp:lastModifiedBy>
  <cp:revision>4</cp:revision>
  <cp:lastPrinted>2015-02-05T08:51:00Z</cp:lastPrinted>
  <dcterms:created xsi:type="dcterms:W3CDTF">2017-03-09T06:18:00Z</dcterms:created>
  <dcterms:modified xsi:type="dcterms:W3CDTF">2017-03-09T07:53:00Z</dcterms:modified>
</cp:coreProperties>
</file>