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C2" w:rsidRPr="00F95EC2" w:rsidRDefault="00F95EC2" w:rsidP="00F95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12</w:t>
      </w:r>
      <w:r w:rsidRPr="00F95EC2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F95EC2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F95EC2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F95EC2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F95EC2" w:rsidRPr="00F95EC2" w:rsidRDefault="00F95EC2" w:rsidP="00F95EC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F95EC2">
        <w:rPr>
          <w:rFonts w:ascii="Times New Roman" w:eastAsia="Calibri" w:hAnsi="Times New Roman" w:cs="Times New Roman"/>
          <w:bCs/>
          <w:szCs w:val="20"/>
        </w:rPr>
        <w:t>noteikumiem Nr.</w:t>
      </w:r>
      <w:r w:rsidRPr="00F95EC2">
        <w:rPr>
          <w:rFonts w:ascii="Times New Roman" w:eastAsia="Calibri" w:hAnsi="Times New Roman" w:cs="Times New Roman"/>
          <w:bCs/>
          <w:szCs w:val="20"/>
        </w:rPr>
        <w:tab/>
      </w:r>
    </w:p>
    <w:p w:rsidR="00FD29C1" w:rsidRPr="00FD29C1" w:rsidRDefault="00FD29C1" w:rsidP="00FD29C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D29C1" w:rsidRPr="00F95EC2" w:rsidRDefault="00FD29C1" w:rsidP="00FD29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b/>
          <w:b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slimības diagnostikas metodes un paraugu ņemšanas kārtība</w:t>
      </w:r>
    </w:p>
    <w:p w:rsidR="00FD29C1" w:rsidRPr="00F95EC2" w:rsidRDefault="00FD29C1" w:rsidP="00FD2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1. Paraugi vēžu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slimības diagnostikai ir: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1.1. 95 % etilspirtā fiksēts epidermas (kājas,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vēderkājas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>, mutes daļas vai žaunu) paraugs;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1.2. citi paraugi, kas ar fiksēšanu sagatavoti histoloģiskai pārbaudei un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mikroskopēšanai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ar transmisijas elektronu mikroskopu, lai veiktu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PCR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>.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iCs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2. Diagnostikas metode, ko izmanto, lai iegūtu vai saglabātu veselības stāvokli “infekcijas slimības neskarts” attiecībā uz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slimību,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ir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divsoļu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PCR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>,  kuras noteiktas šo noteikumu 13. pielikumā.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3. Ja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divsoļu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PCR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testa laikā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ir iegūts pozitīvs rezultāts, pirms šo noteikumu 48. punktā minēto kontroles un apkarošanas pasākumu īstenošanas rezultātu apstiprina,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sekvenējot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amplikonu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,  – ja vien iespējams, paraugam ņemtajos uzņēmīgajos saimniekorganismos ar histoloģiskas pārbaudes un transmisijas elektronu mikroskopa starpniecību praktiski pierādot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patognomiskas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slimības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pazīmes. 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4. Ja saskaņā ar šo noteikumu 48. punktā noteiktajām prasībām nepieciešams apstiprināt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slimības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infekcijas klātbūtni vai izslēgt aizdomas par to, ievēro šādu oficiālo izmeklēšanas, paraugu ņemšanas un laboratoriskās izmeklēšanas kārtību: 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4.1. ja klīniski vai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novēro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slimībai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raksturīgas pazīmes, oficiālā izmeklēšanā izdara vismaz vienu veselības pārbaudi un ņem vienu paraugu ar 10 vēžveidīgajiem vai, ja šādas pazīmes klīniski vai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nenovēro, ņem paraugu ar 150 vēžveidīgajiem. Paraugus laboratoriski izmeklē, izmantojot šī pielikuma 2. un 3. punktā aprakstīto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divsoļu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PCR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; 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4.2.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slimības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klātbūtni uzskata par apstiprinātu, ja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divsoļu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>PCR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, pēc kuras izdarīta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sekvenēšana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attiecībā uz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sindroma vīrusa 1. tipu,</w:t>
      </w:r>
      <w:r w:rsidRPr="00F95EC2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ir pozitīva un ja paraugam ņemtajos saimniekorganismos ir vērojamas </w:t>
      </w:r>
      <w:proofErr w:type="spellStart"/>
      <w:r w:rsidRPr="00F95EC2">
        <w:rPr>
          <w:rFonts w:ascii="Times New Roman" w:eastAsia="Calibri" w:hAnsi="Times New Roman" w:cs="Times New Roman"/>
          <w:sz w:val="24"/>
          <w:szCs w:val="20"/>
        </w:rPr>
        <w:t>patognomiskas</w:t>
      </w:r>
      <w:proofErr w:type="spellEnd"/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slimības</w:t>
      </w:r>
      <w:r w:rsidRPr="00F95EC2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pazīmes. </w:t>
      </w: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D29C1" w:rsidRPr="00F95EC2" w:rsidRDefault="00FD29C1" w:rsidP="00F95EC2">
      <w:pPr>
        <w:spacing w:after="0" w:line="320" w:lineRule="atLeast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ab/>
        <w:t xml:space="preserve">5. Ja šī pielikuma 4. punktā minēto laboratorisko izmeklējumu laikā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slimības </w:t>
      </w:r>
      <w:r w:rsidRPr="00F95EC2">
        <w:rPr>
          <w:rFonts w:ascii="Times New Roman" w:eastAsia="Calibri" w:hAnsi="Times New Roman" w:cs="Times New Roman"/>
          <w:sz w:val="24"/>
          <w:szCs w:val="20"/>
        </w:rPr>
        <w:t xml:space="preserve">klātbūtni neapliecina, aizdomas par </w:t>
      </w:r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iCs/>
          <w:sz w:val="24"/>
          <w:szCs w:val="20"/>
        </w:rPr>
        <w:t xml:space="preserve"> slimību </w:t>
      </w:r>
      <w:r w:rsidRPr="00F95EC2">
        <w:rPr>
          <w:rFonts w:ascii="Times New Roman" w:eastAsia="Calibri" w:hAnsi="Times New Roman" w:cs="Times New Roman"/>
          <w:sz w:val="24"/>
          <w:szCs w:val="20"/>
        </w:rPr>
        <w:t>izslēdz.</w:t>
      </w:r>
    </w:p>
    <w:p w:rsidR="00FD29C1" w:rsidRPr="00F95EC2" w:rsidRDefault="00FD29C1" w:rsidP="00FD29C1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t>6.A tabula</w:t>
      </w:r>
    </w:p>
    <w:p w:rsidR="00FD29C1" w:rsidRDefault="00FD29C1" w:rsidP="00FD29C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0"/>
        </w:rPr>
      </w:pPr>
      <w:r w:rsidRPr="00F95EC2">
        <w:rPr>
          <w:rFonts w:ascii="Times New Roman" w:eastAsia="Calibri" w:hAnsi="Times New Roman" w:cs="Times New Roman"/>
          <w:b/>
          <w:sz w:val="24"/>
          <w:szCs w:val="20"/>
        </w:rPr>
        <w:t xml:space="preserve">Uzraudzības shēma divu gadu kontroles periodam pirms veselības stāvokļa “infekcijas slimības neskarts” iegūšanas attiecībā uz </w:t>
      </w:r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 xml:space="preserve"> slimību</w:t>
      </w:r>
    </w:p>
    <w:p w:rsidR="00F95EC2" w:rsidRPr="00F95EC2" w:rsidRDefault="00F95EC2" w:rsidP="00FD29C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7"/>
        <w:gridCol w:w="2107"/>
        <w:gridCol w:w="2107"/>
        <w:gridCol w:w="2109"/>
      </w:tblGrid>
      <w:tr w:rsidR="00FD29C1" w:rsidRPr="00FD29C1" w:rsidTr="00E24F7E">
        <w:trPr>
          <w:trHeight w:val="227"/>
        </w:trPr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Klīnisko pārbaužu skaits gadā</w:t>
            </w:r>
          </w:p>
        </w:tc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Laboratorisko izmeklējumu skaits gadā</w:t>
            </w:r>
          </w:p>
        </w:tc>
        <w:tc>
          <w:tcPr>
            <w:tcW w:w="2109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Vēžveidīgo skaits paraugā</w:t>
            </w:r>
          </w:p>
        </w:tc>
      </w:tr>
      <w:tr w:rsidR="00FD29C1" w:rsidRPr="00FD29C1" w:rsidTr="00E24F7E">
        <w:trPr>
          <w:trHeight w:val="227"/>
        </w:trPr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Audzētavas/ paraugu ņemšanas vietas</w:t>
            </w:r>
          </w:p>
        </w:tc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</w:tr>
    </w:tbl>
    <w:p w:rsidR="00FD29C1" w:rsidRPr="00FD29C1" w:rsidRDefault="00FD29C1" w:rsidP="00FD29C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D29C1" w:rsidRPr="00F95EC2" w:rsidRDefault="00FD29C1" w:rsidP="00FD29C1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F95EC2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6.B tabula </w:t>
      </w:r>
    </w:p>
    <w:p w:rsidR="00FD29C1" w:rsidRDefault="00FD29C1" w:rsidP="00FD29C1">
      <w:pPr>
        <w:spacing w:after="0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0"/>
        </w:rPr>
      </w:pPr>
      <w:r w:rsidRPr="00F95EC2">
        <w:rPr>
          <w:rFonts w:ascii="Times New Roman" w:eastAsia="Calibri" w:hAnsi="Times New Roman" w:cs="Times New Roman"/>
          <w:b/>
          <w:sz w:val="24"/>
          <w:szCs w:val="20"/>
        </w:rPr>
        <w:t xml:space="preserve">Uzraudzības shēma veselības stāvokļa </w:t>
      </w:r>
      <w:proofErr w:type="gramStart"/>
      <w:r w:rsidRPr="00F95EC2">
        <w:rPr>
          <w:rFonts w:ascii="Times New Roman" w:eastAsia="Calibri" w:hAnsi="Times New Roman" w:cs="Times New Roman"/>
          <w:b/>
          <w:sz w:val="24"/>
          <w:szCs w:val="20"/>
        </w:rPr>
        <w:t xml:space="preserve">“infekcijas slimības neskarts” saglabāšanai attiecībā uz </w:t>
      </w:r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 xml:space="preserve">vēžu </w:t>
      </w:r>
      <w:proofErr w:type="spellStart"/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>baltplankumu</w:t>
      </w:r>
      <w:proofErr w:type="spellEnd"/>
      <w:r w:rsidRPr="00F95EC2">
        <w:rPr>
          <w:rFonts w:ascii="Times New Roman" w:eastAsia="Calibri" w:hAnsi="Times New Roman" w:cs="Times New Roman"/>
          <w:b/>
          <w:iCs/>
          <w:sz w:val="24"/>
          <w:szCs w:val="20"/>
        </w:rPr>
        <w:t xml:space="preserve"> slimību</w:t>
      </w:r>
      <w:proofErr w:type="gramEnd"/>
    </w:p>
    <w:p w:rsidR="00F95EC2" w:rsidRPr="00F95EC2" w:rsidRDefault="00F95EC2" w:rsidP="00FD29C1">
      <w:pP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2121"/>
        <w:gridCol w:w="2121"/>
        <w:gridCol w:w="2121"/>
      </w:tblGrid>
      <w:tr w:rsidR="00FD29C1" w:rsidRPr="00FD29C1" w:rsidTr="00E24F7E">
        <w:trPr>
          <w:trHeight w:val="246"/>
        </w:trPr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Riska pakāpe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Veselības pārbaužu skaits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Laboratorisko izmeklējumu skaits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Vēžveidīgo skaits </w:t>
            </w:r>
          </w:p>
          <w:p w:rsidR="00FD29C1" w:rsidRPr="00FD29C1" w:rsidRDefault="00FD29C1" w:rsidP="00FD29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paraugā </w:t>
            </w:r>
          </w:p>
        </w:tc>
      </w:tr>
      <w:tr w:rsidR="00FD29C1" w:rsidRPr="00FD29C1" w:rsidTr="00E24F7E">
        <w:trPr>
          <w:trHeight w:val="99"/>
        </w:trPr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Augsta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gadā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divos gados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FD29C1" w:rsidRPr="00FD29C1" w:rsidTr="00E24F7E">
        <w:trPr>
          <w:trHeight w:val="99"/>
        </w:trPr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Vidēja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divos gados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divos gados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</w:t>
            </w:r>
          </w:p>
        </w:tc>
      </w:tr>
      <w:tr w:rsidR="00FD29C1" w:rsidRPr="00FD29C1" w:rsidTr="00E24F7E">
        <w:trPr>
          <w:trHeight w:val="99"/>
        </w:trPr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Zema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divos gados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Reizi četros gados </w:t>
            </w:r>
          </w:p>
        </w:tc>
        <w:tc>
          <w:tcPr>
            <w:tcW w:w="2121" w:type="dxa"/>
          </w:tcPr>
          <w:p w:rsidR="00FD29C1" w:rsidRPr="00FD29C1" w:rsidRDefault="00FD29C1" w:rsidP="00FD29C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29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</w:t>
            </w:r>
          </w:p>
        </w:tc>
      </w:tr>
    </w:tbl>
    <w:p w:rsidR="00FD29C1" w:rsidRPr="00F95EC2" w:rsidRDefault="00FD29C1" w:rsidP="00FD29C1">
      <w:pPr>
        <w:spacing w:after="0"/>
        <w:rPr>
          <w:rFonts w:ascii="Times New Roman" w:eastAsia="Calibri" w:hAnsi="Times New Roman" w:cs="Times New Roman"/>
          <w:sz w:val="24"/>
          <w:szCs w:val="20"/>
        </w:rPr>
      </w:pPr>
    </w:p>
    <w:p w:rsidR="00F95EC2" w:rsidRPr="00F95EC2" w:rsidRDefault="00F95EC2" w:rsidP="00FD29C1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D29C1" w:rsidRPr="00F95EC2" w:rsidRDefault="00FD29C1" w:rsidP="00F95EC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>Zemkopības ministrs</w:t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F95EC2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F95EC2">
        <w:rPr>
          <w:rFonts w:ascii="Times New Roman" w:eastAsia="Times New Roman" w:hAnsi="Times New Roman" w:cs="Times New Roman"/>
          <w:bCs/>
          <w:sz w:val="24"/>
          <w:szCs w:val="20"/>
        </w:rPr>
        <w:tab/>
        <w:t>J.Dūklavs</w:t>
      </w:r>
    </w:p>
    <w:p w:rsidR="00FD29C1" w:rsidRDefault="00FD29C1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Pr="00FD29C1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13:15</w:t>
      </w:r>
    </w:p>
    <w:p w:rsidR="00F95EC2" w:rsidRDefault="00F95EC2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366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FD29C1" w:rsidRPr="00FD29C1" w:rsidRDefault="00FD29C1" w:rsidP="00FD2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FD29C1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F95EC2" w:rsidRDefault="00FD29C1" w:rsidP="00F95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29C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6" w:history="1">
        <w:r w:rsidRPr="00FD2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F95EC2" w:rsidSect="006D3A9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E4" w:rsidRDefault="00437FE4" w:rsidP="00FD29C1">
      <w:pPr>
        <w:spacing w:after="0" w:line="240" w:lineRule="auto"/>
      </w:pPr>
      <w:r>
        <w:separator/>
      </w:r>
    </w:p>
  </w:endnote>
  <w:endnote w:type="continuationSeparator" w:id="0">
    <w:p w:rsidR="00437FE4" w:rsidRDefault="00437FE4" w:rsidP="00F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89" w:rsidRPr="00F95EC2" w:rsidRDefault="00F95EC2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F95EC2">
      <w:rPr>
        <w:rFonts w:ascii="Times New Roman" w:hAnsi="Times New Roman" w:cs="Times New Roman"/>
        <w:sz w:val="20"/>
        <w:szCs w:val="16"/>
      </w:rPr>
      <w:t>ZMNotp12_060217_akvakult</w:t>
    </w:r>
    <w:r w:rsidR="0046458F" w:rsidRPr="00F95EC2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89" w:rsidRPr="00F95EC2" w:rsidRDefault="00F95EC2" w:rsidP="00F95EC2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F95EC2">
      <w:rPr>
        <w:rFonts w:ascii="Times New Roman" w:hAnsi="Times New Roman" w:cs="Times New Roman"/>
        <w:sz w:val="20"/>
        <w:szCs w:val="16"/>
      </w:rPr>
      <w:t>ZMNotp12_060217_akvakult;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E4" w:rsidRDefault="00437FE4" w:rsidP="00FD29C1">
      <w:pPr>
        <w:spacing w:after="0" w:line="240" w:lineRule="auto"/>
      </w:pPr>
      <w:r>
        <w:separator/>
      </w:r>
    </w:p>
  </w:footnote>
  <w:footnote w:type="continuationSeparator" w:id="0">
    <w:p w:rsidR="00437FE4" w:rsidRDefault="00437FE4" w:rsidP="00FD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36487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30589" w:rsidRPr="00F95EC2" w:rsidRDefault="0046458F" w:rsidP="006D3A94">
        <w:pPr>
          <w:pStyle w:val="Galvene"/>
          <w:jc w:val="center"/>
          <w:rPr>
            <w:sz w:val="24"/>
            <w:szCs w:val="20"/>
          </w:rPr>
        </w:pPr>
        <w:r w:rsidRPr="00F95EC2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F95EC2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F95EC2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95EC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F95EC2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1"/>
    <w:rsid w:val="0005256B"/>
    <w:rsid w:val="001F7F8E"/>
    <w:rsid w:val="00304B9D"/>
    <w:rsid w:val="00437FE4"/>
    <w:rsid w:val="0046458F"/>
    <w:rsid w:val="00491656"/>
    <w:rsid w:val="0049624C"/>
    <w:rsid w:val="004C6557"/>
    <w:rsid w:val="004F54F1"/>
    <w:rsid w:val="0051278E"/>
    <w:rsid w:val="00516D35"/>
    <w:rsid w:val="005B792A"/>
    <w:rsid w:val="005C33BF"/>
    <w:rsid w:val="005F3703"/>
    <w:rsid w:val="00621D1E"/>
    <w:rsid w:val="00633A67"/>
    <w:rsid w:val="006773F1"/>
    <w:rsid w:val="006C1737"/>
    <w:rsid w:val="00732802"/>
    <w:rsid w:val="00735263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9139BD"/>
    <w:rsid w:val="009D039F"/>
    <w:rsid w:val="00A35069"/>
    <w:rsid w:val="00A94CBE"/>
    <w:rsid w:val="00AF2C89"/>
    <w:rsid w:val="00B53253"/>
    <w:rsid w:val="00B87941"/>
    <w:rsid w:val="00BE68A0"/>
    <w:rsid w:val="00C97C3A"/>
    <w:rsid w:val="00CE27C3"/>
    <w:rsid w:val="00D33073"/>
    <w:rsid w:val="00E70BB2"/>
    <w:rsid w:val="00F95EC2"/>
    <w:rsid w:val="00FD1556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EEA0-1127-478A-83B1-C8CBC3E2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D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D29C1"/>
  </w:style>
  <w:style w:type="paragraph" w:styleId="Kjene">
    <w:name w:val="footer"/>
    <w:basedOn w:val="Parasts"/>
    <w:link w:val="KjeneRakstz"/>
    <w:uiPriority w:val="99"/>
    <w:unhideWhenUsed/>
    <w:rsid w:val="00FD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Vecuma-Veco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2696</Characters>
  <Application>Microsoft Office Word</Application>
  <DocSecurity>0</DocSecurity>
  <Lines>141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4</cp:revision>
  <dcterms:created xsi:type="dcterms:W3CDTF">2017-02-08T09:44:00Z</dcterms:created>
  <dcterms:modified xsi:type="dcterms:W3CDTF">2017-02-08T11:15:00Z</dcterms:modified>
</cp:coreProperties>
</file>