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27" w:rsidRPr="002D4B27" w:rsidRDefault="002D4B27" w:rsidP="002D4B27">
      <w:pPr>
        <w:spacing w:after="0" w:line="240" w:lineRule="auto"/>
        <w:jc w:val="right"/>
        <w:rPr>
          <w:rFonts w:ascii="Times New Roman" w:eastAsia="Calibri" w:hAnsi="Times New Roman" w:cs="Times New Roman"/>
          <w:bCs/>
          <w:szCs w:val="20"/>
        </w:rPr>
      </w:pPr>
      <w:r>
        <w:rPr>
          <w:rFonts w:ascii="Times New Roman" w:eastAsia="Calibri" w:hAnsi="Times New Roman" w:cs="Times New Roman"/>
          <w:bCs/>
          <w:szCs w:val="20"/>
        </w:rPr>
        <w:t>2</w:t>
      </w:r>
      <w:r w:rsidRPr="002D4B27">
        <w:rPr>
          <w:rFonts w:ascii="Times New Roman" w:eastAsia="Calibri" w:hAnsi="Times New Roman" w:cs="Times New Roman"/>
          <w:bCs/>
          <w:szCs w:val="20"/>
        </w:rPr>
        <w:t xml:space="preserve">.pielikums </w:t>
      </w:r>
      <w:r w:rsidRPr="002D4B27">
        <w:rPr>
          <w:rFonts w:ascii="Times New Roman" w:eastAsia="Calibri" w:hAnsi="Times New Roman" w:cs="Times New Roman"/>
          <w:bCs/>
          <w:szCs w:val="20"/>
        </w:rPr>
        <w:br/>
        <w:t xml:space="preserve">Ministru kabineta </w:t>
      </w:r>
      <w:r w:rsidRPr="002D4B27">
        <w:rPr>
          <w:rFonts w:ascii="Times New Roman" w:eastAsia="Calibri" w:hAnsi="Times New Roman" w:cs="Times New Roman"/>
          <w:bCs/>
          <w:szCs w:val="20"/>
        </w:rPr>
        <w:br/>
        <w:t xml:space="preserve">2017.gada </w:t>
      </w:r>
      <w:r w:rsidRPr="002D4B27">
        <w:rPr>
          <w:rFonts w:ascii="Times New Roman" w:eastAsia="Calibri" w:hAnsi="Times New Roman" w:cs="Times New Roman"/>
          <w:bCs/>
          <w:szCs w:val="20"/>
        </w:rPr>
        <w:tab/>
        <w:t xml:space="preserve">.februāra </w:t>
      </w:r>
    </w:p>
    <w:p w:rsidR="002D4B27" w:rsidRPr="002D4B27" w:rsidRDefault="002D4B27" w:rsidP="002D4B27">
      <w:pPr>
        <w:spacing w:after="0" w:line="240" w:lineRule="auto"/>
        <w:jc w:val="right"/>
        <w:rPr>
          <w:rFonts w:ascii="Times New Roman" w:eastAsia="Calibri" w:hAnsi="Times New Roman" w:cs="Times New Roman"/>
          <w:bCs/>
          <w:szCs w:val="20"/>
        </w:rPr>
      </w:pPr>
      <w:r w:rsidRPr="002D4B27">
        <w:rPr>
          <w:rFonts w:ascii="Times New Roman" w:eastAsia="Calibri" w:hAnsi="Times New Roman" w:cs="Times New Roman"/>
          <w:bCs/>
          <w:szCs w:val="20"/>
        </w:rPr>
        <w:t>noteikumiem Nr.</w:t>
      </w:r>
      <w:r w:rsidRPr="002D4B27">
        <w:rPr>
          <w:rFonts w:ascii="Times New Roman" w:eastAsia="Calibri" w:hAnsi="Times New Roman" w:cs="Times New Roman"/>
          <w:bCs/>
          <w:szCs w:val="20"/>
        </w:rPr>
        <w:tab/>
      </w:r>
    </w:p>
    <w:p w:rsidR="00DE778C" w:rsidRPr="002D4B27" w:rsidRDefault="00DE778C" w:rsidP="00DE778C">
      <w:pPr>
        <w:spacing w:after="0" w:line="240" w:lineRule="auto"/>
        <w:jc w:val="right"/>
        <w:rPr>
          <w:rFonts w:ascii="Times New Roman" w:eastAsia="Calibri" w:hAnsi="Times New Roman" w:cs="Times New Roman"/>
          <w:bCs/>
          <w:sz w:val="18"/>
          <w:szCs w:val="20"/>
        </w:rPr>
      </w:pPr>
    </w:p>
    <w:p w:rsidR="00DE778C" w:rsidRPr="002D4B27" w:rsidRDefault="00DE778C" w:rsidP="00DE778C">
      <w:pPr>
        <w:spacing w:after="0" w:line="240" w:lineRule="auto"/>
        <w:jc w:val="center"/>
        <w:rPr>
          <w:rFonts w:ascii="Times New Roman" w:eastAsia="Calibri" w:hAnsi="Times New Roman" w:cs="Times New Roman"/>
          <w:b/>
          <w:bCs/>
          <w:szCs w:val="20"/>
        </w:rPr>
      </w:pPr>
      <w:bookmarkStart w:id="0" w:name="203483"/>
      <w:bookmarkEnd w:id="0"/>
      <w:r w:rsidRPr="002D4B27">
        <w:rPr>
          <w:rFonts w:ascii="Times New Roman" w:eastAsia="Calibri" w:hAnsi="Times New Roman" w:cs="Times New Roman"/>
          <w:b/>
          <w:bCs/>
          <w:szCs w:val="20"/>
        </w:rPr>
        <w:t>Uzraudzības un kontroles kārtība audzētavās un divvāku molusku audzēšanas zonās</w:t>
      </w:r>
    </w:p>
    <w:p w:rsidR="00DE778C" w:rsidRPr="00DE778C" w:rsidRDefault="00DE778C" w:rsidP="00DE778C">
      <w:pPr>
        <w:spacing w:after="0" w:line="240" w:lineRule="auto"/>
        <w:jc w:val="center"/>
        <w:rPr>
          <w:rFonts w:ascii="Times New Roman" w:eastAsia="Calibri" w:hAnsi="Times New Roman" w:cs="Times New Roman"/>
          <w:b/>
          <w:bCs/>
          <w:sz w:val="20"/>
          <w:szCs w:val="20"/>
        </w:rPr>
      </w:pPr>
    </w:p>
    <w:tbl>
      <w:tblPr>
        <w:tblStyle w:val="Reatabula"/>
        <w:tblW w:w="11057" w:type="dxa"/>
        <w:tblInd w:w="-1139" w:type="dxa"/>
        <w:tblLayout w:type="fixed"/>
        <w:tblLook w:val="04A0" w:firstRow="1" w:lastRow="0" w:firstColumn="1" w:lastColumn="0" w:noHBand="0" w:noVBand="1"/>
      </w:tblPr>
      <w:tblGrid>
        <w:gridCol w:w="516"/>
        <w:gridCol w:w="1294"/>
        <w:gridCol w:w="1694"/>
        <w:gridCol w:w="783"/>
        <w:gridCol w:w="958"/>
        <w:gridCol w:w="1134"/>
        <w:gridCol w:w="1276"/>
        <w:gridCol w:w="1276"/>
        <w:gridCol w:w="2126"/>
      </w:tblGrid>
      <w:tr w:rsidR="00DE778C" w:rsidRPr="00DE778C" w:rsidTr="00E24F7E">
        <w:tc>
          <w:tcPr>
            <w:tcW w:w="51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N.</w:t>
            </w:r>
            <w:r w:rsidRPr="00DE778C">
              <w:rPr>
                <w:rFonts w:ascii="Times New Roman" w:eastAsia="Calibri" w:hAnsi="Times New Roman" w:cs="Times New Roman"/>
                <w:bCs/>
                <w:sz w:val="20"/>
                <w:szCs w:val="20"/>
              </w:rPr>
              <w:br/>
              <w:t>p.k.</w:t>
            </w:r>
          </w:p>
        </w:tc>
        <w:tc>
          <w:tcPr>
            <w:tcW w:w="129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Akvakultūras dzīvnieku suga</w:t>
            </w:r>
          </w:p>
        </w:tc>
        <w:tc>
          <w:tcPr>
            <w:tcW w:w="1694" w:type="dxa"/>
            <w:vAlign w:val="center"/>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Veselības stāvoklis</w:t>
            </w: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Riska pakāpe</w:t>
            </w:r>
          </w:p>
        </w:tc>
        <w:tc>
          <w:tcPr>
            <w:tcW w:w="958"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Uzraudzības veids</w:t>
            </w: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Dienesta amatpersonu inspekciju biežums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Veterinārārsta vizīšu biežums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Specifiski norādījumi inspekciju veikšanai, paraugu ņemšanai, kā arī uzraudzībai, kas nepieciešama, lai uzturētu atbilstošu veselības stāvokli</w:t>
            </w:r>
          </w:p>
        </w:tc>
        <w:tc>
          <w:tcPr>
            <w:tcW w:w="212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Komentāri</w:t>
            </w:r>
          </w:p>
        </w:tc>
      </w:tr>
      <w:tr w:rsidR="00DE778C" w:rsidRPr="00DE778C" w:rsidTr="00E24F7E">
        <w:tc>
          <w:tcPr>
            <w:tcW w:w="51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1.</w:t>
            </w:r>
          </w:p>
        </w:tc>
        <w:tc>
          <w:tcPr>
            <w:tcW w:w="129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 xml:space="preserve">Audzētavā vai divvāku molusku audzēšanas zonā netiek turēti akvakultūras dzīvnieki, kas uzņēmīgi pret šo noteikumu </w:t>
            </w:r>
            <w:hyperlink r:id="rId6" w:anchor="piel1" w:tgtFrame="_blank" w:history="1">
              <w:r w:rsidRPr="00DE778C">
                <w:rPr>
                  <w:rFonts w:ascii="Times New Roman" w:eastAsia="Calibri" w:hAnsi="Times New Roman" w:cs="Times New Roman"/>
                  <w:bCs/>
                  <w:sz w:val="20"/>
                  <w:szCs w:val="20"/>
                  <w:u w:val="single"/>
                </w:rPr>
                <w:t>1.pielikumā</w:t>
              </w:r>
            </w:hyperlink>
            <w:r w:rsidRPr="00DE778C">
              <w:rPr>
                <w:rFonts w:ascii="Times New Roman" w:eastAsia="Calibri" w:hAnsi="Times New Roman" w:cs="Times New Roman"/>
                <w:bCs/>
                <w:sz w:val="20"/>
                <w:szCs w:val="20"/>
              </w:rPr>
              <w:t xml:space="preserve"> minētajām infekcijas slimībām</w:t>
            </w:r>
          </w:p>
        </w:tc>
        <w:tc>
          <w:tcPr>
            <w:tcW w:w="169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I kategorija (infekcijas slimības neskarta audzētava vai divvāku molusku audzēšanas zona saskaņā ar šo noteikumu 90.1., 90.2., 90.4., 93.1., 93.2.apakšpunktu)</w:t>
            </w: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Zema</w:t>
            </w:r>
          </w:p>
        </w:tc>
        <w:tc>
          <w:tcPr>
            <w:tcW w:w="958"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Pasīva</w:t>
            </w: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četros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četros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 xml:space="preserve">Specifiskas prasības, </w:t>
            </w:r>
            <w:proofErr w:type="gramStart"/>
            <w:r w:rsidRPr="00DE778C">
              <w:rPr>
                <w:rFonts w:ascii="Times New Roman" w:eastAsia="Calibri" w:hAnsi="Times New Roman" w:cs="Times New Roman"/>
                <w:bCs/>
                <w:sz w:val="20"/>
                <w:szCs w:val="20"/>
              </w:rPr>
              <w:t>lai saglabātu infekcijas slimības</w:t>
            </w:r>
            <w:proofErr w:type="gramEnd"/>
            <w:r w:rsidRPr="00DE778C">
              <w:rPr>
                <w:rFonts w:ascii="Times New Roman" w:eastAsia="Calibri" w:hAnsi="Times New Roman" w:cs="Times New Roman"/>
                <w:bCs/>
                <w:sz w:val="20"/>
                <w:szCs w:val="20"/>
              </w:rPr>
              <w:t xml:space="preserve"> neskartas audzētavas vai divvāku molusku audzēšanas zonas statusu saskaņā ar šo noteikumu </w:t>
            </w:r>
            <w:hyperlink r:id="rId7" w:anchor="p96" w:tgtFrame="_blank" w:history="1">
              <w:r w:rsidRPr="00DE778C">
                <w:rPr>
                  <w:rFonts w:ascii="Times New Roman" w:eastAsia="Calibri" w:hAnsi="Times New Roman" w:cs="Times New Roman"/>
                  <w:bCs/>
                  <w:sz w:val="20"/>
                  <w:szCs w:val="20"/>
                  <w:u w:val="single"/>
                </w:rPr>
                <w:t>98.punktu</w:t>
              </w:r>
            </w:hyperlink>
          </w:p>
        </w:tc>
        <w:tc>
          <w:tcPr>
            <w:tcW w:w="212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 xml:space="preserve">Ieteicamais pārbaužu biežums neattiecas uz īpašajām prasībām katram veselības stāvoklim. Minētās pārbaudes un paraugu ņemšanu apvieno ar dienesta inspekcijām un veterinārārsta vizītēm. Dienesta amatpersonas inspekciju mērķis ir veikt pārbaudes atbilstoši šo noteikumu </w:t>
            </w:r>
            <w:hyperlink r:id="rId8" w:anchor="p5" w:tgtFrame="_blank" w:history="1">
              <w:r w:rsidRPr="00DE778C">
                <w:rPr>
                  <w:rFonts w:ascii="Times New Roman" w:eastAsia="Calibri" w:hAnsi="Times New Roman" w:cs="Times New Roman"/>
                  <w:bCs/>
                  <w:sz w:val="20"/>
                  <w:szCs w:val="20"/>
                  <w:u w:val="single"/>
                </w:rPr>
                <w:t>5.punktam</w:t>
              </w:r>
            </w:hyperlink>
            <w:r w:rsidRPr="00DE778C">
              <w:rPr>
                <w:rFonts w:ascii="Times New Roman" w:eastAsia="Calibri" w:hAnsi="Times New Roman" w:cs="Times New Roman"/>
                <w:bCs/>
                <w:sz w:val="20"/>
                <w:szCs w:val="20"/>
              </w:rPr>
              <w:t>.</w:t>
            </w:r>
          </w:p>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Veterinārārsta vizīšu mērķis ir noskaidrot dzīvnieku veselības stāvokli, sniegt akvakultūras nozares uzņēmumu īpašniekiem padomus par akvakultūras dzīvnieku veselības jautājumiem</w:t>
            </w:r>
          </w:p>
        </w:tc>
      </w:tr>
      <w:tr w:rsidR="00DE778C" w:rsidRPr="00DE778C" w:rsidTr="00E24F7E">
        <w:tc>
          <w:tcPr>
            <w:tcW w:w="516"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2.</w:t>
            </w:r>
          </w:p>
        </w:tc>
        <w:tc>
          <w:tcPr>
            <w:tcW w:w="1294"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 xml:space="preserve">Akvakultūras dzīvnieku sugas, kas ir uzņēmīgas pret šo noteikumu </w:t>
            </w:r>
            <w:hyperlink r:id="rId9" w:anchor="piel1" w:tgtFrame="_blank" w:history="1">
              <w:r w:rsidRPr="00DE778C">
                <w:rPr>
                  <w:rFonts w:ascii="Times New Roman" w:eastAsia="Calibri" w:hAnsi="Times New Roman" w:cs="Times New Roman"/>
                  <w:bCs/>
                  <w:sz w:val="20"/>
                  <w:szCs w:val="20"/>
                  <w:u w:val="single"/>
                </w:rPr>
                <w:t>1.pielikumā</w:t>
              </w:r>
            </w:hyperlink>
            <w:r w:rsidRPr="00DE778C">
              <w:rPr>
                <w:rFonts w:ascii="Times New Roman" w:eastAsia="Calibri" w:hAnsi="Times New Roman" w:cs="Times New Roman"/>
                <w:bCs/>
                <w:sz w:val="20"/>
                <w:szCs w:val="20"/>
              </w:rPr>
              <w:t xml:space="preserve"> minētajām infekcijas slimībām</w:t>
            </w:r>
          </w:p>
        </w:tc>
        <w:tc>
          <w:tcPr>
            <w:tcW w:w="1694"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I kategorija (infekcijas slimības neskarta audzētava vai divvāku molusku audzēšanas zona saskaņā ar šo noteikumu 90.3. un 93.3.apakšpunktu)</w:t>
            </w: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Augsta</w:t>
            </w:r>
          </w:p>
        </w:tc>
        <w:tc>
          <w:tcPr>
            <w:tcW w:w="958"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Aktīva, mērķtiecīga vai pasīva</w:t>
            </w: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vMerge w:val="restart"/>
          </w:tcPr>
          <w:p w:rsidR="00DE778C" w:rsidRPr="00DE778C" w:rsidRDefault="00DE778C" w:rsidP="00DE778C">
            <w:pPr>
              <w:jc w:val="both"/>
              <w:rPr>
                <w:rFonts w:ascii="Times New Roman" w:eastAsia="Calibri" w:hAnsi="Times New Roman" w:cs="Times New Roman"/>
                <w:bCs/>
                <w:sz w:val="20"/>
                <w:szCs w:val="20"/>
              </w:rPr>
            </w:pPr>
          </w:p>
        </w:tc>
        <w:tc>
          <w:tcPr>
            <w:tcW w:w="2126" w:type="dxa"/>
            <w:vMerge w:val="restart"/>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Vidēja</w:t>
            </w:r>
          </w:p>
        </w:tc>
        <w:tc>
          <w:tcPr>
            <w:tcW w:w="958" w:type="dxa"/>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Zema</w:t>
            </w:r>
          </w:p>
        </w:tc>
        <w:tc>
          <w:tcPr>
            <w:tcW w:w="958" w:type="dxa"/>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 xml:space="preserve">II kategorija (infekcijas slimības skarta audzētava vai divvāku molusku audzēšanas zona, </w:t>
            </w:r>
            <w:r w:rsidRPr="00DE778C">
              <w:rPr>
                <w:rFonts w:ascii="Times New Roman" w:eastAsia="Calibri" w:hAnsi="Times New Roman" w:cs="Times New Roman"/>
                <w:bCs/>
                <w:sz w:val="20"/>
                <w:szCs w:val="20"/>
              </w:rPr>
              <w:lastRenderedPageBreak/>
              <w:t xml:space="preserve">kas pakļauta uzraudzības programmai saskaņā ar šo noteikumu </w:t>
            </w:r>
            <w:hyperlink r:id="rId10" w:anchor="p72" w:tgtFrame="_blank" w:history="1">
              <w:r w:rsidRPr="00DE778C">
                <w:rPr>
                  <w:rFonts w:ascii="Times New Roman" w:eastAsia="Calibri" w:hAnsi="Times New Roman" w:cs="Times New Roman"/>
                  <w:sz w:val="20"/>
                  <w:szCs w:val="20"/>
                  <w:u w:val="single"/>
                </w:rPr>
                <w:t>74.</w:t>
              </w:r>
            </w:hyperlink>
            <w:r w:rsidRPr="00DE778C">
              <w:rPr>
                <w:rFonts w:ascii="Times New Roman" w:eastAsia="Calibri" w:hAnsi="Times New Roman" w:cs="Times New Roman"/>
                <w:sz w:val="20"/>
                <w:szCs w:val="20"/>
              </w:rPr>
              <w:t xml:space="preserve">, </w:t>
            </w:r>
            <w:hyperlink r:id="rId11" w:anchor="p73" w:tgtFrame="_blank" w:history="1">
              <w:r w:rsidRPr="00DE778C">
                <w:rPr>
                  <w:rFonts w:ascii="Times New Roman" w:eastAsia="Calibri" w:hAnsi="Times New Roman" w:cs="Times New Roman"/>
                  <w:sz w:val="20"/>
                  <w:szCs w:val="20"/>
                  <w:u w:val="single"/>
                </w:rPr>
                <w:t xml:space="preserve">75. </w:t>
              </w:r>
            </w:hyperlink>
            <w:r w:rsidRPr="00DE778C">
              <w:rPr>
                <w:rFonts w:ascii="Times New Roman" w:eastAsia="Calibri" w:hAnsi="Times New Roman" w:cs="Times New Roman"/>
                <w:sz w:val="20"/>
                <w:szCs w:val="20"/>
              </w:rPr>
              <w:t xml:space="preserve">un </w:t>
            </w:r>
            <w:hyperlink r:id="rId12" w:anchor="p74" w:tgtFrame="_blank" w:history="1">
              <w:r w:rsidRPr="00DE778C">
                <w:rPr>
                  <w:rFonts w:ascii="Times New Roman" w:eastAsia="Calibri" w:hAnsi="Times New Roman" w:cs="Times New Roman"/>
                  <w:sz w:val="20"/>
                  <w:szCs w:val="20"/>
                  <w:u w:val="single"/>
                </w:rPr>
                <w:t>76.punktu</w:t>
              </w:r>
            </w:hyperlink>
            <w:r w:rsidRPr="00DE778C">
              <w:rPr>
                <w:rFonts w:ascii="Times New Roman" w:eastAsia="Calibri" w:hAnsi="Times New Roman" w:cs="Times New Roman"/>
                <w:bCs/>
                <w:sz w:val="20"/>
                <w:szCs w:val="20"/>
              </w:rPr>
              <w:t>)</w:t>
            </w: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lastRenderedPageBreak/>
              <w:t>Augsta</w:t>
            </w:r>
          </w:p>
        </w:tc>
        <w:tc>
          <w:tcPr>
            <w:tcW w:w="958"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Mērķtiecīga</w:t>
            </w: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Specifiskas prasības saskaņā ar šo noteikumu 74., 75. un 76.punktu</w:t>
            </w: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Vidēja</w:t>
            </w:r>
          </w:p>
        </w:tc>
        <w:tc>
          <w:tcPr>
            <w:tcW w:w="958" w:type="dxa"/>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Zema</w:t>
            </w:r>
          </w:p>
        </w:tc>
        <w:tc>
          <w:tcPr>
            <w:tcW w:w="958" w:type="dxa"/>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III kategorija (nav zināms, vai audzētava vai divvāku molusku audzēšanas zona ir inficēta, un nav ieviesta uzraudzības programma, lai iegūtu infekcijas slimības neskartas audzētavas vai divvāku molusku audzēšanas zonas statusu)</w:t>
            </w: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Augsta</w:t>
            </w:r>
          </w:p>
        </w:tc>
        <w:tc>
          <w:tcPr>
            <w:tcW w:w="958"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Aktīva</w:t>
            </w: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Trīs reizes gadā</w:t>
            </w:r>
          </w:p>
        </w:tc>
        <w:tc>
          <w:tcPr>
            <w:tcW w:w="1276" w:type="dxa"/>
            <w:vMerge w:val="restart"/>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Vidēja</w:t>
            </w:r>
          </w:p>
        </w:tc>
        <w:tc>
          <w:tcPr>
            <w:tcW w:w="958" w:type="dxa"/>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Divas reizes gadā</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Zema</w:t>
            </w:r>
          </w:p>
        </w:tc>
        <w:tc>
          <w:tcPr>
            <w:tcW w:w="958" w:type="dxa"/>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3.</w:t>
            </w:r>
          </w:p>
        </w:tc>
        <w:tc>
          <w:tcPr>
            <w:tcW w:w="1294" w:type="dxa"/>
            <w:vMerge w:val="restart"/>
          </w:tcPr>
          <w:p w:rsidR="00DE778C" w:rsidRPr="00DE778C" w:rsidRDefault="00DE778C" w:rsidP="00DE778C">
            <w:pPr>
              <w:jc w:val="both"/>
              <w:rPr>
                <w:rFonts w:ascii="Times New Roman" w:eastAsia="Calibri" w:hAnsi="Times New Roman" w:cs="Times New Roman"/>
                <w:bCs/>
                <w:sz w:val="20"/>
                <w:szCs w:val="20"/>
              </w:rPr>
            </w:pPr>
          </w:p>
        </w:tc>
        <w:tc>
          <w:tcPr>
            <w:tcW w:w="1694"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 xml:space="preserve">IV kategorija (ir zināms, ka audzētava vai divvāku molusku audzēšanas zona ir inficēta, tā ir pakļauta apkarošanas programmai saskaņā ar šo noteikumu </w:t>
            </w:r>
            <w:hyperlink r:id="rId13" w:anchor="p75" w:tgtFrame="_blank" w:history="1">
              <w:r w:rsidRPr="00DE778C">
                <w:rPr>
                  <w:rFonts w:ascii="Times New Roman" w:eastAsia="Calibri" w:hAnsi="Times New Roman" w:cs="Times New Roman"/>
                  <w:bCs/>
                  <w:sz w:val="20"/>
                  <w:szCs w:val="20"/>
                  <w:u w:val="single"/>
                </w:rPr>
                <w:t>77.punktu</w:t>
              </w:r>
            </w:hyperlink>
            <w:r w:rsidRPr="00DE778C">
              <w:rPr>
                <w:rFonts w:ascii="Times New Roman" w:eastAsia="Calibri" w:hAnsi="Times New Roman" w:cs="Times New Roman"/>
                <w:bCs/>
                <w:sz w:val="20"/>
                <w:szCs w:val="20"/>
              </w:rPr>
              <w:t>)</w:t>
            </w: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Augsta</w:t>
            </w:r>
          </w:p>
        </w:tc>
        <w:tc>
          <w:tcPr>
            <w:tcW w:w="958"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Mērķtiecīga</w:t>
            </w: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Specifiskas prasības saskaņā ar šo noteikumu 77.punktu</w:t>
            </w:r>
          </w:p>
        </w:tc>
        <w:tc>
          <w:tcPr>
            <w:tcW w:w="2126" w:type="dxa"/>
            <w:vMerge w:val="restart"/>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Vidēja</w:t>
            </w:r>
          </w:p>
        </w:tc>
        <w:tc>
          <w:tcPr>
            <w:tcW w:w="958" w:type="dxa"/>
            <w:vMerge/>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Zema</w:t>
            </w:r>
          </w:p>
        </w:tc>
        <w:tc>
          <w:tcPr>
            <w:tcW w:w="958" w:type="dxa"/>
            <w:vMerge/>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 kategorija (ir zināms, ka audzētava vai divvāku molusku audzēšanas zona ir inficēta, tā ir pakļauta minimālajiem kontroles pasākumiem saskaņā ar šo noteikumu V, VI, VII, VIII un IX nodaļu)</w:t>
            </w: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Augsta</w:t>
            </w:r>
          </w:p>
        </w:tc>
        <w:tc>
          <w:tcPr>
            <w:tcW w:w="958"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Pasīva</w:t>
            </w: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četros gados (specifiskas prasības)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gadā</w:t>
            </w:r>
          </w:p>
        </w:tc>
        <w:tc>
          <w:tcPr>
            <w:tcW w:w="1276" w:type="dxa"/>
            <w:vMerge w:val="restart"/>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Specifiskas prasības saskaņā ar šo noteikumu V, VI, VII, VIII un IX nodaļu</w:t>
            </w: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Vidēja</w:t>
            </w:r>
          </w:p>
        </w:tc>
        <w:tc>
          <w:tcPr>
            <w:tcW w:w="958" w:type="dxa"/>
            <w:vMerge/>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divos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r w:rsidR="00DE778C" w:rsidRPr="00DE778C" w:rsidTr="00E24F7E">
        <w:tc>
          <w:tcPr>
            <w:tcW w:w="516" w:type="dxa"/>
            <w:vMerge/>
          </w:tcPr>
          <w:p w:rsidR="00DE778C" w:rsidRPr="00DE778C" w:rsidRDefault="00DE778C" w:rsidP="00DE778C">
            <w:pPr>
              <w:jc w:val="both"/>
              <w:rPr>
                <w:rFonts w:ascii="Times New Roman" w:eastAsia="Calibri" w:hAnsi="Times New Roman" w:cs="Times New Roman"/>
                <w:bCs/>
                <w:sz w:val="20"/>
                <w:szCs w:val="20"/>
              </w:rPr>
            </w:pPr>
          </w:p>
        </w:tc>
        <w:tc>
          <w:tcPr>
            <w:tcW w:w="1294" w:type="dxa"/>
            <w:vMerge/>
          </w:tcPr>
          <w:p w:rsidR="00DE778C" w:rsidRPr="00DE778C" w:rsidRDefault="00DE778C" w:rsidP="00DE778C">
            <w:pPr>
              <w:jc w:val="both"/>
              <w:rPr>
                <w:rFonts w:ascii="Times New Roman" w:eastAsia="Calibri" w:hAnsi="Times New Roman" w:cs="Times New Roman"/>
                <w:bCs/>
                <w:sz w:val="20"/>
                <w:szCs w:val="20"/>
              </w:rPr>
            </w:pPr>
          </w:p>
        </w:tc>
        <w:tc>
          <w:tcPr>
            <w:tcW w:w="1694" w:type="dxa"/>
            <w:vMerge/>
          </w:tcPr>
          <w:p w:rsidR="00DE778C" w:rsidRPr="00DE778C" w:rsidRDefault="00DE778C" w:rsidP="00DE778C">
            <w:pPr>
              <w:jc w:val="both"/>
              <w:rPr>
                <w:rFonts w:ascii="Times New Roman" w:eastAsia="Calibri" w:hAnsi="Times New Roman" w:cs="Times New Roman"/>
                <w:bCs/>
                <w:sz w:val="20"/>
                <w:szCs w:val="20"/>
              </w:rPr>
            </w:pPr>
          </w:p>
        </w:tc>
        <w:tc>
          <w:tcPr>
            <w:tcW w:w="783"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Zema</w:t>
            </w:r>
          </w:p>
        </w:tc>
        <w:tc>
          <w:tcPr>
            <w:tcW w:w="958" w:type="dxa"/>
            <w:vMerge/>
          </w:tcPr>
          <w:p w:rsidR="00DE778C" w:rsidRPr="00DE778C" w:rsidRDefault="00DE778C" w:rsidP="00DE778C">
            <w:pPr>
              <w:jc w:val="both"/>
              <w:rPr>
                <w:rFonts w:ascii="Times New Roman" w:eastAsia="Calibri" w:hAnsi="Times New Roman" w:cs="Times New Roman"/>
                <w:bCs/>
                <w:sz w:val="20"/>
                <w:szCs w:val="20"/>
              </w:rPr>
            </w:pPr>
          </w:p>
        </w:tc>
        <w:tc>
          <w:tcPr>
            <w:tcW w:w="1134"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četros gados</w:t>
            </w:r>
          </w:p>
        </w:tc>
        <w:tc>
          <w:tcPr>
            <w:tcW w:w="1276" w:type="dxa"/>
          </w:tcPr>
          <w:p w:rsidR="00DE778C" w:rsidRPr="00DE778C" w:rsidRDefault="00DE778C" w:rsidP="00DE778C">
            <w:pPr>
              <w:jc w:val="both"/>
              <w:rPr>
                <w:rFonts w:ascii="Times New Roman" w:eastAsia="Calibri" w:hAnsi="Times New Roman" w:cs="Times New Roman"/>
                <w:bCs/>
                <w:sz w:val="20"/>
                <w:szCs w:val="20"/>
              </w:rPr>
            </w:pPr>
            <w:r w:rsidRPr="00DE778C">
              <w:rPr>
                <w:rFonts w:ascii="Times New Roman" w:eastAsia="Calibri" w:hAnsi="Times New Roman" w:cs="Times New Roman"/>
                <w:bCs/>
                <w:sz w:val="20"/>
                <w:szCs w:val="20"/>
              </w:rPr>
              <w:t>Reizi četros gados</w:t>
            </w:r>
          </w:p>
        </w:tc>
        <w:tc>
          <w:tcPr>
            <w:tcW w:w="1276" w:type="dxa"/>
            <w:vMerge/>
          </w:tcPr>
          <w:p w:rsidR="00DE778C" w:rsidRPr="00DE778C" w:rsidRDefault="00DE778C" w:rsidP="00DE778C">
            <w:pPr>
              <w:jc w:val="both"/>
              <w:rPr>
                <w:rFonts w:ascii="Times New Roman" w:eastAsia="Calibri" w:hAnsi="Times New Roman" w:cs="Times New Roman"/>
                <w:bCs/>
                <w:sz w:val="20"/>
                <w:szCs w:val="20"/>
              </w:rPr>
            </w:pPr>
          </w:p>
        </w:tc>
        <w:tc>
          <w:tcPr>
            <w:tcW w:w="2126" w:type="dxa"/>
            <w:vMerge/>
          </w:tcPr>
          <w:p w:rsidR="00DE778C" w:rsidRPr="00DE778C" w:rsidRDefault="00DE778C" w:rsidP="00DE778C">
            <w:pPr>
              <w:jc w:val="both"/>
              <w:rPr>
                <w:rFonts w:ascii="Times New Roman" w:eastAsia="Calibri" w:hAnsi="Times New Roman" w:cs="Times New Roman"/>
                <w:bCs/>
                <w:sz w:val="20"/>
                <w:szCs w:val="20"/>
              </w:rPr>
            </w:pPr>
          </w:p>
        </w:tc>
      </w:tr>
    </w:tbl>
    <w:p w:rsidR="00DE778C" w:rsidRDefault="00DE778C" w:rsidP="00DE778C">
      <w:pPr>
        <w:widowControl w:val="0"/>
        <w:spacing w:after="0" w:line="240" w:lineRule="auto"/>
        <w:ind w:firstLine="720"/>
        <w:outlineLvl w:val="0"/>
        <w:rPr>
          <w:rFonts w:ascii="Times New Roman" w:eastAsia="Times New Roman" w:hAnsi="Times New Roman" w:cs="Times New Roman"/>
          <w:bCs/>
          <w:sz w:val="24"/>
          <w:szCs w:val="24"/>
        </w:rPr>
      </w:pPr>
    </w:p>
    <w:p w:rsidR="002D4B27" w:rsidRDefault="002D4B27" w:rsidP="00DE778C">
      <w:pPr>
        <w:widowControl w:val="0"/>
        <w:spacing w:after="0" w:line="240" w:lineRule="auto"/>
        <w:ind w:firstLine="720"/>
        <w:outlineLvl w:val="0"/>
        <w:rPr>
          <w:rFonts w:ascii="Times New Roman" w:eastAsia="Times New Roman" w:hAnsi="Times New Roman" w:cs="Times New Roman"/>
          <w:bCs/>
          <w:sz w:val="24"/>
          <w:szCs w:val="24"/>
        </w:rPr>
      </w:pPr>
    </w:p>
    <w:p w:rsidR="00DE778C" w:rsidRPr="00DE778C" w:rsidRDefault="00DE778C" w:rsidP="002D4B27">
      <w:pPr>
        <w:widowControl w:val="0"/>
        <w:spacing w:after="0" w:line="240" w:lineRule="auto"/>
        <w:outlineLvl w:val="0"/>
        <w:rPr>
          <w:rFonts w:ascii="Times New Roman" w:eastAsia="Times New Roman" w:hAnsi="Times New Roman" w:cs="Times New Roman"/>
          <w:bCs/>
          <w:sz w:val="24"/>
          <w:szCs w:val="24"/>
        </w:rPr>
      </w:pPr>
      <w:r w:rsidRPr="00DE778C">
        <w:rPr>
          <w:rFonts w:ascii="Times New Roman" w:eastAsia="Times New Roman" w:hAnsi="Times New Roman" w:cs="Times New Roman"/>
          <w:bCs/>
          <w:sz w:val="24"/>
          <w:szCs w:val="24"/>
        </w:rPr>
        <w:t>Zemkopības ministrs</w:t>
      </w:r>
      <w:r w:rsidRPr="00DE778C">
        <w:rPr>
          <w:rFonts w:ascii="Times New Roman" w:eastAsia="Times New Roman" w:hAnsi="Times New Roman" w:cs="Times New Roman"/>
          <w:bCs/>
          <w:sz w:val="24"/>
          <w:szCs w:val="24"/>
        </w:rPr>
        <w:tab/>
      </w:r>
      <w:r w:rsidRPr="00DE778C">
        <w:rPr>
          <w:rFonts w:ascii="Times New Roman" w:eastAsia="Times New Roman" w:hAnsi="Times New Roman" w:cs="Times New Roman"/>
          <w:bCs/>
          <w:sz w:val="24"/>
          <w:szCs w:val="24"/>
        </w:rPr>
        <w:tab/>
      </w:r>
      <w:r w:rsidRPr="00DE778C">
        <w:rPr>
          <w:rFonts w:ascii="Times New Roman" w:eastAsia="Times New Roman" w:hAnsi="Times New Roman" w:cs="Times New Roman"/>
          <w:bCs/>
          <w:sz w:val="24"/>
          <w:szCs w:val="24"/>
        </w:rPr>
        <w:tab/>
      </w:r>
      <w:r w:rsidRPr="00DE778C">
        <w:rPr>
          <w:rFonts w:ascii="Times New Roman" w:eastAsia="Times New Roman" w:hAnsi="Times New Roman" w:cs="Times New Roman"/>
          <w:bCs/>
          <w:sz w:val="24"/>
          <w:szCs w:val="24"/>
        </w:rPr>
        <w:tab/>
      </w:r>
      <w:r w:rsidRPr="00DE778C">
        <w:rPr>
          <w:rFonts w:ascii="Times New Roman" w:eastAsia="Times New Roman" w:hAnsi="Times New Roman" w:cs="Times New Roman"/>
          <w:bCs/>
          <w:sz w:val="24"/>
          <w:szCs w:val="24"/>
        </w:rPr>
        <w:tab/>
      </w:r>
      <w:r w:rsidRPr="00DE778C">
        <w:rPr>
          <w:rFonts w:ascii="Times New Roman" w:eastAsia="Times New Roman" w:hAnsi="Times New Roman" w:cs="Times New Roman"/>
          <w:bCs/>
          <w:sz w:val="24"/>
          <w:szCs w:val="24"/>
        </w:rPr>
        <w:tab/>
      </w:r>
      <w:r w:rsidR="002D4B27">
        <w:rPr>
          <w:rFonts w:ascii="Times New Roman" w:eastAsia="Times New Roman" w:hAnsi="Times New Roman" w:cs="Times New Roman"/>
          <w:bCs/>
          <w:sz w:val="24"/>
          <w:szCs w:val="24"/>
        </w:rPr>
        <w:tab/>
      </w:r>
      <w:r w:rsidR="002D4B27">
        <w:rPr>
          <w:rFonts w:ascii="Times New Roman" w:eastAsia="Times New Roman" w:hAnsi="Times New Roman" w:cs="Times New Roman"/>
          <w:bCs/>
          <w:sz w:val="24"/>
          <w:szCs w:val="24"/>
        </w:rPr>
        <w:tab/>
      </w:r>
      <w:r w:rsidR="002D4B27">
        <w:rPr>
          <w:rFonts w:ascii="Times New Roman" w:eastAsia="Times New Roman" w:hAnsi="Times New Roman" w:cs="Times New Roman"/>
          <w:bCs/>
          <w:sz w:val="24"/>
          <w:szCs w:val="24"/>
        </w:rPr>
        <w:tab/>
      </w:r>
      <w:r w:rsidRPr="00DE778C">
        <w:rPr>
          <w:rFonts w:ascii="Times New Roman" w:eastAsia="Times New Roman" w:hAnsi="Times New Roman" w:cs="Times New Roman"/>
          <w:bCs/>
          <w:sz w:val="24"/>
          <w:szCs w:val="24"/>
        </w:rPr>
        <w:t>J.Dūklavs</w:t>
      </w:r>
    </w:p>
    <w:p w:rsidR="00DE778C" w:rsidRDefault="00DE778C" w:rsidP="00DE778C">
      <w:pPr>
        <w:spacing w:after="0" w:line="240" w:lineRule="auto"/>
        <w:rPr>
          <w:rFonts w:ascii="Times New Roman" w:eastAsia="Times New Roman" w:hAnsi="Times New Roman" w:cs="Times New Roman"/>
          <w:sz w:val="20"/>
          <w:szCs w:val="20"/>
          <w:lang w:eastAsia="lv-LV"/>
        </w:rPr>
      </w:pPr>
    </w:p>
    <w:p w:rsidR="002D4B27" w:rsidRDefault="002D4B27" w:rsidP="00DE778C">
      <w:pPr>
        <w:spacing w:after="0" w:line="240" w:lineRule="auto"/>
        <w:rPr>
          <w:rFonts w:ascii="Times New Roman" w:eastAsia="Times New Roman" w:hAnsi="Times New Roman" w:cs="Times New Roman"/>
          <w:sz w:val="20"/>
          <w:szCs w:val="20"/>
          <w:lang w:eastAsia="lv-LV"/>
        </w:rPr>
      </w:pPr>
    </w:p>
    <w:p w:rsidR="002D4B27" w:rsidRDefault="002D4B27" w:rsidP="00DE778C">
      <w:pPr>
        <w:spacing w:after="0" w:line="240" w:lineRule="auto"/>
        <w:rPr>
          <w:rFonts w:ascii="Times New Roman" w:eastAsia="Times New Roman" w:hAnsi="Times New Roman" w:cs="Times New Roman"/>
          <w:sz w:val="20"/>
          <w:szCs w:val="20"/>
          <w:lang w:eastAsia="lv-LV"/>
        </w:rPr>
      </w:pPr>
    </w:p>
    <w:p w:rsidR="002D4B27" w:rsidRDefault="002D4B27" w:rsidP="00DE778C">
      <w:pPr>
        <w:spacing w:after="0" w:line="240" w:lineRule="auto"/>
        <w:rPr>
          <w:rFonts w:ascii="Times New Roman" w:eastAsia="Times New Roman" w:hAnsi="Times New Roman" w:cs="Times New Roman"/>
          <w:sz w:val="20"/>
          <w:szCs w:val="20"/>
          <w:lang w:eastAsia="lv-LV"/>
        </w:rPr>
      </w:pPr>
    </w:p>
    <w:p w:rsidR="002D4B27" w:rsidRDefault="002D4B27" w:rsidP="00DE778C">
      <w:pPr>
        <w:spacing w:after="0" w:line="240" w:lineRule="auto"/>
        <w:rPr>
          <w:rFonts w:ascii="Times New Roman" w:eastAsia="Times New Roman" w:hAnsi="Times New Roman" w:cs="Times New Roman"/>
          <w:sz w:val="20"/>
          <w:szCs w:val="20"/>
          <w:lang w:eastAsia="lv-LV"/>
        </w:rPr>
      </w:pPr>
    </w:p>
    <w:p w:rsidR="002D4B27" w:rsidRDefault="002D4B27" w:rsidP="00DE778C">
      <w:pPr>
        <w:spacing w:after="0" w:line="240" w:lineRule="auto"/>
        <w:rPr>
          <w:rFonts w:ascii="Times New Roman" w:eastAsia="Times New Roman" w:hAnsi="Times New Roman" w:cs="Times New Roman"/>
          <w:sz w:val="20"/>
          <w:szCs w:val="20"/>
          <w:lang w:eastAsia="lv-LV"/>
        </w:rPr>
      </w:pPr>
    </w:p>
    <w:p w:rsidR="002D4B27" w:rsidRPr="00DE778C" w:rsidRDefault="002D4B27" w:rsidP="00DE778C">
      <w:pPr>
        <w:spacing w:after="0" w:line="240" w:lineRule="auto"/>
        <w:rPr>
          <w:rFonts w:ascii="Times New Roman" w:eastAsia="Times New Roman" w:hAnsi="Times New Roman" w:cs="Times New Roman"/>
          <w:sz w:val="20"/>
          <w:szCs w:val="20"/>
          <w:lang w:eastAsia="lv-LV"/>
        </w:rPr>
      </w:pPr>
    </w:p>
    <w:p w:rsidR="002D4B27" w:rsidRDefault="002D4B27" w:rsidP="00DE778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08.02.2017. 12:55</w:t>
      </w:r>
    </w:p>
    <w:p w:rsidR="002D4B27" w:rsidRDefault="002D4B27" w:rsidP="00DE778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453</w:t>
      </w:r>
      <w:r>
        <w:rPr>
          <w:rFonts w:ascii="Times New Roman" w:eastAsia="Times New Roman" w:hAnsi="Times New Roman" w:cs="Times New Roman"/>
          <w:sz w:val="20"/>
          <w:szCs w:val="20"/>
          <w:lang w:eastAsia="lv-LV"/>
        </w:rPr>
        <w:fldChar w:fldCharType="end"/>
      </w:r>
    </w:p>
    <w:p w:rsidR="00DE778C" w:rsidRPr="00DE778C" w:rsidRDefault="00DE778C" w:rsidP="00DE778C">
      <w:pPr>
        <w:spacing w:after="0" w:line="240" w:lineRule="auto"/>
        <w:rPr>
          <w:rFonts w:ascii="Times New Roman" w:eastAsia="Times New Roman" w:hAnsi="Times New Roman" w:cs="Times New Roman"/>
          <w:sz w:val="20"/>
          <w:szCs w:val="20"/>
          <w:lang w:eastAsia="lv-LV"/>
        </w:rPr>
      </w:pPr>
      <w:bookmarkStart w:id="1" w:name="_GoBack"/>
      <w:bookmarkEnd w:id="1"/>
      <w:r w:rsidRPr="00DE778C">
        <w:rPr>
          <w:rFonts w:ascii="Times New Roman" w:eastAsia="Times New Roman" w:hAnsi="Times New Roman" w:cs="Times New Roman"/>
          <w:sz w:val="20"/>
          <w:szCs w:val="20"/>
          <w:lang w:eastAsia="lv-LV"/>
        </w:rPr>
        <w:t>O.Vecuma-Veco</w:t>
      </w:r>
    </w:p>
    <w:p w:rsidR="00FD1556" w:rsidRPr="002D4B27" w:rsidRDefault="00DE778C" w:rsidP="002D4B27">
      <w:pPr>
        <w:spacing w:after="0" w:line="240" w:lineRule="auto"/>
        <w:rPr>
          <w:rFonts w:ascii="Times New Roman" w:eastAsia="Times New Roman" w:hAnsi="Times New Roman" w:cs="Times New Roman"/>
          <w:sz w:val="20"/>
          <w:szCs w:val="20"/>
          <w:lang w:eastAsia="lv-LV"/>
        </w:rPr>
      </w:pPr>
      <w:r w:rsidRPr="00DE778C">
        <w:rPr>
          <w:rFonts w:ascii="Times New Roman" w:eastAsia="Times New Roman" w:hAnsi="Times New Roman" w:cs="Times New Roman"/>
          <w:sz w:val="20"/>
          <w:szCs w:val="20"/>
          <w:lang w:eastAsia="lv-LV"/>
        </w:rPr>
        <w:t xml:space="preserve">67027551, </w:t>
      </w:r>
      <w:hyperlink r:id="rId14" w:history="1">
        <w:r w:rsidRPr="00DE778C">
          <w:rPr>
            <w:rFonts w:ascii="Times New Roman" w:eastAsia="Times New Roman" w:hAnsi="Times New Roman" w:cs="Times New Roman"/>
            <w:color w:val="0000FF"/>
            <w:sz w:val="20"/>
            <w:szCs w:val="20"/>
            <w:u w:val="single"/>
            <w:lang w:eastAsia="lv-LV"/>
          </w:rPr>
          <w:t>Olita.Vecuma-Veco@zm.gov.lv</w:t>
        </w:r>
      </w:hyperlink>
    </w:p>
    <w:sectPr w:rsidR="00FD1556" w:rsidRPr="002D4B27" w:rsidSect="006D3A94">
      <w:headerReference w:type="default" r:id="rId15"/>
      <w:footerReference w:type="default" r:id="rId16"/>
      <w:footerReference w:type="first" r:id="rId17"/>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C5" w:rsidRDefault="00B16BC5" w:rsidP="00DE778C">
      <w:pPr>
        <w:spacing w:after="0" w:line="240" w:lineRule="auto"/>
      </w:pPr>
      <w:r>
        <w:separator/>
      </w:r>
    </w:p>
  </w:endnote>
  <w:endnote w:type="continuationSeparator" w:id="0">
    <w:p w:rsidR="00B16BC5" w:rsidRDefault="00B16BC5" w:rsidP="00D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A" w:rsidRPr="002D4B27" w:rsidRDefault="002D4B27" w:rsidP="006D3A94">
    <w:pPr>
      <w:pStyle w:val="Kjene"/>
      <w:jc w:val="both"/>
      <w:rPr>
        <w:rFonts w:ascii="Times New Roman" w:hAnsi="Times New Roman" w:cs="Times New Roman"/>
        <w:sz w:val="20"/>
        <w:szCs w:val="16"/>
      </w:rPr>
    </w:pPr>
    <w:r w:rsidRPr="002D4B27">
      <w:rPr>
        <w:rFonts w:ascii="Times New Roman" w:hAnsi="Times New Roman" w:cs="Times New Roman"/>
        <w:sz w:val="20"/>
        <w:szCs w:val="16"/>
      </w:rPr>
      <w:t>ZMNotp2_060217_akvakult</w:t>
    </w:r>
    <w:r w:rsidR="00B16BC5" w:rsidRPr="002D4B27">
      <w:rPr>
        <w:rFonts w:ascii="Times New Roman" w:hAnsi="Times New Roman" w:cs="Times New Roman"/>
        <w:sz w:val="20"/>
        <w:szCs w:val="16"/>
      </w:rPr>
      <w:t>; Ministru kabineta noteikumi “Veterinārās prasības akvakultūras dzīvniekiem, no tiem iegūtiem produktiem un to apritei, kā arī atsevišķu akvakultūras dzīvnieku infekcijas slimību profilaksei un apkarošanai”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A" w:rsidRPr="004F6B7C" w:rsidRDefault="00B16BC5" w:rsidP="006D3A94">
    <w:pPr>
      <w:pStyle w:val="Kjene"/>
      <w:jc w:val="both"/>
      <w:rPr>
        <w:rFonts w:ascii="Times New Roman" w:hAnsi="Times New Roman" w:cs="Times New Roman"/>
        <w:sz w:val="16"/>
        <w:szCs w:val="16"/>
      </w:rPr>
    </w:pPr>
    <w:r>
      <w:rPr>
        <w:rFonts w:ascii="Times New Roman" w:hAnsi="Times New Roman" w:cs="Times New Roman"/>
        <w:sz w:val="16"/>
        <w:szCs w:val="16"/>
      </w:rPr>
      <w:t>ZMNot</w:t>
    </w:r>
    <w:r w:rsidR="00DE778C">
      <w:rPr>
        <w:rFonts w:ascii="Times New Roman" w:hAnsi="Times New Roman" w:cs="Times New Roman"/>
        <w:sz w:val="16"/>
        <w:szCs w:val="16"/>
      </w:rPr>
      <w:t>p2_06</w:t>
    </w:r>
    <w:r>
      <w:rPr>
        <w:rFonts w:ascii="Times New Roman" w:hAnsi="Times New Roman" w:cs="Times New Roman"/>
        <w:sz w:val="16"/>
        <w:szCs w:val="16"/>
      </w:rPr>
      <w:t>0217</w:t>
    </w:r>
    <w:r w:rsidRPr="004F6B7C">
      <w:rPr>
        <w:rFonts w:ascii="Times New Roman" w:hAnsi="Times New Roman" w:cs="Times New Roman"/>
        <w:sz w:val="16"/>
        <w:szCs w:val="16"/>
      </w:rPr>
      <w:t>_akvakultura; Ministru kabineta noteikumi “Veterinārās prasības akvakultūras dzīvniekiem, no tiem iegūtiem produktiem un to apritei, kā arī atsevišķu akvakultūras dzīvnieku infekcijas slimību profilaksei un apkarošanai”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C5" w:rsidRDefault="00B16BC5" w:rsidP="00DE778C">
      <w:pPr>
        <w:spacing w:after="0" w:line="240" w:lineRule="auto"/>
      </w:pPr>
      <w:r>
        <w:separator/>
      </w:r>
    </w:p>
  </w:footnote>
  <w:footnote w:type="continuationSeparator" w:id="0">
    <w:p w:rsidR="00B16BC5" w:rsidRDefault="00B16BC5" w:rsidP="00DE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46364871"/>
      <w:docPartObj>
        <w:docPartGallery w:val="Page Numbers (Top of Page)"/>
        <w:docPartUnique/>
      </w:docPartObj>
    </w:sdtPr>
    <w:sdtEndPr>
      <w:rPr>
        <w:sz w:val="22"/>
      </w:rPr>
    </w:sdtEndPr>
    <w:sdtContent>
      <w:p w:rsidR="00CE733A" w:rsidRPr="002D4B27" w:rsidRDefault="00B16BC5" w:rsidP="006D3A94">
        <w:pPr>
          <w:pStyle w:val="Galvene"/>
          <w:jc w:val="center"/>
        </w:pPr>
        <w:r w:rsidRPr="002D4B27">
          <w:rPr>
            <w:rFonts w:ascii="Times New Roman" w:hAnsi="Times New Roman" w:cs="Times New Roman"/>
            <w:sz w:val="24"/>
            <w:szCs w:val="24"/>
          </w:rPr>
          <w:fldChar w:fldCharType="begin"/>
        </w:r>
        <w:r w:rsidRPr="002D4B27">
          <w:rPr>
            <w:rFonts w:ascii="Times New Roman" w:hAnsi="Times New Roman" w:cs="Times New Roman"/>
            <w:sz w:val="24"/>
            <w:szCs w:val="24"/>
          </w:rPr>
          <w:instrText>PAGE   \* MERGEFORMAT</w:instrText>
        </w:r>
        <w:r w:rsidRPr="002D4B27">
          <w:rPr>
            <w:rFonts w:ascii="Times New Roman" w:hAnsi="Times New Roman" w:cs="Times New Roman"/>
            <w:sz w:val="24"/>
            <w:szCs w:val="24"/>
          </w:rPr>
          <w:fldChar w:fldCharType="separate"/>
        </w:r>
        <w:r w:rsidR="002D4B27">
          <w:rPr>
            <w:rFonts w:ascii="Times New Roman" w:hAnsi="Times New Roman" w:cs="Times New Roman"/>
            <w:noProof/>
            <w:sz w:val="24"/>
            <w:szCs w:val="24"/>
          </w:rPr>
          <w:t>2</w:t>
        </w:r>
        <w:r w:rsidRPr="002D4B2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8C"/>
    <w:rsid w:val="0005256B"/>
    <w:rsid w:val="001F7F8E"/>
    <w:rsid w:val="002D4B27"/>
    <w:rsid w:val="003301D3"/>
    <w:rsid w:val="00491656"/>
    <w:rsid w:val="0049624C"/>
    <w:rsid w:val="004C6557"/>
    <w:rsid w:val="004F54F1"/>
    <w:rsid w:val="00516D35"/>
    <w:rsid w:val="005B792A"/>
    <w:rsid w:val="005C33BF"/>
    <w:rsid w:val="005F3703"/>
    <w:rsid w:val="00621D1E"/>
    <w:rsid w:val="00633A67"/>
    <w:rsid w:val="006773F1"/>
    <w:rsid w:val="006C1737"/>
    <w:rsid w:val="00732802"/>
    <w:rsid w:val="00735263"/>
    <w:rsid w:val="007D6F93"/>
    <w:rsid w:val="007D715A"/>
    <w:rsid w:val="007F2B2A"/>
    <w:rsid w:val="007F3013"/>
    <w:rsid w:val="00802CA4"/>
    <w:rsid w:val="00870A74"/>
    <w:rsid w:val="00870B1F"/>
    <w:rsid w:val="008B67F5"/>
    <w:rsid w:val="008E2C9E"/>
    <w:rsid w:val="009139BD"/>
    <w:rsid w:val="009D039F"/>
    <w:rsid w:val="00A35069"/>
    <w:rsid w:val="00A94CBE"/>
    <w:rsid w:val="00AF2C89"/>
    <w:rsid w:val="00B16BC5"/>
    <w:rsid w:val="00B53253"/>
    <w:rsid w:val="00B87941"/>
    <w:rsid w:val="00BE68A0"/>
    <w:rsid w:val="00C97C3A"/>
    <w:rsid w:val="00CE27C3"/>
    <w:rsid w:val="00D33073"/>
    <w:rsid w:val="00DE778C"/>
    <w:rsid w:val="00E70BB2"/>
    <w:rsid w:val="00FD1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A2465-5441-4BEB-BCEA-D6679A4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E778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E778C"/>
  </w:style>
  <w:style w:type="paragraph" w:styleId="Kjene">
    <w:name w:val="footer"/>
    <w:basedOn w:val="Parasts"/>
    <w:link w:val="KjeneRakstz"/>
    <w:uiPriority w:val="99"/>
    <w:unhideWhenUsed/>
    <w:rsid w:val="00DE778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E778C"/>
  </w:style>
  <w:style w:type="table" w:styleId="Reatabula">
    <w:name w:val="Table Grid"/>
    <w:basedOn w:val="Parastatabula"/>
    <w:uiPriority w:val="39"/>
    <w:rsid w:val="00DE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6428" TargetMode="External"/><Relationship Id="rId13" Type="http://schemas.openxmlformats.org/officeDocument/2006/relationships/hyperlink" Target="http://likumi.lv/doc.php?id=17642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doc.php?id=176428" TargetMode="External"/><Relationship Id="rId12" Type="http://schemas.openxmlformats.org/officeDocument/2006/relationships/hyperlink" Target="http://likumi.lv/doc.php?id=176428"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likumi.lv/doc.php?id=176428" TargetMode="External"/><Relationship Id="rId11" Type="http://schemas.openxmlformats.org/officeDocument/2006/relationships/hyperlink" Target="http://likumi.lv/doc.php?id=176428"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likumi.lv/doc.php?id=17642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ikumi.lv/doc.php?id=176428" TargetMode="External"/><Relationship Id="rId14" Type="http://schemas.openxmlformats.org/officeDocument/2006/relationships/hyperlink" Target="mailto:Olita.Vecuma-Veco@z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3622</Characters>
  <Application>Microsoft Office Word</Application>
  <DocSecurity>0</DocSecurity>
  <Lines>517</Lines>
  <Paragraphs>122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Vecuma-Veco</dc:creator>
  <cp:keywords/>
  <dc:description/>
  <cp:lastModifiedBy>Sanita Žagare</cp:lastModifiedBy>
  <cp:revision>3</cp:revision>
  <dcterms:created xsi:type="dcterms:W3CDTF">2017-02-08T10:13:00Z</dcterms:created>
  <dcterms:modified xsi:type="dcterms:W3CDTF">2017-02-08T10:55:00Z</dcterms:modified>
</cp:coreProperties>
</file>