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A" w:rsidRPr="00B7188A" w:rsidRDefault="00B7188A" w:rsidP="00B7188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>
        <w:rPr>
          <w:rFonts w:ascii="Times New Roman" w:eastAsia="Calibri" w:hAnsi="Times New Roman" w:cs="Times New Roman"/>
          <w:bCs/>
          <w:szCs w:val="20"/>
        </w:rPr>
        <w:t>8</w:t>
      </w:r>
      <w:r w:rsidRPr="00B7188A">
        <w:rPr>
          <w:rFonts w:ascii="Times New Roman" w:eastAsia="Calibri" w:hAnsi="Times New Roman" w:cs="Times New Roman"/>
          <w:bCs/>
          <w:szCs w:val="20"/>
        </w:rPr>
        <w:t xml:space="preserve">.pielikums </w:t>
      </w:r>
      <w:r w:rsidRPr="00B7188A">
        <w:rPr>
          <w:rFonts w:ascii="Times New Roman" w:eastAsia="Calibri" w:hAnsi="Times New Roman" w:cs="Times New Roman"/>
          <w:bCs/>
          <w:szCs w:val="20"/>
        </w:rPr>
        <w:br/>
        <w:t xml:space="preserve">Ministru kabineta </w:t>
      </w:r>
      <w:r w:rsidRPr="00B7188A">
        <w:rPr>
          <w:rFonts w:ascii="Times New Roman" w:eastAsia="Calibri" w:hAnsi="Times New Roman" w:cs="Times New Roman"/>
          <w:bCs/>
          <w:szCs w:val="20"/>
        </w:rPr>
        <w:br/>
        <w:t xml:space="preserve">2017.gada </w:t>
      </w:r>
      <w:r w:rsidRPr="00B7188A">
        <w:rPr>
          <w:rFonts w:ascii="Times New Roman" w:eastAsia="Calibri" w:hAnsi="Times New Roman" w:cs="Times New Roman"/>
          <w:bCs/>
          <w:szCs w:val="20"/>
        </w:rPr>
        <w:tab/>
        <w:t xml:space="preserve">.februāra </w:t>
      </w:r>
    </w:p>
    <w:p w:rsidR="00B7188A" w:rsidRPr="00B7188A" w:rsidRDefault="00B7188A" w:rsidP="00B7188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Cs w:val="20"/>
        </w:rPr>
      </w:pPr>
      <w:r w:rsidRPr="00B7188A">
        <w:rPr>
          <w:rFonts w:ascii="Times New Roman" w:eastAsia="Calibri" w:hAnsi="Times New Roman" w:cs="Times New Roman"/>
          <w:bCs/>
          <w:szCs w:val="20"/>
        </w:rPr>
        <w:t>noteikumiem Nr.</w:t>
      </w:r>
      <w:r w:rsidRPr="00B7188A">
        <w:rPr>
          <w:rFonts w:ascii="Times New Roman" w:eastAsia="Calibri" w:hAnsi="Times New Roman" w:cs="Times New Roman"/>
          <w:bCs/>
          <w:szCs w:val="20"/>
        </w:rPr>
        <w:tab/>
      </w:r>
    </w:p>
    <w:p w:rsidR="006D7D7F" w:rsidRPr="006D7D7F" w:rsidRDefault="006D7D7F" w:rsidP="006D7D7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D7D7F" w:rsidRPr="00B7188A" w:rsidRDefault="006D7D7F" w:rsidP="006D7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Diagnostikas un paraugu ņemšanas metodes, lai iegūtu un saglabātu veselības stāvokli “infekcijas slimības neskarts” attiecībā uz </w:t>
      </w:r>
      <w:proofErr w:type="spellStart"/>
      <w:r w:rsidRPr="00B7188A">
        <w:rPr>
          <w:rFonts w:ascii="Times New Roman" w:eastAsia="Calibri" w:hAnsi="Times New Roman" w:cs="Times New Roman"/>
          <w:b/>
          <w:bCs/>
          <w:iCs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b/>
          <w:bCs/>
          <w:iCs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b/>
          <w:bCs/>
          <w:iCs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b/>
          <w:bCs/>
          <w:iCs/>
          <w:sz w:val="24"/>
          <w:szCs w:val="20"/>
        </w:rPr>
        <w:t xml:space="preserve"> slimību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 xml:space="preserve">1.Koiju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slimības diagnostikas paraugam iesūta audu materiālu, kurā ir žaunu un nieru daļas.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Kopparaugā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atļauts apvienot divu zivju orgānu daļas. 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 xml:space="preserve">2. Uzraudzībai paredzētā diagnostikas metode, lai iegūtu un saglabātu veselības stāvokli “infekcijas slimības neskarts” attiecībā uz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slimību,</w:t>
      </w: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ir reāllaika </w:t>
      </w:r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PCR </w:t>
      </w:r>
      <w:r w:rsidRPr="00B7188A">
        <w:rPr>
          <w:rFonts w:ascii="Times New Roman" w:eastAsia="Calibri" w:hAnsi="Times New Roman" w:cs="Times New Roman"/>
          <w:sz w:val="24"/>
          <w:szCs w:val="20"/>
        </w:rPr>
        <w:t>(</w:t>
      </w:r>
      <w:proofErr w:type="spellStart"/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>qPCR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). 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 xml:space="preserve">3. Lai apstiprinātu vai izslēgtu aizdomas par inficēšanos ar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herpesvīrusu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>, ievēro šādu paraugu ņemšanas un laboratoriskās izmeklēšanas kārtību: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 xml:space="preserve">3.1. laboratoriskai izmeklēšanai uz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herpesvīrusu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iesūta šī pielikuma 1. punktā noteiktajam atbilstošus paraugus;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>3.1. ja klīniski vai pēc nāves (</w:t>
      </w:r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post </w:t>
      </w:r>
      <w:proofErr w:type="spellStart"/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>mortem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)</w:t>
      </w:r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ir novērotas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slimībai</w:t>
      </w: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raksturīgas pazīmes, oficiālā izmeklēšanā izdara vismaz vienu veselības pārbaudi un ņem vienu paraugu ar 10 zivīm, vai, ja šādas pazīmes klīniski vai </w:t>
      </w:r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post </w:t>
      </w:r>
      <w:proofErr w:type="spellStart"/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>mortem</w:t>
      </w:r>
      <w:proofErr w:type="spellEnd"/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B7188A">
        <w:rPr>
          <w:rFonts w:ascii="Times New Roman" w:eastAsia="Calibri" w:hAnsi="Times New Roman" w:cs="Times New Roman"/>
          <w:sz w:val="24"/>
          <w:szCs w:val="20"/>
        </w:rPr>
        <w:t>nav novērotas, ņem paraugu ar 30 zivīm;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 xml:space="preserve">3.2. paraugus laboratoriski izmeklē, ievērojot šo noteikumu 13. pielikumā noteiktās diagnostikas metodes un procedūras, lai izslēgtu vai apstiprinātu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herpesvīrusu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; 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 xml:space="preserve">3.3.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 slimību uzskata par apstiprinātu, ja, izmantojot </w:t>
      </w:r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>PCR</w:t>
      </w: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, konstatē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herpesvīrusu</w:t>
      </w:r>
      <w:proofErr w:type="spellEnd"/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; 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ab/>
        <w:t xml:space="preserve">3.4. ja izmantotais laboratoriskais tests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klātbūtni neapliecina, aizdomas par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iCs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iCs/>
          <w:sz w:val="24"/>
          <w:szCs w:val="20"/>
        </w:rPr>
        <w:t xml:space="preserve"> slimību</w:t>
      </w:r>
      <w:r w:rsidRPr="00B7188A">
        <w:rPr>
          <w:rFonts w:ascii="Times New Roman" w:eastAsia="Calibri" w:hAnsi="Times New Roman" w:cs="Times New Roman"/>
          <w:i/>
          <w:iCs/>
          <w:sz w:val="24"/>
          <w:szCs w:val="20"/>
        </w:rPr>
        <w:t xml:space="preserve"> </w:t>
      </w:r>
      <w:r w:rsidRPr="00B7188A">
        <w:rPr>
          <w:rFonts w:ascii="Times New Roman" w:eastAsia="Calibri" w:hAnsi="Times New Roman" w:cs="Times New Roman"/>
          <w:sz w:val="24"/>
          <w:szCs w:val="20"/>
        </w:rPr>
        <w:t>var izslēgt.</w:t>
      </w:r>
    </w:p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6D7D7F" w:rsidRPr="00B7188A" w:rsidRDefault="006D7D7F" w:rsidP="006D7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2.A tabula </w:t>
      </w:r>
    </w:p>
    <w:p w:rsidR="006D7D7F" w:rsidRPr="00B7188A" w:rsidRDefault="006D7D7F" w:rsidP="006D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slimības divu gadu uzraudzības programmas shēma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1728"/>
        <w:gridCol w:w="1780"/>
        <w:gridCol w:w="2288"/>
        <w:gridCol w:w="1070"/>
      </w:tblGrid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Klīnisko pārbaužu skaits gadā (divos gados)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Laboratorisko izmeklējumu skaits gadā (divos gados)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Zivju skaits paraugā</w:t>
            </w:r>
          </w:p>
        </w:tc>
      </w:tr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Audzētavas/paraugu ņemšanas vietas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Pirmie divi uzraudzības perioda gadi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hyperlink r:id="rId6" w:anchor="ntr10-L_2015247LV.01000501-E0010" w:history="1">
              <w:r w:rsidRPr="006D7D7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vertAlign w:val="superscript"/>
                </w:rPr>
                <w:t>1</w:t>
              </w:r>
            </w:hyperlink>
          </w:p>
        </w:tc>
      </w:tr>
      <w:tr w:rsidR="006D7D7F" w:rsidRPr="006D7D7F" w:rsidTr="00E24F7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Maksimālais zivju skaits </w:t>
            </w:r>
            <w:proofErr w:type="spellStart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kopparaugā</w:t>
            </w:r>
            <w:proofErr w:type="spellEnd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 – 2</w:t>
            </w:r>
          </w:p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Paraugus ņem no tāda zivju skaita, lai tad, ja slimības izplatība paredzēta 5 % gadījumu, </w:t>
            </w:r>
            <w:proofErr w:type="spellStart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koiju</w:t>
            </w:r>
            <w:proofErr w:type="spellEnd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herpesvīruss</w:t>
            </w:r>
            <w:proofErr w:type="spellEnd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tiktu noteikts ar 95 % ticamību.</w:t>
            </w:r>
          </w:p>
        </w:tc>
      </w:tr>
    </w:tbl>
    <w:p w:rsidR="006D7D7F" w:rsidRPr="006D7D7F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D7F" w:rsidRPr="00B7188A" w:rsidRDefault="006D7D7F" w:rsidP="006D7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2.B tabula </w:t>
      </w:r>
    </w:p>
    <w:p w:rsidR="006D7D7F" w:rsidRPr="00B7188A" w:rsidRDefault="006D7D7F" w:rsidP="006D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slimības četru gadu uzraudzības programmas shēma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1935"/>
        <w:gridCol w:w="1553"/>
        <w:gridCol w:w="2094"/>
        <w:gridCol w:w="1161"/>
      </w:tblGrid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Klīnisko pārbaužu skaits gadā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Laboratorisko izmeklējumu skaits gadā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Zivju skaits paraugā</w:t>
            </w:r>
          </w:p>
        </w:tc>
      </w:tr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Audzētavas/paraugu ņemšanas vietas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Pirmie divi uzraudzības perioda gadi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Audzētavas/paraugu ņemšanas vietas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Pēdējie divi uzraudzības perioda gadi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7D7F" w:rsidRPr="006D7D7F" w:rsidTr="00E24F7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Maksimālais zivju skaits </w:t>
            </w:r>
            <w:proofErr w:type="spellStart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kopparaugā</w:t>
            </w:r>
            <w:proofErr w:type="spellEnd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 – 2</w:t>
            </w:r>
          </w:p>
        </w:tc>
      </w:tr>
    </w:tbl>
    <w:p w:rsidR="006D7D7F" w:rsidRPr="006D7D7F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D7F" w:rsidRPr="00B7188A" w:rsidRDefault="006D7D7F" w:rsidP="006D7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2.C tabula </w:t>
      </w:r>
    </w:p>
    <w:p w:rsidR="006D7D7F" w:rsidRPr="00B7188A" w:rsidRDefault="006D7D7F" w:rsidP="006D7D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Uzraudzības shēma veselības stāvokļa “infekcijas slimības neskarts” saglabāšanai attiecībā uz </w:t>
      </w: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slimību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3875"/>
        <w:gridCol w:w="3081"/>
      </w:tblGrid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Riska pakāpe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Veselības pārbaužu skaits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Zivju skaits paraugā</w:t>
            </w:r>
          </w:p>
        </w:tc>
      </w:tr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Augsta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Divas reizes gadā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Reizi gadā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Zema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Reizi divos gados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7D7F" w:rsidRPr="006D7D7F" w:rsidTr="00E24F7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Maksimālais zivju skaits </w:t>
            </w:r>
            <w:proofErr w:type="spellStart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kopparaugā</w:t>
            </w:r>
            <w:proofErr w:type="spellEnd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</w:t>
            </w:r>
          </w:p>
        </w:tc>
      </w:tr>
    </w:tbl>
    <w:p w:rsidR="006D7D7F" w:rsidRPr="006D7D7F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D7D7F" w:rsidRPr="00B7188A" w:rsidRDefault="006D7D7F" w:rsidP="006D7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B7188A">
        <w:rPr>
          <w:rFonts w:ascii="Times New Roman" w:eastAsia="Calibri" w:hAnsi="Times New Roman" w:cs="Times New Roman"/>
          <w:sz w:val="24"/>
          <w:szCs w:val="20"/>
        </w:rPr>
        <w:t xml:space="preserve">2.D tabula </w:t>
      </w:r>
    </w:p>
    <w:p w:rsidR="006D7D7F" w:rsidRPr="00B7188A" w:rsidRDefault="006D7D7F" w:rsidP="006D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Uzraudzības shēma veselības stāvokļa “infekcijas slimības neskarts” saglabāšanai attiecībā uz </w:t>
      </w: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koiju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proofErr w:type="spellStart"/>
      <w:r w:rsidRPr="00B7188A">
        <w:rPr>
          <w:rFonts w:ascii="Times New Roman" w:eastAsia="Calibri" w:hAnsi="Times New Roman" w:cs="Times New Roman"/>
          <w:b/>
          <w:sz w:val="24"/>
          <w:szCs w:val="20"/>
        </w:rPr>
        <w:t>herpesvīrusa</w:t>
      </w:r>
      <w:proofErr w:type="spellEnd"/>
      <w:r w:rsidRPr="00B7188A">
        <w:rPr>
          <w:rFonts w:ascii="Times New Roman" w:eastAsia="Calibri" w:hAnsi="Times New Roman" w:cs="Times New Roman"/>
          <w:b/>
          <w:sz w:val="24"/>
          <w:szCs w:val="20"/>
        </w:rPr>
        <w:t xml:space="preserve"> slimību Latvijas valsts teritorijā, zonā vai iecirknī, kurā audzētavu skaits ir ierobežots un to mērķtiecīga uzraudzība nesniedz pietiekami daudz epizootoloģiskos datus</w:t>
      </w:r>
    </w:p>
    <w:p w:rsidR="006D7D7F" w:rsidRPr="006D7D7F" w:rsidRDefault="006D7D7F" w:rsidP="006D7D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2345"/>
        <w:gridCol w:w="3055"/>
        <w:gridCol w:w="1630"/>
      </w:tblGrid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Klīnisko pārbaužu skaits gadā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Laboratorisko izmeklējumu skaits gadā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Zivju skaits paraugā</w:t>
            </w:r>
          </w:p>
        </w:tc>
      </w:tr>
      <w:tr w:rsidR="006D7D7F" w:rsidRPr="006D7D7F" w:rsidTr="00E24F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Paraugu ņemšanas punkti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Reizi divos gados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Reizi divos gados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6D7D7F" w:rsidRPr="006D7D7F" w:rsidTr="00E24F7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6D7D7F" w:rsidRPr="006D7D7F" w:rsidRDefault="006D7D7F" w:rsidP="006D7D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Maksimālais zivju skaits </w:t>
            </w:r>
            <w:proofErr w:type="spellStart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>kopparaugā</w:t>
            </w:r>
            <w:proofErr w:type="spellEnd"/>
            <w:r w:rsidRPr="006D7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</w:t>
            </w:r>
          </w:p>
        </w:tc>
      </w:tr>
    </w:tbl>
    <w:p w:rsidR="006D7D7F" w:rsidRPr="00B7188A" w:rsidRDefault="006D7D7F" w:rsidP="006D7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B7188A" w:rsidRDefault="00B7188A" w:rsidP="006D7D7F">
      <w:pPr>
        <w:widowControl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D7F" w:rsidRPr="006D7D7F" w:rsidRDefault="006D7D7F" w:rsidP="00B7188A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>Zemkopības ministrs</w:t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18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18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718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D7D7F">
        <w:rPr>
          <w:rFonts w:ascii="Times New Roman" w:eastAsia="Times New Roman" w:hAnsi="Times New Roman" w:cs="Times New Roman"/>
          <w:bCs/>
          <w:sz w:val="24"/>
          <w:szCs w:val="24"/>
        </w:rPr>
        <w:t>J.Dūklavs</w:t>
      </w:r>
    </w:p>
    <w:p w:rsidR="006D7D7F" w:rsidRDefault="006D7D7F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Pr="006D7D7F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08.02.2017. 13:07</w:t>
      </w:r>
    </w:p>
    <w:p w:rsidR="00B7188A" w:rsidRDefault="00B7188A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420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p w:rsidR="006D7D7F" w:rsidRPr="006D7D7F" w:rsidRDefault="006D7D7F" w:rsidP="006D7D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6D7D7F">
        <w:rPr>
          <w:rFonts w:ascii="Times New Roman" w:eastAsia="Times New Roman" w:hAnsi="Times New Roman" w:cs="Times New Roman"/>
          <w:sz w:val="20"/>
          <w:szCs w:val="20"/>
          <w:lang w:eastAsia="lv-LV"/>
        </w:rPr>
        <w:t>O.Vecuma-Veco</w:t>
      </w:r>
    </w:p>
    <w:p w:rsidR="00FD1556" w:rsidRPr="00B7188A" w:rsidRDefault="006D7D7F" w:rsidP="00B71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6D7D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67027551, </w:t>
      </w:r>
      <w:hyperlink r:id="rId7" w:history="1">
        <w:r w:rsidRPr="006D7D7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Olita.Vecuma-Veco@zm.gov.lv</w:t>
        </w:r>
      </w:hyperlink>
    </w:p>
    <w:sectPr w:rsidR="00FD1556" w:rsidRPr="00B7188A" w:rsidSect="006D3A9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0F" w:rsidRDefault="00DE760F" w:rsidP="006D7D7F">
      <w:pPr>
        <w:spacing w:after="0" w:line="240" w:lineRule="auto"/>
      </w:pPr>
      <w:r>
        <w:separator/>
      </w:r>
    </w:p>
  </w:endnote>
  <w:endnote w:type="continuationSeparator" w:id="0">
    <w:p w:rsidR="00DE760F" w:rsidRDefault="00DE760F" w:rsidP="006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B7188A" w:rsidRDefault="00B7188A" w:rsidP="006D3A94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B7188A">
      <w:rPr>
        <w:rFonts w:ascii="Times New Roman" w:hAnsi="Times New Roman" w:cs="Times New Roman"/>
        <w:sz w:val="20"/>
        <w:szCs w:val="16"/>
      </w:rPr>
      <w:t>ZMNotp8_060217_akvakult</w:t>
    </w:r>
    <w:r w:rsidR="00597ED1" w:rsidRPr="00B7188A">
      <w:rPr>
        <w:rFonts w:ascii="Times New Roman" w:hAnsi="Times New Roman" w:cs="Times New Roman"/>
        <w:sz w:val="20"/>
        <w:szCs w:val="16"/>
      </w:rPr>
      <w:t>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3A" w:rsidRPr="00B7188A" w:rsidRDefault="00B7188A" w:rsidP="00B7188A">
    <w:pPr>
      <w:pStyle w:val="Kjene"/>
      <w:jc w:val="both"/>
      <w:rPr>
        <w:rFonts w:ascii="Times New Roman" w:hAnsi="Times New Roman" w:cs="Times New Roman"/>
        <w:sz w:val="20"/>
        <w:szCs w:val="16"/>
      </w:rPr>
    </w:pPr>
    <w:r w:rsidRPr="00B7188A">
      <w:rPr>
        <w:rFonts w:ascii="Times New Roman" w:hAnsi="Times New Roman" w:cs="Times New Roman"/>
        <w:sz w:val="20"/>
        <w:szCs w:val="16"/>
      </w:rPr>
      <w:t>ZMNotp8_060217_akvakult; Ministru kabineta noteikumi “Veterinārās prasības akvakultūras dzīvniekiem, no tiem iegūtiem produktiem un to apritei, kā arī atsevišķu akvakultūras dzīvnieku infekcijas slimību profilaksei un apkarošanai”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0F" w:rsidRDefault="00DE760F" w:rsidP="006D7D7F">
      <w:pPr>
        <w:spacing w:after="0" w:line="240" w:lineRule="auto"/>
      </w:pPr>
      <w:r>
        <w:separator/>
      </w:r>
    </w:p>
  </w:footnote>
  <w:footnote w:type="continuationSeparator" w:id="0">
    <w:p w:rsidR="00DE760F" w:rsidRDefault="00DE760F" w:rsidP="006D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46364871"/>
      <w:docPartObj>
        <w:docPartGallery w:val="Page Numbers (Top of Page)"/>
        <w:docPartUnique/>
      </w:docPartObj>
    </w:sdtPr>
    <w:sdtEndPr/>
    <w:sdtContent>
      <w:p w:rsidR="00CE733A" w:rsidRPr="00FC521E" w:rsidRDefault="00597ED1" w:rsidP="006D3A94">
        <w:pPr>
          <w:pStyle w:val="Galvene"/>
          <w:jc w:val="center"/>
          <w:rPr>
            <w:sz w:val="18"/>
          </w:rPr>
        </w:pPr>
        <w:r w:rsidRPr="00FC521E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FC521E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B7188A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C521E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7F"/>
    <w:rsid w:val="0005256B"/>
    <w:rsid w:val="001F7F8E"/>
    <w:rsid w:val="00325AFB"/>
    <w:rsid w:val="00491656"/>
    <w:rsid w:val="0049624C"/>
    <w:rsid w:val="004C6557"/>
    <w:rsid w:val="004F54F1"/>
    <w:rsid w:val="00516D35"/>
    <w:rsid w:val="00597ED1"/>
    <w:rsid w:val="005B792A"/>
    <w:rsid w:val="005C33BF"/>
    <w:rsid w:val="005F3703"/>
    <w:rsid w:val="00621D1E"/>
    <w:rsid w:val="00633A67"/>
    <w:rsid w:val="006773F1"/>
    <w:rsid w:val="006C1737"/>
    <w:rsid w:val="006D7D7F"/>
    <w:rsid w:val="00732802"/>
    <w:rsid w:val="00735263"/>
    <w:rsid w:val="007D6F93"/>
    <w:rsid w:val="007D715A"/>
    <w:rsid w:val="007F2B2A"/>
    <w:rsid w:val="007F3013"/>
    <w:rsid w:val="00802CA4"/>
    <w:rsid w:val="00870A74"/>
    <w:rsid w:val="00870B1F"/>
    <w:rsid w:val="008B67F5"/>
    <w:rsid w:val="008E2C9E"/>
    <w:rsid w:val="009139BD"/>
    <w:rsid w:val="009D039F"/>
    <w:rsid w:val="00A35069"/>
    <w:rsid w:val="00A94CBE"/>
    <w:rsid w:val="00AF2C89"/>
    <w:rsid w:val="00B53253"/>
    <w:rsid w:val="00B7188A"/>
    <w:rsid w:val="00B87941"/>
    <w:rsid w:val="00BE68A0"/>
    <w:rsid w:val="00C97C3A"/>
    <w:rsid w:val="00CE27C3"/>
    <w:rsid w:val="00D33073"/>
    <w:rsid w:val="00DE760F"/>
    <w:rsid w:val="00E70BB2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CF3B-6EF9-4830-936A-63AC7030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D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D7D7F"/>
  </w:style>
  <w:style w:type="paragraph" w:styleId="Kjene">
    <w:name w:val="footer"/>
    <w:basedOn w:val="Parasts"/>
    <w:link w:val="KjeneRakstz"/>
    <w:uiPriority w:val="99"/>
    <w:unhideWhenUsed/>
    <w:rsid w:val="006D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D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ita.Vecuma-Veco@zm.gov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legal-content/LV/TXT/?qid=1443172378140&amp;uri=OJ:JOL_2015_247_R_000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3120</Characters>
  <Application>Microsoft Office Word</Application>
  <DocSecurity>0</DocSecurity>
  <Lines>173</Lines>
  <Paragraphs>85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Sanita Žagare</cp:lastModifiedBy>
  <cp:revision>3</cp:revision>
  <dcterms:created xsi:type="dcterms:W3CDTF">2017-02-08T09:58:00Z</dcterms:created>
  <dcterms:modified xsi:type="dcterms:W3CDTF">2017-02-08T11:07:00Z</dcterms:modified>
</cp:coreProperties>
</file>