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Layout w:type="fixed"/>
        <w:tblCellMar>
          <w:left w:w="0" w:type="dxa"/>
          <w:right w:w="0" w:type="dxa"/>
        </w:tblCellMar>
        <w:tblLook w:val="04A0" w:firstRow="1" w:lastRow="0" w:firstColumn="1" w:lastColumn="0" w:noHBand="0" w:noVBand="1"/>
      </w:tblPr>
      <w:tblGrid>
        <w:gridCol w:w="8801"/>
        <w:gridCol w:w="270"/>
      </w:tblGrid>
      <w:tr w:rsidR="00767569" w:rsidRPr="00767569" w:rsidTr="00BC5DEE">
        <w:tc>
          <w:tcPr>
            <w:tcW w:w="8801" w:type="dxa"/>
            <w:shd w:val="clear" w:color="auto" w:fill="FFFFFF"/>
            <w:hideMark/>
          </w:tcPr>
          <w:p w:rsidR="00767569" w:rsidRPr="00767569" w:rsidRDefault="002D63DA" w:rsidP="002D63DA">
            <w:pPr>
              <w:jc w:val="center"/>
              <w:rPr>
                <w:rFonts w:eastAsia="Times New Roman" w:cs="Times New Roman"/>
                <w:b/>
                <w:bCs/>
                <w:color w:val="414142"/>
                <w:sz w:val="27"/>
                <w:szCs w:val="27"/>
                <w:lang w:eastAsia="lv-LV"/>
              </w:rPr>
            </w:pPr>
            <w:r w:rsidRPr="002D63DA">
              <w:rPr>
                <w:rFonts w:eastAsia="Times New Roman" w:cs="Times New Roman"/>
                <w:b/>
                <w:bCs/>
                <w:color w:val="414142"/>
                <w:sz w:val="27"/>
                <w:szCs w:val="27"/>
                <w:lang w:eastAsia="lv-LV"/>
              </w:rPr>
              <w:t>Ministru kabineta noteikumu projekta</w:t>
            </w:r>
            <w:r>
              <w:rPr>
                <w:rFonts w:eastAsia="Times New Roman" w:cs="Times New Roman"/>
                <w:b/>
                <w:bCs/>
                <w:color w:val="414142"/>
                <w:sz w:val="27"/>
                <w:szCs w:val="27"/>
                <w:lang w:eastAsia="lv-LV"/>
              </w:rPr>
              <w:t xml:space="preserve"> </w:t>
            </w:r>
            <w:r w:rsidRPr="002D63DA">
              <w:rPr>
                <w:rFonts w:eastAsia="Times New Roman" w:cs="Times New Roman"/>
                <w:b/>
                <w:bCs/>
                <w:color w:val="414142"/>
                <w:sz w:val="27"/>
                <w:szCs w:val="27"/>
                <w:lang w:eastAsia="lv-LV"/>
              </w:rPr>
              <w:t>„Grozījumi Ministru kabineta 2016.gada 12.aprīļa noteikumos Nr.211 „Būvkomersantu klasifikācijas noteikumi”” sākotnējās ietekmes novērtējuma ziņojums (anotācija)</w:t>
            </w:r>
          </w:p>
          <w:p w:rsidR="00767569" w:rsidRPr="00767569" w:rsidRDefault="00767569" w:rsidP="00767569">
            <w:pPr>
              <w:spacing w:before="45" w:line="248" w:lineRule="atLeast"/>
              <w:ind w:firstLine="300"/>
              <w:jc w:val="center"/>
              <w:rPr>
                <w:rFonts w:eastAsia="Times New Roman" w:cs="Times New Roman"/>
                <w:i/>
                <w:iCs/>
                <w:color w:val="414142"/>
                <w:sz w:val="20"/>
                <w:szCs w:val="20"/>
                <w:lang w:eastAsia="lv-LV"/>
              </w:rPr>
            </w:pPr>
          </w:p>
          <w:tbl>
            <w:tblPr>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402"/>
              <w:gridCol w:w="37"/>
              <w:gridCol w:w="2292"/>
              <w:gridCol w:w="79"/>
              <w:gridCol w:w="351"/>
              <w:gridCol w:w="290"/>
              <w:gridCol w:w="323"/>
              <w:gridCol w:w="1461"/>
              <w:gridCol w:w="1136"/>
              <w:gridCol w:w="1134"/>
              <w:gridCol w:w="1276"/>
              <w:gridCol w:w="60"/>
            </w:tblGrid>
            <w:tr w:rsidR="00B34185" w:rsidRPr="00B34185" w:rsidTr="00BC5DEE">
              <w:trPr>
                <w:gridAfter w:val="1"/>
                <w:wAfter w:w="60" w:type="dxa"/>
                <w:trHeight w:val="2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I. Tiesību akta projekta izstrādes nepieciešamība</w:t>
                  </w:r>
                </w:p>
              </w:tc>
            </w:tr>
            <w:tr w:rsidR="00B34185" w:rsidRPr="00B34185" w:rsidTr="00BC5DEE">
              <w:trPr>
                <w:gridAfter w:val="1"/>
                <w:wAfter w:w="60" w:type="dxa"/>
                <w:trHeight w:val="27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Pamatojums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2D63DA" w:rsidP="0057330C">
                  <w:pPr>
                    <w:jc w:val="both"/>
                    <w:rPr>
                      <w:rFonts w:eastAsia="Times New Roman" w:cs="Times New Roman"/>
                      <w:sz w:val="24"/>
                      <w:szCs w:val="24"/>
                      <w:highlight w:val="yellow"/>
                      <w:lang w:eastAsia="lv-LV"/>
                    </w:rPr>
                  </w:pPr>
                  <w:r w:rsidRPr="00B34185">
                    <w:rPr>
                      <w:rFonts w:eastAsia="Times New Roman" w:cs="Times New Roman"/>
                      <w:sz w:val="24"/>
                      <w:szCs w:val="24"/>
                      <w:lang w:eastAsia="lv-LV"/>
                    </w:rPr>
                    <w:t>Ministru kabineta noteikumu projekts “Grozījumi Ministru kabineta 2016.gada 12.aprīļa noteikumos Nr.211 “Būvkomersantu klasifikācijas būvnoteikumi”” sagatavots pēc Ekonomikas ministrijas iniciatīvas</w:t>
                  </w:r>
                  <w:r w:rsidR="00AA1977">
                    <w:rPr>
                      <w:rFonts w:eastAsia="Times New Roman" w:cs="Times New Roman"/>
                      <w:sz w:val="24"/>
                      <w:szCs w:val="24"/>
                      <w:lang w:eastAsia="lv-LV"/>
                    </w:rPr>
                    <w:t>, atbilstoši Ministru kabineta 2009.gada 7.aprīļa noteikumu Nr.300 “Ministru kabineta kārtības rullis” 74.punkt</w:t>
                  </w:r>
                  <w:r w:rsidR="0057330C">
                    <w:rPr>
                      <w:rFonts w:eastAsia="Times New Roman" w:cs="Times New Roman"/>
                      <w:sz w:val="24"/>
                      <w:szCs w:val="24"/>
                      <w:lang w:eastAsia="lv-LV"/>
                    </w:rPr>
                    <w:t>am.</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Pašreizējā situācija un problēmas, kuru risināšanai tiesību akta projekts izstrādāts, tiesiskā regulējuma mērķis un būtība</w:t>
                  </w:r>
                </w:p>
              </w:tc>
              <w:tc>
                <w:tcPr>
                  <w:tcW w:w="5620" w:type="dxa"/>
                  <w:gridSpan w:val="6"/>
                  <w:tcBorders>
                    <w:top w:val="outset" w:sz="6" w:space="0" w:color="414142"/>
                    <w:left w:val="outset" w:sz="6" w:space="0" w:color="414142"/>
                    <w:bottom w:val="outset" w:sz="6" w:space="0" w:color="414142"/>
                    <w:right w:val="outset" w:sz="6" w:space="0" w:color="414142"/>
                  </w:tcBorders>
                </w:tcPr>
                <w:p w:rsidR="00885107" w:rsidRPr="00B34185" w:rsidRDefault="00767569" w:rsidP="00885107">
                  <w:pPr>
                    <w:jc w:val="both"/>
                    <w:rPr>
                      <w:rFonts w:eastAsia="Times New Roman" w:cs="Times New Roman"/>
                      <w:sz w:val="24"/>
                      <w:szCs w:val="24"/>
                      <w:lang w:eastAsia="lv-LV"/>
                    </w:rPr>
                  </w:pPr>
                  <w:r w:rsidRPr="00B34185">
                    <w:rPr>
                      <w:rFonts w:eastAsia="Times New Roman" w:cs="Times New Roman"/>
                      <w:sz w:val="24"/>
                      <w:szCs w:val="24"/>
                      <w:lang w:eastAsia="lv-LV"/>
                    </w:rPr>
                    <w:t xml:space="preserve">Izstrādājot klasifikācijas sistēmas tehnisko risinājumu </w:t>
                  </w:r>
                  <w:r w:rsidR="00D44CE5" w:rsidRPr="00B34185">
                    <w:rPr>
                      <w:rFonts w:eastAsia="Times New Roman" w:cs="Times New Roman"/>
                      <w:sz w:val="24"/>
                      <w:szCs w:val="24"/>
                      <w:lang w:eastAsia="lv-LV"/>
                    </w:rPr>
                    <w:t>konstatēta</w:t>
                  </w:r>
                  <w:r w:rsidRPr="00B34185">
                    <w:rPr>
                      <w:rFonts w:eastAsia="Times New Roman" w:cs="Times New Roman"/>
                      <w:sz w:val="24"/>
                      <w:szCs w:val="24"/>
                      <w:lang w:eastAsia="lv-LV"/>
                    </w:rPr>
                    <w:t xml:space="preserve"> nepieciešamība precizēt vai detalizētāk skaidrot atsevišķas normas. </w:t>
                  </w:r>
                  <w:r w:rsidR="00D44CE5" w:rsidRPr="00B34185">
                    <w:rPr>
                      <w:rFonts w:eastAsia="Times New Roman" w:cs="Times New Roman"/>
                      <w:sz w:val="24"/>
                      <w:szCs w:val="24"/>
                      <w:lang w:eastAsia="lv-LV"/>
                    </w:rPr>
                    <w:t>G</w:t>
                  </w:r>
                  <w:r w:rsidRPr="00B34185">
                    <w:rPr>
                      <w:rFonts w:eastAsia="Times New Roman" w:cs="Times New Roman"/>
                      <w:sz w:val="24"/>
                      <w:szCs w:val="24"/>
                      <w:lang w:eastAsia="lv-LV"/>
                    </w:rPr>
                    <w:t xml:space="preserve">rozījumi </w:t>
                  </w:r>
                  <w:r w:rsidR="001F0D22" w:rsidRPr="00B34185">
                    <w:rPr>
                      <w:rFonts w:eastAsia="Times New Roman" w:cs="Times New Roman"/>
                      <w:sz w:val="24"/>
                      <w:szCs w:val="24"/>
                      <w:lang w:eastAsia="lv-LV"/>
                    </w:rPr>
                    <w:t>izstrādāti</w:t>
                  </w:r>
                  <w:r w:rsidR="00D44CE5" w:rsidRPr="00B34185">
                    <w:rPr>
                      <w:rFonts w:eastAsia="Times New Roman" w:cs="Times New Roman"/>
                      <w:sz w:val="24"/>
                      <w:szCs w:val="24"/>
                      <w:lang w:eastAsia="lv-LV"/>
                    </w:rPr>
                    <w:t xml:space="preserve"> gan</w:t>
                  </w:r>
                  <w:r w:rsidRPr="00B34185">
                    <w:rPr>
                      <w:rFonts w:eastAsia="Times New Roman" w:cs="Times New Roman"/>
                      <w:sz w:val="24"/>
                      <w:szCs w:val="24"/>
                      <w:lang w:eastAsia="lv-LV"/>
                    </w:rPr>
                    <w:t>, lai nodrošinātu administratīvā procesa skaidrību</w:t>
                  </w:r>
                  <w:r w:rsidR="00D44CE5" w:rsidRPr="00B34185">
                    <w:rPr>
                      <w:rFonts w:eastAsia="Times New Roman" w:cs="Times New Roman"/>
                      <w:sz w:val="24"/>
                      <w:szCs w:val="24"/>
                      <w:lang w:eastAsia="lv-LV"/>
                    </w:rPr>
                    <w:t>, gan</w:t>
                  </w:r>
                  <w:r w:rsidRPr="00B34185">
                    <w:rPr>
                      <w:rFonts w:eastAsia="Times New Roman" w:cs="Times New Roman"/>
                      <w:sz w:val="24"/>
                      <w:szCs w:val="24"/>
                      <w:lang w:eastAsia="lv-LV"/>
                    </w:rPr>
                    <w:t xml:space="preserve">, lai precizētu kvalifikācijas vērtēšanu situācijās, kas atšķiras no biežāk iespējamajām. </w:t>
                  </w:r>
                </w:p>
                <w:p w:rsidR="00885107" w:rsidRPr="00B34185" w:rsidRDefault="00B31878" w:rsidP="00885107">
                  <w:pPr>
                    <w:rPr>
                      <w:rFonts w:eastAsia="Times New Roman" w:cs="Times New Roman"/>
                      <w:sz w:val="24"/>
                      <w:szCs w:val="24"/>
                      <w:lang w:eastAsia="lv-LV"/>
                    </w:rPr>
                  </w:pPr>
                  <w:r w:rsidRPr="00B34185">
                    <w:rPr>
                      <w:rFonts w:eastAsia="Times New Roman" w:cs="Times New Roman"/>
                      <w:sz w:val="24"/>
                      <w:szCs w:val="24"/>
                      <w:lang w:eastAsia="lv-LV"/>
                    </w:rPr>
                    <w:t>G</w:t>
                  </w:r>
                  <w:r w:rsidR="00885107" w:rsidRPr="00B34185">
                    <w:rPr>
                      <w:rFonts w:eastAsia="Times New Roman" w:cs="Times New Roman"/>
                      <w:sz w:val="24"/>
                      <w:szCs w:val="24"/>
                      <w:lang w:eastAsia="lv-LV"/>
                    </w:rPr>
                    <w:t>rozījumi paredzēti, lai:</w:t>
                  </w:r>
                </w:p>
                <w:p w:rsidR="00767569" w:rsidRPr="00B34185" w:rsidRDefault="00D44CE5"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 xml:space="preserve">precizētu  </w:t>
                  </w:r>
                  <w:r w:rsidR="00885107" w:rsidRPr="00B34185">
                    <w:rPr>
                      <w:rFonts w:eastAsia="Times New Roman" w:cs="Times New Roman"/>
                      <w:sz w:val="24"/>
                      <w:szCs w:val="24"/>
                      <w:lang w:eastAsia="lv-LV"/>
                    </w:rPr>
                    <w:t>ārvalstu komersant</w:t>
                  </w:r>
                  <w:r w:rsidRPr="00B34185">
                    <w:rPr>
                      <w:rFonts w:eastAsia="Times New Roman" w:cs="Times New Roman"/>
                      <w:sz w:val="24"/>
                      <w:szCs w:val="24"/>
                      <w:lang w:eastAsia="lv-LV"/>
                    </w:rPr>
                    <w:t>u klasifikācijas kārtību (2.1. apakšpunkts</w:t>
                  </w:r>
                  <w:r w:rsidR="00705C21" w:rsidRPr="00B34185">
                    <w:rPr>
                      <w:rFonts w:eastAsia="Times New Roman" w:cs="Times New Roman"/>
                      <w:sz w:val="24"/>
                      <w:szCs w:val="24"/>
                      <w:lang w:eastAsia="lv-LV"/>
                    </w:rPr>
                    <w:t xml:space="preserve"> un 39.punkts</w:t>
                  </w:r>
                  <w:r w:rsidRPr="00B34185">
                    <w:rPr>
                      <w:rFonts w:eastAsia="Times New Roman" w:cs="Times New Roman"/>
                      <w:sz w:val="24"/>
                      <w:szCs w:val="24"/>
                      <w:lang w:eastAsia="lv-LV"/>
                    </w:rPr>
                    <w:t>)</w:t>
                  </w:r>
                  <w:r w:rsidR="00B31878" w:rsidRPr="00B34185">
                    <w:rPr>
                      <w:rFonts w:eastAsia="Times New Roman" w:cs="Times New Roman"/>
                      <w:sz w:val="24"/>
                      <w:szCs w:val="24"/>
                      <w:lang w:eastAsia="lv-LV"/>
                    </w:rPr>
                    <w:t>:</w:t>
                  </w:r>
                  <w:r w:rsidRPr="00B34185">
                    <w:rPr>
                      <w:rFonts w:eastAsia="Times New Roman" w:cs="Times New Roman"/>
                      <w:sz w:val="24"/>
                      <w:szCs w:val="24"/>
                      <w:lang w:eastAsia="lv-LV"/>
                    </w:rPr>
                    <w:t xml:space="preserve"> </w:t>
                  </w:r>
                  <w:r w:rsidR="00B31878" w:rsidRPr="00B34185">
                    <w:rPr>
                      <w:rFonts w:eastAsia="Times New Roman" w:cs="Times New Roman"/>
                      <w:sz w:val="24"/>
                      <w:szCs w:val="24"/>
                      <w:lang w:eastAsia="lv-LV"/>
                    </w:rPr>
                    <w:t>l</w:t>
                  </w:r>
                  <w:r w:rsidRPr="00B34185">
                    <w:rPr>
                      <w:rFonts w:eastAsia="Times New Roman" w:cs="Times New Roman"/>
                      <w:sz w:val="24"/>
                      <w:szCs w:val="24"/>
                      <w:lang w:eastAsia="lv-LV"/>
                    </w:rPr>
                    <w:t xml:space="preserve">ai veiktu būvdarbus Latvijā, ārvalstu komersantiem jāreģistrējas </w:t>
                  </w:r>
                  <w:r w:rsidR="00885107" w:rsidRPr="00B34185">
                    <w:rPr>
                      <w:rFonts w:eastAsia="Times New Roman" w:cs="Times New Roman"/>
                      <w:sz w:val="24"/>
                      <w:szCs w:val="24"/>
                      <w:lang w:eastAsia="lv-LV"/>
                    </w:rPr>
                    <w:t>Būvkomersantu reģistrā (turpmāk – Reģistrs)</w:t>
                  </w:r>
                  <w:r w:rsidRPr="00B34185">
                    <w:rPr>
                      <w:rFonts w:eastAsia="Times New Roman" w:cs="Times New Roman"/>
                      <w:sz w:val="24"/>
                      <w:szCs w:val="24"/>
                      <w:lang w:eastAsia="lv-LV"/>
                    </w:rPr>
                    <w:t xml:space="preserve">, </w:t>
                  </w:r>
                  <w:r w:rsidR="00B31878" w:rsidRPr="00B34185">
                    <w:rPr>
                      <w:rFonts w:eastAsia="Times New Roman" w:cs="Times New Roman"/>
                      <w:sz w:val="24"/>
                      <w:szCs w:val="24"/>
                      <w:lang w:eastAsia="lv-LV"/>
                    </w:rPr>
                    <w:t>vienlaikus</w:t>
                  </w:r>
                  <w:r w:rsidRPr="00B34185">
                    <w:rPr>
                      <w:rFonts w:eastAsia="Times New Roman" w:cs="Times New Roman"/>
                      <w:sz w:val="24"/>
                      <w:szCs w:val="24"/>
                      <w:lang w:eastAsia="lv-LV"/>
                    </w:rPr>
                    <w:t xml:space="preserve"> </w:t>
                  </w:r>
                  <w:r w:rsidR="00BC301D" w:rsidRPr="00B34185">
                    <w:rPr>
                      <w:rFonts w:eastAsia="Times New Roman" w:cs="Times New Roman"/>
                      <w:sz w:val="24"/>
                      <w:szCs w:val="24"/>
                      <w:lang w:eastAsia="lv-LV"/>
                    </w:rPr>
                    <w:t xml:space="preserve">klasifikāciju </w:t>
                  </w:r>
                  <w:r w:rsidRPr="00B34185">
                    <w:rPr>
                      <w:rFonts w:eastAsia="Times New Roman" w:cs="Times New Roman"/>
                      <w:sz w:val="24"/>
                      <w:szCs w:val="24"/>
                      <w:lang w:eastAsia="lv-LV"/>
                    </w:rPr>
                    <w:t xml:space="preserve">var pieprasīt </w:t>
                  </w:r>
                  <w:r w:rsidR="00BC301D" w:rsidRPr="00B34185">
                    <w:rPr>
                      <w:rFonts w:eastAsia="Times New Roman" w:cs="Times New Roman"/>
                      <w:sz w:val="24"/>
                      <w:szCs w:val="24"/>
                      <w:lang w:eastAsia="lv-LV"/>
                    </w:rPr>
                    <w:t xml:space="preserve">arī nereģistrēti ārvalstu komersanti. Reģistrētie ārvalstu būvkomersanti </w:t>
                  </w:r>
                  <w:r w:rsidR="00885107" w:rsidRPr="00B34185">
                    <w:rPr>
                      <w:rFonts w:eastAsia="Times New Roman" w:cs="Times New Roman"/>
                      <w:sz w:val="24"/>
                      <w:szCs w:val="24"/>
                      <w:lang w:eastAsia="lv-LV"/>
                    </w:rPr>
                    <w:t xml:space="preserve">var izdarīt pieņēmumu, ka tiks klasificēti vispārējā kārtībā. </w:t>
                  </w:r>
                  <w:r w:rsidR="001D5AC4" w:rsidRPr="00B34185">
                    <w:rPr>
                      <w:rFonts w:eastAsia="Times New Roman" w:cs="Times New Roman"/>
                      <w:sz w:val="24"/>
                      <w:szCs w:val="24"/>
                      <w:lang w:eastAsia="lv-LV"/>
                    </w:rPr>
                    <w:t>Savukārt</w:t>
                  </w:r>
                  <w:r w:rsidR="00885107" w:rsidRPr="00B34185">
                    <w:rPr>
                      <w:rFonts w:eastAsia="Times New Roman" w:cs="Times New Roman"/>
                      <w:sz w:val="24"/>
                      <w:szCs w:val="24"/>
                      <w:lang w:eastAsia="lv-LV"/>
                    </w:rPr>
                    <w:t xml:space="preserve"> klasifikācijas iestādei par </w:t>
                  </w:r>
                  <w:r w:rsidR="001D5AC4" w:rsidRPr="00B34185">
                    <w:rPr>
                      <w:rFonts w:eastAsia="Times New Roman" w:cs="Times New Roman"/>
                      <w:sz w:val="24"/>
                      <w:szCs w:val="24"/>
                      <w:lang w:eastAsia="lv-LV"/>
                    </w:rPr>
                    <w:t>Reģistrā</w:t>
                  </w:r>
                  <w:r w:rsidR="00885107" w:rsidRPr="00B34185">
                    <w:rPr>
                      <w:rFonts w:eastAsia="Times New Roman" w:cs="Times New Roman"/>
                      <w:sz w:val="24"/>
                      <w:szCs w:val="24"/>
                      <w:lang w:eastAsia="lv-LV"/>
                    </w:rPr>
                    <w:t xml:space="preserve"> reģistrētiem ārvalstu </w:t>
                  </w:r>
                  <w:r w:rsidR="001D5AC4" w:rsidRPr="00B34185">
                    <w:rPr>
                      <w:rFonts w:eastAsia="Times New Roman" w:cs="Times New Roman"/>
                      <w:sz w:val="24"/>
                      <w:szCs w:val="24"/>
                      <w:lang w:eastAsia="lv-LV"/>
                    </w:rPr>
                    <w:t>komersantiem</w:t>
                  </w:r>
                  <w:r w:rsidR="00885107" w:rsidRPr="00B34185">
                    <w:rPr>
                      <w:rFonts w:eastAsia="Times New Roman" w:cs="Times New Roman"/>
                      <w:sz w:val="24"/>
                      <w:szCs w:val="24"/>
                      <w:lang w:eastAsia="lv-LV"/>
                    </w:rPr>
                    <w:t xml:space="preserve"> nav </w:t>
                  </w:r>
                  <w:r w:rsidR="001D5AC4" w:rsidRPr="00B34185">
                    <w:rPr>
                      <w:rFonts w:eastAsia="Times New Roman" w:cs="Times New Roman"/>
                      <w:sz w:val="24"/>
                      <w:szCs w:val="24"/>
                      <w:lang w:eastAsia="lv-LV"/>
                    </w:rPr>
                    <w:t xml:space="preserve">visu </w:t>
                  </w:r>
                  <w:r w:rsidR="00885107" w:rsidRPr="00B34185">
                    <w:rPr>
                      <w:rFonts w:eastAsia="Times New Roman" w:cs="Times New Roman"/>
                      <w:sz w:val="24"/>
                      <w:szCs w:val="24"/>
                      <w:lang w:eastAsia="lv-LV"/>
                    </w:rPr>
                    <w:t>kvalificēšanai nepieciešamo tiešsaistes datu</w:t>
                  </w:r>
                  <w:r w:rsidR="001D5AC4" w:rsidRPr="00B34185">
                    <w:rPr>
                      <w:rFonts w:eastAsia="Times New Roman" w:cs="Times New Roman"/>
                      <w:sz w:val="24"/>
                      <w:szCs w:val="24"/>
                      <w:lang w:eastAsia="lv-LV"/>
                    </w:rPr>
                    <w:t>, tādēļ neatkarīgi no tā, vai ārvalstu komersants ir vai nav reģistrējies kā būvkomersants, tehniski iespējama tikai vienreizēja klasifikācija</w:t>
                  </w:r>
                  <w:r w:rsidRPr="00B34185">
                    <w:rPr>
                      <w:rFonts w:eastAsia="Times New Roman" w:cs="Times New Roman"/>
                      <w:sz w:val="24"/>
                      <w:szCs w:val="24"/>
                      <w:lang w:eastAsia="lv-LV"/>
                    </w:rPr>
                    <w:t xml:space="preserve"> (uz iesnieguma pamata un izmantojot komersanta iesniegtos datus)</w:t>
                  </w:r>
                  <w:r w:rsidR="001D5AC4" w:rsidRPr="00B34185">
                    <w:rPr>
                      <w:rFonts w:eastAsia="Times New Roman" w:cs="Times New Roman"/>
                      <w:sz w:val="24"/>
                      <w:szCs w:val="24"/>
                      <w:lang w:eastAsia="lv-LV"/>
                    </w:rPr>
                    <w:t xml:space="preserve">; </w:t>
                  </w:r>
                </w:p>
                <w:p w:rsidR="007177BE" w:rsidRPr="00B34185" w:rsidRDefault="007177BE"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w:t>
                  </w:r>
                  <w:r w:rsidR="00B31878" w:rsidRPr="00B34185">
                    <w:rPr>
                      <w:rFonts w:eastAsia="Times New Roman" w:cs="Times New Roman"/>
                      <w:sz w:val="24"/>
                      <w:szCs w:val="24"/>
                      <w:lang w:eastAsia="lv-LV"/>
                    </w:rPr>
                    <w:t xml:space="preserve"> atzīmi</w:t>
                  </w:r>
                  <w:r w:rsidRPr="00B34185">
                    <w:rPr>
                      <w:rFonts w:eastAsia="Times New Roman" w:cs="Times New Roman"/>
                      <w:sz w:val="24"/>
                      <w:szCs w:val="24"/>
                      <w:lang w:eastAsia="lv-LV"/>
                    </w:rPr>
                    <w:t xml:space="preserve"> pieredzi veidojošo datu apkopošanas metod</w:t>
                  </w:r>
                  <w:r w:rsidR="00CF478B">
                    <w:rPr>
                      <w:rFonts w:eastAsia="Times New Roman" w:cs="Times New Roman"/>
                      <w:sz w:val="24"/>
                      <w:szCs w:val="24"/>
                      <w:lang w:eastAsia="lv-LV"/>
                    </w:rPr>
                    <w:t>e</w:t>
                  </w:r>
                  <w:r w:rsidRPr="00B34185">
                    <w:rPr>
                      <w:rFonts w:eastAsia="Times New Roman" w:cs="Times New Roman"/>
                      <w:sz w:val="24"/>
                      <w:szCs w:val="24"/>
                      <w:lang w:eastAsia="lv-LV"/>
                    </w:rPr>
                    <w:t>i (9.punkts)</w:t>
                  </w:r>
                  <w:r w:rsidR="00B31878" w:rsidRPr="00B34185">
                    <w:rPr>
                      <w:rFonts w:eastAsia="Times New Roman" w:cs="Times New Roman"/>
                      <w:sz w:val="24"/>
                      <w:szCs w:val="24"/>
                      <w:lang w:eastAsia="lv-LV"/>
                    </w:rPr>
                    <w:t xml:space="preserve">: gan elektroniskā būvdarbu </w:t>
                  </w:r>
                  <w:r w:rsidR="009F1D9D" w:rsidRPr="00B34185">
                    <w:rPr>
                      <w:rFonts w:eastAsia="Times New Roman" w:cs="Times New Roman"/>
                      <w:sz w:val="24"/>
                      <w:szCs w:val="24"/>
                      <w:lang w:eastAsia="lv-LV"/>
                    </w:rPr>
                    <w:t xml:space="preserve">žurnāla </w:t>
                  </w:r>
                  <w:r w:rsidR="00B31878" w:rsidRPr="00B34185">
                    <w:rPr>
                      <w:rFonts w:eastAsia="Times New Roman" w:cs="Times New Roman"/>
                      <w:sz w:val="24"/>
                      <w:szCs w:val="24"/>
                      <w:lang w:eastAsia="lv-LV"/>
                    </w:rPr>
                    <w:t>forma</w:t>
                  </w:r>
                  <w:r w:rsidR="009F1D9D" w:rsidRPr="00B34185">
                    <w:rPr>
                      <w:rFonts w:eastAsia="Times New Roman" w:cs="Times New Roman"/>
                      <w:sz w:val="24"/>
                      <w:szCs w:val="24"/>
                      <w:lang w:eastAsia="lv-LV"/>
                    </w:rPr>
                    <w:t xml:space="preserve"> Būvniecības informācijas sistēmā (funkcionalitāte </w:t>
                  </w:r>
                  <w:r w:rsidR="00CC7E27" w:rsidRPr="00B34185">
                    <w:rPr>
                      <w:rFonts w:eastAsia="Times New Roman" w:cs="Times New Roman"/>
                      <w:sz w:val="24"/>
                      <w:szCs w:val="24"/>
                      <w:lang w:eastAsia="lv-LV"/>
                    </w:rPr>
                    <w:t>pieejama</w:t>
                  </w:r>
                  <w:r w:rsidR="009F1D9D" w:rsidRPr="00B34185">
                    <w:rPr>
                      <w:rFonts w:eastAsia="Times New Roman" w:cs="Times New Roman"/>
                      <w:sz w:val="24"/>
                      <w:szCs w:val="24"/>
                      <w:lang w:eastAsia="lv-LV"/>
                    </w:rPr>
                    <w:t xml:space="preserve"> jau</w:t>
                  </w:r>
                  <w:r w:rsidR="00CC7E27" w:rsidRPr="00B34185">
                    <w:rPr>
                      <w:rFonts w:eastAsia="Times New Roman" w:cs="Times New Roman"/>
                      <w:sz w:val="24"/>
                      <w:szCs w:val="24"/>
                      <w:lang w:eastAsia="lv-LV"/>
                    </w:rPr>
                    <w:t xml:space="preserve"> kopš</w:t>
                  </w:r>
                  <w:r w:rsidR="009F1D9D" w:rsidRPr="00B34185">
                    <w:rPr>
                      <w:rFonts w:eastAsia="Times New Roman" w:cs="Times New Roman"/>
                      <w:sz w:val="24"/>
                      <w:szCs w:val="24"/>
                      <w:lang w:eastAsia="lv-LV"/>
                    </w:rPr>
                    <w:t xml:space="preserve"> 2016.gada </w:t>
                  </w:r>
                  <w:r w:rsidR="00CC7E27" w:rsidRPr="00B34185">
                    <w:rPr>
                      <w:rFonts w:eastAsia="Times New Roman" w:cs="Times New Roman"/>
                      <w:sz w:val="24"/>
                      <w:szCs w:val="24"/>
                      <w:lang w:eastAsia="lv-LV"/>
                    </w:rPr>
                    <w:t>pirmā ceturkšņa</w:t>
                  </w:r>
                  <w:r w:rsidR="009F1D9D" w:rsidRPr="00B34185">
                    <w:rPr>
                      <w:rFonts w:eastAsia="Times New Roman" w:cs="Times New Roman"/>
                      <w:sz w:val="24"/>
                      <w:szCs w:val="24"/>
                      <w:lang w:eastAsia="lv-LV"/>
                    </w:rPr>
                    <w:t>, bet līdz šim neviens elektronisks žurnāls nav aizpildīts)</w:t>
                  </w:r>
                  <w:r w:rsidR="00B31878" w:rsidRPr="00B34185">
                    <w:rPr>
                      <w:rFonts w:eastAsia="Times New Roman" w:cs="Times New Roman"/>
                      <w:sz w:val="24"/>
                      <w:szCs w:val="24"/>
                      <w:lang w:eastAsia="lv-LV"/>
                    </w:rPr>
                    <w:t xml:space="preserve">, gan papīra dokuments atļauj brīvi formulēt apakšuzņēmēja </w:t>
                  </w:r>
                  <w:r w:rsidR="009F1D9D" w:rsidRPr="00B34185">
                    <w:rPr>
                      <w:rFonts w:eastAsia="Times New Roman" w:cs="Times New Roman"/>
                      <w:sz w:val="24"/>
                      <w:szCs w:val="24"/>
                      <w:lang w:eastAsia="lv-LV"/>
                    </w:rPr>
                    <w:t>veicamos darbus</w:t>
                  </w:r>
                  <w:r w:rsidR="00B31878" w:rsidRPr="00B34185">
                    <w:rPr>
                      <w:rFonts w:eastAsia="Times New Roman" w:cs="Times New Roman"/>
                      <w:sz w:val="24"/>
                      <w:szCs w:val="24"/>
                      <w:lang w:eastAsia="lv-LV"/>
                    </w:rPr>
                    <w:t xml:space="preserve"> būvobjektā. Tātad, lai gan būvniecības ieceres dokumentā būvdarbu veids atbildīs Ministru kabineta 2016.gada 12.aprīļa noteikum</w:t>
                  </w:r>
                  <w:r w:rsidR="00CC7E27" w:rsidRPr="00B34185">
                    <w:rPr>
                      <w:rFonts w:eastAsia="Times New Roman" w:cs="Times New Roman"/>
                      <w:sz w:val="24"/>
                      <w:szCs w:val="24"/>
                      <w:lang w:eastAsia="lv-LV"/>
                    </w:rPr>
                    <w:t>u</w:t>
                  </w:r>
                  <w:r w:rsidR="00B31878" w:rsidRPr="00B34185">
                    <w:rPr>
                      <w:rFonts w:eastAsia="Times New Roman" w:cs="Times New Roman"/>
                      <w:sz w:val="24"/>
                      <w:szCs w:val="24"/>
                      <w:lang w:eastAsia="lv-LV"/>
                    </w:rPr>
                    <w:t xml:space="preserve"> Nr. 211 “Būvkomersantu klasifikācijas noteikumi” (turpmāk – Noteikumi) 1.pielikumam, iegūstot ziņas par apakšuzņēmēju veiktajiem būvdarbiem būs jāizmanto būvdarbu žurnālu ieraksti, kas formulēti brīvi</w:t>
                  </w:r>
                  <w:r w:rsidRPr="00B34185">
                    <w:rPr>
                      <w:rFonts w:eastAsia="Times New Roman" w:cs="Times New Roman"/>
                      <w:sz w:val="24"/>
                      <w:szCs w:val="24"/>
                      <w:lang w:eastAsia="lv-LV"/>
                    </w:rPr>
                    <w:t>;</w:t>
                  </w:r>
                </w:p>
                <w:p w:rsidR="001D5AC4" w:rsidRPr="00B34185" w:rsidRDefault="00D44CE5"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atceltu normu (7.3.apakšpunkts), kas paredz izvērtēt būvuzņēmum</w:t>
                  </w:r>
                  <w:r w:rsidR="00CF478B">
                    <w:rPr>
                      <w:rFonts w:eastAsia="Times New Roman" w:cs="Times New Roman"/>
                      <w:sz w:val="24"/>
                      <w:szCs w:val="24"/>
                      <w:lang w:eastAsia="lv-LV"/>
                    </w:rPr>
                    <w:t>a</w:t>
                  </w:r>
                  <w:r w:rsidRPr="00B34185">
                    <w:rPr>
                      <w:rFonts w:eastAsia="Times New Roman" w:cs="Times New Roman"/>
                      <w:sz w:val="24"/>
                      <w:szCs w:val="24"/>
                      <w:lang w:eastAsia="lv-LV"/>
                    </w:rPr>
                    <w:t xml:space="preserve"> atbilstību izslēgšanas nosacījumiem, jo šo </w:t>
                  </w:r>
                  <w:r w:rsidR="00CF478B">
                    <w:rPr>
                      <w:rFonts w:eastAsia="Times New Roman" w:cs="Times New Roman"/>
                      <w:sz w:val="24"/>
                      <w:szCs w:val="24"/>
                      <w:lang w:eastAsia="lv-LV"/>
                    </w:rPr>
                    <w:t>izvērtēju</w:t>
                  </w:r>
                  <w:r w:rsidR="00CF478B" w:rsidRPr="00B34185">
                    <w:rPr>
                      <w:rFonts w:eastAsia="Times New Roman" w:cs="Times New Roman"/>
                      <w:sz w:val="24"/>
                      <w:szCs w:val="24"/>
                      <w:lang w:eastAsia="lv-LV"/>
                    </w:rPr>
                    <w:t>mu</w:t>
                  </w:r>
                  <w:r w:rsidRPr="00B34185">
                    <w:rPr>
                      <w:rFonts w:eastAsia="Times New Roman" w:cs="Times New Roman"/>
                      <w:sz w:val="24"/>
                      <w:szCs w:val="24"/>
                      <w:lang w:eastAsia="lv-LV"/>
                    </w:rPr>
                    <w:t xml:space="preserve"> veic iepirkumu komisija;</w:t>
                  </w:r>
                </w:p>
                <w:p w:rsidR="007177BE" w:rsidRPr="00B34185" w:rsidRDefault="007177BE"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svītrotu normu, kuras jēgpilna realizēšana nav iespējama, jo</w:t>
                  </w:r>
                  <w:r w:rsidR="00D4069A" w:rsidRPr="00B34185">
                    <w:rPr>
                      <w:rFonts w:eastAsia="Times New Roman" w:cs="Times New Roman"/>
                      <w:sz w:val="24"/>
                      <w:szCs w:val="24"/>
                      <w:lang w:eastAsia="lv-LV"/>
                    </w:rPr>
                    <w:t xml:space="preserve"> </w:t>
                  </w:r>
                  <w:r w:rsidR="003D7038" w:rsidRPr="00B34185">
                    <w:rPr>
                      <w:rFonts w:eastAsia="Times New Roman" w:cs="Times New Roman"/>
                      <w:sz w:val="24"/>
                      <w:szCs w:val="24"/>
                      <w:lang w:eastAsia="lv-LV"/>
                    </w:rPr>
                    <w:t xml:space="preserve">Eiropas Parlamenta un Padomes Direktīvai 2014/24/ES ( 2014. gada 26. februāris ) par publisko iepirkumu un ar ko atceļ Direktīvu 2004/18/EK un </w:t>
                  </w:r>
                  <w:r w:rsidR="00D4069A" w:rsidRPr="00B34185">
                    <w:rPr>
                      <w:rFonts w:eastAsia="Times New Roman" w:cs="Times New Roman"/>
                      <w:sz w:val="24"/>
                      <w:szCs w:val="24"/>
                      <w:lang w:eastAsia="lv-LV"/>
                    </w:rPr>
                    <w:t>2016.gada 15.decemrī pieņemtaj</w:t>
                  </w:r>
                  <w:r w:rsidR="003D7038" w:rsidRPr="00B34185">
                    <w:rPr>
                      <w:rFonts w:eastAsia="Times New Roman" w:cs="Times New Roman"/>
                      <w:sz w:val="24"/>
                      <w:szCs w:val="24"/>
                      <w:lang w:eastAsia="lv-LV"/>
                    </w:rPr>
                    <w:t>am</w:t>
                  </w:r>
                  <w:r w:rsidR="00D4069A" w:rsidRPr="00B34185">
                    <w:rPr>
                      <w:rFonts w:eastAsia="Times New Roman" w:cs="Times New Roman"/>
                      <w:sz w:val="24"/>
                      <w:szCs w:val="24"/>
                      <w:lang w:eastAsia="lv-LV"/>
                    </w:rPr>
                    <w:t xml:space="preserve"> Publisko iepirkumu likum</w:t>
                  </w:r>
                  <w:r w:rsidR="003D7038" w:rsidRPr="00B34185">
                    <w:rPr>
                      <w:rFonts w:eastAsia="Times New Roman" w:cs="Times New Roman"/>
                      <w:sz w:val="24"/>
                      <w:szCs w:val="24"/>
                      <w:lang w:eastAsia="lv-LV"/>
                    </w:rPr>
                    <w:t>am</w:t>
                  </w:r>
                  <w:r w:rsidR="00D4069A" w:rsidRPr="00B34185">
                    <w:rPr>
                      <w:rFonts w:eastAsia="Times New Roman" w:cs="Times New Roman"/>
                      <w:sz w:val="24"/>
                      <w:szCs w:val="24"/>
                      <w:lang w:eastAsia="lv-LV"/>
                    </w:rPr>
                    <w:t xml:space="preserve"> pielikumā iekļauta būvdarbu nomenklatūra, kas atšķiras no </w:t>
                  </w:r>
                  <w:r w:rsidR="003D7038" w:rsidRPr="00B34185">
                    <w:rPr>
                      <w:rFonts w:eastAsia="Times New Roman" w:cs="Times New Roman"/>
                      <w:sz w:val="24"/>
                      <w:szCs w:val="24"/>
                      <w:lang w:eastAsia="lv-LV"/>
                    </w:rPr>
                    <w:t xml:space="preserve">aktuālās Saimniecisko darbību statistiskās klasifikācijas NACE </w:t>
                  </w:r>
                  <w:r w:rsidR="00D4069A" w:rsidRPr="00B34185">
                    <w:rPr>
                      <w:rFonts w:eastAsia="Times New Roman" w:cs="Times New Roman"/>
                      <w:sz w:val="24"/>
                      <w:szCs w:val="24"/>
                      <w:lang w:eastAsia="lv-LV"/>
                    </w:rPr>
                    <w:t xml:space="preserve">nomenklatūras, kas noteikta </w:t>
                  </w:r>
                  <w:r w:rsidR="003D7038" w:rsidRPr="00B34185">
                    <w:rPr>
                      <w:rFonts w:eastAsia="Times New Roman" w:cs="Times New Roman"/>
                      <w:sz w:val="24"/>
                      <w:szCs w:val="24"/>
                      <w:lang w:eastAsia="lv-LV"/>
                    </w:rPr>
                    <w:t xml:space="preserve">Eiropas </w:t>
                  </w:r>
                  <w:r w:rsidR="00D4069A" w:rsidRPr="00B34185">
                    <w:rPr>
                      <w:rFonts w:eastAsia="Times New Roman" w:cs="Times New Roman"/>
                      <w:sz w:val="24"/>
                      <w:szCs w:val="24"/>
                      <w:lang w:eastAsia="lv-LV"/>
                    </w:rPr>
                    <w:t xml:space="preserve">Komisijas 2001.gada 19.decembra regulā (EK) Nr.29/2002, ar ko groza </w:t>
                  </w:r>
                  <w:r w:rsidR="003D7038" w:rsidRPr="00B34185">
                    <w:rPr>
                      <w:rFonts w:eastAsia="Times New Roman" w:cs="Times New Roman"/>
                      <w:sz w:val="24"/>
                      <w:szCs w:val="24"/>
                      <w:lang w:eastAsia="lv-LV"/>
                    </w:rPr>
                    <w:t xml:space="preserve">Eiropas </w:t>
                  </w:r>
                  <w:r w:rsidR="00D4069A" w:rsidRPr="00B34185">
                    <w:rPr>
                      <w:rFonts w:eastAsia="Times New Roman" w:cs="Times New Roman"/>
                      <w:sz w:val="24"/>
                      <w:szCs w:val="24"/>
                      <w:lang w:eastAsia="lv-LV"/>
                    </w:rPr>
                    <w:t>Padomes regulu (EEK) Nr.3037/90 par saimniecisko darbību statistisko klasifikāciju Eiropas Kopienā</w:t>
                  </w:r>
                  <w:r w:rsidR="003D7038" w:rsidRPr="00B34185">
                    <w:rPr>
                      <w:rFonts w:eastAsia="Times New Roman" w:cs="Times New Roman"/>
                      <w:sz w:val="24"/>
                      <w:szCs w:val="24"/>
                      <w:lang w:eastAsia="lv-LV"/>
                    </w:rPr>
                    <w:t xml:space="preserve">. </w:t>
                  </w:r>
                  <w:r w:rsidRPr="00B34185">
                    <w:rPr>
                      <w:rFonts w:eastAsia="Times New Roman" w:cs="Times New Roman"/>
                      <w:sz w:val="24"/>
                      <w:szCs w:val="24"/>
                      <w:lang w:eastAsia="lv-LV"/>
                    </w:rPr>
                    <w:t xml:space="preserve">Attiecīgi </w:t>
                  </w:r>
                  <w:r w:rsidR="003D7038" w:rsidRPr="00B34185">
                    <w:rPr>
                      <w:rFonts w:eastAsia="Times New Roman" w:cs="Times New Roman"/>
                      <w:sz w:val="24"/>
                      <w:szCs w:val="24"/>
                      <w:lang w:eastAsia="lv-LV"/>
                    </w:rPr>
                    <w:t xml:space="preserve">svītrojami 10., 31.1., 32.2. un 63.2. punkti, precizējamas 44.3., 55.2. un 63.2. punkta redakcijas, kā arī svītrojams </w:t>
                  </w:r>
                  <w:r w:rsidR="00D169DB" w:rsidRPr="00B34185">
                    <w:rPr>
                      <w:rFonts w:eastAsia="Times New Roman" w:cs="Times New Roman"/>
                      <w:sz w:val="24"/>
                      <w:szCs w:val="24"/>
                      <w:lang w:eastAsia="lv-LV"/>
                    </w:rPr>
                    <w:t>2</w:t>
                  </w:r>
                  <w:r w:rsidR="003D7038" w:rsidRPr="00B34185">
                    <w:rPr>
                      <w:rFonts w:eastAsia="Times New Roman" w:cs="Times New Roman"/>
                      <w:sz w:val="24"/>
                      <w:szCs w:val="24"/>
                      <w:lang w:eastAsia="lv-LV"/>
                    </w:rPr>
                    <w:t>.pielikums;</w:t>
                  </w:r>
                </w:p>
                <w:p w:rsidR="003D7038" w:rsidRPr="00B34185" w:rsidRDefault="003D7038"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kārtību, kādā klasificējot pilnsabiedrības un komandītsabiedrības vērtē šos būvuzņēmumus (15.</w:t>
                  </w:r>
                  <w:r w:rsidRPr="00B34185">
                    <w:rPr>
                      <w:rFonts w:eastAsia="Times New Roman" w:cs="Times New Roman"/>
                      <w:sz w:val="24"/>
                      <w:szCs w:val="24"/>
                      <w:vertAlign w:val="superscript"/>
                      <w:lang w:eastAsia="lv-LV"/>
                    </w:rPr>
                    <w:t>1</w:t>
                  </w:r>
                  <w:r w:rsidRPr="00B34185">
                    <w:rPr>
                      <w:rFonts w:eastAsia="Times New Roman" w:cs="Times New Roman"/>
                      <w:sz w:val="24"/>
                      <w:szCs w:val="24"/>
                      <w:lang w:eastAsia="lv-LV"/>
                    </w:rPr>
                    <w:t xml:space="preserve"> pants). Noteikts, ka šo komersantu vērtēšanai izmanto apvienību klasificēšanai piemērojamo kārtību, bet, atšķirībā no apvienībām, kas parasti tiek veidotas dalībai konkrētos iepirkumos un, atkarībā no sekmēm iepirkumā, atsevišķie komersanti vai nu izveido pilnsabiedrību vai komandītsabiedrību būvdarbu līguma izpildei, vai arī neturpina sadarbību</w:t>
                  </w:r>
                  <w:r w:rsidR="001611EF" w:rsidRPr="00B34185">
                    <w:rPr>
                      <w:rFonts w:eastAsia="Times New Roman" w:cs="Times New Roman"/>
                      <w:sz w:val="24"/>
                      <w:szCs w:val="24"/>
                      <w:lang w:eastAsia="lv-LV"/>
                    </w:rPr>
                    <w:t>. Tā kā dati par pilnsabiedrības vai komandītsabiedrības dalībniekiem ir pieejami tiešsaistē, klasifikācijas iestādei nav nepieciešams iesniegums, lai uzsāktu klasifikācijas procesu</w:t>
                  </w:r>
                  <w:r w:rsidRPr="00B34185">
                    <w:rPr>
                      <w:rFonts w:eastAsia="Times New Roman" w:cs="Times New Roman"/>
                      <w:sz w:val="24"/>
                      <w:szCs w:val="24"/>
                      <w:lang w:eastAsia="lv-LV"/>
                    </w:rPr>
                    <w:t>;</w:t>
                  </w:r>
                </w:p>
                <w:p w:rsidR="003D7038" w:rsidRPr="00B34185" w:rsidRDefault="003D7038"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kārtību, kādā tiks vērtēti būvuzņēmumi, kas ilgstoši bijuši izslēgti no Reģistra (19.</w:t>
                  </w:r>
                  <w:r w:rsidRPr="00B34185">
                    <w:rPr>
                      <w:rFonts w:eastAsia="Times New Roman" w:cs="Times New Roman"/>
                      <w:sz w:val="24"/>
                      <w:szCs w:val="24"/>
                      <w:vertAlign w:val="superscript"/>
                      <w:lang w:eastAsia="lv-LV"/>
                    </w:rPr>
                    <w:t>1</w:t>
                  </w:r>
                  <w:r w:rsidRPr="00B34185">
                    <w:rPr>
                      <w:rFonts w:eastAsia="Times New Roman" w:cs="Times New Roman"/>
                      <w:sz w:val="24"/>
                      <w:szCs w:val="24"/>
                      <w:lang w:eastAsia="lv-LV"/>
                    </w:rPr>
                    <w:t xml:space="preserve"> pants), vai arī to darbība bijusi apturēta, nosakot, ka situācijās, kad datu vērtēšanas nogrieznī ir bijis reģistrācijas pārtraukums, kas ir ilgāk</w:t>
                  </w:r>
                  <w:r w:rsidR="00CF478B">
                    <w:rPr>
                      <w:rFonts w:eastAsia="Times New Roman" w:cs="Times New Roman"/>
                      <w:sz w:val="24"/>
                      <w:szCs w:val="24"/>
                      <w:lang w:eastAsia="lv-LV"/>
                    </w:rPr>
                    <w:t>s</w:t>
                  </w:r>
                  <w:r w:rsidRPr="00B34185">
                    <w:rPr>
                      <w:rFonts w:eastAsia="Times New Roman" w:cs="Times New Roman"/>
                      <w:sz w:val="24"/>
                      <w:szCs w:val="24"/>
                      <w:lang w:eastAsia="lv-LV"/>
                    </w:rPr>
                    <w:t xml:space="preserve"> par pus gadu, klasifikācija netiek veikta. Lai gan šādu gadījumu nav daudz, tomēr </w:t>
                  </w:r>
                  <w:r w:rsidR="00CF478B">
                    <w:rPr>
                      <w:rFonts w:eastAsia="Times New Roman" w:cs="Times New Roman"/>
                      <w:sz w:val="24"/>
                      <w:szCs w:val="24"/>
                      <w:lang w:eastAsia="lv-LV"/>
                    </w:rPr>
                    <w:t xml:space="preserve">ir </w:t>
                  </w:r>
                  <w:r w:rsidRPr="00B34185">
                    <w:rPr>
                      <w:rFonts w:eastAsia="Times New Roman" w:cs="Times New Roman"/>
                      <w:sz w:val="24"/>
                      <w:szCs w:val="24"/>
                      <w:lang w:eastAsia="lv-LV"/>
                    </w:rPr>
                    <w:t>nepieciešams noteikt vispārīgu principu, kā kvalificējami šādi uzņēmumi;</w:t>
                  </w:r>
                </w:p>
                <w:p w:rsidR="003D7038" w:rsidRPr="00B34185" w:rsidRDefault="003D7038"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tehniski precizētu kvalificēšanas procesu apzīmējošā termina “kvalifikācija” un procesa rezultātu</w:t>
                  </w:r>
                  <w:r w:rsidR="00CC7E27" w:rsidRPr="00B34185">
                    <w:rPr>
                      <w:rFonts w:eastAsia="Times New Roman" w:cs="Times New Roman"/>
                      <w:sz w:val="24"/>
                      <w:szCs w:val="24"/>
                      <w:lang w:eastAsia="lv-LV"/>
                    </w:rPr>
                    <w:t>, kā arī sistēmu</w:t>
                  </w:r>
                  <w:r w:rsidRPr="00B34185">
                    <w:rPr>
                      <w:rFonts w:eastAsia="Times New Roman" w:cs="Times New Roman"/>
                      <w:sz w:val="24"/>
                      <w:szCs w:val="24"/>
                      <w:lang w:eastAsia="lv-LV"/>
                    </w:rPr>
                    <w:t xml:space="preserve"> apzīmējošā termina “klasifikācija” lietojumu</w:t>
                  </w:r>
                  <w:r w:rsidR="00F96A7B" w:rsidRPr="00B34185">
                    <w:rPr>
                      <w:rFonts w:eastAsia="Times New Roman" w:cs="Times New Roman"/>
                      <w:sz w:val="24"/>
                      <w:szCs w:val="24"/>
                      <w:lang w:eastAsia="lv-LV"/>
                    </w:rPr>
                    <w:t xml:space="preserve"> (5</w:t>
                  </w:r>
                  <w:r w:rsidR="00570703" w:rsidRPr="00B34185">
                    <w:rPr>
                      <w:rFonts w:eastAsia="Times New Roman" w:cs="Times New Roman"/>
                      <w:sz w:val="24"/>
                      <w:szCs w:val="24"/>
                      <w:lang w:eastAsia="lv-LV"/>
                    </w:rPr>
                    <w:t>4.3., 56.</w:t>
                  </w:r>
                  <w:r w:rsidR="001611EF" w:rsidRPr="00B34185">
                    <w:rPr>
                      <w:rFonts w:eastAsia="Times New Roman" w:cs="Times New Roman"/>
                      <w:sz w:val="24"/>
                      <w:szCs w:val="24"/>
                      <w:lang w:eastAsia="lv-LV"/>
                    </w:rPr>
                    <w:t xml:space="preserve"> un 57.</w:t>
                  </w:r>
                  <w:r w:rsidR="00F96A7B" w:rsidRPr="00B34185">
                    <w:rPr>
                      <w:rFonts w:eastAsia="Times New Roman" w:cs="Times New Roman"/>
                      <w:sz w:val="24"/>
                      <w:szCs w:val="24"/>
                      <w:lang w:eastAsia="lv-LV"/>
                    </w:rPr>
                    <w:t>punkts)</w:t>
                  </w:r>
                  <w:r w:rsidRPr="00B34185">
                    <w:rPr>
                      <w:rFonts w:eastAsia="Times New Roman" w:cs="Times New Roman"/>
                      <w:sz w:val="24"/>
                      <w:szCs w:val="24"/>
                      <w:lang w:eastAsia="lv-LV"/>
                    </w:rPr>
                    <w:t xml:space="preserve">; </w:t>
                  </w:r>
                </w:p>
                <w:p w:rsidR="003D7038" w:rsidRPr="00B34185" w:rsidRDefault="00705C21"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klasifikācijas, kas iegūta kvalifikācijas nodošanas ceļā, turpmākas vērtēšanas metodi (20.punkts)</w:t>
                  </w:r>
                  <w:r w:rsidR="00CC7E27" w:rsidRPr="00B34185">
                    <w:rPr>
                      <w:rFonts w:eastAsia="Times New Roman" w:cs="Times New Roman"/>
                      <w:sz w:val="24"/>
                      <w:szCs w:val="24"/>
                      <w:lang w:eastAsia="lv-LV"/>
                    </w:rPr>
                    <w:t>:</w:t>
                  </w:r>
                  <w:r w:rsidRPr="00B34185">
                    <w:rPr>
                      <w:rFonts w:eastAsia="Times New Roman" w:cs="Times New Roman"/>
                      <w:sz w:val="24"/>
                      <w:szCs w:val="24"/>
                      <w:lang w:eastAsia="lv-LV"/>
                    </w:rPr>
                    <w:t xml:space="preserve"> </w:t>
                  </w:r>
                  <w:r w:rsidR="00361DB0" w:rsidRPr="00B34185">
                    <w:rPr>
                      <w:rFonts w:eastAsia="Times New Roman" w:cs="Times New Roman"/>
                      <w:sz w:val="24"/>
                      <w:szCs w:val="24"/>
                      <w:lang w:eastAsia="lv-LV"/>
                    </w:rPr>
                    <w:t>s</w:t>
                  </w:r>
                  <w:r w:rsidRPr="00B34185">
                    <w:rPr>
                      <w:rFonts w:eastAsia="Times New Roman" w:cs="Times New Roman"/>
                      <w:sz w:val="24"/>
                      <w:szCs w:val="24"/>
                      <w:lang w:eastAsia="lv-LV"/>
                    </w:rPr>
                    <w:t xml:space="preserve">kaidrota saistību, tai skaitā reorganizētajam uzņēmumam piemēroto sodu par krimināliem vai administratīviem pārkāpumiem, vērtēšana kvalificējot </w:t>
                  </w:r>
                  <w:r w:rsidR="00CC7E27" w:rsidRPr="00B34185">
                    <w:rPr>
                      <w:rFonts w:eastAsia="Times New Roman" w:cs="Times New Roman"/>
                      <w:sz w:val="24"/>
                      <w:szCs w:val="24"/>
                      <w:lang w:eastAsia="lv-LV"/>
                    </w:rPr>
                    <w:t>kvalifikāciju saņēmušo</w:t>
                  </w:r>
                  <w:r w:rsidRPr="00B34185">
                    <w:rPr>
                      <w:rFonts w:eastAsia="Times New Roman" w:cs="Times New Roman"/>
                      <w:sz w:val="24"/>
                      <w:szCs w:val="24"/>
                      <w:lang w:eastAsia="lv-LV"/>
                    </w:rPr>
                    <w:t xml:space="preserve"> būvuzņēmumu</w:t>
                  </w:r>
                  <w:r w:rsidR="00361DB0" w:rsidRPr="00B34185">
                    <w:rPr>
                      <w:rFonts w:eastAsia="Times New Roman" w:cs="Times New Roman"/>
                      <w:sz w:val="24"/>
                      <w:szCs w:val="24"/>
                      <w:lang w:eastAsia="lv-LV"/>
                    </w:rPr>
                    <w:t>;</w:t>
                  </w:r>
                  <w:r w:rsidRPr="00B34185">
                    <w:rPr>
                      <w:rFonts w:eastAsia="Times New Roman" w:cs="Times New Roman"/>
                      <w:sz w:val="24"/>
                      <w:szCs w:val="24"/>
                      <w:lang w:eastAsia="lv-LV"/>
                    </w:rPr>
                    <w:t xml:space="preserve"> </w:t>
                  </w:r>
                </w:p>
                <w:p w:rsidR="00705C21" w:rsidRPr="00B34185" w:rsidRDefault="00361DB0"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būvspeciālistu kompetenču vērtēšanas kārtību (32.1.apakšpunkts), nosakot, ka vērtēšanas vienība ir sertificēto</w:t>
                  </w:r>
                  <w:r w:rsidR="00CC7E27" w:rsidRPr="00B34185">
                    <w:rPr>
                      <w:rFonts w:eastAsia="Times New Roman" w:cs="Times New Roman"/>
                      <w:sz w:val="24"/>
                      <w:szCs w:val="24"/>
                      <w:lang w:eastAsia="lv-LV"/>
                    </w:rPr>
                    <w:t xml:space="preserve"> speciālistu</w:t>
                  </w:r>
                  <w:r w:rsidRPr="00B34185">
                    <w:rPr>
                      <w:rFonts w:eastAsia="Times New Roman" w:cs="Times New Roman"/>
                      <w:sz w:val="24"/>
                      <w:szCs w:val="24"/>
                      <w:lang w:eastAsia="lv-LV"/>
                    </w:rPr>
                    <w:t xml:space="preserve"> pastāvīgās prakses tiesību skaits. Šis vērtējums precīzāk raksturo būvuzņēmuma kompetenču spektru un profesionālās darbības kapacitāti;</w:t>
                  </w:r>
                </w:p>
                <w:p w:rsidR="00361DB0" w:rsidRPr="00B34185" w:rsidRDefault="00361DB0" w:rsidP="005B5BD0">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 xml:space="preserve">atvieglotu </w:t>
                  </w:r>
                  <w:r w:rsidR="005B5BD0" w:rsidRPr="00B34185">
                    <w:rPr>
                      <w:rFonts w:eastAsia="Times New Roman" w:cs="Times New Roman"/>
                      <w:sz w:val="24"/>
                      <w:szCs w:val="24"/>
                      <w:lang w:eastAsia="lv-LV"/>
                    </w:rPr>
                    <w:t>kvalificēšanas procesu</w:t>
                  </w:r>
                  <w:r w:rsidRPr="00B34185">
                    <w:rPr>
                      <w:rFonts w:eastAsia="Times New Roman" w:cs="Times New Roman"/>
                      <w:sz w:val="24"/>
                      <w:szCs w:val="24"/>
                      <w:lang w:eastAsia="lv-LV"/>
                    </w:rPr>
                    <w:t xml:space="preserve"> </w:t>
                  </w:r>
                  <w:r w:rsidR="005B5BD0" w:rsidRPr="00B34185">
                    <w:rPr>
                      <w:rFonts w:eastAsia="Times New Roman" w:cs="Times New Roman"/>
                      <w:sz w:val="24"/>
                      <w:szCs w:val="24"/>
                      <w:lang w:eastAsia="lv-LV"/>
                    </w:rPr>
                    <w:t xml:space="preserve">klasificējot </w:t>
                  </w:r>
                  <w:r w:rsidRPr="00B34185">
                    <w:rPr>
                      <w:rFonts w:eastAsia="Times New Roman" w:cs="Times New Roman"/>
                      <w:sz w:val="24"/>
                      <w:szCs w:val="24"/>
                      <w:lang w:eastAsia="lv-LV"/>
                    </w:rPr>
                    <w:t>pagaidu klasifikācija</w:t>
                  </w:r>
                  <w:r w:rsidR="005B5BD0" w:rsidRPr="00B34185">
                    <w:rPr>
                      <w:rFonts w:eastAsia="Times New Roman" w:cs="Times New Roman"/>
                      <w:sz w:val="24"/>
                      <w:szCs w:val="24"/>
                      <w:lang w:eastAsia="lv-LV"/>
                    </w:rPr>
                    <w:t>s kārtībā</w:t>
                  </w:r>
                  <w:r w:rsidRPr="00B34185">
                    <w:rPr>
                      <w:rFonts w:eastAsia="Times New Roman" w:cs="Times New Roman"/>
                      <w:sz w:val="24"/>
                      <w:szCs w:val="24"/>
                      <w:lang w:eastAsia="lv-LV"/>
                    </w:rPr>
                    <w:t xml:space="preserve"> (32.4.1.5.punkts);  </w:t>
                  </w:r>
                </w:p>
                <w:p w:rsidR="00361DB0" w:rsidRPr="00B34185" w:rsidRDefault="00361DB0"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skaidrotu vērtēšanas metodoloģiju kritērijos, kuros apskatītas būvuzņēmuma finanšu spējas, likviditāte, kā arī vadības pārvaldības sistēmas (</w:t>
                  </w:r>
                  <w:r w:rsidRPr="00B34185">
                    <w:rPr>
                      <w:sz w:val="24"/>
                      <w:szCs w:val="24"/>
                    </w:rPr>
                    <w:t>33.</w:t>
                  </w:r>
                  <w:r w:rsidRPr="00B34185">
                    <w:rPr>
                      <w:sz w:val="24"/>
                      <w:szCs w:val="24"/>
                      <w:vertAlign w:val="superscript"/>
                    </w:rPr>
                    <w:t>1</w:t>
                  </w:r>
                  <w:r w:rsidRPr="00B34185">
                    <w:rPr>
                      <w:sz w:val="24"/>
                      <w:szCs w:val="24"/>
                    </w:rPr>
                    <w:t xml:space="preserve">, </w:t>
                  </w:r>
                  <w:r w:rsidR="00B31878" w:rsidRPr="00B34185">
                    <w:rPr>
                      <w:sz w:val="24"/>
                      <w:szCs w:val="24"/>
                    </w:rPr>
                    <w:t>36.1</w:t>
                  </w:r>
                  <w:r w:rsidR="00B31878" w:rsidRPr="00B34185">
                    <w:rPr>
                      <w:sz w:val="24"/>
                      <w:szCs w:val="24"/>
                      <w:vertAlign w:val="superscript"/>
                    </w:rPr>
                    <w:t>1</w:t>
                  </w:r>
                  <w:r w:rsidR="00296CEE" w:rsidRPr="00B34185">
                    <w:rPr>
                      <w:sz w:val="24"/>
                      <w:szCs w:val="24"/>
                    </w:rPr>
                    <w:t xml:space="preserve">., 44.2.5. un </w:t>
                  </w:r>
                  <w:r w:rsidR="00B31878" w:rsidRPr="00B34185">
                    <w:rPr>
                      <w:sz w:val="24"/>
                      <w:szCs w:val="24"/>
                    </w:rPr>
                    <w:t>44.3.</w:t>
                  </w:r>
                  <w:r w:rsidR="00B31878" w:rsidRPr="00B34185">
                    <w:rPr>
                      <w:sz w:val="24"/>
                      <w:szCs w:val="24"/>
                      <w:vertAlign w:val="superscript"/>
                    </w:rPr>
                    <w:t>1</w:t>
                  </w:r>
                  <w:r w:rsidR="00B31878" w:rsidRPr="00B34185">
                    <w:rPr>
                      <w:sz w:val="24"/>
                      <w:szCs w:val="24"/>
                    </w:rPr>
                    <w:t> punkts)</w:t>
                  </w:r>
                  <w:r w:rsidR="00901BBF" w:rsidRPr="00B34185">
                    <w:rPr>
                      <w:sz w:val="24"/>
                      <w:szCs w:val="24"/>
                    </w:rPr>
                    <w:t xml:space="preserve">: grozījumiem ir vērtējuma metodoloģiju skaidrojoša funkcija. Šāds kvalificēšanas princips jau pašlaik izriet no noteikumu redakcijas, kas paredz, ka, lai kvalificētos vienā vai otrā klašu grupā, būvuzņēmuma saimnieciskās darbības rādītājiem ir jāatbilst likviditātes un finanšu spēju prasību robežvērtībām. Tomēr vērtēšanas princips matemātiski neatspoguļojas Noteikumu 15.punktā dotajā formulā, tādēļ nepārprotamai </w:t>
                  </w:r>
                  <w:r w:rsidR="005B5BD0" w:rsidRPr="00B34185">
                    <w:rPr>
                      <w:sz w:val="24"/>
                      <w:szCs w:val="24"/>
                    </w:rPr>
                    <w:t>principa skaidrošanai</w:t>
                  </w:r>
                  <w:r w:rsidR="00901BBF" w:rsidRPr="00B34185">
                    <w:rPr>
                      <w:sz w:val="24"/>
                      <w:szCs w:val="24"/>
                    </w:rPr>
                    <w:t xml:space="preserve"> to </w:t>
                  </w:r>
                  <w:r w:rsidR="00CF478B">
                    <w:rPr>
                      <w:sz w:val="24"/>
                      <w:szCs w:val="24"/>
                    </w:rPr>
                    <w:t xml:space="preserve">ir </w:t>
                  </w:r>
                  <w:r w:rsidR="00901BBF" w:rsidRPr="00B34185">
                    <w:rPr>
                      <w:sz w:val="24"/>
                      <w:szCs w:val="24"/>
                    </w:rPr>
                    <w:t>nepieciešams precizēt</w:t>
                  </w:r>
                  <w:r w:rsidR="00B31878" w:rsidRPr="00B34185">
                    <w:rPr>
                      <w:sz w:val="24"/>
                      <w:szCs w:val="24"/>
                    </w:rPr>
                    <w:t>;</w:t>
                  </w:r>
                </w:p>
                <w:p w:rsidR="00901BBF" w:rsidRPr="00B34185" w:rsidRDefault="00901BBF"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un skaidrotu nodokļu nomaksas disciplīnas vērtējumu</w:t>
                  </w:r>
                  <w:r w:rsidR="0020783D" w:rsidRPr="00B34185">
                    <w:rPr>
                      <w:rFonts w:eastAsia="Times New Roman" w:cs="Times New Roman"/>
                      <w:sz w:val="24"/>
                      <w:szCs w:val="24"/>
                      <w:lang w:eastAsia="lv-LV"/>
                    </w:rPr>
                    <w:t xml:space="preserve"> (34.4.apakšpunkts)</w:t>
                  </w:r>
                  <w:r w:rsidRPr="00B34185">
                    <w:rPr>
                      <w:rFonts w:eastAsia="Times New Roman" w:cs="Times New Roman"/>
                      <w:sz w:val="24"/>
                      <w:szCs w:val="24"/>
                      <w:lang w:eastAsia="lv-LV"/>
                    </w:rPr>
                    <w:t>: Valsts ieņēmumu dienesta (turpmāk – VID)</w:t>
                  </w:r>
                  <w:r w:rsidRPr="00B34185">
                    <w:rPr>
                      <w:sz w:val="24"/>
                      <w:szCs w:val="24"/>
                    </w:rPr>
                    <w:t xml:space="preserve"> </w:t>
                  </w:r>
                  <w:r w:rsidR="0020783D" w:rsidRPr="00B34185">
                    <w:rPr>
                      <w:rFonts w:eastAsia="Times New Roman" w:cs="Times New Roman"/>
                      <w:sz w:val="24"/>
                      <w:szCs w:val="24"/>
                      <w:lang w:eastAsia="lv-LV"/>
                    </w:rPr>
                    <w:t xml:space="preserve">elektroniskajā datu </w:t>
                  </w:r>
                  <w:r w:rsidRPr="00B34185">
                    <w:rPr>
                      <w:rFonts w:eastAsia="Times New Roman" w:cs="Times New Roman"/>
                      <w:sz w:val="24"/>
                      <w:szCs w:val="24"/>
                      <w:lang w:eastAsia="lv-LV"/>
                    </w:rPr>
                    <w:t xml:space="preserve">sistēmā </w:t>
                  </w:r>
                  <w:r w:rsidR="0020783D" w:rsidRPr="00B34185">
                    <w:rPr>
                      <w:rFonts w:eastAsia="Times New Roman" w:cs="Times New Roman"/>
                      <w:sz w:val="24"/>
                      <w:szCs w:val="24"/>
                      <w:lang w:eastAsia="lv-LV"/>
                    </w:rPr>
                    <w:t xml:space="preserve">iestādes administrēto nodokļu un nodevu </w:t>
                  </w:r>
                  <w:r w:rsidRPr="00B34185">
                    <w:rPr>
                      <w:rFonts w:eastAsia="Times New Roman" w:cs="Times New Roman"/>
                      <w:sz w:val="24"/>
                      <w:szCs w:val="24"/>
                      <w:lang w:eastAsia="lv-LV"/>
                    </w:rPr>
                    <w:t>parād</w:t>
                  </w:r>
                  <w:r w:rsidR="0020783D" w:rsidRPr="00B34185">
                    <w:rPr>
                      <w:rFonts w:eastAsia="Times New Roman" w:cs="Times New Roman"/>
                      <w:sz w:val="24"/>
                      <w:szCs w:val="24"/>
                      <w:lang w:eastAsia="lv-LV"/>
                    </w:rPr>
                    <w:t>a esamība</w:t>
                  </w:r>
                  <w:r w:rsidRPr="00B34185">
                    <w:rPr>
                      <w:rFonts w:eastAsia="Times New Roman" w:cs="Times New Roman"/>
                      <w:sz w:val="24"/>
                      <w:szCs w:val="24"/>
                      <w:lang w:eastAsia="lv-LV"/>
                    </w:rPr>
                    <w:t xml:space="preserve"> tiek atspoguļot</w:t>
                  </w:r>
                  <w:r w:rsidR="0020783D" w:rsidRPr="00B34185">
                    <w:rPr>
                      <w:rFonts w:eastAsia="Times New Roman" w:cs="Times New Roman"/>
                      <w:sz w:val="24"/>
                      <w:szCs w:val="24"/>
                      <w:lang w:eastAsia="lv-LV"/>
                    </w:rPr>
                    <w:t>a</w:t>
                  </w:r>
                  <w:r w:rsidRPr="00B34185">
                    <w:rPr>
                      <w:rFonts w:eastAsia="Times New Roman" w:cs="Times New Roman"/>
                      <w:sz w:val="24"/>
                      <w:szCs w:val="24"/>
                      <w:lang w:eastAsia="lv-LV"/>
                    </w:rPr>
                    <w:t xml:space="preserve"> </w:t>
                  </w:r>
                  <w:r w:rsidR="0020783D" w:rsidRPr="00B34185">
                    <w:rPr>
                      <w:rFonts w:eastAsia="Times New Roman" w:cs="Times New Roman"/>
                      <w:sz w:val="24"/>
                      <w:szCs w:val="24"/>
                      <w:lang w:eastAsia="lv-LV"/>
                    </w:rPr>
                    <w:t>divos</w:t>
                  </w:r>
                  <w:r w:rsidRPr="00B34185">
                    <w:rPr>
                      <w:rFonts w:eastAsia="Times New Roman" w:cs="Times New Roman"/>
                      <w:sz w:val="24"/>
                      <w:szCs w:val="24"/>
                      <w:lang w:eastAsia="lv-LV"/>
                    </w:rPr>
                    <w:t xml:space="preserve"> datum</w:t>
                  </w:r>
                  <w:r w:rsidR="0020783D" w:rsidRPr="00B34185">
                    <w:rPr>
                      <w:rFonts w:eastAsia="Times New Roman" w:cs="Times New Roman"/>
                      <w:sz w:val="24"/>
                      <w:szCs w:val="24"/>
                      <w:lang w:eastAsia="lv-LV"/>
                    </w:rPr>
                    <w:t>os</w:t>
                  </w:r>
                  <w:r w:rsidRPr="00B34185">
                    <w:rPr>
                      <w:rFonts w:eastAsia="Times New Roman" w:cs="Times New Roman"/>
                      <w:sz w:val="24"/>
                      <w:szCs w:val="24"/>
                      <w:lang w:eastAsia="lv-LV"/>
                    </w:rPr>
                    <w:t xml:space="preserve">, bet vērtējot nodokļu maksātāja disciplīnu paredzēts ņemt vērā parāda esamību kalendārā mēneša robežās, jo atšķirīgie maksājumu datumi ir nodokļu administrēšanas tehniska nianse, kas neraksturo maksātāja disciplīnu. Būtisks ir arī parāda konstatēšanas datums, jo VID sistēmā parāda esamība vai neesamība tiek noteikta pēc naudas plūsmas principa, </w:t>
                  </w:r>
                  <w:bookmarkStart w:id="0" w:name="_GoBack"/>
                  <w:r w:rsidRPr="00B34185">
                    <w:rPr>
                      <w:rFonts w:eastAsia="Times New Roman" w:cs="Times New Roman"/>
                      <w:sz w:val="24"/>
                      <w:szCs w:val="24"/>
                      <w:lang w:eastAsia="lv-LV"/>
                    </w:rPr>
                    <w:t>piem</w:t>
                  </w:r>
                  <w:r w:rsidR="0020783D" w:rsidRPr="00B34185">
                    <w:rPr>
                      <w:rFonts w:eastAsia="Times New Roman" w:cs="Times New Roman"/>
                      <w:sz w:val="24"/>
                      <w:szCs w:val="24"/>
                      <w:lang w:eastAsia="lv-LV"/>
                    </w:rPr>
                    <w:t>ēram</w:t>
                  </w:r>
                  <w:r w:rsidRPr="00B34185">
                    <w:rPr>
                      <w:rFonts w:eastAsia="Times New Roman" w:cs="Times New Roman"/>
                      <w:sz w:val="24"/>
                      <w:szCs w:val="24"/>
                      <w:lang w:eastAsia="lv-LV"/>
                    </w:rPr>
                    <w:t xml:space="preserve">, ja </w:t>
                  </w:r>
                  <w:r w:rsidR="0020783D" w:rsidRPr="00B34185">
                    <w:rPr>
                      <w:rFonts w:eastAsia="Times New Roman" w:cs="Times New Roman"/>
                      <w:sz w:val="24"/>
                      <w:szCs w:val="24"/>
                      <w:lang w:eastAsia="lv-LV"/>
                    </w:rPr>
                    <w:t>vērtētu VID</w:t>
                  </w:r>
                  <w:r w:rsidRPr="00B34185">
                    <w:rPr>
                      <w:rFonts w:eastAsia="Times New Roman" w:cs="Times New Roman"/>
                      <w:sz w:val="24"/>
                      <w:szCs w:val="24"/>
                      <w:lang w:eastAsia="lv-LV"/>
                    </w:rPr>
                    <w:t xml:space="preserve"> datus uz jebkuru brīvi izvēlētu datumu (sasaistot to tikai ar klasifikācijas brīdi), darba spēka nodokļu parāds atspoguļotos periodā no darba algu un uz tām attiecināmo nodokļu aprēķināšanas dienas līdz nodokļu nomaksas brīdim, lai gan faktiski </w:t>
                  </w:r>
                  <w:bookmarkEnd w:id="0"/>
                  <w:r w:rsidRPr="00B34185">
                    <w:rPr>
                      <w:rFonts w:eastAsia="Times New Roman" w:cs="Times New Roman"/>
                      <w:sz w:val="24"/>
                      <w:szCs w:val="24"/>
                      <w:lang w:eastAsia="lv-LV"/>
                    </w:rPr>
                    <w:t>nodokļu nomaksas termiņš vēl nebūtu pienācis</w:t>
                  </w:r>
                  <w:r w:rsidR="0020783D" w:rsidRPr="00B34185">
                    <w:rPr>
                      <w:rFonts w:eastAsia="Times New Roman" w:cs="Times New Roman"/>
                      <w:sz w:val="24"/>
                      <w:szCs w:val="24"/>
                      <w:lang w:eastAsia="lv-LV"/>
                    </w:rPr>
                    <w:t>;</w:t>
                  </w:r>
                </w:p>
                <w:p w:rsidR="0020783D" w:rsidRPr="00B34185" w:rsidRDefault="0020783D"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noteiktu klasifikācijas rezultātam piemērojamās korekcijas gradāciju par krimināliem un administratīviem nodarījumiem (36.2.apakšpunkts): uzņēmēji, īpaši inženierbūvju būvētāji, norādījuši uz nepieciešamību noteikt samērīgāku korekciju par piemērotajiem sodiem, ko pamato ar administratīvo sodu piemērošanu maznozīmīgos un strīdīgos gadījumos (piemēram, kad no infrastruktūras turētājiem tiek saņemtas reālajai situācijai dabā neatbilstošas izpildshēmas, bet lēmums par administratīvā soda piemērošanu netiek pārsūdzēts turpmākas sadarbības, laika trūkuma, jeb piemērotā naudas soda maznozīmīgā apjoma dēļ);</w:t>
                  </w:r>
                </w:p>
                <w:p w:rsidR="0020783D" w:rsidRPr="00B34185" w:rsidRDefault="0020783D"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 xml:space="preserve">precizētu </w:t>
                  </w:r>
                  <w:r w:rsidR="005B5BD0" w:rsidRPr="00B34185">
                    <w:rPr>
                      <w:rFonts w:eastAsia="Times New Roman" w:cs="Times New Roman"/>
                      <w:sz w:val="24"/>
                      <w:szCs w:val="24"/>
                      <w:lang w:eastAsia="lv-LV"/>
                    </w:rPr>
                    <w:t>redakciju, atbilstoši sākotnējai iecerei, un noteiktu</w:t>
                  </w:r>
                  <w:r w:rsidRPr="00B34185">
                    <w:rPr>
                      <w:rFonts w:eastAsia="Times New Roman" w:cs="Times New Roman"/>
                      <w:sz w:val="24"/>
                      <w:szCs w:val="24"/>
                      <w:lang w:eastAsia="lv-LV"/>
                    </w:rPr>
                    <w:t>, ka korekcija piemērojama tikai par aktuālu, nevis par vēsturisku vismaz vienu kalendāro gadu ilgu dalību organizācijā (36.3.apakšpunkts);</w:t>
                  </w:r>
                </w:p>
                <w:p w:rsidR="0020783D" w:rsidRPr="00B34185" w:rsidRDefault="00296CEE"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precizētu apvienību, pilnsabiedrību un komandītsabiedrību vērtēšanas principu tā, lai tas būtu godīgs attiecībā pret pārējo būvuzņēmumu vērtējumu (44.2.4.apakšpunkts)</w:t>
                  </w:r>
                  <w:r w:rsidR="005B5BD0" w:rsidRPr="00B34185">
                    <w:rPr>
                      <w:rFonts w:eastAsia="Times New Roman" w:cs="Times New Roman"/>
                      <w:sz w:val="24"/>
                      <w:szCs w:val="24"/>
                      <w:lang w:eastAsia="lv-LV"/>
                    </w:rPr>
                    <w:t xml:space="preserve"> un tiktu piemērotas arī vērtējumu pasliktinošās korekcijas par finanšu spēju neatbilstībām</w:t>
                  </w:r>
                  <w:r w:rsidRPr="00B34185">
                    <w:rPr>
                      <w:rFonts w:eastAsia="Times New Roman" w:cs="Times New Roman"/>
                      <w:sz w:val="24"/>
                      <w:szCs w:val="24"/>
                      <w:lang w:eastAsia="lv-LV"/>
                    </w:rPr>
                    <w:t>;</w:t>
                  </w:r>
                </w:p>
                <w:p w:rsidR="00296CEE" w:rsidRPr="00B34185" w:rsidRDefault="001611EF"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 xml:space="preserve">skaidrotu iestādes procesuālās darbības </w:t>
                  </w:r>
                  <w:r w:rsidR="00570703" w:rsidRPr="00B34185">
                    <w:rPr>
                      <w:rFonts w:eastAsia="Times New Roman" w:cs="Times New Roman"/>
                      <w:sz w:val="24"/>
                      <w:szCs w:val="24"/>
                      <w:lang w:eastAsia="lv-LV"/>
                    </w:rPr>
                    <w:t>(51., 56. un 57.punkts) saistībā ar terminu “klasifikācija” un “kvalificēšana” lietojumu un lēmumu veidiem;</w:t>
                  </w:r>
                </w:p>
                <w:p w:rsidR="00570703" w:rsidRPr="00B34185" w:rsidRDefault="00570703" w:rsidP="00CC7E27">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 xml:space="preserve">paredzētu ātrāku lēmuma spēkā stāšanās kārtību, kas iespējama elektroniskā procesā (svītroti 58. un 62.punkts): </w:t>
                  </w:r>
                  <w:r w:rsidR="005B5BD0" w:rsidRPr="00B34185">
                    <w:rPr>
                      <w:rFonts w:eastAsia="Times New Roman" w:cs="Times New Roman"/>
                      <w:sz w:val="24"/>
                      <w:szCs w:val="24"/>
                      <w:lang w:eastAsia="lv-LV"/>
                    </w:rPr>
                    <w:t xml:space="preserve">spēkā esošā </w:t>
                  </w:r>
                  <w:r w:rsidRPr="00B34185">
                    <w:rPr>
                      <w:rFonts w:eastAsia="Times New Roman" w:cs="Times New Roman"/>
                      <w:sz w:val="24"/>
                      <w:szCs w:val="24"/>
                      <w:lang w:eastAsia="lv-LV"/>
                    </w:rPr>
                    <w:t xml:space="preserve">redakcija </w:t>
                  </w:r>
                  <w:r w:rsidR="005B5BD0" w:rsidRPr="00B34185">
                    <w:rPr>
                      <w:rFonts w:eastAsia="Times New Roman" w:cs="Times New Roman"/>
                      <w:sz w:val="24"/>
                      <w:szCs w:val="24"/>
                      <w:lang w:eastAsia="lv-LV"/>
                    </w:rPr>
                    <w:t>sagatavota</w:t>
                  </w:r>
                  <w:r w:rsidRPr="00B34185">
                    <w:rPr>
                      <w:rFonts w:eastAsia="Times New Roman" w:cs="Times New Roman"/>
                      <w:sz w:val="24"/>
                      <w:szCs w:val="24"/>
                      <w:lang w:eastAsia="lv-LV"/>
                    </w:rPr>
                    <w:t>, ņemot vērā iespējamo procesu ārpus sistēmas (piemēram, ārvalstu komersantiem). Izstrādājot risinājumu kļuvis skaidrs, ka tehniski viss process tiks nodrošināts elektroniski, attiecīgi normas precizētas, lai vienkāršotu procesu un mazinātu pārpratumu ar lēmumu spēkā stāšanām datumu;</w:t>
                  </w:r>
                </w:p>
                <w:p w:rsidR="00570703" w:rsidRPr="00B34185" w:rsidRDefault="00D169DB" w:rsidP="005B5BD0">
                  <w:pPr>
                    <w:pStyle w:val="ListParagraph"/>
                    <w:numPr>
                      <w:ilvl w:val="0"/>
                      <w:numId w:val="2"/>
                    </w:numPr>
                    <w:ind w:left="0" w:firstLine="360"/>
                    <w:jc w:val="both"/>
                    <w:rPr>
                      <w:rFonts w:eastAsia="Times New Roman" w:cs="Times New Roman"/>
                      <w:sz w:val="24"/>
                      <w:szCs w:val="24"/>
                      <w:lang w:eastAsia="lv-LV"/>
                    </w:rPr>
                  </w:pPr>
                  <w:r w:rsidRPr="00B34185">
                    <w:rPr>
                      <w:rFonts w:eastAsia="Times New Roman" w:cs="Times New Roman"/>
                      <w:sz w:val="24"/>
                      <w:szCs w:val="24"/>
                      <w:lang w:eastAsia="lv-LV"/>
                    </w:rPr>
                    <w:t>svītrotu no iesniegumu formām datus, kas netiek izmantoti klasifikācijā (4.,5.,6. un 8.pielikuma III sadaļas “Kvalifikācijas informācija”, 3.punkt</w:t>
                  </w:r>
                  <w:r w:rsidR="005B5BD0" w:rsidRPr="00B34185">
                    <w:rPr>
                      <w:rFonts w:eastAsia="Times New Roman" w:cs="Times New Roman"/>
                      <w:sz w:val="24"/>
                      <w:szCs w:val="24"/>
                      <w:lang w:eastAsia="lv-LV"/>
                    </w:rPr>
                    <w:t>s</w:t>
                  </w:r>
                  <w:r w:rsidRPr="00B34185">
                    <w:rPr>
                      <w:rFonts w:eastAsia="Times New Roman" w:cs="Times New Roman"/>
                      <w:sz w:val="24"/>
                      <w:szCs w:val="24"/>
                      <w:lang w:eastAsia="lv-LV"/>
                    </w:rPr>
                    <w:t xml:space="preserve"> “Vidējais būvniecībā nodarbināto skaits”). </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izstrādē iesaistītās institūcijas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3B72B6" w:rsidP="00885107">
                  <w:pPr>
                    <w:jc w:val="both"/>
                    <w:rPr>
                      <w:rFonts w:eastAsia="Times New Roman" w:cs="Times New Roman"/>
                      <w:sz w:val="24"/>
                      <w:szCs w:val="24"/>
                      <w:lang w:eastAsia="lv-LV"/>
                    </w:rPr>
                  </w:pPr>
                  <w:r w:rsidRPr="00B34185">
                    <w:rPr>
                      <w:rFonts w:eastAsia="Times New Roman" w:cs="Times New Roman"/>
                      <w:sz w:val="24"/>
                      <w:szCs w:val="24"/>
                      <w:lang w:eastAsia="lv-LV"/>
                    </w:rPr>
                    <w:t xml:space="preserve">Projekta </w:t>
                  </w:r>
                  <w:r w:rsidR="00BA325E" w:rsidRPr="00B34185">
                    <w:rPr>
                      <w:rFonts w:eastAsia="Times New Roman" w:cs="Times New Roman"/>
                      <w:sz w:val="24"/>
                      <w:szCs w:val="24"/>
                      <w:lang w:eastAsia="lv-LV"/>
                    </w:rPr>
                    <w:t>saskaņošanā</w:t>
                  </w:r>
                  <w:r w:rsidRPr="00B34185">
                    <w:rPr>
                      <w:rFonts w:eastAsia="Times New Roman" w:cs="Times New Roman"/>
                      <w:sz w:val="24"/>
                      <w:szCs w:val="24"/>
                      <w:lang w:eastAsia="lv-LV"/>
                    </w:rPr>
                    <w:t xml:space="preserve"> iesaistīti Latvijas Būvniecības padomes 2015.</w:t>
                  </w:r>
                  <w:r w:rsidR="00BA325E" w:rsidRPr="00B34185">
                    <w:rPr>
                      <w:rFonts w:eastAsia="Times New Roman" w:cs="Times New Roman"/>
                      <w:sz w:val="24"/>
                      <w:szCs w:val="24"/>
                      <w:lang w:eastAsia="lv-LV"/>
                    </w:rPr>
                    <w:t> </w:t>
                  </w:r>
                  <w:r w:rsidRPr="00B34185">
                    <w:rPr>
                      <w:rFonts w:eastAsia="Times New Roman" w:cs="Times New Roman"/>
                      <w:sz w:val="24"/>
                      <w:szCs w:val="24"/>
                      <w:lang w:eastAsia="lv-LV"/>
                    </w:rPr>
                    <w:t>gada 17.</w:t>
                  </w:r>
                  <w:r w:rsidR="00BA325E" w:rsidRPr="00B34185">
                    <w:rPr>
                      <w:rFonts w:eastAsia="Times New Roman" w:cs="Times New Roman"/>
                      <w:sz w:val="24"/>
                      <w:szCs w:val="24"/>
                      <w:lang w:eastAsia="lv-LV"/>
                    </w:rPr>
                    <w:t> </w:t>
                  </w:r>
                  <w:r w:rsidRPr="00B34185">
                    <w:rPr>
                      <w:rFonts w:eastAsia="Times New Roman" w:cs="Times New Roman"/>
                      <w:sz w:val="24"/>
                      <w:szCs w:val="24"/>
                      <w:lang w:eastAsia="lv-LV"/>
                    </w:rPr>
                    <w:t>augusta sēdē izveidotās darba grupas pārstāvji no šādām sabiedriskajām organizācijām:</w:t>
                  </w:r>
                </w:p>
                <w:p w:rsidR="00BA325E" w:rsidRPr="00B34185" w:rsidRDefault="00BA325E" w:rsidP="003B72B6">
                  <w:pPr>
                    <w:rPr>
                      <w:rFonts w:eastAsia="Times New Roman" w:cs="Times New Roman"/>
                      <w:sz w:val="24"/>
                      <w:szCs w:val="24"/>
                      <w:lang w:eastAsia="lv-LV"/>
                    </w:rPr>
                  </w:pPr>
                  <w:r w:rsidRPr="00B34185">
                    <w:rPr>
                      <w:rFonts w:eastAsia="Times New Roman" w:cs="Times New Roman"/>
                      <w:sz w:val="24"/>
                      <w:szCs w:val="24"/>
                      <w:lang w:eastAsia="lv-LV"/>
                    </w:rPr>
                    <w:t>- biedrība “Latvijas Būvuzņēmēju partnerība”,</w:t>
                  </w:r>
                </w:p>
                <w:p w:rsidR="00BA325E" w:rsidRPr="00B34185" w:rsidRDefault="00BA325E" w:rsidP="003B72B6">
                  <w:pPr>
                    <w:rPr>
                      <w:rFonts w:eastAsia="Times New Roman" w:cs="Times New Roman"/>
                      <w:sz w:val="24"/>
                      <w:szCs w:val="24"/>
                      <w:lang w:eastAsia="lv-LV"/>
                    </w:rPr>
                  </w:pPr>
                  <w:r w:rsidRPr="00B34185">
                    <w:rPr>
                      <w:rFonts w:eastAsia="Times New Roman" w:cs="Times New Roman"/>
                      <w:sz w:val="24"/>
                      <w:szCs w:val="24"/>
                      <w:lang w:eastAsia="lv-LV"/>
                    </w:rPr>
                    <w:t>- biedrība “Latvijas Enerģētiķu un Energobūvnieku asociācija”,</w:t>
                  </w:r>
                </w:p>
                <w:p w:rsidR="00BA325E"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xml:space="preserve">- biedrība “Latvijas </w:t>
                  </w:r>
                  <w:r w:rsidR="002D63DA" w:rsidRPr="00B34185">
                    <w:rPr>
                      <w:rFonts w:eastAsia="Times New Roman" w:cs="Times New Roman"/>
                      <w:sz w:val="24"/>
                      <w:szCs w:val="24"/>
                      <w:lang w:eastAsia="lv-LV"/>
                    </w:rPr>
                    <w:t>Ilgtspējīgas būvniecības padome</w:t>
                  </w:r>
                  <w:r w:rsidRPr="00B34185">
                    <w:rPr>
                      <w:rFonts w:eastAsia="Times New Roman" w:cs="Times New Roman"/>
                      <w:sz w:val="24"/>
                      <w:szCs w:val="24"/>
                      <w:lang w:eastAsia="lv-LV"/>
                    </w:rPr>
                    <w:t>”,</w:t>
                  </w:r>
                </w:p>
                <w:p w:rsidR="00BA325E"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biedrība “Latvijas Tirdzniecības un Rūpniecības kamera”,</w:t>
                  </w:r>
                </w:p>
                <w:p w:rsidR="003B72B6"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 biedrība “Latvijas Būvnieku asociācija”,</w:t>
                  </w:r>
                </w:p>
                <w:p w:rsidR="00BA325E" w:rsidRPr="00B34185" w:rsidRDefault="00BA325E" w:rsidP="00BA325E">
                  <w:pPr>
                    <w:rPr>
                      <w:rFonts w:eastAsia="Times New Roman" w:cs="Times New Roman"/>
                      <w:sz w:val="24"/>
                      <w:szCs w:val="24"/>
                      <w:lang w:eastAsia="lv-LV"/>
                    </w:rPr>
                  </w:pPr>
                  <w:r w:rsidRPr="00B34185">
                    <w:rPr>
                      <w:rFonts w:eastAsia="Times New Roman" w:cs="Times New Roman"/>
                      <w:sz w:val="24"/>
                      <w:szCs w:val="24"/>
                      <w:lang w:eastAsia="lv-LV"/>
                    </w:rPr>
                    <w:t>Kā arī ar  biedrība “Latvijas Ceļu būvnieks”.</w:t>
                  </w:r>
                </w:p>
              </w:tc>
            </w:tr>
            <w:tr w:rsidR="00B34185" w:rsidRPr="00B34185" w:rsidTr="00BC5DEE">
              <w:trPr>
                <w:gridAfter w:val="1"/>
                <w:wAfter w:w="60" w:type="dxa"/>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67569" w:rsidP="00726091">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rPr>
                <w:gridAfter w:val="1"/>
                <w:wAfter w:w="60" w:type="dxa"/>
                <w:trHeight w:val="3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II. Tiesību akta projekta ietekme uz sabiedrību, tautsaimniecības attīstību un administratīvo slogu</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mērķgrupas, kuras tiesiskais regulējums ietekmē vai varētu ietekmēt</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26091"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 xml:space="preserve">Jebkurš būvkomersants, kas pretendē uz būvdarbu veikšanu Būvniecības likuma 23.panta 1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 kā arī iestādes, kuras ir iesaistītas šajā procesā, t.sk. </w:t>
                  </w:r>
                  <w:r w:rsidR="00483B7D" w:rsidRPr="00B34185">
                    <w:rPr>
                      <w:rFonts w:eastAsia="Times New Roman" w:cs="Times New Roman"/>
                      <w:sz w:val="24"/>
                      <w:szCs w:val="24"/>
                      <w:lang w:eastAsia="lv-LV"/>
                    </w:rPr>
                    <w:t xml:space="preserve">par publisko iepirkumu regulējumu un tā īstenošu atbildīgās </w:t>
                  </w:r>
                  <w:r w:rsidRPr="00B34185">
                    <w:rPr>
                      <w:rFonts w:eastAsia="Times New Roman" w:cs="Times New Roman"/>
                      <w:sz w:val="24"/>
                      <w:szCs w:val="24"/>
                      <w:lang w:eastAsia="lv-LV"/>
                    </w:rPr>
                    <w:t>Iepirkumu uzraudzības birojs</w:t>
                  </w:r>
                  <w:r w:rsidR="00483B7D" w:rsidRPr="00B34185">
                    <w:rPr>
                      <w:rFonts w:eastAsia="Times New Roman" w:cs="Times New Roman"/>
                      <w:sz w:val="24"/>
                      <w:szCs w:val="24"/>
                      <w:lang w:eastAsia="lv-LV"/>
                    </w:rPr>
                    <w:t xml:space="preserve"> un</w:t>
                  </w:r>
                  <w:r w:rsidRPr="00B34185">
                    <w:rPr>
                      <w:rFonts w:eastAsia="Times New Roman" w:cs="Times New Roman"/>
                      <w:sz w:val="24"/>
                      <w:szCs w:val="24"/>
                      <w:lang w:eastAsia="lv-LV"/>
                    </w:rPr>
                    <w:t xml:space="preserve"> Finanšu ministrija</w:t>
                  </w:r>
                  <w:r w:rsidR="00483B7D" w:rsidRPr="00B34185">
                    <w:rPr>
                      <w:rFonts w:eastAsia="Times New Roman" w:cs="Times New Roman"/>
                      <w:sz w:val="24"/>
                      <w:szCs w:val="24"/>
                      <w:lang w:eastAsia="lv-LV"/>
                    </w:rPr>
                    <w:t>. P</w:t>
                  </w:r>
                  <w:r w:rsidRPr="00B34185">
                    <w:rPr>
                      <w:rFonts w:eastAsia="Times New Roman" w:cs="Times New Roman"/>
                      <w:sz w:val="24"/>
                      <w:szCs w:val="24"/>
                      <w:lang w:eastAsia="lv-LV"/>
                    </w:rPr>
                    <w:t>ašvaldību Būvvaldes</w:t>
                  </w:r>
                  <w:r w:rsidR="00483B7D" w:rsidRPr="00B34185">
                    <w:rPr>
                      <w:rFonts w:eastAsia="Times New Roman" w:cs="Times New Roman"/>
                      <w:sz w:val="24"/>
                      <w:szCs w:val="24"/>
                      <w:lang w:eastAsia="lv-LV"/>
                    </w:rPr>
                    <w:t xml:space="preserve">, </w:t>
                  </w:r>
                  <w:r w:rsidRPr="00B34185">
                    <w:rPr>
                      <w:rFonts w:eastAsia="Times New Roman" w:cs="Times New Roman"/>
                      <w:sz w:val="24"/>
                      <w:szCs w:val="24"/>
                      <w:lang w:eastAsia="lv-LV"/>
                    </w:rPr>
                    <w:t xml:space="preserve">Ekonomikas ministrija un Būvniecības valsts kontroles birojs. </w:t>
                  </w:r>
                </w:p>
                <w:p w:rsidR="00726091"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 xml:space="preserve">Būvkomersantu reģistrā reģistrēts aptuveni 2300 uzņēmumu (skaits ir pastāvīgi mainīgs), kas atbilst vispārējā kārtībā kvalificējama būvuzņēmuma kritērijiem. Tomēr, tā kā klasifikācijas  sistēma ir atvērta, uzņēmumu skaits, kas var izteikt vēlmi klasificēties, lai pretendētu uz būvdarbu līgumu Būvniecības likuma 23.panta pirmās daļas izpratnē, ir lielāks. </w:t>
                  </w:r>
                </w:p>
                <w:p w:rsidR="00767569" w:rsidRPr="00B34185" w:rsidRDefault="00726091" w:rsidP="00483B7D">
                  <w:pPr>
                    <w:jc w:val="both"/>
                    <w:rPr>
                      <w:rFonts w:eastAsia="Times New Roman" w:cs="Times New Roman"/>
                      <w:sz w:val="24"/>
                      <w:szCs w:val="24"/>
                      <w:lang w:eastAsia="lv-LV"/>
                    </w:rPr>
                  </w:pPr>
                  <w:r w:rsidRPr="00B34185">
                    <w:rPr>
                      <w:rFonts w:eastAsia="Times New Roman" w:cs="Times New Roman"/>
                      <w:sz w:val="24"/>
                      <w:szCs w:val="24"/>
                      <w:lang w:eastAsia="lv-LV"/>
                    </w:rPr>
                    <w:t>Ietekmi uz pārējo sabiedrības grupu aptuveno skaitlisko lielumu nav iespējams noteikt.</w:t>
                  </w: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Tiesiskā regulējuma ietekme uz tautsaimniecību un administratīvo slogu</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6D58D5" w:rsidRPr="00B34185" w:rsidRDefault="00483B7D" w:rsidP="006D58D5">
                  <w:pPr>
                    <w:jc w:val="both"/>
                    <w:rPr>
                      <w:rFonts w:eastAsia="Times New Roman" w:cs="Times New Roman"/>
                      <w:sz w:val="24"/>
                      <w:szCs w:val="24"/>
                      <w:lang w:eastAsia="lv-LV"/>
                    </w:rPr>
                  </w:pPr>
                  <w:r w:rsidRPr="00B34185">
                    <w:rPr>
                      <w:rFonts w:eastAsia="Times New Roman" w:cs="Times New Roman"/>
                      <w:sz w:val="24"/>
                      <w:szCs w:val="24"/>
                      <w:lang w:eastAsia="lv-LV"/>
                    </w:rPr>
                    <w:t>Projekta ietekme uz būvniecības nozari ir pozitīva</w:t>
                  </w:r>
                  <w:r w:rsidR="006D58D5" w:rsidRPr="00B34185">
                    <w:rPr>
                      <w:rFonts w:eastAsia="Times New Roman" w:cs="Times New Roman"/>
                      <w:sz w:val="24"/>
                      <w:szCs w:val="24"/>
                      <w:lang w:eastAsia="lv-LV"/>
                    </w:rPr>
                    <w:t>. Sistemātiska būvuzņēmumu izvērtēšana atvieglo un padara caurspīdīgāku pretendentu atlases procesu. Samazina iepirkumu komisiju darba apjomu. Šajos grozījumos paredzētie precizējumu klasifikācijas iestādei atvieglos lēmumu skaidrošanu.</w:t>
                  </w:r>
                </w:p>
                <w:p w:rsidR="006D58D5" w:rsidRPr="00B34185" w:rsidRDefault="006D58D5" w:rsidP="006D58D5">
                  <w:pPr>
                    <w:rPr>
                      <w:rFonts w:eastAsia="Times New Roman" w:cs="Times New Roman"/>
                      <w:sz w:val="24"/>
                      <w:szCs w:val="24"/>
                      <w:lang w:eastAsia="lv-LV"/>
                    </w:rPr>
                  </w:pPr>
                </w:p>
                <w:p w:rsidR="00767569" w:rsidRPr="00B34185" w:rsidRDefault="00767569" w:rsidP="006D58D5">
                  <w:pPr>
                    <w:rPr>
                      <w:rFonts w:eastAsia="Times New Roman" w:cs="Times New Roman"/>
                      <w:sz w:val="24"/>
                      <w:szCs w:val="24"/>
                      <w:lang w:eastAsia="lv-LV"/>
                    </w:rPr>
                  </w:pP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Administratīvo izmaksu monetārs novērtējums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6D58D5"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rPr>
                <w:gridAfter w:val="1"/>
                <w:wAfter w:w="60" w:type="dxa"/>
                <w:trHeight w:val="23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jc w:val="both"/>
                    <w:rPr>
                      <w:rFonts w:eastAsia="Times New Roman" w:cs="Times New Roman"/>
                      <w:sz w:val="24"/>
                      <w:szCs w:val="24"/>
                      <w:lang w:eastAsia="lv-LV"/>
                    </w:rPr>
                  </w:pPr>
                  <w:r w:rsidRPr="00B34185">
                    <w:rPr>
                      <w:rFonts w:eastAsia="Times New Roman" w:cs="Times New Roman"/>
                      <w:sz w:val="24"/>
                      <w:szCs w:val="24"/>
                      <w:lang w:eastAsia="lv-LV"/>
                    </w:rPr>
                    <w:t xml:space="preserve">Nepieciešamie precizējumi pārsvarā identificēti izstrādājot klasifikācijas IT risinājumu un ņemti vērā programmējot funkcionalitāti. </w:t>
                  </w:r>
                </w:p>
              </w:tc>
            </w:tr>
            <w:tr w:rsidR="00B34185" w:rsidRPr="00B34185" w:rsidTr="00BC5DEE">
              <w:tblPrEx>
                <w:jc w:val="center"/>
              </w:tblPrEx>
              <w:trPr>
                <w:gridAfter w:val="1"/>
                <w:wAfter w:w="60" w:type="dxa"/>
                <w:trHeight w:val="24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8235BE">
                  <w:pPr>
                    <w:rPr>
                      <w:rFonts w:eastAsia="Times New Roman" w:cs="Times New Roman"/>
                      <w:b/>
                      <w:sz w:val="24"/>
                      <w:szCs w:val="24"/>
                      <w:lang w:eastAsia="lv-LV"/>
                    </w:rPr>
                  </w:pPr>
                  <w:r w:rsidRPr="00B34185">
                    <w:rPr>
                      <w:rFonts w:eastAsia="Times New Roman" w:cs="Times New Roman"/>
                      <w:sz w:val="24"/>
                      <w:szCs w:val="24"/>
                      <w:lang w:eastAsia="lv-LV"/>
                    </w:rPr>
                    <w:t> </w:t>
                  </w:r>
                  <w:r w:rsidRPr="00B34185">
                    <w:rPr>
                      <w:rFonts w:eastAsia="Times New Roman" w:cs="Times New Roman"/>
                      <w:b/>
                      <w:sz w:val="24"/>
                      <w:szCs w:val="24"/>
                      <w:lang w:eastAsia="lv-LV"/>
                    </w:rPr>
                    <w:t>III. Tiesību akta projekta ietekme uz valsts budžetu un pašvaldību budžetiem</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Rādītāji</w:t>
                  </w:r>
                </w:p>
              </w:tc>
              <w:tc>
                <w:tcPr>
                  <w:tcW w:w="2504"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2017</w:t>
                  </w:r>
                </w:p>
              </w:tc>
              <w:tc>
                <w:tcPr>
                  <w:tcW w:w="3546"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Turpmākie trīs gadi (</w:t>
                  </w:r>
                  <w:r w:rsidRPr="00B34185">
                    <w:rPr>
                      <w:rFonts w:eastAsia="Times New Roman" w:cs="Times New Roman"/>
                      <w:i/>
                      <w:iCs/>
                      <w:sz w:val="24"/>
                      <w:szCs w:val="24"/>
                      <w:lang w:eastAsia="lv-LV"/>
                    </w:rPr>
                    <w:t>euro</w:t>
                  </w:r>
                  <w:r w:rsidRPr="00B34185">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2504" w:type="dxa"/>
                  <w:gridSpan w:val="5"/>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2019</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2020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saskaņā ar valsts budžetu kārtējam gadam</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kārtējā gadā, salīdzinot ar valsts budžetu kārtējam gadam</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6</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 Budžeta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1.1. valsts pamatbudžets, tai skaitā ieņēmumi no maksas pakalpojumiem un citi pašu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 Budžeta izdevumi: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 Finansiālā ietekme:</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3.2.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4. Finanšu līdzekļi papildu izdevumu finansēšanai (kompensējošu izdevumu samazinājumu norāda ar "+" zīmi)</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 Precizēta finansiālā ietekme:</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5.1. valsts pamatbudžets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5.2. speciālais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5.3. pašvaldību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6050" w:type="dxa"/>
                  <w:gridSpan w:val="8"/>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w:t>
                  </w:r>
                  <w:r w:rsidR="006D58D5" w:rsidRPr="00B34185">
                    <w:rPr>
                      <w:rFonts w:eastAsia="Times New Roman" w:cs="Times New Roman"/>
                      <w:sz w:val="24"/>
                      <w:szCs w:val="24"/>
                      <w:lang w:eastAsia="lv-LV"/>
                    </w:rPr>
                    <w:t>Nav</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6.1. detalizēts ieņēmumu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6.2. detalizēts izdevumu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trHeight w:val="370"/>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7. 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Nav</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p>
              </w:tc>
            </w:tr>
            <w:tr w:rsidR="00B34185" w:rsidRPr="00B34185" w:rsidTr="00BC5DEE">
              <w:tblPrEx>
                <w:jc w:val="center"/>
              </w:tblPrEx>
              <w:trPr>
                <w:gridAfter w:val="1"/>
                <w:wAfter w:w="60" w:type="dxa"/>
                <w:trHeight w:val="30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IV. Tiesību akta projekta ietekme uz spēkā esošo tiesību normu sistēmu</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Nepieciešamie saistītie tiesību aktu projekti</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jc w:val="both"/>
                    <w:rPr>
                      <w:rFonts w:eastAsia="Times New Roman" w:cs="Times New Roman"/>
                      <w:sz w:val="24"/>
                      <w:szCs w:val="24"/>
                      <w:lang w:eastAsia="lv-LV"/>
                    </w:rPr>
                  </w:pPr>
                  <w:r w:rsidRPr="00B34185">
                    <w:rPr>
                      <w:rFonts w:eastAsia="Times New Roman" w:cs="Times New Roman"/>
                      <w:sz w:val="24"/>
                      <w:szCs w:val="24"/>
                      <w:lang w:eastAsia="lv-LV"/>
                    </w:rPr>
                    <w:t xml:space="preserve">Izstrādājot prasības būvkomersantam attiecībā uz pieredzi un klasi publisku būvdarbu veikšanai būvju grupās, atbilstoši Publisko iepirkumu likuma 44.panta trešajai daļai, jāņem vērā klasifikācijas kārtības precizējumi. </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Atbildīgā institūcija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Ekonomikas ministrija</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 Sabiedrības līdzdalība un komunikācijas aktivitātes</w:t>
                  </w:r>
                </w:p>
              </w:tc>
            </w:tr>
            <w:tr w:rsidR="00B34185" w:rsidRPr="00B34185" w:rsidTr="00BC5DEE">
              <w:tblPrEx>
                <w:jc w:val="center"/>
              </w:tblPrEx>
              <w:trPr>
                <w:gridAfter w:val="1"/>
                <w:wAfter w:w="60" w:type="dxa"/>
                <w:trHeight w:val="3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Plānotās sabiedrības līdzdalības un komunikācijas aktivitātes saistībā ar projektu</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513F78" w:rsidRPr="00B34185" w:rsidRDefault="00513F78" w:rsidP="00513F78">
                  <w:pPr>
                    <w:jc w:val="both"/>
                    <w:rPr>
                      <w:rFonts w:eastAsia="Times New Roman" w:cs="Times New Roman"/>
                      <w:sz w:val="24"/>
                      <w:szCs w:val="24"/>
                      <w:lang w:eastAsia="lv-LV"/>
                    </w:rPr>
                  </w:pPr>
                  <w:r w:rsidRPr="00B34185">
                    <w:rPr>
                      <w:rFonts w:eastAsia="Times New Roman" w:cs="Times New Roman"/>
                      <w:sz w:val="24"/>
                      <w:szCs w:val="24"/>
                      <w:lang w:eastAsia="lv-LV"/>
                    </w:rPr>
                    <w:t xml:space="preserve">Noteikumu grozījumu projekts sabiedrībai publiski ir pieejams Ekonomikas ministrijas mājās lapā internetā, kā arī pēc izsludināšanas Valsts sekretāra sanāksmē būs pieejams Ministru kabineta mājās lapā internetā. Par Noteikumiem 2016.gadā organizēts sešu semināru cikls, kura laikā būvkomersanti un to pārstāvji informēti par klasifikācijas kārtību, identificētas nepieciešamās izmaiņas un precizējumi. </w:t>
                  </w:r>
                </w:p>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trHeight w:val="22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 projekta izstrādē</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F76533" w:rsidP="00F76533">
                  <w:pPr>
                    <w:jc w:val="both"/>
                    <w:rPr>
                      <w:rFonts w:eastAsia="Times New Roman" w:cs="Times New Roman"/>
                      <w:sz w:val="24"/>
                      <w:szCs w:val="24"/>
                      <w:lang w:eastAsia="lv-LV"/>
                    </w:rPr>
                  </w:pPr>
                  <w:r w:rsidRPr="00B34185">
                    <w:rPr>
                      <w:rFonts w:eastAsia="Times New Roman" w:cs="Times New Roman"/>
                      <w:sz w:val="24"/>
                      <w:szCs w:val="24"/>
                      <w:lang w:eastAsia="lv-LV"/>
                    </w:rPr>
                    <w:t>Par Noteikumiem 2016.gadā organizēts sešu semināru cikls, kura laikā ar būvuzņēmumu pārstāvjiem diskutēta klasifikācijas kārtība. Semināru gaitā identificēta daļa neskaidro jautājumu un konstatēta nepieciešamība precizēt Noteikumus. Izstrādātais grozījumu projekts nosūtīts Latvijas Būvniecības padomes 2015.gada 17.augustā izveidotās darba grupas pārstāvjiem un grozījumi pārrunāti ar darba grupas pārstāvjiem vai saskaņoti elektroniski.</w:t>
                  </w:r>
                </w:p>
              </w:tc>
              <w:tc>
                <w:tcPr>
                  <w:tcW w:w="60" w:type="dxa"/>
                </w:tcPr>
                <w:p w:rsidR="00767569" w:rsidRPr="00B34185" w:rsidRDefault="00F76533">
                  <w:r w:rsidRPr="00B34185">
                    <w:tab/>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līdzdalības rezultāti</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F76533" w:rsidP="00F76533">
                  <w:pPr>
                    <w:rPr>
                      <w:rFonts w:eastAsia="Times New Roman" w:cs="Times New Roman"/>
                      <w:sz w:val="24"/>
                      <w:szCs w:val="24"/>
                      <w:lang w:eastAsia="lv-LV"/>
                    </w:rPr>
                  </w:pPr>
                  <w:r w:rsidRPr="00B34185">
                    <w:rPr>
                      <w:rFonts w:eastAsia="Times New Roman" w:cs="Times New Roman"/>
                      <w:sz w:val="24"/>
                      <w:szCs w:val="24"/>
                      <w:lang w:eastAsia="lv-LV"/>
                    </w:rPr>
                    <w:t xml:space="preserve">Latvijas Būvniecības padomes izveidotās darba grupas pārstāvji kopumā atbalsta Noteikumu grozījumu nepieciešamību.  </w:t>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4.</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767569" w:rsidP="00F76533">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5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VII. Tiesību akta projekta izpildes nodrošināšana un tās ietekme uz institūcijām</w:t>
                  </w:r>
                </w:p>
              </w:tc>
            </w:tr>
            <w:tr w:rsidR="00B34185" w:rsidRPr="00B34185" w:rsidTr="00BC5DEE">
              <w:tblPrEx>
                <w:jc w:val="center"/>
              </w:tblPrEx>
              <w:trPr>
                <w:gridAfter w:val="1"/>
                <w:wAfter w:w="60" w:type="dxa"/>
                <w:trHeight w:val="28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izpildē iesaistītās institūcijas</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BD51E4">
                  <w:pPr>
                    <w:rPr>
                      <w:rFonts w:eastAsia="Times New Roman" w:cs="Times New Roman"/>
                      <w:sz w:val="24"/>
                      <w:szCs w:val="24"/>
                      <w:lang w:eastAsia="lv-LV"/>
                    </w:rPr>
                  </w:pPr>
                  <w:r w:rsidRPr="00B34185">
                    <w:rPr>
                      <w:rFonts w:eastAsia="Times New Roman" w:cs="Times New Roman"/>
                      <w:sz w:val="24"/>
                      <w:szCs w:val="24"/>
                      <w:lang w:eastAsia="lv-LV"/>
                    </w:rPr>
                    <w:t xml:space="preserve">Ekonomikas ministrija, Būvniecības valsts kontroles birojs. </w:t>
                  </w:r>
                </w:p>
              </w:tc>
            </w:tr>
            <w:tr w:rsidR="00B34185" w:rsidRPr="00B34185" w:rsidTr="00BC5DEE">
              <w:tblPrEx>
                <w:jc w:val="center"/>
              </w:tblPrEx>
              <w:trPr>
                <w:gridAfter w:val="1"/>
                <w:wAfter w:w="60" w:type="dxa"/>
                <w:trHeight w:val="30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izpildes ietekme uz pārvaldes funkcijām un institucionālo struktūru.</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Jaunu institūciju izveide, esošu institūciju likvidācija vai reorganizācija, to ietekme uz institūcijas cilvēkresursiem</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blPrEx>
                <w:jc w:val="center"/>
              </w:tblPrEx>
              <w:trPr>
                <w:gridAfter w:val="1"/>
                <w:wAfter w:w="60" w:type="dxa"/>
                <w:trHeight w:val="2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BD51E4">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bl>
          <w:p w:rsidR="00767569" w:rsidRPr="00767569" w:rsidRDefault="00767569" w:rsidP="00767569">
            <w:pPr>
              <w:jc w:val="center"/>
              <w:rPr>
                <w:rFonts w:eastAsia="Times New Roman" w:cs="Times New Roman"/>
                <w:color w:val="414142"/>
                <w:sz w:val="27"/>
                <w:szCs w:val="27"/>
                <w:lang w:eastAsia="lv-LV"/>
              </w:rPr>
            </w:pPr>
          </w:p>
        </w:tc>
        <w:tc>
          <w:tcPr>
            <w:tcW w:w="270" w:type="dxa"/>
            <w:shd w:val="clear" w:color="auto" w:fill="FFFFFF"/>
            <w:vAlign w:val="center"/>
            <w:hideMark/>
          </w:tcPr>
          <w:p w:rsidR="00767569" w:rsidRPr="00767569" w:rsidRDefault="00767569" w:rsidP="00767569">
            <w:pPr>
              <w:rPr>
                <w:rFonts w:eastAsia="Times New Roman" w:cs="Times New Roman"/>
                <w:color w:val="000000"/>
                <w:sz w:val="27"/>
                <w:szCs w:val="27"/>
                <w:lang w:eastAsia="lv-LV"/>
              </w:rPr>
            </w:pPr>
            <w:r w:rsidRPr="00767569">
              <w:rPr>
                <w:rFonts w:eastAsia="Times New Roman" w:cs="Times New Roman"/>
                <w:color w:val="000000"/>
                <w:sz w:val="27"/>
                <w:szCs w:val="27"/>
                <w:lang w:eastAsia="lv-LV"/>
              </w:rPr>
              <w:t> </w:t>
            </w:r>
          </w:p>
        </w:tc>
      </w:tr>
    </w:tbl>
    <w:p w:rsidR="001C03FF" w:rsidRDefault="00BD51E4">
      <w:r w:rsidRPr="00BD51E4">
        <w:t>Anotācijas V sadaļa – projekts šo jomu neskar.</w:t>
      </w:r>
    </w:p>
    <w:p w:rsidR="00BD51E4" w:rsidRDefault="00BD51E4"/>
    <w:p w:rsidR="00BD51E4" w:rsidRDefault="00BD51E4" w:rsidP="00BD51E4"/>
    <w:p w:rsidR="00BD51E4" w:rsidRDefault="00BD51E4" w:rsidP="00BD51E4">
      <w:r>
        <w:t>Iesniedzējs:</w:t>
      </w:r>
    </w:p>
    <w:p w:rsidR="00BD51E4" w:rsidRDefault="00BD51E4" w:rsidP="00BD51E4">
      <w:r>
        <w:t>Ministru prezidenta biedrs</w:t>
      </w:r>
    </w:p>
    <w:p w:rsidR="00BD51E4" w:rsidRDefault="00BD51E4" w:rsidP="00BD51E4">
      <w:r>
        <w:t xml:space="preserve">Ekonomikas ministrs </w:t>
      </w:r>
      <w:r>
        <w:tab/>
      </w:r>
      <w:r>
        <w:tab/>
      </w:r>
      <w:r>
        <w:tab/>
      </w:r>
      <w:r>
        <w:tab/>
      </w:r>
      <w:r>
        <w:tab/>
      </w:r>
      <w:r>
        <w:tab/>
        <w:t>A. Ašeradens</w:t>
      </w:r>
    </w:p>
    <w:p w:rsidR="00BD51E4" w:rsidRDefault="00BD51E4" w:rsidP="00BD51E4"/>
    <w:p w:rsidR="00BD51E4" w:rsidRDefault="00BD51E4" w:rsidP="00BD51E4">
      <w:r>
        <w:t xml:space="preserve">Vīza: </w:t>
      </w:r>
    </w:p>
    <w:p w:rsidR="00BD51E4" w:rsidRDefault="00BD51E4" w:rsidP="00BD51E4">
      <w:r>
        <w:t>Valsts sekretārs</w:t>
      </w:r>
      <w:r>
        <w:tab/>
        <w:t>J.Stinka</w:t>
      </w:r>
    </w:p>
    <w:p w:rsidR="00BD51E4" w:rsidRDefault="00BD51E4" w:rsidP="00BD51E4"/>
    <w:p w:rsidR="00BC5DEE" w:rsidRDefault="00BC5DEE" w:rsidP="00BD51E4"/>
    <w:p w:rsidR="00BC5DEE" w:rsidRDefault="00BC5DEE" w:rsidP="00BD51E4"/>
    <w:p w:rsidR="00BC5DEE" w:rsidRDefault="00BC5DEE" w:rsidP="00BD51E4"/>
    <w:p w:rsidR="00BC5DEE" w:rsidRDefault="00BC5DEE" w:rsidP="00BD51E4"/>
    <w:p w:rsidR="00BC5DEE" w:rsidRDefault="00BC5DEE" w:rsidP="00BD51E4"/>
    <w:p w:rsidR="00BD51E4" w:rsidRDefault="00BC5DEE" w:rsidP="00BD51E4">
      <w:pPr>
        <w:rPr>
          <w:sz w:val="22"/>
        </w:rPr>
      </w:pPr>
      <w:r>
        <w:rPr>
          <w:sz w:val="22"/>
        </w:rPr>
        <w:fldChar w:fldCharType="begin"/>
      </w:r>
      <w:r>
        <w:rPr>
          <w:sz w:val="22"/>
        </w:rPr>
        <w:instrText xml:space="preserve"> DATE  \@ "dd.MM.yyyy HH:mm"  \* MERGEFORMAT </w:instrText>
      </w:r>
      <w:r>
        <w:rPr>
          <w:sz w:val="22"/>
        </w:rPr>
        <w:fldChar w:fldCharType="separate"/>
      </w:r>
      <w:r w:rsidR="00A22FCA">
        <w:rPr>
          <w:noProof/>
          <w:sz w:val="22"/>
        </w:rPr>
        <w:t>21.03.2017 09:42</w:t>
      </w:r>
      <w:r>
        <w:rPr>
          <w:sz w:val="22"/>
        </w:rPr>
        <w:fldChar w:fldCharType="end"/>
      </w:r>
    </w:p>
    <w:p w:rsidR="00BD51E4" w:rsidRDefault="00BD51E4" w:rsidP="00BD51E4">
      <w:pPr>
        <w:rPr>
          <w:sz w:val="22"/>
        </w:rPr>
      </w:pPr>
      <w:r w:rsidRPr="00CF478B">
        <w:rPr>
          <w:sz w:val="22"/>
        </w:rPr>
        <w:t xml:space="preserve">12 </w:t>
      </w:r>
      <w:r w:rsidR="001C53C1" w:rsidRPr="00CF478B">
        <w:rPr>
          <w:sz w:val="22"/>
        </w:rPr>
        <w:t>820</w:t>
      </w:r>
    </w:p>
    <w:p w:rsidR="00BD51E4" w:rsidRPr="00BD51E4" w:rsidRDefault="00BD51E4" w:rsidP="00BD51E4">
      <w:pPr>
        <w:rPr>
          <w:sz w:val="22"/>
        </w:rPr>
      </w:pPr>
      <w:r w:rsidRPr="00BD51E4">
        <w:rPr>
          <w:sz w:val="22"/>
        </w:rPr>
        <w:t>B.Ķirule-Vīksne</w:t>
      </w:r>
    </w:p>
    <w:p w:rsidR="00D84272" w:rsidRPr="00BD51E4" w:rsidRDefault="00BD51E4" w:rsidP="00BD51E4">
      <w:pPr>
        <w:rPr>
          <w:sz w:val="22"/>
        </w:rPr>
      </w:pPr>
      <w:r w:rsidRPr="00BD51E4">
        <w:rPr>
          <w:sz w:val="22"/>
        </w:rPr>
        <w:t xml:space="preserve">67013051, </w:t>
      </w:r>
      <w:hyperlink r:id="rId7" w:history="1">
        <w:r w:rsidR="00D84272" w:rsidRPr="000756DC">
          <w:rPr>
            <w:rStyle w:val="Hyperlink"/>
            <w:sz w:val="22"/>
          </w:rPr>
          <w:t>Brigita.Kirule-Viksne@em.gov.lv</w:t>
        </w:r>
      </w:hyperlink>
    </w:p>
    <w:sectPr w:rsidR="00D84272" w:rsidRPr="00BD51E4" w:rsidSect="00CC7E27">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C3" w:rsidRDefault="005128C3" w:rsidP="00CC7E27">
      <w:r>
        <w:separator/>
      </w:r>
    </w:p>
  </w:endnote>
  <w:endnote w:type="continuationSeparator" w:id="0">
    <w:p w:rsidR="005128C3" w:rsidRDefault="005128C3" w:rsidP="00C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27" w:rsidRPr="00CC7E27" w:rsidRDefault="00CC7E27" w:rsidP="002D63DA">
    <w:pPr>
      <w:pStyle w:val="Footer"/>
      <w:jc w:val="both"/>
      <w:rPr>
        <w:sz w:val="24"/>
        <w:szCs w:val="24"/>
      </w:rPr>
    </w:pPr>
    <w:r w:rsidRPr="00CF478B">
      <w:rPr>
        <w:sz w:val="24"/>
        <w:szCs w:val="24"/>
      </w:rPr>
      <w:fldChar w:fldCharType="begin"/>
    </w:r>
    <w:r w:rsidRPr="00CF478B">
      <w:rPr>
        <w:sz w:val="24"/>
        <w:szCs w:val="24"/>
      </w:rPr>
      <w:instrText xml:space="preserve"> FILENAME \* MERGEFORMAT </w:instrText>
    </w:r>
    <w:r w:rsidRPr="00CF478B">
      <w:rPr>
        <w:sz w:val="24"/>
        <w:szCs w:val="24"/>
      </w:rPr>
      <w:fldChar w:fldCharType="separate"/>
    </w:r>
    <w:r w:rsidRPr="00CF478B">
      <w:rPr>
        <w:noProof/>
        <w:sz w:val="24"/>
        <w:szCs w:val="24"/>
      </w:rPr>
      <w:t>EMAno_dd032017_groz_not211.docx</w:t>
    </w:r>
    <w:r w:rsidRPr="00CF478B">
      <w:rPr>
        <w:sz w:val="24"/>
        <w:szCs w:val="24"/>
      </w:rPr>
      <w:fldChar w:fldCharType="end"/>
    </w:r>
    <w:r w:rsidRPr="00CF478B">
      <w:rPr>
        <w:sz w:val="24"/>
        <w:szCs w:val="24"/>
      </w:rPr>
      <w:t xml:space="preserve">; </w:t>
    </w:r>
    <w:r w:rsidR="002D63DA" w:rsidRPr="00CF478B">
      <w:rPr>
        <w:sz w:val="24"/>
        <w:szCs w:val="24"/>
      </w:rPr>
      <w:t>Ministru kabineta noteikumu projekta „Grozījumi Ministru kabineta 2016.gada 12.aprīļa noteikumos Nr.211 „Būvkomersantu klasifikācijas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27" w:rsidRPr="00CC7E27" w:rsidRDefault="00CC7E27" w:rsidP="002D63DA">
    <w:pPr>
      <w:pStyle w:val="Footer"/>
      <w:jc w:val="both"/>
      <w:rPr>
        <w:sz w:val="24"/>
        <w:szCs w:val="24"/>
      </w:rPr>
    </w:pPr>
    <w:r w:rsidRPr="00CF478B">
      <w:rPr>
        <w:sz w:val="24"/>
        <w:szCs w:val="24"/>
      </w:rPr>
      <w:fldChar w:fldCharType="begin"/>
    </w:r>
    <w:r w:rsidRPr="00CF478B">
      <w:rPr>
        <w:sz w:val="24"/>
        <w:szCs w:val="24"/>
      </w:rPr>
      <w:instrText xml:space="preserve"> FILENAME \* MERGEFORMAT </w:instrText>
    </w:r>
    <w:r w:rsidRPr="00CF478B">
      <w:rPr>
        <w:sz w:val="24"/>
        <w:szCs w:val="24"/>
      </w:rPr>
      <w:fldChar w:fldCharType="separate"/>
    </w:r>
    <w:r w:rsidRPr="00CF478B">
      <w:rPr>
        <w:noProof/>
        <w:sz w:val="24"/>
        <w:szCs w:val="24"/>
      </w:rPr>
      <w:t>EMAno_dd032017_groz_not211.docx</w:t>
    </w:r>
    <w:r w:rsidRPr="00CF478B">
      <w:rPr>
        <w:sz w:val="24"/>
        <w:szCs w:val="24"/>
      </w:rPr>
      <w:fldChar w:fldCharType="end"/>
    </w:r>
    <w:r w:rsidRPr="00CF478B">
      <w:rPr>
        <w:sz w:val="24"/>
        <w:szCs w:val="24"/>
      </w:rPr>
      <w:t xml:space="preserve">; </w:t>
    </w:r>
    <w:r w:rsidR="002D63DA" w:rsidRPr="00CF478B">
      <w:rPr>
        <w:sz w:val="24"/>
        <w:szCs w:val="24"/>
      </w:rPr>
      <w:t>Ministru kabineta noteikumu projekta „Grozījumi Ministru kabineta 2016.gada 12.aprīļa noteikumos Nr.211 „Būvkomersantu klasifikācijas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C3" w:rsidRDefault="005128C3" w:rsidP="00CC7E27">
      <w:r>
        <w:separator/>
      </w:r>
    </w:p>
  </w:footnote>
  <w:footnote w:type="continuationSeparator" w:id="0">
    <w:p w:rsidR="005128C3" w:rsidRDefault="005128C3" w:rsidP="00CC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77997966"/>
      <w:docPartObj>
        <w:docPartGallery w:val="Page Numbers (Top of Page)"/>
        <w:docPartUnique/>
      </w:docPartObj>
    </w:sdtPr>
    <w:sdtEndPr>
      <w:rPr>
        <w:noProof/>
      </w:rPr>
    </w:sdtEndPr>
    <w:sdtContent>
      <w:p w:rsidR="00CC7E27" w:rsidRPr="00CC7E27" w:rsidRDefault="00CC7E27">
        <w:pPr>
          <w:pStyle w:val="Header"/>
          <w:jc w:val="center"/>
          <w:rPr>
            <w:sz w:val="24"/>
            <w:szCs w:val="24"/>
          </w:rPr>
        </w:pPr>
        <w:r w:rsidRPr="00CC7E27">
          <w:rPr>
            <w:sz w:val="24"/>
            <w:szCs w:val="24"/>
          </w:rPr>
          <w:fldChar w:fldCharType="begin"/>
        </w:r>
        <w:r w:rsidRPr="00CC7E27">
          <w:rPr>
            <w:sz w:val="24"/>
            <w:szCs w:val="24"/>
          </w:rPr>
          <w:instrText xml:space="preserve"> PAGE   \* MERGEFORMAT </w:instrText>
        </w:r>
        <w:r w:rsidRPr="00CC7E27">
          <w:rPr>
            <w:sz w:val="24"/>
            <w:szCs w:val="24"/>
          </w:rPr>
          <w:fldChar w:fldCharType="separate"/>
        </w:r>
        <w:r w:rsidR="00197227">
          <w:rPr>
            <w:noProof/>
            <w:sz w:val="24"/>
            <w:szCs w:val="24"/>
          </w:rPr>
          <w:t>7</w:t>
        </w:r>
        <w:r w:rsidRPr="00CC7E27">
          <w:rPr>
            <w:noProof/>
            <w:sz w:val="24"/>
            <w:szCs w:val="24"/>
          </w:rPr>
          <w:fldChar w:fldCharType="end"/>
        </w:r>
      </w:p>
    </w:sdtContent>
  </w:sdt>
  <w:p w:rsidR="00CC7E27" w:rsidRDefault="00CC7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3F6"/>
    <w:multiLevelType w:val="hybridMultilevel"/>
    <w:tmpl w:val="5D76F0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F42801"/>
    <w:multiLevelType w:val="hybridMultilevel"/>
    <w:tmpl w:val="6666C5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9"/>
    <w:rsid w:val="00123FE3"/>
    <w:rsid w:val="001611EF"/>
    <w:rsid w:val="00197227"/>
    <w:rsid w:val="001C03FF"/>
    <w:rsid w:val="001C53C1"/>
    <w:rsid w:val="001D5AC4"/>
    <w:rsid w:val="001F0D22"/>
    <w:rsid w:val="0020783D"/>
    <w:rsid w:val="002737E0"/>
    <w:rsid w:val="00296CEE"/>
    <w:rsid w:val="002D32D7"/>
    <w:rsid w:val="002D63DA"/>
    <w:rsid w:val="00361DB0"/>
    <w:rsid w:val="003B72B6"/>
    <w:rsid w:val="003D7038"/>
    <w:rsid w:val="00483B7D"/>
    <w:rsid w:val="005128C3"/>
    <w:rsid w:val="00513F78"/>
    <w:rsid w:val="00570703"/>
    <w:rsid w:val="0057330C"/>
    <w:rsid w:val="005B5BD0"/>
    <w:rsid w:val="005D397D"/>
    <w:rsid w:val="005E18E8"/>
    <w:rsid w:val="0065088C"/>
    <w:rsid w:val="00681200"/>
    <w:rsid w:val="006D58D5"/>
    <w:rsid w:val="00705C21"/>
    <w:rsid w:val="00713C30"/>
    <w:rsid w:val="007177BE"/>
    <w:rsid w:val="00726091"/>
    <w:rsid w:val="007313EF"/>
    <w:rsid w:val="00767569"/>
    <w:rsid w:val="008235BE"/>
    <w:rsid w:val="00876199"/>
    <w:rsid w:val="00885107"/>
    <w:rsid w:val="00901BBF"/>
    <w:rsid w:val="00931A6F"/>
    <w:rsid w:val="009E6617"/>
    <w:rsid w:val="009F1D9D"/>
    <w:rsid w:val="00A22FCA"/>
    <w:rsid w:val="00AA1977"/>
    <w:rsid w:val="00AB7339"/>
    <w:rsid w:val="00B31878"/>
    <w:rsid w:val="00B34185"/>
    <w:rsid w:val="00BA325E"/>
    <w:rsid w:val="00BC301D"/>
    <w:rsid w:val="00BC5DEE"/>
    <w:rsid w:val="00BD51E4"/>
    <w:rsid w:val="00C04CA7"/>
    <w:rsid w:val="00CC7E27"/>
    <w:rsid w:val="00CF478B"/>
    <w:rsid w:val="00D169DB"/>
    <w:rsid w:val="00D4069A"/>
    <w:rsid w:val="00D44CE5"/>
    <w:rsid w:val="00D84272"/>
    <w:rsid w:val="00E63794"/>
    <w:rsid w:val="00EB093E"/>
    <w:rsid w:val="00F76533"/>
    <w:rsid w:val="00F96A7B"/>
    <w:rsid w:val="00FA2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2A2B-F5BB-41B0-B445-70B1CDC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67569"/>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67569"/>
  </w:style>
  <w:style w:type="character" w:styleId="Hyperlink">
    <w:name w:val="Hyperlink"/>
    <w:basedOn w:val="DefaultParagraphFont"/>
    <w:uiPriority w:val="99"/>
    <w:unhideWhenUsed/>
    <w:rsid w:val="00767569"/>
    <w:rPr>
      <w:color w:val="0000FF"/>
      <w:u w:val="single"/>
    </w:rPr>
  </w:style>
  <w:style w:type="paragraph" w:customStyle="1" w:styleId="tvhtml">
    <w:name w:val="tv_html"/>
    <w:basedOn w:val="Normal"/>
    <w:rsid w:val="00767569"/>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B72B6"/>
    <w:pPr>
      <w:ind w:left="720"/>
      <w:contextualSpacing/>
    </w:pPr>
  </w:style>
  <w:style w:type="paragraph" w:styleId="Header">
    <w:name w:val="header"/>
    <w:basedOn w:val="Normal"/>
    <w:link w:val="HeaderChar"/>
    <w:uiPriority w:val="99"/>
    <w:unhideWhenUsed/>
    <w:rsid w:val="00CC7E27"/>
    <w:pPr>
      <w:tabs>
        <w:tab w:val="center" w:pos="4153"/>
        <w:tab w:val="right" w:pos="8306"/>
      </w:tabs>
    </w:pPr>
  </w:style>
  <w:style w:type="character" w:customStyle="1" w:styleId="HeaderChar">
    <w:name w:val="Header Char"/>
    <w:basedOn w:val="DefaultParagraphFont"/>
    <w:link w:val="Header"/>
    <w:uiPriority w:val="99"/>
    <w:rsid w:val="00CC7E27"/>
  </w:style>
  <w:style w:type="paragraph" w:styleId="Footer">
    <w:name w:val="footer"/>
    <w:basedOn w:val="Normal"/>
    <w:link w:val="FooterChar"/>
    <w:uiPriority w:val="99"/>
    <w:unhideWhenUsed/>
    <w:rsid w:val="00CC7E27"/>
    <w:pPr>
      <w:tabs>
        <w:tab w:val="center" w:pos="4153"/>
        <w:tab w:val="right" w:pos="8306"/>
      </w:tabs>
    </w:pPr>
  </w:style>
  <w:style w:type="character" w:customStyle="1" w:styleId="FooterChar">
    <w:name w:val="Footer Char"/>
    <w:basedOn w:val="DefaultParagraphFont"/>
    <w:link w:val="Footer"/>
    <w:uiPriority w:val="99"/>
    <w:rsid w:val="00CC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22211">
      <w:bodyDiv w:val="1"/>
      <w:marLeft w:val="0"/>
      <w:marRight w:val="0"/>
      <w:marTop w:val="0"/>
      <w:marBottom w:val="0"/>
      <w:divBdr>
        <w:top w:val="none" w:sz="0" w:space="0" w:color="auto"/>
        <w:left w:val="none" w:sz="0" w:space="0" w:color="auto"/>
        <w:bottom w:val="none" w:sz="0" w:space="0" w:color="auto"/>
        <w:right w:val="none" w:sz="0" w:space="0" w:color="auto"/>
      </w:divBdr>
      <w:divsChild>
        <w:div w:id="825784221">
          <w:marLeft w:val="0"/>
          <w:marRight w:val="0"/>
          <w:marTop w:val="0"/>
          <w:marBottom w:val="0"/>
          <w:divBdr>
            <w:top w:val="none" w:sz="0" w:space="0" w:color="auto"/>
            <w:left w:val="none" w:sz="0" w:space="0" w:color="auto"/>
            <w:bottom w:val="none" w:sz="0" w:space="0" w:color="auto"/>
            <w:right w:val="none" w:sz="0" w:space="0" w:color="auto"/>
          </w:divBdr>
          <w:divsChild>
            <w:div w:id="209804310">
              <w:marLeft w:val="0"/>
              <w:marRight w:val="0"/>
              <w:marTop w:val="400"/>
              <w:marBottom w:val="0"/>
              <w:divBdr>
                <w:top w:val="none" w:sz="0" w:space="0" w:color="auto"/>
                <w:left w:val="none" w:sz="0" w:space="0" w:color="auto"/>
                <w:bottom w:val="none" w:sz="0" w:space="0" w:color="auto"/>
                <w:right w:val="none" w:sz="0" w:space="0" w:color="auto"/>
              </w:divBdr>
            </w:div>
            <w:div w:id="1524126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ita.Kirule-Viksn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7</Pages>
  <Words>1810</Words>
  <Characters>12827</Characters>
  <Application>Microsoft Office Word</Application>
  <DocSecurity>0</DocSecurity>
  <Lines>505</Lines>
  <Paragraphs>229</Paragraphs>
  <ScaleCrop>false</ScaleCrop>
  <HeadingPairs>
    <vt:vector size="2" baseType="variant">
      <vt:variant>
        <vt:lpstr>Title</vt:lpstr>
      </vt:variant>
      <vt:variant>
        <vt:i4>1</vt:i4>
      </vt:variant>
    </vt:vector>
  </HeadingPairs>
  <TitlesOfParts>
    <vt:vector size="1" baseType="lpstr">
      <vt:lpstr>MK 12.04.2016. noteikumi Nr.211 "Būvkomersantu klasifikācijas noteikumi" </vt:lpstr>
    </vt:vector>
  </TitlesOfParts>
  <Company>EM</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12.04.2016. noteikumi Nr.211 "Būvkomersantu klasifikācijas noteikumi" </dc:title>
  <dc:subject>Grozījumu projekts </dc:subject>
  <dc:creator>Brigita Ķirule-Vīksne</dc:creator>
  <cp:keywords/>
  <dc:description>B.Ķirule-Vīksne_x000d_
67013051; Brigita.Kirule-Viksne@em.gov.lv</dc:description>
  <cp:lastModifiedBy>Edmunds Valantis</cp:lastModifiedBy>
  <cp:revision>25</cp:revision>
  <dcterms:created xsi:type="dcterms:W3CDTF">2017-03-17T14:25:00Z</dcterms:created>
  <dcterms:modified xsi:type="dcterms:W3CDTF">2017-03-21T08:03:00Z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