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D" w:rsidRDefault="00DD6CB8" w:rsidP="00DD6CB8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Projekts</w:t>
      </w:r>
    </w:p>
    <w:p w:rsidR="00DD6CB8" w:rsidRDefault="00DD6CB8" w:rsidP="00DD6CB8">
      <w:pPr>
        <w:jc w:val="right"/>
        <w:rPr>
          <w:i/>
          <w:sz w:val="24"/>
          <w:szCs w:val="24"/>
          <w:lang w:val="lv-LV"/>
        </w:rPr>
      </w:pP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</w:t>
      </w:r>
      <w:r w:rsidR="00D9664E">
        <w:rPr>
          <w:sz w:val="24"/>
          <w:szCs w:val="24"/>
          <w:lang w:val="lv-LV"/>
        </w:rPr>
        <w:t>7</w:t>
      </w:r>
      <w:r>
        <w:rPr>
          <w:sz w:val="24"/>
          <w:szCs w:val="24"/>
          <w:lang w:val="lv-LV"/>
        </w:rPr>
        <w:t>. gada</w:t>
      </w:r>
      <w:r w:rsidR="00843C6B">
        <w:rPr>
          <w:sz w:val="24"/>
          <w:szCs w:val="24"/>
          <w:lang w:val="lv-LV"/>
        </w:rPr>
        <w:tab/>
      </w:r>
      <w:r w:rsidR="00843C6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bookmarkStart w:id="0" w:name="_GoBack"/>
      <w:bookmarkEnd w:id="0"/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Noteikumi Nr. ___</w:t>
      </w: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(prot. Nr. ___)</w:t>
      </w:r>
    </w:p>
    <w:p w:rsidR="00DD6CB8" w:rsidRDefault="00DD6CB8" w:rsidP="00DD6CB8">
      <w:pPr>
        <w:rPr>
          <w:sz w:val="24"/>
          <w:szCs w:val="24"/>
          <w:lang w:val="lv-LV"/>
        </w:rPr>
      </w:pPr>
    </w:p>
    <w:p w:rsidR="00DD6CB8" w:rsidRDefault="00C1180B" w:rsidP="004662B4">
      <w:pPr>
        <w:jc w:val="center"/>
        <w:rPr>
          <w:lang w:val="lv-LV"/>
        </w:rPr>
      </w:pPr>
      <w:r>
        <w:rPr>
          <w:b/>
          <w:sz w:val="24"/>
          <w:szCs w:val="24"/>
          <w:lang w:val="lv-LV"/>
        </w:rPr>
        <w:t>Grozījum</w:t>
      </w:r>
      <w:r w:rsidR="00AA1D05">
        <w:rPr>
          <w:b/>
          <w:sz w:val="24"/>
          <w:szCs w:val="24"/>
          <w:lang w:val="lv-LV"/>
        </w:rPr>
        <w:t>i</w:t>
      </w:r>
      <w:r w:rsidR="00DD6CB8">
        <w:rPr>
          <w:b/>
          <w:sz w:val="24"/>
          <w:szCs w:val="24"/>
          <w:lang w:val="lv-LV"/>
        </w:rPr>
        <w:t xml:space="preserve"> Ministru kabineta 20</w:t>
      </w:r>
      <w:r w:rsidR="004662B4">
        <w:rPr>
          <w:b/>
          <w:sz w:val="24"/>
          <w:szCs w:val="24"/>
          <w:lang w:val="lv-LV"/>
        </w:rPr>
        <w:t>05</w:t>
      </w:r>
      <w:r w:rsidR="00DD6CB8">
        <w:rPr>
          <w:b/>
          <w:sz w:val="24"/>
          <w:szCs w:val="24"/>
          <w:lang w:val="lv-LV"/>
        </w:rPr>
        <w:t xml:space="preserve">. gada </w:t>
      </w:r>
      <w:r w:rsidR="004662B4">
        <w:rPr>
          <w:b/>
          <w:sz w:val="24"/>
          <w:szCs w:val="24"/>
          <w:lang w:val="lv-LV"/>
        </w:rPr>
        <w:t>8</w:t>
      </w:r>
      <w:r w:rsidR="0048652E">
        <w:rPr>
          <w:b/>
          <w:sz w:val="24"/>
          <w:szCs w:val="24"/>
          <w:lang w:val="lv-LV"/>
        </w:rPr>
        <w:t>.</w:t>
      </w:r>
      <w:r w:rsidR="003D70AC">
        <w:rPr>
          <w:b/>
          <w:sz w:val="24"/>
          <w:szCs w:val="24"/>
          <w:lang w:val="lv-LV"/>
        </w:rPr>
        <w:t> </w:t>
      </w:r>
      <w:r w:rsidR="004662B4">
        <w:rPr>
          <w:b/>
          <w:sz w:val="24"/>
          <w:szCs w:val="24"/>
          <w:lang w:val="lv-LV"/>
        </w:rPr>
        <w:t>novembra</w:t>
      </w:r>
      <w:r w:rsidR="00DD6CB8">
        <w:rPr>
          <w:b/>
          <w:sz w:val="24"/>
          <w:szCs w:val="24"/>
          <w:lang w:val="lv-LV"/>
        </w:rPr>
        <w:t xml:space="preserve"> </w:t>
      </w:r>
      <w:r w:rsidR="0048652E">
        <w:rPr>
          <w:b/>
          <w:sz w:val="24"/>
          <w:szCs w:val="24"/>
          <w:lang w:val="lv-LV"/>
        </w:rPr>
        <w:t>noteikumos Nr.</w:t>
      </w:r>
      <w:r w:rsidR="003D70AC">
        <w:rPr>
          <w:b/>
          <w:sz w:val="24"/>
          <w:szCs w:val="24"/>
          <w:lang w:val="lv-LV"/>
        </w:rPr>
        <w:t> </w:t>
      </w:r>
      <w:r w:rsidR="004662B4">
        <w:rPr>
          <w:b/>
          <w:sz w:val="24"/>
          <w:szCs w:val="24"/>
          <w:lang w:val="lv-LV"/>
        </w:rPr>
        <w:t>837</w:t>
      </w:r>
      <w:r w:rsidR="00DD6CB8" w:rsidRPr="00DD6CB8">
        <w:rPr>
          <w:b/>
          <w:sz w:val="24"/>
          <w:szCs w:val="24"/>
          <w:lang w:val="lv-LV"/>
        </w:rPr>
        <w:t xml:space="preserve"> </w:t>
      </w:r>
      <w:r w:rsidR="003D70AC">
        <w:rPr>
          <w:b/>
          <w:sz w:val="24"/>
          <w:szCs w:val="24"/>
          <w:lang w:val="lv-LV"/>
        </w:rPr>
        <w:br/>
      </w:r>
      <w:r w:rsidR="00DD6CB8" w:rsidRPr="00DD6CB8">
        <w:rPr>
          <w:rFonts w:cs="Times New Roman"/>
          <w:b/>
          <w:bCs/>
          <w:sz w:val="24"/>
          <w:szCs w:val="24"/>
          <w:lang w:val="lv-LV"/>
        </w:rPr>
        <w:t>„</w:t>
      </w:r>
      <w:r w:rsidR="0048652E" w:rsidRPr="0048652E">
        <w:rPr>
          <w:lang w:val="lv-LV"/>
        </w:rPr>
        <w:t xml:space="preserve"> </w:t>
      </w:r>
      <w:r w:rsidR="004662B4">
        <w:rPr>
          <w:rFonts w:cs="Times New Roman"/>
          <w:b/>
          <w:bCs/>
          <w:sz w:val="24"/>
          <w:szCs w:val="24"/>
          <w:lang w:val="lv-LV"/>
        </w:rPr>
        <w:t>Par mobilizācijas gatavības pārbaudēm un mobilizācijas mācībām</w:t>
      </w:r>
      <w:r w:rsidR="00DD6CB8">
        <w:rPr>
          <w:rFonts w:cs="Times New Roman"/>
          <w:b/>
          <w:bCs/>
          <w:sz w:val="24"/>
          <w:szCs w:val="24"/>
          <w:lang w:val="lv-LV"/>
        </w:rPr>
        <w:t>”</w:t>
      </w:r>
      <w:r w:rsidR="0048652E" w:rsidRPr="0048652E">
        <w:rPr>
          <w:lang w:val="lv-LV"/>
        </w:rPr>
        <w:t xml:space="preserve"> </w:t>
      </w:r>
    </w:p>
    <w:p w:rsidR="0048652E" w:rsidRDefault="0048652E" w:rsidP="00DD6CB8">
      <w:pPr>
        <w:jc w:val="center"/>
        <w:rPr>
          <w:rFonts w:cs="Times New Roman"/>
          <w:b/>
          <w:bCs/>
          <w:sz w:val="24"/>
          <w:szCs w:val="24"/>
          <w:lang w:val="lv-LV"/>
        </w:rPr>
      </w:pPr>
    </w:p>
    <w:p w:rsidR="00DD6CB8" w:rsidRPr="00B83D64" w:rsidRDefault="004662B4" w:rsidP="00DD6CB8">
      <w:pPr>
        <w:jc w:val="right"/>
        <w:rPr>
          <w:rFonts w:cs="Times New Roman"/>
          <w:bCs/>
          <w:i/>
          <w:sz w:val="24"/>
          <w:szCs w:val="24"/>
          <w:lang w:val="lv-LV"/>
        </w:rPr>
      </w:pPr>
      <w:r w:rsidRPr="004662B4">
        <w:rPr>
          <w:rFonts w:cs="Times New Roman"/>
          <w:bCs/>
          <w:i/>
          <w:sz w:val="24"/>
          <w:szCs w:val="24"/>
          <w:lang w:val="lv-LV"/>
        </w:rPr>
        <w:t xml:space="preserve">Izdoti saskaņā ar </w:t>
      </w:r>
      <w:r w:rsidR="00EC0FD1">
        <w:rPr>
          <w:rFonts w:cs="Times New Roman"/>
          <w:bCs/>
          <w:i/>
          <w:sz w:val="24"/>
          <w:szCs w:val="24"/>
          <w:lang w:val="lv-LV"/>
        </w:rPr>
        <w:br/>
      </w:r>
      <w:r w:rsidRPr="004662B4">
        <w:rPr>
          <w:rFonts w:cs="Times New Roman"/>
          <w:bCs/>
          <w:i/>
          <w:sz w:val="24"/>
          <w:szCs w:val="24"/>
          <w:lang w:val="lv-LV"/>
        </w:rPr>
        <w:t>Mobilizācijas likuma 9.</w:t>
      </w:r>
      <w:r w:rsidR="00EC0FD1">
        <w:rPr>
          <w:rFonts w:cs="Times New Roman"/>
          <w:bCs/>
          <w:i/>
          <w:sz w:val="24"/>
          <w:szCs w:val="24"/>
          <w:lang w:val="lv-LV"/>
        </w:rPr>
        <w:t> </w:t>
      </w:r>
      <w:r w:rsidRPr="004662B4">
        <w:rPr>
          <w:rFonts w:cs="Times New Roman"/>
          <w:bCs/>
          <w:i/>
          <w:sz w:val="24"/>
          <w:szCs w:val="24"/>
          <w:lang w:val="lv-LV"/>
        </w:rPr>
        <w:t xml:space="preserve">panta </w:t>
      </w:r>
      <w:r w:rsidR="00EC0FD1">
        <w:rPr>
          <w:rFonts w:cs="Times New Roman"/>
          <w:bCs/>
          <w:i/>
          <w:sz w:val="24"/>
          <w:szCs w:val="24"/>
          <w:lang w:val="lv-LV"/>
        </w:rPr>
        <w:br/>
      </w:r>
      <w:r w:rsidRPr="004662B4">
        <w:rPr>
          <w:rFonts w:cs="Times New Roman"/>
          <w:bCs/>
          <w:i/>
          <w:sz w:val="24"/>
          <w:szCs w:val="24"/>
          <w:lang w:val="lv-LV"/>
        </w:rPr>
        <w:t>13.</w:t>
      </w:r>
      <w:r w:rsidR="00EC0FD1">
        <w:rPr>
          <w:rFonts w:cs="Times New Roman"/>
          <w:bCs/>
          <w:i/>
          <w:sz w:val="24"/>
          <w:szCs w:val="24"/>
          <w:lang w:val="lv-LV"/>
        </w:rPr>
        <w:t> </w:t>
      </w:r>
      <w:r w:rsidRPr="004662B4">
        <w:rPr>
          <w:rFonts w:cs="Times New Roman"/>
          <w:bCs/>
          <w:i/>
          <w:sz w:val="24"/>
          <w:szCs w:val="24"/>
          <w:lang w:val="lv-LV"/>
        </w:rPr>
        <w:t>punktu un 16. un 17.</w:t>
      </w:r>
      <w:r w:rsidR="00EC0FD1">
        <w:rPr>
          <w:rFonts w:cs="Times New Roman"/>
          <w:bCs/>
          <w:i/>
          <w:sz w:val="24"/>
          <w:szCs w:val="24"/>
          <w:lang w:val="lv-LV"/>
        </w:rPr>
        <w:t> </w:t>
      </w:r>
      <w:r w:rsidRPr="004662B4">
        <w:rPr>
          <w:rFonts w:cs="Times New Roman"/>
          <w:bCs/>
          <w:i/>
          <w:sz w:val="24"/>
          <w:szCs w:val="24"/>
          <w:lang w:val="lv-LV"/>
        </w:rPr>
        <w:t>pantu</w:t>
      </w:r>
      <w:r w:rsidR="004B7361" w:rsidRPr="00B83D64">
        <w:rPr>
          <w:rFonts w:cs="Times New Roman"/>
          <w:bCs/>
          <w:i/>
          <w:sz w:val="24"/>
          <w:szCs w:val="24"/>
          <w:lang w:val="lv-LV"/>
        </w:rPr>
        <w:t xml:space="preserve"> </w:t>
      </w:r>
    </w:p>
    <w:p w:rsidR="00DD6CB8" w:rsidRDefault="00DD6CB8" w:rsidP="00DD6CB8">
      <w:pPr>
        <w:jc w:val="right"/>
        <w:rPr>
          <w:rFonts w:cs="Times New Roman"/>
          <w:bCs/>
          <w:sz w:val="24"/>
          <w:szCs w:val="24"/>
          <w:lang w:val="lv-LV"/>
        </w:rPr>
      </w:pPr>
    </w:p>
    <w:p w:rsidR="00E16067" w:rsidRDefault="00DD6CB8" w:rsidP="00E16067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ab/>
        <w:t xml:space="preserve">Izdarīt Ministru kabineta </w:t>
      </w:r>
      <w:r w:rsidR="00EC0FD1">
        <w:rPr>
          <w:rFonts w:cs="Times New Roman"/>
          <w:bCs/>
          <w:sz w:val="24"/>
          <w:szCs w:val="24"/>
          <w:lang w:val="lv-LV"/>
        </w:rPr>
        <w:t>2005. </w:t>
      </w:r>
      <w:r w:rsidR="004662B4" w:rsidRPr="004662B4">
        <w:rPr>
          <w:rFonts w:cs="Times New Roman"/>
          <w:bCs/>
          <w:sz w:val="24"/>
          <w:szCs w:val="24"/>
          <w:lang w:val="lv-LV"/>
        </w:rPr>
        <w:t>gada</w:t>
      </w:r>
      <w:r w:rsidR="004662B4">
        <w:rPr>
          <w:rFonts w:cs="Times New Roman"/>
          <w:bCs/>
          <w:sz w:val="24"/>
          <w:szCs w:val="24"/>
          <w:lang w:val="lv-LV"/>
        </w:rPr>
        <w:t xml:space="preserve"> 8.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4662B4">
        <w:rPr>
          <w:rFonts w:cs="Times New Roman"/>
          <w:bCs/>
          <w:sz w:val="24"/>
          <w:szCs w:val="24"/>
          <w:lang w:val="lv-LV"/>
        </w:rPr>
        <w:t>novembra noteikumos Nr.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4662B4">
        <w:rPr>
          <w:rFonts w:cs="Times New Roman"/>
          <w:bCs/>
          <w:sz w:val="24"/>
          <w:szCs w:val="24"/>
          <w:lang w:val="lv-LV"/>
        </w:rPr>
        <w:t>837 „</w:t>
      </w:r>
      <w:r w:rsidR="004662B4" w:rsidRPr="004662B4">
        <w:rPr>
          <w:rFonts w:cs="Times New Roman"/>
          <w:bCs/>
          <w:sz w:val="24"/>
          <w:szCs w:val="24"/>
          <w:lang w:val="lv-LV"/>
        </w:rPr>
        <w:t xml:space="preserve">Par mobilizācijas gatavības pārbaudēm un mobilizācijas mācībām” </w:t>
      </w:r>
      <w:r w:rsidR="00831BCE">
        <w:rPr>
          <w:rFonts w:cs="Times New Roman"/>
          <w:bCs/>
          <w:sz w:val="24"/>
          <w:szCs w:val="24"/>
          <w:lang w:val="lv-LV"/>
        </w:rPr>
        <w:t>(</w:t>
      </w:r>
      <w:r w:rsidR="00EA4D03">
        <w:rPr>
          <w:rFonts w:cs="Times New Roman"/>
          <w:bCs/>
          <w:sz w:val="24"/>
          <w:szCs w:val="24"/>
          <w:lang w:val="lv-LV"/>
        </w:rPr>
        <w:t>Latvijas Vēstnesis,</w:t>
      </w:r>
      <w:r w:rsidR="00C1180B">
        <w:rPr>
          <w:rFonts w:cs="Times New Roman"/>
          <w:bCs/>
          <w:sz w:val="24"/>
          <w:szCs w:val="24"/>
          <w:lang w:val="lv-LV"/>
        </w:rPr>
        <w:t xml:space="preserve"> </w:t>
      </w:r>
      <w:r w:rsidR="00EC0FD1">
        <w:rPr>
          <w:rFonts w:cs="Times New Roman"/>
          <w:bCs/>
          <w:sz w:val="24"/>
          <w:szCs w:val="24"/>
          <w:lang w:val="lv-LV"/>
        </w:rPr>
        <w:br/>
      </w:r>
      <w:r w:rsidR="00E6411C">
        <w:rPr>
          <w:rFonts w:cs="Times New Roman"/>
          <w:bCs/>
          <w:sz w:val="24"/>
          <w:szCs w:val="24"/>
          <w:lang w:val="lv-LV"/>
        </w:rPr>
        <w:t xml:space="preserve">2005, </w:t>
      </w:r>
      <w:r w:rsidR="00EA4D03">
        <w:rPr>
          <w:rFonts w:cs="Times New Roman"/>
          <w:bCs/>
          <w:sz w:val="24"/>
          <w:szCs w:val="24"/>
          <w:lang w:val="lv-LV"/>
        </w:rPr>
        <w:t>180</w:t>
      </w:r>
      <w:r w:rsidR="00E6411C">
        <w:rPr>
          <w:rFonts w:cs="Times New Roman"/>
          <w:bCs/>
          <w:sz w:val="24"/>
          <w:szCs w:val="24"/>
          <w:lang w:val="lv-LV"/>
        </w:rPr>
        <w:t>. nr.; 2010, 188. nr.; 2012, 74. nr.; 2014</w:t>
      </w:r>
      <w:r w:rsidR="00815D4A">
        <w:rPr>
          <w:rFonts w:cs="Times New Roman"/>
          <w:bCs/>
          <w:sz w:val="24"/>
          <w:szCs w:val="24"/>
          <w:lang w:val="lv-LV"/>
        </w:rPr>
        <w:t>, 80. nr.)</w:t>
      </w:r>
      <w:r w:rsidR="00EA4D03">
        <w:rPr>
          <w:rFonts w:cs="Times New Roman"/>
          <w:bCs/>
          <w:sz w:val="24"/>
          <w:szCs w:val="24"/>
          <w:lang w:val="lv-LV"/>
        </w:rPr>
        <w:t xml:space="preserve"> </w:t>
      </w:r>
      <w:r w:rsidR="00C1180B">
        <w:rPr>
          <w:rFonts w:cs="Times New Roman"/>
          <w:bCs/>
          <w:sz w:val="24"/>
          <w:szCs w:val="24"/>
          <w:lang w:val="lv-LV"/>
        </w:rPr>
        <w:t>šādu</w:t>
      </w:r>
      <w:r w:rsidR="00EE17E3">
        <w:rPr>
          <w:rFonts w:cs="Times New Roman"/>
          <w:bCs/>
          <w:sz w:val="24"/>
          <w:szCs w:val="24"/>
          <w:lang w:val="lv-LV"/>
        </w:rPr>
        <w:t>s</w:t>
      </w:r>
      <w:r w:rsidR="00C1180B">
        <w:rPr>
          <w:rFonts w:cs="Times New Roman"/>
          <w:bCs/>
          <w:sz w:val="24"/>
          <w:szCs w:val="24"/>
          <w:lang w:val="lv-LV"/>
        </w:rPr>
        <w:t xml:space="preserve"> grozījumu</w:t>
      </w:r>
      <w:r w:rsidR="00E16067">
        <w:rPr>
          <w:rFonts w:cs="Times New Roman"/>
          <w:bCs/>
          <w:sz w:val="24"/>
          <w:szCs w:val="24"/>
          <w:lang w:val="lv-LV"/>
        </w:rPr>
        <w:t>s:</w:t>
      </w:r>
    </w:p>
    <w:p w:rsidR="00E16067" w:rsidRDefault="00E16067" w:rsidP="00E16067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704C70" w:rsidRDefault="00E16067" w:rsidP="00EC0FD1">
      <w:pPr>
        <w:ind w:firstLine="720"/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1. I</w:t>
      </w:r>
      <w:r w:rsidR="00EE17E3">
        <w:rPr>
          <w:rFonts w:cs="Times New Roman"/>
          <w:bCs/>
          <w:sz w:val="24"/>
          <w:szCs w:val="24"/>
          <w:lang w:val="lv-LV"/>
        </w:rPr>
        <w:t>z</w:t>
      </w:r>
      <w:r>
        <w:rPr>
          <w:rFonts w:cs="Times New Roman"/>
          <w:bCs/>
          <w:sz w:val="24"/>
          <w:szCs w:val="24"/>
          <w:lang w:val="lv-LV"/>
        </w:rPr>
        <w:t>teikt</w:t>
      </w:r>
      <w:r w:rsidR="00EC0FD1">
        <w:rPr>
          <w:rFonts w:cs="Times New Roman"/>
          <w:bCs/>
          <w:sz w:val="24"/>
          <w:szCs w:val="24"/>
          <w:lang w:val="lv-LV"/>
        </w:rPr>
        <w:t xml:space="preserve"> </w:t>
      </w:r>
      <w:r w:rsidR="00EE17E3">
        <w:rPr>
          <w:rFonts w:cs="Times New Roman"/>
          <w:bCs/>
          <w:sz w:val="24"/>
          <w:szCs w:val="24"/>
          <w:lang w:val="lv-LV"/>
        </w:rPr>
        <w:t>11.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EE17E3">
        <w:rPr>
          <w:rFonts w:cs="Times New Roman"/>
          <w:bCs/>
          <w:sz w:val="24"/>
          <w:szCs w:val="24"/>
          <w:lang w:val="lv-LV"/>
        </w:rPr>
        <w:t>punktu šādā redakcijā</w:t>
      </w:r>
      <w:r w:rsidR="00EC0FD1">
        <w:rPr>
          <w:rFonts w:cs="Times New Roman"/>
          <w:bCs/>
          <w:sz w:val="24"/>
          <w:szCs w:val="24"/>
          <w:lang w:val="lv-LV"/>
        </w:rPr>
        <w:t>:</w:t>
      </w:r>
      <w:r w:rsidR="00EE17E3">
        <w:rPr>
          <w:rFonts w:cs="Times New Roman"/>
          <w:bCs/>
          <w:sz w:val="24"/>
          <w:szCs w:val="24"/>
          <w:lang w:val="lv-LV"/>
        </w:rPr>
        <w:t xml:space="preserve"> </w:t>
      </w:r>
    </w:p>
    <w:p w:rsidR="00704C70" w:rsidRPr="00704C70" w:rsidRDefault="00704C70" w:rsidP="00704C70">
      <w:pPr>
        <w:pStyle w:val="ListParagraph"/>
        <w:ind w:left="1080"/>
        <w:jc w:val="both"/>
        <w:rPr>
          <w:rFonts w:cs="Times New Roman"/>
          <w:bCs/>
          <w:sz w:val="24"/>
          <w:szCs w:val="24"/>
          <w:lang w:val="lv-LV"/>
        </w:rPr>
      </w:pPr>
    </w:p>
    <w:p w:rsidR="00EE17E3" w:rsidRPr="00EE17E3" w:rsidRDefault="00E16067" w:rsidP="00D04985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“</w:t>
      </w:r>
      <w:r w:rsidR="00EE17E3" w:rsidRPr="00EE17E3">
        <w:rPr>
          <w:rFonts w:cs="Times New Roman"/>
          <w:bCs/>
          <w:sz w:val="24"/>
          <w:szCs w:val="24"/>
          <w:lang w:val="lv-LV"/>
        </w:rPr>
        <w:t>11.</w:t>
      </w:r>
      <w:r w:rsidR="00D04985">
        <w:rPr>
          <w:lang w:val="lv-LV"/>
        </w:rPr>
        <w:t xml:space="preserve"> </w:t>
      </w:r>
      <w:r w:rsidR="00D04985" w:rsidRPr="00D04985">
        <w:rPr>
          <w:rFonts w:cs="Times New Roman"/>
          <w:bCs/>
          <w:sz w:val="24"/>
          <w:szCs w:val="24"/>
          <w:lang w:val="lv-LV"/>
        </w:rPr>
        <w:t xml:space="preserve">Ministrijas, kā arī pašvaldības, kuras nosaka mobilizācijas pieprasījumus par civilās aizsardzības formējumu veidošanu, katru gadu </w:t>
      </w:r>
      <w:r w:rsidR="00DE0C4B">
        <w:rPr>
          <w:rFonts w:cs="Times New Roman"/>
          <w:bCs/>
          <w:sz w:val="24"/>
          <w:szCs w:val="24"/>
          <w:lang w:val="lv-LV"/>
        </w:rPr>
        <w:t xml:space="preserve">sagatavo un </w:t>
      </w:r>
      <w:r w:rsidR="00D04985" w:rsidRPr="00D04985">
        <w:rPr>
          <w:rFonts w:cs="Times New Roman"/>
          <w:bCs/>
          <w:sz w:val="24"/>
          <w:szCs w:val="24"/>
          <w:lang w:val="lv-LV"/>
        </w:rPr>
        <w:t>līdz 20.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 w:rsidR="00D04985" w:rsidRPr="00D04985">
        <w:rPr>
          <w:rFonts w:cs="Times New Roman"/>
          <w:bCs/>
          <w:sz w:val="24"/>
          <w:szCs w:val="24"/>
          <w:lang w:val="lv-LV"/>
        </w:rPr>
        <w:t xml:space="preserve">janvārim </w:t>
      </w:r>
      <w:r w:rsidR="00DE0C4B" w:rsidRPr="00D04985">
        <w:rPr>
          <w:rFonts w:cs="Times New Roman"/>
          <w:bCs/>
          <w:sz w:val="24"/>
          <w:szCs w:val="24"/>
          <w:lang w:val="lv-LV"/>
        </w:rPr>
        <w:t>i</w:t>
      </w:r>
      <w:r w:rsidR="00DE0C4B">
        <w:rPr>
          <w:rFonts w:cs="Times New Roman"/>
          <w:bCs/>
          <w:sz w:val="24"/>
          <w:szCs w:val="24"/>
          <w:lang w:val="lv-LV"/>
        </w:rPr>
        <w:t>esniedz Krīzes vadības padomei</w:t>
      </w:r>
      <w:r w:rsidR="00DE0C4B" w:rsidRPr="00D04985">
        <w:rPr>
          <w:rFonts w:cs="Times New Roman"/>
          <w:bCs/>
          <w:sz w:val="24"/>
          <w:szCs w:val="24"/>
          <w:lang w:val="lv-LV"/>
        </w:rPr>
        <w:t xml:space="preserve"> </w:t>
      </w:r>
      <w:r w:rsidR="00DE0C4B">
        <w:rPr>
          <w:rFonts w:cs="Times New Roman"/>
          <w:bCs/>
          <w:sz w:val="24"/>
          <w:szCs w:val="24"/>
          <w:lang w:val="lv-LV"/>
        </w:rPr>
        <w:t xml:space="preserve">ar </w:t>
      </w:r>
      <w:r w:rsidR="00DE0C4B" w:rsidRPr="00D04985">
        <w:rPr>
          <w:rFonts w:cs="Times New Roman"/>
          <w:bCs/>
          <w:sz w:val="24"/>
          <w:szCs w:val="24"/>
          <w:lang w:val="lv-LV"/>
        </w:rPr>
        <w:t xml:space="preserve">Iekšlietu ministriju </w:t>
      </w:r>
      <w:r w:rsidR="00DE0C4B">
        <w:rPr>
          <w:rFonts w:cs="Times New Roman"/>
          <w:bCs/>
          <w:sz w:val="24"/>
          <w:szCs w:val="24"/>
          <w:lang w:val="lv-LV"/>
        </w:rPr>
        <w:t>saskaņotu</w:t>
      </w:r>
      <w:r w:rsidR="00981FA2">
        <w:rPr>
          <w:rFonts w:cs="Times New Roman"/>
          <w:bCs/>
          <w:sz w:val="24"/>
          <w:szCs w:val="24"/>
          <w:lang w:val="lv-LV"/>
        </w:rPr>
        <w:t>s</w:t>
      </w:r>
      <w:r w:rsidR="00DE0C4B">
        <w:rPr>
          <w:rFonts w:cs="Times New Roman"/>
          <w:bCs/>
          <w:sz w:val="24"/>
          <w:szCs w:val="24"/>
          <w:lang w:val="lv-LV"/>
        </w:rPr>
        <w:t xml:space="preserve"> </w:t>
      </w:r>
      <w:r w:rsidR="00D04985" w:rsidRPr="00D04985">
        <w:rPr>
          <w:rFonts w:cs="Times New Roman"/>
          <w:bCs/>
          <w:sz w:val="24"/>
          <w:szCs w:val="24"/>
          <w:lang w:val="lv-LV"/>
        </w:rPr>
        <w:t>civilās aizsardzības mobilizējamo formējumu mobilizācijas mācību plānus un mobilizācijas gatavības pārbaudes plānus</w:t>
      </w:r>
      <w:r w:rsidR="008F7365">
        <w:rPr>
          <w:rFonts w:cs="Times New Roman"/>
          <w:bCs/>
          <w:sz w:val="24"/>
          <w:szCs w:val="24"/>
          <w:lang w:val="lv-LV"/>
        </w:rPr>
        <w:t>.”</w:t>
      </w:r>
    </w:p>
    <w:p w:rsidR="00EE17E3" w:rsidRPr="00EE17E3" w:rsidRDefault="00EE17E3" w:rsidP="00EE17E3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16067" w:rsidRDefault="00E16067" w:rsidP="00EC0FD1">
      <w:pPr>
        <w:ind w:firstLine="720"/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2. Papildināt ar 11</w:t>
      </w:r>
      <w:r w:rsidR="00EC0FD1">
        <w:rPr>
          <w:rFonts w:cs="Times New Roman"/>
          <w:bCs/>
          <w:sz w:val="24"/>
          <w:szCs w:val="24"/>
          <w:lang w:val="lv-LV"/>
        </w:rPr>
        <w:t>.</w:t>
      </w:r>
      <w:r>
        <w:rPr>
          <w:rFonts w:cs="Times New Roman"/>
          <w:bCs/>
          <w:sz w:val="24"/>
          <w:szCs w:val="24"/>
          <w:lang w:val="lv-LV"/>
        </w:rPr>
        <w:t>¹ punktu</w:t>
      </w:r>
      <w:r w:rsidRPr="00704C70">
        <w:rPr>
          <w:rFonts w:cs="Times New Roman"/>
          <w:bCs/>
          <w:sz w:val="24"/>
          <w:szCs w:val="24"/>
          <w:lang w:val="lv-LV"/>
        </w:rPr>
        <w:t>:</w:t>
      </w:r>
    </w:p>
    <w:p w:rsidR="00E16067" w:rsidRDefault="00E16067" w:rsidP="00EE17E3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704C70" w:rsidRDefault="00E16067" w:rsidP="008B20F4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“</w:t>
      </w:r>
      <w:r w:rsidR="00EE17E3" w:rsidRPr="00EE17E3">
        <w:rPr>
          <w:rFonts w:cs="Times New Roman"/>
          <w:bCs/>
          <w:sz w:val="24"/>
          <w:szCs w:val="24"/>
          <w:lang w:val="lv-LV"/>
        </w:rPr>
        <w:t>11¹. Aizsardzības ministrija Nacionālo bruņoto spēku mobilizācijas mācības un mobilizācijas gatavības pārbaudes plāno un organizē patstāvīgi</w:t>
      </w:r>
      <w:r w:rsidR="003D70AC">
        <w:rPr>
          <w:rFonts w:cs="Times New Roman"/>
          <w:bCs/>
          <w:sz w:val="24"/>
          <w:szCs w:val="24"/>
          <w:lang w:val="lv-LV"/>
        </w:rPr>
        <w:t>,</w:t>
      </w:r>
      <w:r w:rsidR="00EE17E3" w:rsidRPr="00EE17E3">
        <w:rPr>
          <w:rFonts w:cs="Times New Roman"/>
          <w:bCs/>
          <w:sz w:val="24"/>
          <w:szCs w:val="24"/>
          <w:lang w:val="lv-LV"/>
        </w:rPr>
        <w:t xml:space="preserve"> </w:t>
      </w:r>
      <w:r w:rsidR="008F7365">
        <w:rPr>
          <w:rFonts w:cs="Times New Roman"/>
          <w:bCs/>
          <w:sz w:val="24"/>
          <w:szCs w:val="24"/>
          <w:lang w:val="lv-LV"/>
        </w:rPr>
        <w:t>informējot</w:t>
      </w:r>
      <w:r w:rsidR="00EE17E3" w:rsidRPr="00EE17E3">
        <w:rPr>
          <w:rFonts w:cs="Times New Roman"/>
          <w:bCs/>
          <w:sz w:val="24"/>
          <w:szCs w:val="24"/>
          <w:lang w:val="lv-LV"/>
        </w:rPr>
        <w:t xml:space="preserve"> Krīzes vadības padomi</w:t>
      </w:r>
      <w:r w:rsidR="008F7365">
        <w:rPr>
          <w:rFonts w:cs="Times New Roman"/>
          <w:bCs/>
          <w:sz w:val="24"/>
          <w:szCs w:val="24"/>
          <w:lang w:val="lv-LV"/>
        </w:rPr>
        <w:t xml:space="preserve"> par mobilizācijas gatavības pārbaužu un mobilizācijas mācību organizēšanu</w:t>
      </w:r>
      <w:r w:rsidR="00EE17E3" w:rsidRPr="00EE17E3">
        <w:rPr>
          <w:rFonts w:cs="Times New Roman"/>
          <w:bCs/>
          <w:sz w:val="24"/>
          <w:szCs w:val="24"/>
          <w:lang w:val="lv-LV"/>
        </w:rPr>
        <w:t xml:space="preserve"> ne vēlāk kā mēnesi pirms Nacionālo bruņoto spēku mobilizācijas mācību un mobilizācijas gatavības pārbaudēm</w:t>
      </w:r>
      <w:r w:rsidR="003D70AC">
        <w:rPr>
          <w:rFonts w:cs="Times New Roman"/>
          <w:bCs/>
          <w:sz w:val="24"/>
          <w:szCs w:val="24"/>
          <w:lang w:val="lv-LV"/>
        </w:rPr>
        <w:t>.</w:t>
      </w:r>
      <w:r>
        <w:rPr>
          <w:rFonts w:cs="Times New Roman"/>
          <w:bCs/>
          <w:sz w:val="24"/>
          <w:szCs w:val="24"/>
          <w:lang w:val="lv-LV"/>
        </w:rPr>
        <w:t>”</w:t>
      </w:r>
    </w:p>
    <w:p w:rsidR="00704C70" w:rsidRDefault="00704C70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E17E3" w:rsidRDefault="00EE17E3" w:rsidP="00EE17E3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E17E3" w:rsidRDefault="00EE17E3" w:rsidP="00EE17E3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250190" w:rsidP="00EE17E3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Ministru prezidents</w:t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 w:rsidR="00EF0857"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>M.</w:t>
      </w:r>
      <w:r w:rsidR="00EC0FD1">
        <w:rPr>
          <w:rFonts w:cs="Times New Roman"/>
          <w:bCs/>
          <w:sz w:val="24"/>
          <w:szCs w:val="24"/>
          <w:lang w:val="lv-LV"/>
        </w:rPr>
        <w:t> </w:t>
      </w:r>
      <w:r>
        <w:rPr>
          <w:rFonts w:cs="Times New Roman"/>
          <w:bCs/>
          <w:sz w:val="24"/>
          <w:szCs w:val="24"/>
          <w:lang w:val="lv-LV"/>
        </w:rPr>
        <w:t>Kučinskis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>R. Bergmanis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Iesniedzējs: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>R. Bergmanis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Vīza: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valsts sekretārs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>J. Garisons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4C20D2" w:rsidRPr="001444CD" w:rsidRDefault="007F5B53" w:rsidP="004C20D2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07.04</w:t>
      </w:r>
      <w:r w:rsidR="00C1180B">
        <w:rPr>
          <w:rFonts w:cs="Times New Roman"/>
          <w:bCs/>
          <w:sz w:val="16"/>
          <w:szCs w:val="16"/>
          <w:lang w:val="lv-LV" w:eastAsia="lv-LV"/>
        </w:rPr>
        <w:t>.2017.</w:t>
      </w:r>
    </w:p>
    <w:p w:rsidR="004C20D2" w:rsidRPr="001444CD" w:rsidRDefault="00E16067" w:rsidP="007F5B53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20</w:t>
      </w:r>
      <w:r w:rsidR="007F180F">
        <w:rPr>
          <w:rFonts w:cs="Times New Roman"/>
          <w:bCs/>
          <w:sz w:val="16"/>
          <w:szCs w:val="16"/>
          <w:lang w:val="lv-LV" w:eastAsia="lv-LV"/>
        </w:rPr>
        <w:t>8</w:t>
      </w:r>
    </w:p>
    <w:p w:rsidR="00B83D64" w:rsidRDefault="004662B4" w:rsidP="00B83D64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Olevs Nikers</w:t>
      </w:r>
    </w:p>
    <w:p w:rsidR="00EF0857" w:rsidRPr="00EF0857" w:rsidRDefault="00B83D64" w:rsidP="00EC0FD1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Aizsardzības ministrijas Krīzes</w:t>
      </w:r>
      <w:r w:rsidR="00981FE4">
        <w:rPr>
          <w:sz w:val="16"/>
          <w:szCs w:val="16"/>
          <w:lang w:val="lv-LV"/>
        </w:rPr>
        <w:t xml:space="preserve"> vadības departamenta </w:t>
      </w:r>
      <w:r w:rsidR="00EC0FD1">
        <w:rPr>
          <w:sz w:val="16"/>
          <w:szCs w:val="16"/>
          <w:lang w:val="lv-LV"/>
        </w:rPr>
        <w:br/>
      </w:r>
      <w:r w:rsidR="004662B4">
        <w:rPr>
          <w:sz w:val="16"/>
          <w:szCs w:val="16"/>
          <w:lang w:val="lv-LV"/>
        </w:rPr>
        <w:t>Mobilizācijas</w:t>
      </w:r>
      <w:r w:rsidR="00EC0FD1">
        <w:rPr>
          <w:sz w:val="16"/>
          <w:szCs w:val="16"/>
          <w:lang w:val="lv-LV"/>
        </w:rPr>
        <w:t xml:space="preserve"> </w:t>
      </w:r>
      <w:r w:rsidR="004662B4">
        <w:rPr>
          <w:sz w:val="16"/>
          <w:szCs w:val="16"/>
          <w:lang w:val="lv-LV"/>
        </w:rPr>
        <w:t xml:space="preserve">un uzņemošās valsts atbalsta nodaļas vecākais eksperts </w:t>
      </w:r>
      <w:r w:rsidR="00EC0FD1">
        <w:rPr>
          <w:sz w:val="16"/>
          <w:szCs w:val="16"/>
          <w:lang w:val="lv-LV"/>
        </w:rPr>
        <w:br/>
        <w:t>Tālr.</w:t>
      </w:r>
      <w:r w:rsidRPr="001444CD">
        <w:rPr>
          <w:sz w:val="16"/>
          <w:szCs w:val="16"/>
          <w:lang w:val="lv-LV"/>
        </w:rPr>
        <w:t xml:space="preserve"> 67335</w:t>
      </w:r>
      <w:r w:rsidR="004662B4">
        <w:rPr>
          <w:sz w:val="16"/>
          <w:szCs w:val="16"/>
          <w:lang w:val="lv-LV"/>
        </w:rPr>
        <w:t>258</w:t>
      </w:r>
      <w:r w:rsidR="00F26B88">
        <w:rPr>
          <w:sz w:val="16"/>
          <w:szCs w:val="16"/>
          <w:lang w:val="lv-LV"/>
        </w:rPr>
        <w:t>, e-pasts</w:t>
      </w:r>
      <w:r>
        <w:rPr>
          <w:sz w:val="16"/>
          <w:szCs w:val="16"/>
          <w:lang w:val="lv-LV"/>
        </w:rPr>
        <w:t xml:space="preserve">: </w:t>
      </w:r>
      <w:hyperlink r:id="rId9" w:history="1">
        <w:r w:rsidR="004662B4">
          <w:rPr>
            <w:rStyle w:val="Hyperlink"/>
            <w:sz w:val="16"/>
            <w:szCs w:val="16"/>
            <w:lang w:val="lv-LV"/>
          </w:rPr>
          <w:t>olevs.nikers</w:t>
        </w:r>
        <w:r w:rsidRPr="001444CD">
          <w:rPr>
            <w:rStyle w:val="Hyperlink"/>
            <w:sz w:val="16"/>
            <w:szCs w:val="16"/>
            <w:lang w:val="lv-LV"/>
          </w:rPr>
          <w:t>@mod.gov.lv</w:t>
        </w:r>
      </w:hyperlink>
    </w:p>
    <w:sectPr w:rsidR="00EF0857" w:rsidRPr="00EF0857" w:rsidSect="00DD6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F5" w:rsidRDefault="00E33FF5" w:rsidP="002618FF">
      <w:r>
        <w:separator/>
      </w:r>
    </w:p>
  </w:endnote>
  <w:endnote w:type="continuationSeparator" w:id="0">
    <w:p w:rsidR="00E33FF5" w:rsidRDefault="00E33FF5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2" w:rsidRDefault="00895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57" w:rsidRDefault="00EF0857" w:rsidP="002618FF">
    <w:pPr>
      <w:pStyle w:val="Footer"/>
      <w:rPr>
        <w:sz w:val="16"/>
        <w:szCs w:val="16"/>
      </w:rPr>
    </w:pPr>
  </w:p>
  <w:p w:rsidR="002618FF" w:rsidRPr="00EF0857" w:rsidRDefault="002618FF" w:rsidP="007F5B53">
    <w:pPr>
      <w:pStyle w:val="Footer"/>
      <w:rPr>
        <w:sz w:val="16"/>
        <w:szCs w:val="16"/>
      </w:rPr>
    </w:pPr>
    <w:r w:rsidRPr="00EF0857">
      <w:rPr>
        <w:sz w:val="16"/>
        <w:szCs w:val="16"/>
      </w:rPr>
      <w:t>AiMnot_</w:t>
    </w:r>
    <w:r w:rsidR="007F5B53">
      <w:rPr>
        <w:sz w:val="16"/>
        <w:szCs w:val="16"/>
      </w:rPr>
      <w:t>0704</w:t>
    </w:r>
    <w:r w:rsidR="00B83D64">
      <w:rPr>
        <w:sz w:val="16"/>
        <w:szCs w:val="16"/>
      </w:rPr>
      <w:t>17</w:t>
    </w:r>
    <w:r w:rsidRPr="00EF0857">
      <w:rPr>
        <w:sz w:val="16"/>
        <w:szCs w:val="16"/>
      </w:rPr>
      <w:t xml:space="preserve">; </w:t>
    </w:r>
    <w:proofErr w:type="spellStart"/>
    <w:r w:rsidR="00981FE4" w:rsidRPr="00981FE4">
      <w:rPr>
        <w:sz w:val="16"/>
        <w:szCs w:val="16"/>
      </w:rPr>
      <w:t>Grozījum</w:t>
    </w:r>
    <w:r w:rsidR="00895A82">
      <w:rPr>
        <w:sz w:val="16"/>
        <w:szCs w:val="16"/>
      </w:rPr>
      <w:t>i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Ministru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kabineta</w:t>
    </w:r>
    <w:proofErr w:type="spellEnd"/>
    <w:r w:rsidR="00981FE4" w:rsidRPr="00981FE4">
      <w:rPr>
        <w:sz w:val="16"/>
        <w:szCs w:val="16"/>
      </w:rPr>
      <w:t xml:space="preserve"> 2005. </w:t>
    </w:r>
    <w:proofErr w:type="spellStart"/>
    <w:proofErr w:type="gramStart"/>
    <w:r w:rsidR="00981FE4" w:rsidRPr="00981FE4">
      <w:rPr>
        <w:sz w:val="16"/>
        <w:szCs w:val="16"/>
      </w:rPr>
      <w:t>gada</w:t>
    </w:r>
    <w:proofErr w:type="spellEnd"/>
    <w:proofErr w:type="gramEnd"/>
    <w:r w:rsidR="00981FE4" w:rsidRPr="00981FE4">
      <w:rPr>
        <w:sz w:val="16"/>
        <w:szCs w:val="16"/>
      </w:rPr>
      <w:t xml:space="preserve"> 8.</w:t>
    </w:r>
    <w:r w:rsidR="00895A82">
      <w:rPr>
        <w:sz w:val="16"/>
        <w:szCs w:val="16"/>
      </w:rPr>
      <w:t> </w:t>
    </w:r>
    <w:proofErr w:type="spellStart"/>
    <w:proofErr w:type="gramStart"/>
    <w:r w:rsidR="00981FE4" w:rsidRPr="00981FE4">
      <w:rPr>
        <w:sz w:val="16"/>
        <w:szCs w:val="16"/>
      </w:rPr>
      <w:t>novembra</w:t>
    </w:r>
    <w:proofErr w:type="spellEnd"/>
    <w:proofErr w:type="gram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noteikumos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Nr</w:t>
    </w:r>
    <w:proofErr w:type="spellEnd"/>
    <w:r w:rsidR="00981FE4" w:rsidRPr="00981FE4">
      <w:rPr>
        <w:sz w:val="16"/>
        <w:szCs w:val="16"/>
      </w:rPr>
      <w:t>.</w:t>
    </w:r>
    <w:r w:rsidR="00895A82">
      <w:rPr>
        <w:sz w:val="16"/>
        <w:szCs w:val="16"/>
      </w:rPr>
      <w:t> </w:t>
    </w:r>
    <w:r w:rsidR="00981FE4" w:rsidRPr="00981FE4">
      <w:rPr>
        <w:sz w:val="16"/>
        <w:szCs w:val="16"/>
      </w:rPr>
      <w:t xml:space="preserve">837 „ Par </w:t>
    </w:r>
    <w:proofErr w:type="spellStart"/>
    <w:r w:rsidR="00981FE4" w:rsidRPr="00981FE4">
      <w:rPr>
        <w:sz w:val="16"/>
        <w:szCs w:val="16"/>
      </w:rPr>
      <w:t>mobilizācijas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gatavības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pārbaudēm</w:t>
    </w:r>
    <w:proofErr w:type="spellEnd"/>
    <w:r w:rsidR="00981FE4" w:rsidRPr="00981FE4">
      <w:rPr>
        <w:sz w:val="16"/>
        <w:szCs w:val="16"/>
      </w:rPr>
      <w:t xml:space="preserve"> un </w:t>
    </w:r>
    <w:proofErr w:type="spellStart"/>
    <w:r w:rsidR="00981FE4" w:rsidRPr="00981FE4">
      <w:rPr>
        <w:sz w:val="16"/>
        <w:szCs w:val="16"/>
      </w:rPr>
      <w:t>mobilizācijas</w:t>
    </w:r>
    <w:proofErr w:type="spellEnd"/>
    <w:r w:rsidR="00981FE4" w:rsidRPr="00981FE4">
      <w:rPr>
        <w:sz w:val="16"/>
        <w:szCs w:val="16"/>
      </w:rPr>
      <w:t xml:space="preserve"> </w:t>
    </w:r>
    <w:proofErr w:type="spellStart"/>
    <w:r w:rsidR="00981FE4" w:rsidRPr="00981FE4">
      <w:rPr>
        <w:sz w:val="16"/>
        <w:szCs w:val="16"/>
      </w:rPr>
      <w:t>mācībām</w:t>
    </w:r>
    <w:proofErr w:type="spellEnd"/>
    <w:r w:rsidR="00981FE4" w:rsidRPr="00981FE4">
      <w:rPr>
        <w:sz w:val="16"/>
        <w:szCs w:val="16"/>
      </w:rPr>
      <w:t>”</w:t>
    </w:r>
    <w:r w:rsidR="0080640A" w:rsidRPr="0080640A">
      <w:rPr>
        <w:sz w:val="16"/>
        <w:szCs w:val="16"/>
      </w:rPr>
      <w:t>”</w:t>
    </w:r>
  </w:p>
  <w:p w:rsidR="002618FF" w:rsidRPr="00EF0857" w:rsidRDefault="00E33FF5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 w:rsidR="004D7528">
          <w:rPr>
            <w:noProof/>
          </w:rPr>
          <w:t>1</w:t>
        </w:r>
        <w:r w:rsidR="002618FF" w:rsidRPr="00EF085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2" w:rsidRDefault="0089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F5" w:rsidRDefault="00E33FF5" w:rsidP="002618FF">
      <w:r>
        <w:separator/>
      </w:r>
    </w:p>
  </w:footnote>
  <w:footnote w:type="continuationSeparator" w:id="0">
    <w:p w:rsidR="00E33FF5" w:rsidRDefault="00E33FF5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2" w:rsidRDefault="00895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2" w:rsidRDefault="00895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82" w:rsidRDefault="00895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0F59C6"/>
    <w:rsid w:val="00133D64"/>
    <w:rsid w:val="00144F17"/>
    <w:rsid w:val="001549F4"/>
    <w:rsid w:val="001C25DB"/>
    <w:rsid w:val="002150C1"/>
    <w:rsid w:val="00250190"/>
    <w:rsid w:val="00260A00"/>
    <w:rsid w:val="002618FF"/>
    <w:rsid w:val="0026236D"/>
    <w:rsid w:val="002655BD"/>
    <w:rsid w:val="00287AC9"/>
    <w:rsid w:val="002E4E95"/>
    <w:rsid w:val="002F58D7"/>
    <w:rsid w:val="002F5B75"/>
    <w:rsid w:val="00304507"/>
    <w:rsid w:val="003973FB"/>
    <w:rsid w:val="003D378D"/>
    <w:rsid w:val="003D70AC"/>
    <w:rsid w:val="00427479"/>
    <w:rsid w:val="004662B4"/>
    <w:rsid w:val="0048652E"/>
    <w:rsid w:val="004B4402"/>
    <w:rsid w:val="004B7361"/>
    <w:rsid w:val="004C1AC1"/>
    <w:rsid w:val="004C20D2"/>
    <w:rsid w:val="004D60BC"/>
    <w:rsid w:val="004D706D"/>
    <w:rsid w:val="004D7528"/>
    <w:rsid w:val="0052509E"/>
    <w:rsid w:val="005B3C55"/>
    <w:rsid w:val="005C013B"/>
    <w:rsid w:val="005F4077"/>
    <w:rsid w:val="00661C44"/>
    <w:rsid w:val="00687D50"/>
    <w:rsid w:val="00693E53"/>
    <w:rsid w:val="006A24CA"/>
    <w:rsid w:val="006C3B75"/>
    <w:rsid w:val="006F474A"/>
    <w:rsid w:val="00704C70"/>
    <w:rsid w:val="007635F3"/>
    <w:rsid w:val="0076771A"/>
    <w:rsid w:val="007A2A4C"/>
    <w:rsid w:val="007D324E"/>
    <w:rsid w:val="007F180F"/>
    <w:rsid w:val="007F5B53"/>
    <w:rsid w:val="0080640A"/>
    <w:rsid w:val="00815D4A"/>
    <w:rsid w:val="00822D50"/>
    <w:rsid w:val="00831BCE"/>
    <w:rsid w:val="00843C6B"/>
    <w:rsid w:val="008804EF"/>
    <w:rsid w:val="00895A82"/>
    <w:rsid w:val="008B20F4"/>
    <w:rsid w:val="008F7365"/>
    <w:rsid w:val="009239B9"/>
    <w:rsid w:val="009330AF"/>
    <w:rsid w:val="0095731A"/>
    <w:rsid w:val="00961464"/>
    <w:rsid w:val="00961EAA"/>
    <w:rsid w:val="00981FA2"/>
    <w:rsid w:val="00981FE4"/>
    <w:rsid w:val="00995225"/>
    <w:rsid w:val="009A48D6"/>
    <w:rsid w:val="00A442F4"/>
    <w:rsid w:val="00A921D2"/>
    <w:rsid w:val="00A96A7A"/>
    <w:rsid w:val="00AA1D05"/>
    <w:rsid w:val="00AF3AC3"/>
    <w:rsid w:val="00B06ECF"/>
    <w:rsid w:val="00B16BE0"/>
    <w:rsid w:val="00B175A3"/>
    <w:rsid w:val="00B20D03"/>
    <w:rsid w:val="00B3086B"/>
    <w:rsid w:val="00B83D64"/>
    <w:rsid w:val="00C1180B"/>
    <w:rsid w:val="00C20674"/>
    <w:rsid w:val="00C729FB"/>
    <w:rsid w:val="00C73F60"/>
    <w:rsid w:val="00C77FC1"/>
    <w:rsid w:val="00CC3182"/>
    <w:rsid w:val="00CC5277"/>
    <w:rsid w:val="00CC530C"/>
    <w:rsid w:val="00CC753B"/>
    <w:rsid w:val="00D04985"/>
    <w:rsid w:val="00D61217"/>
    <w:rsid w:val="00D9664E"/>
    <w:rsid w:val="00DA5769"/>
    <w:rsid w:val="00DD6CB8"/>
    <w:rsid w:val="00DE0C4B"/>
    <w:rsid w:val="00DE5906"/>
    <w:rsid w:val="00E16067"/>
    <w:rsid w:val="00E300A8"/>
    <w:rsid w:val="00E33FF5"/>
    <w:rsid w:val="00E5683A"/>
    <w:rsid w:val="00E6411C"/>
    <w:rsid w:val="00EA1B45"/>
    <w:rsid w:val="00EA4D03"/>
    <w:rsid w:val="00EA6F5E"/>
    <w:rsid w:val="00EC0FD1"/>
    <w:rsid w:val="00ED22B2"/>
    <w:rsid w:val="00EE17E3"/>
    <w:rsid w:val="00EF0857"/>
    <w:rsid w:val="00EF2617"/>
    <w:rsid w:val="00F12FC8"/>
    <w:rsid w:val="00F22346"/>
    <w:rsid w:val="00F26B88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E632-4CE5-49BD-BAD7-A3E4C27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Jekaterina Borovika</cp:lastModifiedBy>
  <cp:revision>2</cp:revision>
  <cp:lastPrinted>2017-04-10T06:08:00Z</cp:lastPrinted>
  <dcterms:created xsi:type="dcterms:W3CDTF">2017-04-11T11:33:00Z</dcterms:created>
  <dcterms:modified xsi:type="dcterms:W3CDTF">2017-04-11T11:33:00Z</dcterms:modified>
</cp:coreProperties>
</file>