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3942E5A1"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sidR="00E52909">
        <w:rPr>
          <w:sz w:val="26"/>
        </w:rPr>
        <w:t>25</w:t>
      </w:r>
      <w:r>
        <w:rPr>
          <w:sz w:val="26"/>
        </w:rPr>
        <w:t xml:space="preserve">. </w:t>
      </w:r>
      <w:r w:rsidR="00E52909">
        <w:rPr>
          <w:sz w:val="26"/>
        </w:rPr>
        <w:t>aprīļa</w:t>
      </w:r>
      <w:r>
        <w:rPr>
          <w:sz w:val="26"/>
        </w:rPr>
        <w:t xml:space="preserve"> </w:t>
      </w:r>
      <w:r w:rsidRPr="00EF1334">
        <w:rPr>
          <w:sz w:val="26"/>
        </w:rPr>
        <w:t>sanāksmē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24255E6C" w:rsidR="00910E8B" w:rsidRPr="00B534DC" w:rsidRDefault="00910E8B" w:rsidP="00910E8B">
      <w:pPr>
        <w:spacing w:after="120"/>
        <w:jc w:val="both"/>
      </w:pPr>
      <w:r w:rsidRPr="00B534DC">
        <w:t>201</w:t>
      </w:r>
      <w:r>
        <w:t>7. </w:t>
      </w:r>
      <w:r w:rsidRPr="00B534DC">
        <w:t xml:space="preserve">gada </w:t>
      </w:r>
      <w:r w:rsidR="00E52909">
        <w:t>25</w:t>
      </w:r>
      <w:r>
        <w:t>. </w:t>
      </w:r>
      <w:r w:rsidR="00E52909">
        <w:t>aprīlī</w:t>
      </w:r>
      <w:r w:rsidRPr="00B534DC">
        <w:t xml:space="preserve"> </w:t>
      </w:r>
      <w:r w:rsidR="00E52909">
        <w:t>Luksemburgā</w:t>
      </w:r>
      <w:r w:rsidRPr="00B534DC">
        <w:t xml:space="preserve"> notiks Eiropas Savienības (turpmāk – ES) Vispārējo lietu padomes (turpmāk – VLP) sanāksme. VLP darba kārtībā ir iekļauti šādi jautājumi:</w:t>
      </w:r>
    </w:p>
    <w:p w14:paraId="72F3F904" w14:textId="6C63C827" w:rsidR="00910E8B" w:rsidRPr="006E525F" w:rsidRDefault="006E525F" w:rsidP="00910E8B">
      <w:pPr>
        <w:pStyle w:val="ListParagraph"/>
        <w:numPr>
          <w:ilvl w:val="0"/>
          <w:numId w:val="19"/>
        </w:numPr>
        <w:spacing w:before="120" w:after="0" w:line="240" w:lineRule="auto"/>
        <w:contextualSpacing w:val="0"/>
        <w:jc w:val="both"/>
        <w:rPr>
          <w:rFonts w:ascii="Times New Roman" w:hAnsi="Times New Roman"/>
          <w:b/>
          <w:bCs/>
          <w:sz w:val="24"/>
          <w:szCs w:val="24"/>
        </w:rPr>
      </w:pPr>
      <w:r w:rsidRPr="006E525F">
        <w:rPr>
          <w:rFonts w:ascii="Times New Roman" w:hAnsi="Times New Roman"/>
          <w:bCs/>
          <w:sz w:val="24"/>
          <w:szCs w:val="24"/>
        </w:rPr>
        <w:t>Kop</w:t>
      </w:r>
      <w:r w:rsidR="00BF5737">
        <w:rPr>
          <w:rFonts w:ascii="Times New Roman" w:hAnsi="Times New Roman"/>
          <w:bCs/>
          <w:sz w:val="24"/>
          <w:szCs w:val="24"/>
        </w:rPr>
        <w:t>īg</w:t>
      </w:r>
      <w:r w:rsidRPr="006E525F">
        <w:rPr>
          <w:rFonts w:ascii="Times New Roman" w:hAnsi="Times New Roman"/>
          <w:bCs/>
          <w:sz w:val="24"/>
          <w:szCs w:val="24"/>
        </w:rPr>
        <w:t>o noteikumu regulas grozījumi (Regula Nr</w:t>
      </w:r>
      <w:r>
        <w:rPr>
          <w:rFonts w:ascii="Times New Roman" w:hAnsi="Times New Roman"/>
          <w:bCs/>
          <w:sz w:val="24"/>
          <w:szCs w:val="24"/>
        </w:rPr>
        <w:t>.</w:t>
      </w:r>
      <w:r w:rsidRPr="006E525F">
        <w:rPr>
          <w:rFonts w:ascii="Times New Roman" w:hAnsi="Times New Roman"/>
          <w:bCs/>
          <w:sz w:val="24"/>
          <w:szCs w:val="24"/>
        </w:rPr>
        <w:t xml:space="preserve"> 1303/2013)</w:t>
      </w:r>
      <w:r w:rsidR="00910E8B" w:rsidRPr="006E525F">
        <w:rPr>
          <w:rFonts w:ascii="Times New Roman" w:hAnsi="Times New Roman"/>
          <w:sz w:val="24"/>
          <w:szCs w:val="24"/>
        </w:rPr>
        <w:t>;</w:t>
      </w:r>
    </w:p>
    <w:p w14:paraId="14A50E35" w14:textId="3F505463" w:rsidR="00910E8B" w:rsidRPr="00243CF3" w:rsidRDefault="006E525F" w:rsidP="00910E8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Kohēzijas politikas tuvināšana ES pilsoņiem</w:t>
      </w:r>
      <w:r w:rsidR="00910E8B" w:rsidRPr="00243CF3">
        <w:rPr>
          <w:rFonts w:ascii="Times New Roman" w:hAnsi="Times New Roman"/>
          <w:sz w:val="24"/>
          <w:szCs w:val="24"/>
        </w:rPr>
        <w:t>;</w:t>
      </w:r>
    </w:p>
    <w:p w14:paraId="78397721" w14:textId="2143C090" w:rsidR="006E525F" w:rsidRPr="00C3639D" w:rsidRDefault="006E525F" w:rsidP="00C3639D">
      <w:pPr>
        <w:pStyle w:val="ListParagraph"/>
        <w:numPr>
          <w:ilvl w:val="0"/>
          <w:numId w:val="19"/>
        </w:numPr>
        <w:spacing w:after="0" w:line="240" w:lineRule="auto"/>
        <w:contextualSpacing w:val="0"/>
        <w:rPr>
          <w:rFonts w:ascii="Times New Roman" w:hAnsi="Times New Roman"/>
          <w:sz w:val="24"/>
          <w:szCs w:val="24"/>
        </w:rPr>
      </w:pPr>
      <w:r w:rsidRPr="006E525F">
        <w:rPr>
          <w:rFonts w:ascii="Times New Roman" w:hAnsi="Times New Roman"/>
          <w:sz w:val="24"/>
          <w:szCs w:val="24"/>
        </w:rPr>
        <w:t>Eiropas Savienības makro-reģionālo stratēģiju īstenošanu</w:t>
      </w:r>
      <w:r w:rsidRPr="00C3639D">
        <w:rPr>
          <w:rFonts w:ascii="Times New Roman" w:hAnsi="Times New Roman"/>
          <w:sz w:val="24"/>
          <w:szCs w:val="24"/>
        </w:rPr>
        <w:t>.</w:t>
      </w:r>
    </w:p>
    <w:p w14:paraId="08F37B4F" w14:textId="77777777" w:rsidR="00910E8B" w:rsidRPr="00B534DC" w:rsidRDefault="00910E8B" w:rsidP="00910E8B">
      <w:pPr>
        <w:pStyle w:val="darba"/>
        <w:tabs>
          <w:tab w:val="clear" w:pos="9288"/>
          <w:tab w:val="left" w:pos="709"/>
        </w:tabs>
        <w:spacing w:before="0"/>
        <w:ind w:left="924"/>
      </w:pPr>
    </w:p>
    <w:p w14:paraId="7FCE4D8D" w14:textId="7355B2E1" w:rsidR="00910E8B" w:rsidRPr="006E525F" w:rsidRDefault="00C3639D" w:rsidP="00910E8B">
      <w:pPr>
        <w:pStyle w:val="ListParagraph"/>
        <w:numPr>
          <w:ilvl w:val="0"/>
          <w:numId w:val="23"/>
        </w:numPr>
        <w:spacing w:after="240" w:line="240" w:lineRule="auto"/>
        <w:ind w:left="641" w:hanging="357"/>
        <w:jc w:val="both"/>
        <w:rPr>
          <w:rFonts w:ascii="Times New Roman" w:hAnsi="Times New Roman"/>
          <w:b/>
          <w:sz w:val="24"/>
          <w:szCs w:val="24"/>
          <w:lang w:eastAsia="lv-LV"/>
        </w:rPr>
      </w:pPr>
      <w:r>
        <w:rPr>
          <w:rFonts w:ascii="Times New Roman" w:hAnsi="Times New Roman"/>
          <w:b/>
          <w:bCs/>
          <w:sz w:val="24"/>
          <w:szCs w:val="24"/>
        </w:rPr>
        <w:t xml:space="preserve">Grozījumi </w:t>
      </w:r>
      <w:r w:rsidR="006E525F" w:rsidRPr="006E525F">
        <w:rPr>
          <w:rFonts w:ascii="Times New Roman" w:hAnsi="Times New Roman"/>
          <w:b/>
          <w:bCs/>
          <w:sz w:val="24"/>
          <w:szCs w:val="24"/>
        </w:rPr>
        <w:t>Kop</w:t>
      </w:r>
      <w:r w:rsidR="00BF5737">
        <w:rPr>
          <w:rFonts w:ascii="Times New Roman" w:hAnsi="Times New Roman"/>
          <w:b/>
          <w:bCs/>
          <w:sz w:val="24"/>
          <w:szCs w:val="24"/>
        </w:rPr>
        <w:t>īg</w:t>
      </w:r>
      <w:r w:rsidR="006E525F" w:rsidRPr="006E525F">
        <w:rPr>
          <w:rFonts w:ascii="Times New Roman" w:hAnsi="Times New Roman"/>
          <w:b/>
          <w:bCs/>
          <w:sz w:val="24"/>
          <w:szCs w:val="24"/>
        </w:rPr>
        <w:t xml:space="preserve">o noteikumu </w:t>
      </w:r>
      <w:r>
        <w:rPr>
          <w:rFonts w:ascii="Times New Roman" w:hAnsi="Times New Roman"/>
          <w:b/>
          <w:bCs/>
          <w:sz w:val="24"/>
          <w:szCs w:val="24"/>
        </w:rPr>
        <w:t>regulā</w:t>
      </w:r>
      <w:r w:rsidR="006E525F" w:rsidRPr="006E525F">
        <w:rPr>
          <w:rFonts w:ascii="Times New Roman" w:hAnsi="Times New Roman"/>
          <w:b/>
          <w:bCs/>
          <w:sz w:val="24"/>
          <w:szCs w:val="24"/>
        </w:rPr>
        <w:t xml:space="preserve"> (Regula Nr. 1303/2013)</w:t>
      </w:r>
      <w:r>
        <w:rPr>
          <w:rStyle w:val="FootnoteReference"/>
          <w:rFonts w:ascii="Times New Roman" w:hAnsi="Times New Roman"/>
          <w:b/>
          <w:bCs/>
          <w:sz w:val="24"/>
          <w:szCs w:val="24"/>
        </w:rPr>
        <w:footnoteReference w:id="2"/>
      </w:r>
    </w:p>
    <w:p w14:paraId="622FD391" w14:textId="2B02F66B" w:rsidR="00141C22" w:rsidRDefault="00141C22" w:rsidP="003C7A07">
      <w:pPr>
        <w:spacing w:before="120"/>
        <w:jc w:val="both"/>
      </w:pPr>
      <w:r>
        <w:t xml:space="preserve">Vispārējo lietu padomē Maltas prezidentūra informēs par darbu pie grozījumiem Kopīgo noteikumu regulā. </w:t>
      </w:r>
    </w:p>
    <w:p w14:paraId="3536AFD1" w14:textId="4A0C4860" w:rsidR="00C3639D" w:rsidRDefault="00C3639D" w:rsidP="003C7A07">
      <w:pPr>
        <w:spacing w:before="120"/>
        <w:jc w:val="both"/>
      </w:pPr>
      <w:r>
        <w:t>2016. gadā</w:t>
      </w:r>
      <w:r w:rsidR="007C0252">
        <w:t xml:space="preserve"> septembrī</w:t>
      </w:r>
      <w:r>
        <w:t xml:space="preserve"> Eiropas Komisija (turpmāk – EK) </w:t>
      </w:r>
      <w:r w:rsidR="007C0252">
        <w:t>ES daudzgadu budžeta vidusposma pārskata ietvaros publicēja priekšlikumu finanšu un sektor</w:t>
      </w:r>
      <w:r w:rsidR="0030023A">
        <w:t>ālā regulējuma</w:t>
      </w:r>
      <w:r w:rsidR="007C0252">
        <w:t xml:space="preserve"> grozījumiem</w:t>
      </w:r>
      <w:r w:rsidR="0030023A">
        <w:t xml:space="preserve"> (dēvēti kā “</w:t>
      </w:r>
      <w:proofErr w:type="spellStart"/>
      <w:r w:rsidR="0030023A">
        <w:t>Omnibus</w:t>
      </w:r>
      <w:proofErr w:type="spellEnd"/>
      <w:r w:rsidR="0030023A">
        <w:t xml:space="preserve"> grozījumi”), tajā skaitā,</w:t>
      </w:r>
      <w:r w:rsidR="007C0252">
        <w:t xml:space="preserve"> </w:t>
      </w:r>
      <w:r>
        <w:t>Eiropas Strukturālo un investīciju fondu</w:t>
      </w:r>
      <w:r w:rsidR="00D44EF2">
        <w:t xml:space="preserve"> </w:t>
      </w:r>
      <w:r w:rsidR="00D44EF2" w:rsidRPr="00C3639D">
        <w:t xml:space="preserve">(turpmāk </w:t>
      </w:r>
      <w:r w:rsidR="00D44EF2">
        <w:t xml:space="preserve">– </w:t>
      </w:r>
      <w:r w:rsidR="00D44EF2" w:rsidRPr="00C3639D">
        <w:t>ESI fondi)</w:t>
      </w:r>
      <w:r w:rsidR="00D44EF2">
        <w:rPr>
          <w:rStyle w:val="FootnoteReference"/>
        </w:rPr>
        <w:footnoteReference w:id="3"/>
      </w:r>
      <w:r w:rsidR="00BF5737">
        <w:t xml:space="preserve"> K</w:t>
      </w:r>
      <w:r>
        <w:t>op</w:t>
      </w:r>
      <w:r w:rsidR="00BF5737">
        <w:t>īg</w:t>
      </w:r>
      <w:r>
        <w:t>o noteikumu regulas grozījumiem. Kop</w:t>
      </w:r>
      <w:r w:rsidR="00BF5737">
        <w:t>īg</w:t>
      </w:r>
      <w:r>
        <w:t>o noteikumu regulas grozījumi vērsti uz esošā regulējuma vienkāršošanu, vienlaikus neveicot būtiskas pārmaiņas 2014</w:t>
      </w:r>
      <w:r w:rsidR="00D44EF2">
        <w:t>.</w:t>
      </w:r>
      <w:r>
        <w:t>-2020. gada plānošanas perioda institucionālajā ietvarā vai ieviešanas principos. Kop</w:t>
      </w:r>
      <w:r w:rsidR="00BF5737">
        <w:t>īg</w:t>
      </w:r>
      <w:r>
        <w:t xml:space="preserve">o noteikumu regulas grozījumi tiek iedalīti šādos blokos: (1) vienkāršotās izmaksas un vienotās rīcības plāni; (2) finanšu instrumenti; (3) vispārīgie nosacījumi; (4) sasaiste ar finanšu regulu. Šobrīd par </w:t>
      </w:r>
      <w:r w:rsidR="00590353">
        <w:t>Kopīgo noteikumu regulas</w:t>
      </w:r>
      <w:r>
        <w:t xml:space="preserve"> </w:t>
      </w:r>
      <w:r w:rsidR="005A3DA3">
        <w:t xml:space="preserve">grozījumu priekšlikumiem </w:t>
      </w:r>
      <w:r>
        <w:t xml:space="preserve">ir noslēgušās diskusijas </w:t>
      </w:r>
      <w:r w:rsidR="00D44EF2">
        <w:t>ES Padomes</w:t>
      </w:r>
      <w:r w:rsidR="00BF5737">
        <w:t xml:space="preserve"> (turpmāk – Padome)</w:t>
      </w:r>
      <w:r>
        <w:t xml:space="preserve"> Strukturālo pasākumu darba grupā. </w:t>
      </w:r>
    </w:p>
    <w:p w14:paraId="0E03A332" w14:textId="27338C8F" w:rsidR="00C3639D" w:rsidRDefault="00141C22" w:rsidP="003C7A07">
      <w:pPr>
        <w:spacing w:before="120"/>
        <w:jc w:val="both"/>
      </w:pPr>
      <w:r>
        <w:t>Tāpat</w:t>
      </w:r>
      <w:r w:rsidR="00BF5737">
        <w:t xml:space="preserve"> </w:t>
      </w:r>
      <w:r w:rsidR="00FD595D">
        <w:t>no</w:t>
      </w:r>
      <w:r w:rsidR="00BF5737">
        <w:t xml:space="preserve">tiek </w:t>
      </w:r>
      <w:r w:rsidR="00FD595D">
        <w:t xml:space="preserve">darbs pie grozījumiem </w:t>
      </w:r>
      <w:r w:rsidR="00BF5737">
        <w:t>K</w:t>
      </w:r>
      <w:r w:rsidR="00C3639D">
        <w:t>opīgo noteikumu regul</w:t>
      </w:r>
      <w:r w:rsidR="00FD595D">
        <w:t>ā</w:t>
      </w:r>
      <w:r w:rsidR="00C3639D">
        <w:t xml:space="preserve">, </w:t>
      </w:r>
      <w:r w:rsidR="00FD595D">
        <w:t xml:space="preserve">lai varētu sniegt papildu atbalstu </w:t>
      </w:r>
      <w:r w:rsidR="00C3639D">
        <w:t xml:space="preserve">dabas katastrofās cietušajām </w:t>
      </w:r>
      <w:r w:rsidR="00FD595D">
        <w:t>dalīb</w:t>
      </w:r>
      <w:r w:rsidR="00C3639D">
        <w:t xml:space="preserve">valstīm. </w:t>
      </w:r>
      <w:r w:rsidR="00B21648">
        <w:t xml:space="preserve">Ņemot vērā dabas katastrofu potenciāli lielo mērogu, tiek paredzēts skarto apgabalu atjaunošanas darbības finansēt no Eiropas Reģionālās attīstības fonda (ERAF) ar 90 % atbalsta intensitāti. </w:t>
      </w:r>
      <w:r w:rsidR="00A75F58">
        <w:t xml:space="preserve"> </w:t>
      </w:r>
      <w:r w:rsidR="00BF5737">
        <w:t xml:space="preserve">2017. gada </w:t>
      </w:r>
      <w:r w:rsidR="00C3639D">
        <w:t xml:space="preserve">29. marta </w:t>
      </w:r>
      <w:r w:rsidR="00BF5737" w:rsidRPr="00BF5737">
        <w:rPr>
          <w:bCs/>
          <w:color w:val="000000" w:themeColor="text1"/>
        </w:rPr>
        <w:t>Pastāvīgo</w:t>
      </w:r>
      <w:r w:rsidR="00BF5737" w:rsidRPr="00BF5737">
        <w:rPr>
          <w:color w:val="000000" w:themeColor="text1"/>
        </w:rPr>
        <w:t xml:space="preserve"> pārstāvju komitejā tika</w:t>
      </w:r>
      <w:r w:rsidR="00C3639D" w:rsidRPr="00BF5737">
        <w:rPr>
          <w:color w:val="000000" w:themeColor="text1"/>
        </w:rPr>
        <w:t xml:space="preserve"> apstiprināts </w:t>
      </w:r>
      <w:r w:rsidR="00C3639D">
        <w:t>Padomes mandāts sarunām ar Eiropas Parlamentu</w:t>
      </w:r>
      <w:r w:rsidR="00BF5737">
        <w:t xml:space="preserve"> (turpmāk – EP)</w:t>
      </w:r>
      <w:r w:rsidR="00C3639D">
        <w:t>.</w:t>
      </w:r>
    </w:p>
    <w:p w14:paraId="3D9FD100" w14:textId="6B3D8FB0" w:rsidR="00C3639D" w:rsidRPr="00BF5737" w:rsidRDefault="00BF5737" w:rsidP="003C7A07">
      <w:pPr>
        <w:spacing w:before="120"/>
        <w:jc w:val="both"/>
        <w:rPr>
          <w:u w:val="single"/>
        </w:rPr>
      </w:pPr>
      <w:r w:rsidRPr="00BF5737">
        <w:rPr>
          <w:u w:val="single"/>
        </w:rPr>
        <w:t>Latvijas</w:t>
      </w:r>
      <w:r w:rsidR="00C3639D" w:rsidRPr="00BF5737">
        <w:rPr>
          <w:u w:val="single"/>
        </w:rPr>
        <w:t xml:space="preserve"> nostāja: </w:t>
      </w:r>
    </w:p>
    <w:p w14:paraId="3721CAD0" w14:textId="473975BF" w:rsidR="00C3639D" w:rsidRPr="00BF5737" w:rsidRDefault="00C3639D" w:rsidP="003C7A07">
      <w:pPr>
        <w:pStyle w:val="ListParagraph"/>
        <w:numPr>
          <w:ilvl w:val="0"/>
          <w:numId w:val="35"/>
        </w:numPr>
        <w:spacing w:before="120" w:after="0" w:line="240" w:lineRule="auto"/>
        <w:ind w:left="714" w:hanging="357"/>
        <w:contextualSpacing w:val="0"/>
        <w:jc w:val="both"/>
        <w:rPr>
          <w:rFonts w:ascii="Times New Roman" w:hAnsi="Times New Roman"/>
          <w:sz w:val="24"/>
          <w:szCs w:val="24"/>
        </w:rPr>
      </w:pPr>
      <w:r w:rsidRPr="00BF5737">
        <w:rPr>
          <w:rFonts w:ascii="Times New Roman" w:hAnsi="Times New Roman"/>
          <w:sz w:val="24"/>
          <w:szCs w:val="24"/>
        </w:rPr>
        <w:t>Latvija kopumā atbalst</w:t>
      </w:r>
      <w:r w:rsidR="00A75F58">
        <w:rPr>
          <w:rFonts w:ascii="Times New Roman" w:hAnsi="Times New Roman"/>
          <w:sz w:val="24"/>
          <w:szCs w:val="24"/>
        </w:rPr>
        <w:t>a</w:t>
      </w:r>
      <w:r w:rsidRPr="00BF5737">
        <w:rPr>
          <w:rFonts w:ascii="Times New Roman" w:hAnsi="Times New Roman"/>
          <w:sz w:val="24"/>
          <w:szCs w:val="24"/>
        </w:rPr>
        <w:t xml:space="preserve"> </w:t>
      </w:r>
      <w:r w:rsidR="00A75F58">
        <w:rPr>
          <w:rFonts w:ascii="Times New Roman" w:hAnsi="Times New Roman"/>
          <w:sz w:val="24"/>
          <w:szCs w:val="24"/>
        </w:rPr>
        <w:t xml:space="preserve">grozījumus </w:t>
      </w:r>
      <w:r w:rsidR="008C7EA6">
        <w:rPr>
          <w:rFonts w:ascii="Times New Roman" w:hAnsi="Times New Roman"/>
          <w:sz w:val="24"/>
          <w:szCs w:val="24"/>
        </w:rPr>
        <w:t>K</w:t>
      </w:r>
      <w:r w:rsidRPr="00BF5737">
        <w:rPr>
          <w:rFonts w:ascii="Times New Roman" w:hAnsi="Times New Roman"/>
          <w:sz w:val="24"/>
          <w:szCs w:val="24"/>
        </w:rPr>
        <w:t>opīgo noteikumu regul</w:t>
      </w:r>
      <w:r w:rsidR="00A75F58">
        <w:rPr>
          <w:rFonts w:ascii="Times New Roman" w:hAnsi="Times New Roman"/>
          <w:sz w:val="24"/>
          <w:szCs w:val="24"/>
        </w:rPr>
        <w:t>ā</w:t>
      </w:r>
      <w:r w:rsidR="00BF5737">
        <w:rPr>
          <w:rFonts w:ascii="Times New Roman" w:hAnsi="Times New Roman"/>
          <w:sz w:val="24"/>
          <w:szCs w:val="24"/>
        </w:rPr>
        <w:t>,</w:t>
      </w:r>
      <w:r w:rsidRPr="00BF5737">
        <w:rPr>
          <w:rFonts w:ascii="Times New Roman" w:hAnsi="Times New Roman"/>
          <w:sz w:val="24"/>
          <w:szCs w:val="24"/>
        </w:rPr>
        <w:t xml:space="preserve"> un </w:t>
      </w:r>
      <w:r w:rsidR="00A75F58">
        <w:rPr>
          <w:rFonts w:ascii="Times New Roman" w:hAnsi="Times New Roman"/>
          <w:sz w:val="24"/>
          <w:szCs w:val="24"/>
        </w:rPr>
        <w:t xml:space="preserve">pozitīvi vērtē </w:t>
      </w:r>
      <w:r w:rsidRPr="00BF5737">
        <w:rPr>
          <w:rFonts w:ascii="Times New Roman" w:hAnsi="Times New Roman"/>
          <w:sz w:val="24"/>
          <w:szCs w:val="24"/>
        </w:rPr>
        <w:t>progres</w:t>
      </w:r>
      <w:r w:rsidR="00A75F58">
        <w:rPr>
          <w:rFonts w:ascii="Times New Roman" w:hAnsi="Times New Roman"/>
          <w:sz w:val="24"/>
          <w:szCs w:val="24"/>
        </w:rPr>
        <w:t>u</w:t>
      </w:r>
      <w:r w:rsidRPr="00BF5737">
        <w:rPr>
          <w:rFonts w:ascii="Times New Roman" w:hAnsi="Times New Roman"/>
          <w:sz w:val="24"/>
          <w:szCs w:val="24"/>
        </w:rPr>
        <w:t xml:space="preserve"> </w:t>
      </w:r>
      <w:r w:rsidR="00A75F58">
        <w:rPr>
          <w:rFonts w:ascii="Times New Roman" w:hAnsi="Times New Roman"/>
          <w:sz w:val="24"/>
          <w:szCs w:val="24"/>
        </w:rPr>
        <w:t>darbā pie tiem</w:t>
      </w:r>
      <w:r w:rsidRPr="00BF5737">
        <w:rPr>
          <w:rFonts w:ascii="Times New Roman" w:hAnsi="Times New Roman"/>
          <w:sz w:val="24"/>
          <w:szCs w:val="24"/>
        </w:rPr>
        <w:t>;</w:t>
      </w:r>
    </w:p>
    <w:p w14:paraId="266E50ED" w14:textId="3CA529C8" w:rsidR="00C3639D" w:rsidRPr="00BF5737" w:rsidRDefault="00C3639D" w:rsidP="003C7A07">
      <w:pPr>
        <w:pStyle w:val="ListParagraph"/>
        <w:numPr>
          <w:ilvl w:val="0"/>
          <w:numId w:val="35"/>
        </w:numPr>
        <w:spacing w:before="120" w:after="0" w:line="240" w:lineRule="auto"/>
        <w:ind w:left="714" w:hanging="357"/>
        <w:contextualSpacing w:val="0"/>
        <w:jc w:val="both"/>
        <w:rPr>
          <w:rFonts w:ascii="Times New Roman" w:hAnsi="Times New Roman"/>
          <w:sz w:val="24"/>
          <w:szCs w:val="24"/>
        </w:rPr>
      </w:pPr>
      <w:r w:rsidRPr="00BF5737">
        <w:rPr>
          <w:rFonts w:ascii="Times New Roman" w:hAnsi="Times New Roman"/>
          <w:sz w:val="24"/>
          <w:szCs w:val="24"/>
        </w:rPr>
        <w:t xml:space="preserve">Latvija redz lielu potenciālu vienkāršoto izmaksu iespēju izmantošanā, kas būtiski vienkāršotu projektu īstenošanu finansējuma saņēmējiem. </w:t>
      </w:r>
      <w:r w:rsidR="00BF5737">
        <w:rPr>
          <w:rFonts w:ascii="Times New Roman" w:hAnsi="Times New Roman"/>
          <w:sz w:val="24"/>
          <w:szCs w:val="24"/>
        </w:rPr>
        <w:t>N</w:t>
      </w:r>
      <w:r w:rsidRPr="00BF5737">
        <w:rPr>
          <w:rFonts w:ascii="Times New Roman" w:hAnsi="Times New Roman"/>
          <w:sz w:val="24"/>
          <w:szCs w:val="24"/>
        </w:rPr>
        <w:t>epieciešams turpināt darbu</w:t>
      </w:r>
      <w:r w:rsidR="00BF5737">
        <w:rPr>
          <w:rFonts w:ascii="Times New Roman" w:hAnsi="Times New Roman"/>
          <w:sz w:val="24"/>
          <w:szCs w:val="24"/>
        </w:rPr>
        <w:t xml:space="preserve"> </w:t>
      </w:r>
      <w:r w:rsidR="00BF5737">
        <w:rPr>
          <w:rFonts w:ascii="Times New Roman" w:hAnsi="Times New Roman"/>
          <w:sz w:val="24"/>
          <w:szCs w:val="24"/>
        </w:rPr>
        <w:lastRenderedPageBreak/>
        <w:t>saistībā ar nākamo plānošanas periodu</w:t>
      </w:r>
      <w:r w:rsidRPr="00BF5737">
        <w:rPr>
          <w:rFonts w:ascii="Times New Roman" w:hAnsi="Times New Roman"/>
          <w:sz w:val="24"/>
          <w:szCs w:val="24"/>
        </w:rPr>
        <w:t>, lai mazinātu riskus administrācijām</w:t>
      </w:r>
      <w:r w:rsidR="00BF5737">
        <w:rPr>
          <w:rFonts w:ascii="Times New Roman" w:hAnsi="Times New Roman"/>
          <w:sz w:val="24"/>
          <w:szCs w:val="24"/>
        </w:rPr>
        <w:t>,</w:t>
      </w:r>
      <w:r w:rsidRPr="00BF5737">
        <w:rPr>
          <w:rFonts w:ascii="Times New Roman" w:hAnsi="Times New Roman"/>
          <w:sz w:val="24"/>
          <w:szCs w:val="24"/>
        </w:rPr>
        <w:t xml:space="preserve"> izstrādājot vienkāršoto izmaksu metodikas;</w:t>
      </w:r>
    </w:p>
    <w:p w14:paraId="712352E3" w14:textId="08587EF1" w:rsidR="00C3639D" w:rsidRPr="00BF5737" w:rsidRDefault="00C3639D" w:rsidP="003C7A07">
      <w:pPr>
        <w:pStyle w:val="ListParagraph"/>
        <w:numPr>
          <w:ilvl w:val="0"/>
          <w:numId w:val="35"/>
        </w:numPr>
        <w:spacing w:before="120" w:after="0" w:line="240" w:lineRule="auto"/>
        <w:ind w:left="714" w:hanging="357"/>
        <w:contextualSpacing w:val="0"/>
        <w:jc w:val="both"/>
        <w:rPr>
          <w:rFonts w:ascii="Times New Roman" w:hAnsi="Times New Roman"/>
          <w:sz w:val="24"/>
          <w:szCs w:val="24"/>
        </w:rPr>
      </w:pPr>
      <w:r w:rsidRPr="00BF5737">
        <w:rPr>
          <w:rFonts w:ascii="Times New Roman" w:hAnsi="Times New Roman"/>
          <w:sz w:val="24"/>
          <w:szCs w:val="24"/>
        </w:rPr>
        <w:t>Latvija saskata iespējas nāk</w:t>
      </w:r>
      <w:r w:rsidR="00BF5737">
        <w:rPr>
          <w:rFonts w:ascii="Times New Roman" w:hAnsi="Times New Roman"/>
          <w:sz w:val="24"/>
          <w:szCs w:val="24"/>
        </w:rPr>
        <w:t>ama</w:t>
      </w:r>
      <w:r w:rsidRPr="00BF5737">
        <w:rPr>
          <w:rFonts w:ascii="Times New Roman" w:hAnsi="Times New Roman"/>
          <w:sz w:val="24"/>
          <w:szCs w:val="24"/>
        </w:rPr>
        <w:t>jā plānošanas periodā turpināt vienkāršošanu tādos Latvijai būtiskos jautājumos, kā nacionālo finanšu instrumentu un integrēto teritoriālo investīciju ieviešanas nosacījumi;</w:t>
      </w:r>
    </w:p>
    <w:p w14:paraId="5212E339" w14:textId="15303920" w:rsidR="00910E8B" w:rsidRPr="00BF5737" w:rsidRDefault="00C3639D" w:rsidP="003C7A07">
      <w:pPr>
        <w:pStyle w:val="ListParagraph"/>
        <w:numPr>
          <w:ilvl w:val="0"/>
          <w:numId w:val="35"/>
        </w:numPr>
        <w:spacing w:before="120" w:after="0" w:line="240" w:lineRule="auto"/>
        <w:ind w:left="714" w:hanging="357"/>
        <w:contextualSpacing w:val="0"/>
        <w:jc w:val="both"/>
        <w:rPr>
          <w:b/>
          <w:sz w:val="20"/>
        </w:rPr>
      </w:pPr>
      <w:r w:rsidRPr="00BF5737">
        <w:rPr>
          <w:rFonts w:ascii="Times New Roman" w:hAnsi="Times New Roman"/>
          <w:sz w:val="24"/>
          <w:szCs w:val="24"/>
        </w:rPr>
        <w:t xml:space="preserve">Latvija uzskata, ka līdz galam netika izmantotas iespējas regulējuma grozījumos nodrošināt </w:t>
      </w:r>
      <w:r w:rsidR="00A95F9B">
        <w:rPr>
          <w:rFonts w:ascii="Times New Roman" w:hAnsi="Times New Roman"/>
          <w:sz w:val="24"/>
          <w:szCs w:val="24"/>
        </w:rPr>
        <w:t>līdzsvaru</w:t>
      </w:r>
      <w:r w:rsidR="00A95F9B" w:rsidRPr="00BF5737">
        <w:rPr>
          <w:rFonts w:ascii="Times New Roman" w:hAnsi="Times New Roman"/>
          <w:sz w:val="24"/>
          <w:szCs w:val="24"/>
        </w:rPr>
        <w:t xml:space="preserve"> </w:t>
      </w:r>
      <w:r w:rsidRPr="00BF5737">
        <w:rPr>
          <w:rFonts w:ascii="Times New Roman" w:hAnsi="Times New Roman"/>
          <w:sz w:val="24"/>
          <w:szCs w:val="24"/>
        </w:rPr>
        <w:t>starp orientāciju uz rezultātiem un administratīvo slogu. Diskusijās par nāk</w:t>
      </w:r>
      <w:r w:rsidR="00BF5737">
        <w:rPr>
          <w:rFonts w:ascii="Times New Roman" w:hAnsi="Times New Roman"/>
          <w:sz w:val="24"/>
          <w:szCs w:val="24"/>
        </w:rPr>
        <w:t>am</w:t>
      </w:r>
      <w:r w:rsidRPr="00BF5737">
        <w:rPr>
          <w:rFonts w:ascii="Times New Roman" w:hAnsi="Times New Roman"/>
          <w:sz w:val="24"/>
          <w:szCs w:val="24"/>
        </w:rPr>
        <w:t xml:space="preserve">o plānošanas periodu nepieciešams </w:t>
      </w:r>
      <w:r w:rsidR="00A75F58">
        <w:rPr>
          <w:rFonts w:ascii="Times New Roman" w:hAnsi="Times New Roman"/>
          <w:sz w:val="24"/>
          <w:szCs w:val="24"/>
        </w:rPr>
        <w:t>izvērtēt</w:t>
      </w:r>
      <w:r w:rsidR="00A75F58" w:rsidRPr="00BF5737">
        <w:rPr>
          <w:rFonts w:ascii="Times New Roman" w:hAnsi="Times New Roman"/>
          <w:sz w:val="24"/>
          <w:szCs w:val="24"/>
        </w:rPr>
        <w:t xml:space="preserve"> </w:t>
      </w:r>
      <w:r w:rsidRPr="00BF5737">
        <w:rPr>
          <w:rFonts w:ascii="Times New Roman" w:hAnsi="Times New Roman"/>
          <w:sz w:val="24"/>
          <w:szCs w:val="24"/>
        </w:rPr>
        <w:t>2014.-2020. gada plānošanas perioda uzraudzības un ziņošanas prasības.</w:t>
      </w:r>
    </w:p>
    <w:p w14:paraId="39A3D195" w14:textId="77777777" w:rsidR="00910E8B" w:rsidRPr="002C1137" w:rsidRDefault="00910E8B" w:rsidP="003C7A07">
      <w:pPr>
        <w:autoSpaceDE w:val="0"/>
        <w:spacing w:before="120"/>
        <w:jc w:val="both"/>
        <w:rPr>
          <w:b/>
        </w:rPr>
      </w:pPr>
      <w:r w:rsidRPr="003C0F54">
        <w:rPr>
          <w:rFonts w:eastAsia="Calibri"/>
          <w:szCs w:val="20"/>
        </w:rPr>
        <w:t xml:space="preserve"> </w:t>
      </w:r>
    </w:p>
    <w:p w14:paraId="5CAC0CBB" w14:textId="577F191D" w:rsidR="00910E8B" w:rsidRPr="006E525F" w:rsidRDefault="006E525F" w:rsidP="003C7A07">
      <w:pPr>
        <w:pStyle w:val="darba"/>
        <w:numPr>
          <w:ilvl w:val="0"/>
          <w:numId w:val="23"/>
        </w:numPr>
        <w:tabs>
          <w:tab w:val="clear" w:pos="9288"/>
          <w:tab w:val="left" w:pos="709"/>
        </w:tabs>
        <w:spacing w:before="0" w:after="240"/>
        <w:ind w:left="641" w:hanging="357"/>
        <w:rPr>
          <w:b/>
        </w:rPr>
      </w:pPr>
      <w:r w:rsidRPr="006E525F">
        <w:rPr>
          <w:b/>
        </w:rPr>
        <w:t>Kohēzijas politikas tuvināšana ES pilsoņiem</w:t>
      </w:r>
    </w:p>
    <w:p w14:paraId="33BC6DD1" w14:textId="55546132" w:rsidR="00C3639D" w:rsidRPr="00C3639D"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VLP plānot</w:t>
      </w:r>
      <w:r w:rsidR="00CE7922">
        <w:rPr>
          <w:rFonts w:ascii="Times New Roman" w:hAnsi="Times New Roman"/>
          <w:sz w:val="24"/>
          <w:szCs w:val="24"/>
          <w:lang w:val="lv-LV"/>
        </w:rPr>
        <w:t>a</w:t>
      </w:r>
      <w:r w:rsidRPr="00C3639D">
        <w:rPr>
          <w:rFonts w:ascii="Times New Roman" w:hAnsi="Times New Roman"/>
          <w:sz w:val="24"/>
          <w:szCs w:val="24"/>
          <w:lang w:val="lv-LV"/>
        </w:rPr>
        <w:t xml:space="preserve"> </w:t>
      </w:r>
      <w:r w:rsidR="00CE7922">
        <w:rPr>
          <w:rFonts w:ascii="Times New Roman" w:hAnsi="Times New Roman"/>
          <w:sz w:val="24"/>
          <w:szCs w:val="24"/>
          <w:lang w:val="lv-LV"/>
        </w:rPr>
        <w:t xml:space="preserve">viedokļu apmaiņa par </w:t>
      </w:r>
      <w:r w:rsidR="00B21648">
        <w:rPr>
          <w:rFonts w:ascii="Times New Roman" w:hAnsi="Times New Roman"/>
          <w:sz w:val="24"/>
          <w:szCs w:val="24"/>
          <w:lang w:val="lv-LV"/>
        </w:rPr>
        <w:t>K</w:t>
      </w:r>
      <w:r w:rsidR="00CE7922">
        <w:rPr>
          <w:rFonts w:ascii="Times New Roman" w:hAnsi="Times New Roman"/>
          <w:sz w:val="24"/>
          <w:szCs w:val="24"/>
          <w:lang w:val="lv-LV"/>
        </w:rPr>
        <w:t xml:space="preserve">ohēzijas politikas tuvināšanu ES pilsoņiem un </w:t>
      </w:r>
      <w:r w:rsidR="00BF5737">
        <w:rPr>
          <w:rFonts w:ascii="Times New Roman" w:hAnsi="Times New Roman"/>
          <w:sz w:val="24"/>
          <w:szCs w:val="24"/>
          <w:lang w:val="lv-LV"/>
        </w:rPr>
        <w:t>Padomes secinājumu “</w:t>
      </w:r>
      <w:r w:rsidRPr="00C3639D">
        <w:rPr>
          <w:rFonts w:ascii="Times New Roman" w:hAnsi="Times New Roman"/>
          <w:sz w:val="24"/>
          <w:szCs w:val="24"/>
          <w:lang w:val="lv-LV"/>
        </w:rPr>
        <w:t xml:space="preserve">Padarīt Kohēzijas politiku efektīvāku, nozīmīgāku un redzamāku mūsu pilsoņiem” (turpmāk </w:t>
      </w:r>
      <w:r w:rsidR="00BF5737">
        <w:rPr>
          <w:rFonts w:ascii="Times New Roman" w:hAnsi="Times New Roman"/>
          <w:sz w:val="24"/>
          <w:szCs w:val="24"/>
          <w:lang w:val="lv-LV"/>
        </w:rPr>
        <w:t>–</w:t>
      </w:r>
      <w:r w:rsidR="007E43A9">
        <w:rPr>
          <w:rFonts w:ascii="Times New Roman" w:hAnsi="Times New Roman"/>
          <w:sz w:val="24"/>
          <w:szCs w:val="24"/>
          <w:lang w:val="lv-LV"/>
        </w:rPr>
        <w:t xml:space="preserve"> S</w:t>
      </w:r>
      <w:r w:rsidR="00BF5737">
        <w:rPr>
          <w:rFonts w:ascii="Times New Roman" w:hAnsi="Times New Roman"/>
          <w:sz w:val="24"/>
          <w:szCs w:val="24"/>
          <w:lang w:val="lv-LV"/>
        </w:rPr>
        <w:t>ecinājumi</w:t>
      </w:r>
      <w:r w:rsidRPr="00C3639D">
        <w:rPr>
          <w:rFonts w:ascii="Times New Roman" w:hAnsi="Times New Roman"/>
          <w:sz w:val="24"/>
          <w:szCs w:val="24"/>
          <w:lang w:val="lv-LV"/>
        </w:rPr>
        <w:t>)</w:t>
      </w:r>
      <w:r w:rsidR="00A75F58">
        <w:rPr>
          <w:rFonts w:ascii="Times New Roman" w:hAnsi="Times New Roman"/>
          <w:sz w:val="24"/>
          <w:szCs w:val="24"/>
          <w:lang w:val="lv-LV"/>
        </w:rPr>
        <w:t xml:space="preserve"> apstiprināšana</w:t>
      </w:r>
      <w:r w:rsidRPr="00C3639D">
        <w:rPr>
          <w:rFonts w:ascii="Times New Roman" w:hAnsi="Times New Roman"/>
          <w:sz w:val="24"/>
          <w:szCs w:val="24"/>
          <w:lang w:val="lv-LV"/>
        </w:rPr>
        <w:t>.</w:t>
      </w:r>
      <w:r w:rsidR="00A75F58">
        <w:rPr>
          <w:rFonts w:ascii="Times New Roman" w:hAnsi="Times New Roman"/>
          <w:sz w:val="24"/>
          <w:szCs w:val="24"/>
          <w:lang w:val="lv-LV"/>
        </w:rPr>
        <w:t xml:space="preserve"> </w:t>
      </w:r>
      <w:r w:rsidRPr="00C3639D">
        <w:rPr>
          <w:rFonts w:ascii="Times New Roman" w:hAnsi="Times New Roman"/>
          <w:sz w:val="24"/>
          <w:szCs w:val="24"/>
          <w:lang w:val="lv-LV"/>
        </w:rPr>
        <w:t xml:space="preserve"> </w:t>
      </w:r>
    </w:p>
    <w:p w14:paraId="5ECDC91C" w14:textId="0B3F1604" w:rsidR="00C3639D" w:rsidRPr="00C3639D"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Attiecībā uz Kohēzijas politikas efektivitāti un nozīmību tiek izcelti 2007</w:t>
      </w:r>
      <w:r w:rsidR="00BF5737">
        <w:rPr>
          <w:rFonts w:ascii="Times New Roman" w:hAnsi="Times New Roman"/>
          <w:sz w:val="24"/>
          <w:szCs w:val="24"/>
          <w:lang w:val="lv-LV"/>
        </w:rPr>
        <w:t>.</w:t>
      </w:r>
      <w:r w:rsidRPr="00C3639D">
        <w:rPr>
          <w:rFonts w:ascii="Times New Roman" w:hAnsi="Times New Roman"/>
          <w:sz w:val="24"/>
          <w:szCs w:val="24"/>
          <w:lang w:val="lv-LV"/>
        </w:rPr>
        <w:t>-2013. gada plānošanas perioda noslēguma (</w:t>
      </w:r>
      <w:proofErr w:type="spellStart"/>
      <w:r w:rsidRPr="00C3639D">
        <w:rPr>
          <w:rFonts w:ascii="Times New Roman" w:hAnsi="Times New Roman"/>
          <w:sz w:val="24"/>
          <w:szCs w:val="24"/>
          <w:lang w:val="lv-LV"/>
        </w:rPr>
        <w:t>ex-post)</w:t>
      </w:r>
      <w:proofErr w:type="spellEnd"/>
      <w:r w:rsidRPr="00C3639D">
        <w:rPr>
          <w:rFonts w:ascii="Times New Roman" w:hAnsi="Times New Roman"/>
          <w:sz w:val="24"/>
          <w:szCs w:val="24"/>
          <w:lang w:val="lv-LV"/>
        </w:rPr>
        <w:t xml:space="preserve"> izvērtējumi, </w:t>
      </w:r>
      <w:proofErr w:type="gramStart"/>
      <w:r w:rsidRPr="00C3639D">
        <w:rPr>
          <w:rFonts w:ascii="Times New Roman" w:hAnsi="Times New Roman"/>
          <w:sz w:val="24"/>
          <w:szCs w:val="24"/>
          <w:lang w:val="lv-LV"/>
        </w:rPr>
        <w:t>kuros identificēti skaidri rezultāti</w:t>
      </w:r>
      <w:proofErr w:type="gramEnd"/>
      <w:r w:rsidRPr="00C3639D">
        <w:rPr>
          <w:rFonts w:ascii="Times New Roman" w:hAnsi="Times New Roman"/>
          <w:sz w:val="24"/>
          <w:szCs w:val="24"/>
          <w:lang w:val="lv-LV"/>
        </w:rPr>
        <w:t xml:space="preserve"> un </w:t>
      </w:r>
      <w:r w:rsidR="00D44EF2">
        <w:rPr>
          <w:rFonts w:ascii="Times New Roman" w:hAnsi="Times New Roman"/>
          <w:sz w:val="24"/>
          <w:szCs w:val="24"/>
          <w:lang w:val="lv-LV"/>
        </w:rPr>
        <w:t>ESI fondu</w:t>
      </w:r>
      <w:r w:rsidRPr="00C3639D">
        <w:rPr>
          <w:rFonts w:ascii="Times New Roman" w:hAnsi="Times New Roman"/>
          <w:sz w:val="24"/>
          <w:szCs w:val="24"/>
          <w:lang w:val="lv-LV"/>
        </w:rPr>
        <w:t xml:space="preserve"> nozīme ekonomiskās krīzes pārvarēšanā.  Tāpat tiek izcelta 2014</w:t>
      </w:r>
      <w:r w:rsidR="00BF5737">
        <w:rPr>
          <w:rFonts w:ascii="Times New Roman" w:hAnsi="Times New Roman"/>
          <w:sz w:val="24"/>
          <w:szCs w:val="24"/>
          <w:lang w:val="lv-LV"/>
        </w:rPr>
        <w:t>.</w:t>
      </w:r>
      <w:r w:rsidRPr="00C3639D">
        <w:rPr>
          <w:rFonts w:ascii="Times New Roman" w:hAnsi="Times New Roman"/>
          <w:sz w:val="24"/>
          <w:szCs w:val="24"/>
          <w:lang w:val="lv-LV"/>
        </w:rPr>
        <w:t xml:space="preserve">-2020. gada plānošanas periodā veiktā reforma ESI fondu regulējumā, ieviešot </w:t>
      </w:r>
      <w:proofErr w:type="spellStart"/>
      <w:r w:rsidRPr="00C3639D">
        <w:rPr>
          <w:rFonts w:ascii="Times New Roman" w:hAnsi="Times New Roman"/>
          <w:sz w:val="24"/>
          <w:szCs w:val="24"/>
          <w:lang w:val="lv-LV"/>
        </w:rPr>
        <w:t>ex-ante</w:t>
      </w:r>
      <w:proofErr w:type="spellEnd"/>
      <w:r w:rsidRPr="00C3639D">
        <w:rPr>
          <w:rFonts w:ascii="Times New Roman" w:hAnsi="Times New Roman"/>
          <w:sz w:val="24"/>
          <w:szCs w:val="24"/>
          <w:lang w:val="lv-LV"/>
        </w:rPr>
        <w:t xml:space="preserve"> nosacījumu</w:t>
      </w:r>
      <w:r w:rsidR="007E43A9">
        <w:rPr>
          <w:rFonts w:ascii="Times New Roman" w:hAnsi="Times New Roman"/>
          <w:sz w:val="24"/>
          <w:szCs w:val="24"/>
          <w:lang w:val="lv-LV"/>
        </w:rPr>
        <w:t>s, kā arī sasaistes ar Eiropas s</w:t>
      </w:r>
      <w:r w:rsidRPr="00C3639D">
        <w:rPr>
          <w:rFonts w:ascii="Times New Roman" w:hAnsi="Times New Roman"/>
          <w:sz w:val="24"/>
          <w:szCs w:val="24"/>
          <w:lang w:val="lv-LV"/>
        </w:rPr>
        <w:t>emestra procesu un valstu specifiskajām rekomendācijām. Secinājumos tiek pausts uzskats, ka Kohēzijas politika ir sniegusi būtisku sociālo, teritoriālo un ekonomisko ietekmi un veicinājusi ES integrāciju.</w:t>
      </w:r>
    </w:p>
    <w:p w14:paraId="17A91D60" w14:textId="417E1A56" w:rsidR="00C3639D" w:rsidRPr="00C3639D"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K</w:t>
      </w:r>
      <w:r w:rsidR="007E43A9">
        <w:rPr>
          <w:rFonts w:ascii="Times New Roman" w:hAnsi="Times New Roman"/>
          <w:sz w:val="24"/>
          <w:szCs w:val="24"/>
          <w:lang w:val="lv-LV"/>
        </w:rPr>
        <w:t>ā atsevišķs jautājums S</w:t>
      </w:r>
      <w:r w:rsidRPr="00C3639D">
        <w:rPr>
          <w:rFonts w:ascii="Times New Roman" w:hAnsi="Times New Roman"/>
          <w:sz w:val="24"/>
          <w:szCs w:val="24"/>
          <w:lang w:val="lv-LV"/>
        </w:rPr>
        <w:t xml:space="preserve">ecinājumos tiek izcelta politikas rezultātu komunikācijas nozīme. Dalībvalstis tiek aicinātas vairāk </w:t>
      </w:r>
      <w:r w:rsidR="00CE7922">
        <w:rPr>
          <w:rFonts w:ascii="Times New Roman" w:hAnsi="Times New Roman"/>
          <w:sz w:val="24"/>
          <w:szCs w:val="24"/>
          <w:lang w:val="lv-LV"/>
        </w:rPr>
        <w:t xml:space="preserve">informēt </w:t>
      </w:r>
      <w:r w:rsidRPr="00C3639D">
        <w:rPr>
          <w:rFonts w:ascii="Times New Roman" w:hAnsi="Times New Roman"/>
          <w:sz w:val="24"/>
          <w:szCs w:val="24"/>
          <w:lang w:val="lv-LV"/>
        </w:rPr>
        <w:t>par priekšrocībām, kuras ES sniedz tās pilsoņiem</w:t>
      </w:r>
      <w:r w:rsidR="007E43A9">
        <w:rPr>
          <w:rFonts w:ascii="Times New Roman" w:hAnsi="Times New Roman"/>
          <w:sz w:val="24"/>
          <w:szCs w:val="24"/>
          <w:lang w:val="lv-LV"/>
        </w:rPr>
        <w:t>. Tāpat tiek izteikts aicinājum</w:t>
      </w:r>
      <w:r w:rsidRPr="00C3639D">
        <w:rPr>
          <w:rFonts w:ascii="Times New Roman" w:hAnsi="Times New Roman"/>
          <w:sz w:val="24"/>
          <w:szCs w:val="24"/>
          <w:lang w:val="lv-LV"/>
        </w:rPr>
        <w:t xml:space="preserve">s </w:t>
      </w:r>
      <w:r w:rsidR="007E43A9">
        <w:rPr>
          <w:rFonts w:ascii="Times New Roman" w:hAnsi="Times New Roman"/>
          <w:sz w:val="24"/>
          <w:szCs w:val="24"/>
          <w:lang w:val="lv-LV"/>
        </w:rPr>
        <w:t>EK</w:t>
      </w:r>
      <w:r w:rsidRPr="00C3639D">
        <w:rPr>
          <w:rFonts w:ascii="Times New Roman" w:hAnsi="Times New Roman"/>
          <w:sz w:val="24"/>
          <w:szCs w:val="24"/>
          <w:lang w:val="lv-LV"/>
        </w:rPr>
        <w:t xml:space="preserve"> un dalībvalstīm plašāk informēt par pozitīvajiem piemēriem un labo praksi ESI fondu ieviešanā.</w:t>
      </w:r>
    </w:p>
    <w:p w14:paraId="4DD8BC6C" w14:textId="1DC529FD" w:rsidR="00C3639D" w:rsidRPr="00C3639D"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 xml:space="preserve">Kontekstā ar vienkāršošanu pēc 2020. gada tiek uzsvērts, ka tai jābūt vērstai uz visām iesaistītājām pusēm, tajā skaitā, dalībvalstu administrācijām. </w:t>
      </w:r>
      <w:proofErr w:type="gramStart"/>
      <w:r w:rsidRPr="00C3639D">
        <w:rPr>
          <w:rFonts w:ascii="Times New Roman" w:hAnsi="Times New Roman"/>
          <w:sz w:val="24"/>
          <w:szCs w:val="24"/>
          <w:lang w:val="lv-LV"/>
        </w:rPr>
        <w:t>Secinājumos izcelta</w:t>
      </w:r>
      <w:proofErr w:type="gramEnd"/>
      <w:r w:rsidRPr="00C3639D">
        <w:rPr>
          <w:rFonts w:ascii="Times New Roman" w:hAnsi="Times New Roman"/>
          <w:sz w:val="24"/>
          <w:szCs w:val="24"/>
          <w:lang w:val="lv-LV"/>
        </w:rPr>
        <w:t xml:space="preserve"> nepieciešamība izvērtēt iespējas diferencēt ESI fondu ieviešanas noteikumus</w:t>
      </w:r>
      <w:r w:rsidR="007E43A9">
        <w:rPr>
          <w:rFonts w:ascii="Times New Roman" w:hAnsi="Times New Roman"/>
          <w:sz w:val="24"/>
          <w:szCs w:val="24"/>
          <w:lang w:val="lv-LV"/>
        </w:rPr>
        <w:t>,</w:t>
      </w:r>
      <w:r w:rsidRPr="00C3639D">
        <w:rPr>
          <w:rFonts w:ascii="Times New Roman" w:hAnsi="Times New Roman"/>
          <w:sz w:val="24"/>
          <w:szCs w:val="24"/>
          <w:lang w:val="lv-LV"/>
        </w:rPr>
        <w:t xml:space="preserve"> balstoties uz objektīviem kritērijiem, lai labāk nodrošinātu proporcionalitāti ESI fondu ieviešanā. Tāpat norādīts, ka būtiski atrast </w:t>
      </w:r>
      <w:r w:rsidR="003623E5">
        <w:rPr>
          <w:rFonts w:ascii="Times New Roman" w:hAnsi="Times New Roman"/>
          <w:sz w:val="24"/>
          <w:szCs w:val="24"/>
          <w:lang w:val="lv-LV"/>
        </w:rPr>
        <w:t>līdzsvaru</w:t>
      </w:r>
      <w:r w:rsidR="003623E5" w:rsidRPr="00C3639D">
        <w:rPr>
          <w:rFonts w:ascii="Times New Roman" w:hAnsi="Times New Roman"/>
          <w:sz w:val="24"/>
          <w:szCs w:val="24"/>
          <w:lang w:val="lv-LV"/>
        </w:rPr>
        <w:t xml:space="preserve"> </w:t>
      </w:r>
      <w:r w:rsidRPr="00C3639D">
        <w:rPr>
          <w:rFonts w:ascii="Times New Roman" w:hAnsi="Times New Roman"/>
          <w:sz w:val="24"/>
          <w:szCs w:val="24"/>
          <w:lang w:val="lv-LV"/>
        </w:rPr>
        <w:t>starp rezultātu orientāciju, dažādu līmeņu pārbaudēm un procedūru vienkāršošanu.</w:t>
      </w:r>
    </w:p>
    <w:p w14:paraId="0EC15F31" w14:textId="54175945" w:rsidR="00C3639D" w:rsidRPr="00C3639D"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Par izaicinājumiem pēc 2020.</w:t>
      </w:r>
      <w:r w:rsidR="007E43A9">
        <w:rPr>
          <w:rFonts w:ascii="Times New Roman" w:hAnsi="Times New Roman"/>
          <w:sz w:val="24"/>
          <w:szCs w:val="24"/>
          <w:lang w:val="lv-LV"/>
        </w:rPr>
        <w:t xml:space="preserve"> </w:t>
      </w:r>
      <w:r w:rsidRPr="00C3639D">
        <w:rPr>
          <w:rFonts w:ascii="Times New Roman" w:hAnsi="Times New Roman"/>
          <w:sz w:val="24"/>
          <w:szCs w:val="24"/>
          <w:lang w:val="lv-LV"/>
        </w:rPr>
        <w:t>gada tiek atzīmēts, ka Kohēzijas politika ir būtisks</w:t>
      </w:r>
      <w:r w:rsidR="007E43A9">
        <w:rPr>
          <w:rFonts w:ascii="Times New Roman" w:hAnsi="Times New Roman"/>
          <w:sz w:val="24"/>
          <w:szCs w:val="24"/>
          <w:lang w:val="lv-LV"/>
        </w:rPr>
        <w:t xml:space="preserve"> instruments, lai nodrošinātu “</w:t>
      </w:r>
      <w:r w:rsidRPr="00C3639D">
        <w:rPr>
          <w:rFonts w:ascii="Times New Roman" w:hAnsi="Times New Roman"/>
          <w:sz w:val="24"/>
          <w:szCs w:val="24"/>
          <w:lang w:val="lv-LV"/>
        </w:rPr>
        <w:t xml:space="preserve">Līgumā </w:t>
      </w:r>
      <w:r w:rsidR="007E43A9">
        <w:rPr>
          <w:rFonts w:ascii="Times New Roman" w:hAnsi="Times New Roman"/>
          <w:sz w:val="24"/>
          <w:szCs w:val="24"/>
          <w:lang w:val="lv-LV"/>
        </w:rPr>
        <w:t>par Eiropas Savienības darbību”</w:t>
      </w:r>
      <w:r w:rsidRPr="00C3639D">
        <w:rPr>
          <w:rFonts w:ascii="Times New Roman" w:hAnsi="Times New Roman"/>
          <w:sz w:val="24"/>
          <w:szCs w:val="24"/>
          <w:lang w:val="lv-LV"/>
        </w:rPr>
        <w:t xml:space="preserve"> noteikto mērķu sasniegšanu</w:t>
      </w:r>
      <w:r>
        <w:rPr>
          <w:rStyle w:val="FootnoteReference"/>
          <w:rFonts w:ascii="Times New Roman" w:hAnsi="Times New Roman"/>
          <w:sz w:val="24"/>
          <w:szCs w:val="24"/>
          <w:lang w:val="lv-LV"/>
        </w:rPr>
        <w:footnoteReference w:id="4"/>
      </w:r>
      <w:r w:rsidRPr="00C3639D">
        <w:rPr>
          <w:rFonts w:ascii="Times New Roman" w:hAnsi="Times New Roman"/>
          <w:sz w:val="24"/>
          <w:szCs w:val="24"/>
          <w:lang w:val="lv-LV"/>
        </w:rPr>
        <w:t xml:space="preserve">.  Papildus tiek norādīts, ka Kohēzijas politika pēc 2020. gada ir jāveido pietiekami elastīga, lai tā spētu reaģēt uz jauniem izaicinājumiem. Lai sasniegtu vēlamo politikas ietekmi, tiek rosināts mainīt “viens izmērs visiem” </w:t>
      </w:r>
      <w:proofErr w:type="gramStart"/>
      <w:r w:rsidRPr="00C3639D">
        <w:rPr>
          <w:rFonts w:ascii="Times New Roman" w:hAnsi="Times New Roman"/>
          <w:sz w:val="24"/>
          <w:szCs w:val="24"/>
          <w:lang w:val="lv-LV"/>
        </w:rPr>
        <w:t>pieeju</w:t>
      </w:r>
      <w:proofErr w:type="gramEnd"/>
      <w:r w:rsidRPr="00C3639D">
        <w:rPr>
          <w:rFonts w:ascii="Times New Roman" w:hAnsi="Times New Roman"/>
          <w:sz w:val="24"/>
          <w:szCs w:val="24"/>
          <w:lang w:val="lv-LV"/>
        </w:rPr>
        <w:t xml:space="preserve"> un ņemt vērā dažādas sociālās, teritoriālās un ekonomiskās realitātes, lai </w:t>
      </w:r>
      <w:r w:rsidR="003623E5">
        <w:rPr>
          <w:rFonts w:ascii="Times New Roman" w:hAnsi="Times New Roman"/>
          <w:sz w:val="24"/>
          <w:szCs w:val="24"/>
          <w:lang w:val="lv-LV"/>
        </w:rPr>
        <w:t>risinātu</w:t>
      </w:r>
      <w:r w:rsidR="003623E5" w:rsidRPr="00C3639D">
        <w:rPr>
          <w:rFonts w:ascii="Times New Roman" w:hAnsi="Times New Roman"/>
          <w:sz w:val="24"/>
          <w:szCs w:val="24"/>
          <w:lang w:val="lv-LV"/>
        </w:rPr>
        <w:t xml:space="preserve"> </w:t>
      </w:r>
      <w:r w:rsidRPr="00C3639D">
        <w:rPr>
          <w:rFonts w:ascii="Times New Roman" w:hAnsi="Times New Roman"/>
          <w:sz w:val="24"/>
          <w:szCs w:val="24"/>
          <w:lang w:val="lv-LV"/>
        </w:rPr>
        <w:t xml:space="preserve">uz vietas esošo situāciju. </w:t>
      </w:r>
      <w:r w:rsidR="007E43A9">
        <w:rPr>
          <w:rFonts w:ascii="Times New Roman" w:hAnsi="Times New Roman"/>
          <w:sz w:val="24"/>
          <w:szCs w:val="24"/>
          <w:lang w:val="lv-LV"/>
        </w:rPr>
        <w:t>EK</w:t>
      </w:r>
      <w:r w:rsidRPr="00C3639D">
        <w:rPr>
          <w:rFonts w:ascii="Times New Roman" w:hAnsi="Times New Roman"/>
          <w:sz w:val="24"/>
          <w:szCs w:val="24"/>
          <w:lang w:val="lv-LV"/>
        </w:rPr>
        <w:t xml:space="preserve"> tiek aicināta uzsākt dialogu ar dalībvalstīm par Kohēzijas politiku pēc 2020. gada, kā arī pēc iespējas drīz izstrādāt priekšlikumu nākamā ESI fondu plānošanas perioda regulējumam.</w:t>
      </w:r>
    </w:p>
    <w:p w14:paraId="42CAC145" w14:textId="77777777" w:rsidR="008F1DE3" w:rsidRDefault="008F1DE3">
      <w:pPr>
        <w:rPr>
          <w:rFonts w:eastAsia="Calibri"/>
          <w:u w:val="single"/>
        </w:rPr>
      </w:pPr>
      <w:r>
        <w:rPr>
          <w:u w:val="single"/>
        </w:rPr>
        <w:br w:type="page"/>
      </w:r>
    </w:p>
    <w:p w14:paraId="26BE3708" w14:textId="3429CDD9" w:rsidR="00C3639D" w:rsidRPr="007E43A9" w:rsidRDefault="00C3639D" w:rsidP="003C7A07">
      <w:pPr>
        <w:pStyle w:val="NoSpacing"/>
        <w:spacing w:before="120"/>
        <w:jc w:val="both"/>
        <w:rPr>
          <w:rFonts w:ascii="Times New Roman" w:hAnsi="Times New Roman"/>
          <w:sz w:val="24"/>
          <w:szCs w:val="24"/>
          <w:u w:val="single"/>
          <w:lang w:val="lv-LV"/>
        </w:rPr>
      </w:pPr>
      <w:bookmarkStart w:id="0" w:name="_GoBack"/>
      <w:bookmarkEnd w:id="0"/>
      <w:r w:rsidRPr="007E43A9">
        <w:rPr>
          <w:rFonts w:ascii="Times New Roman" w:hAnsi="Times New Roman"/>
          <w:sz w:val="24"/>
          <w:szCs w:val="24"/>
          <w:u w:val="single"/>
          <w:lang w:val="lv-LV"/>
        </w:rPr>
        <w:t>Latvijas nostāja:</w:t>
      </w:r>
    </w:p>
    <w:p w14:paraId="6816FB06" w14:textId="212190A9" w:rsidR="00C3639D" w:rsidRPr="00D97C11" w:rsidRDefault="00C3639D" w:rsidP="003C7A07">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lastRenderedPageBreak/>
        <w:t xml:space="preserve">Ir spēkā </w:t>
      </w:r>
      <w:r w:rsidR="007E43A9">
        <w:rPr>
          <w:rFonts w:ascii="Times New Roman" w:hAnsi="Times New Roman"/>
          <w:sz w:val="24"/>
          <w:szCs w:val="24"/>
          <w:lang w:val="lv-LV"/>
        </w:rPr>
        <w:t>Latvijas Republikas</w:t>
      </w:r>
      <w:r w:rsidRPr="00C3639D">
        <w:rPr>
          <w:rFonts w:ascii="Times New Roman" w:hAnsi="Times New Roman"/>
          <w:sz w:val="24"/>
          <w:szCs w:val="24"/>
          <w:lang w:val="lv-LV"/>
        </w:rPr>
        <w:t xml:space="preserve"> nacionālā pozīcija Nr. 1 “Par Kohēzijas politiku pēc 2020. gada”</w:t>
      </w:r>
      <w:r w:rsidR="00D97C11">
        <w:rPr>
          <w:rFonts w:ascii="Times New Roman" w:hAnsi="Times New Roman"/>
          <w:sz w:val="24"/>
          <w:szCs w:val="24"/>
          <w:lang w:val="lv-LV"/>
        </w:rPr>
        <w:t>, kas 2017. gada 11. aprīlī tika apstiprināta Ministru kabinetā.</w:t>
      </w:r>
    </w:p>
    <w:p w14:paraId="70A41BF3" w14:textId="24937E99" w:rsidR="00C3639D" w:rsidRPr="00C3639D" w:rsidRDefault="00C3639D" w:rsidP="003C7A07">
      <w:pPr>
        <w:pStyle w:val="NoSpacing"/>
        <w:numPr>
          <w:ilvl w:val="1"/>
          <w:numId w:val="36"/>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L</w:t>
      </w:r>
      <w:r w:rsidR="007E43A9">
        <w:rPr>
          <w:rFonts w:ascii="Times New Roman" w:hAnsi="Times New Roman"/>
          <w:sz w:val="24"/>
          <w:szCs w:val="24"/>
          <w:lang w:val="lv-LV"/>
        </w:rPr>
        <w:t>atvija kopumā atbalsta Padomes S</w:t>
      </w:r>
      <w:r w:rsidRPr="00C3639D">
        <w:rPr>
          <w:rFonts w:ascii="Times New Roman" w:hAnsi="Times New Roman"/>
          <w:sz w:val="24"/>
          <w:szCs w:val="24"/>
          <w:lang w:val="lv-LV"/>
        </w:rPr>
        <w:t xml:space="preserve">ecinājumus. Latvija pievienojas paustajam atbalstam Kohēzijas politikai, izceļot tās nozīmi strukturālo reformu īstenošanā, kā arī sociālās, teritoriālās un ekonomiskās </w:t>
      </w:r>
      <w:r w:rsidR="00B21648">
        <w:rPr>
          <w:rFonts w:ascii="Times New Roman" w:hAnsi="Times New Roman"/>
          <w:sz w:val="24"/>
          <w:szCs w:val="24"/>
          <w:lang w:val="lv-LV"/>
        </w:rPr>
        <w:t>K</w:t>
      </w:r>
      <w:r w:rsidR="00B21648" w:rsidRPr="00C3639D">
        <w:rPr>
          <w:rFonts w:ascii="Times New Roman" w:hAnsi="Times New Roman"/>
          <w:sz w:val="24"/>
          <w:szCs w:val="24"/>
          <w:lang w:val="lv-LV"/>
        </w:rPr>
        <w:t xml:space="preserve">ohēzijas </w:t>
      </w:r>
      <w:r w:rsidRPr="00C3639D">
        <w:rPr>
          <w:rFonts w:ascii="Times New Roman" w:hAnsi="Times New Roman"/>
          <w:sz w:val="24"/>
          <w:szCs w:val="24"/>
          <w:lang w:val="lv-LV"/>
        </w:rPr>
        <w:t>veicināšanā. Īpaša uzmanība arī turpmāk būtu veltāma mazāk attīstītajiem reģioniem;</w:t>
      </w:r>
    </w:p>
    <w:p w14:paraId="62D13595" w14:textId="496C74A8" w:rsidR="00C3639D" w:rsidRPr="00C3639D" w:rsidRDefault="00C3639D" w:rsidP="003C7A07">
      <w:pPr>
        <w:pStyle w:val="NoSpacing"/>
        <w:numPr>
          <w:ilvl w:val="1"/>
          <w:numId w:val="36"/>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 xml:space="preserve">Latvija atbalsta </w:t>
      </w:r>
      <w:r w:rsidR="00B21648">
        <w:rPr>
          <w:rFonts w:ascii="Times New Roman" w:hAnsi="Times New Roman"/>
          <w:sz w:val="24"/>
          <w:szCs w:val="24"/>
          <w:lang w:val="lv-LV"/>
        </w:rPr>
        <w:t>K</w:t>
      </w:r>
      <w:r w:rsidRPr="00C3639D">
        <w:rPr>
          <w:rFonts w:ascii="Times New Roman" w:hAnsi="Times New Roman"/>
          <w:sz w:val="24"/>
          <w:szCs w:val="24"/>
          <w:lang w:val="lv-LV"/>
        </w:rPr>
        <w:t>ohēzijas</w:t>
      </w:r>
      <w:r w:rsidR="007E43A9">
        <w:rPr>
          <w:rFonts w:ascii="Times New Roman" w:hAnsi="Times New Roman"/>
          <w:sz w:val="24"/>
          <w:szCs w:val="24"/>
          <w:lang w:val="lv-LV"/>
        </w:rPr>
        <w:t xml:space="preserve"> politikas sasaisti ar Eiropas s</w:t>
      </w:r>
      <w:r w:rsidRPr="00C3639D">
        <w:rPr>
          <w:rFonts w:ascii="Times New Roman" w:hAnsi="Times New Roman"/>
          <w:sz w:val="24"/>
          <w:szCs w:val="24"/>
          <w:lang w:val="lv-LV"/>
        </w:rPr>
        <w:t xml:space="preserve">emestri un </w:t>
      </w:r>
      <w:r w:rsidR="00302359" w:rsidRPr="00302359">
        <w:rPr>
          <w:rFonts w:ascii="Times New Roman" w:hAnsi="Times New Roman"/>
          <w:iCs/>
          <w:color w:val="000000"/>
          <w:sz w:val="24"/>
          <w:szCs w:val="24"/>
          <w:lang w:val="lv-LV"/>
        </w:rPr>
        <w:t>Padomes apstiprinātajām dalībvalstu specifiskajām</w:t>
      </w:r>
      <w:r w:rsidR="00302359">
        <w:rPr>
          <w:rFonts w:ascii="Times New Roman" w:hAnsi="Times New Roman"/>
          <w:iCs/>
          <w:color w:val="000000"/>
          <w:sz w:val="24"/>
          <w:szCs w:val="24"/>
          <w:lang w:val="lv-LV"/>
        </w:rPr>
        <w:t xml:space="preserve"> rekomendācijām</w:t>
      </w:r>
      <w:r w:rsidRPr="00302359">
        <w:rPr>
          <w:rFonts w:ascii="Times New Roman" w:hAnsi="Times New Roman"/>
          <w:sz w:val="24"/>
          <w:szCs w:val="24"/>
          <w:lang w:val="lv-LV"/>
        </w:rPr>
        <w:t>,</w:t>
      </w:r>
      <w:r w:rsidRPr="00C3639D">
        <w:rPr>
          <w:rFonts w:ascii="Times New Roman" w:hAnsi="Times New Roman"/>
          <w:sz w:val="24"/>
          <w:szCs w:val="24"/>
          <w:lang w:val="lv-LV"/>
        </w:rPr>
        <w:t xml:space="preserve"> tajā pašā laikā jāņem vērā daudzgadu plānošanai nepieciešamā stabilitāte, kā arī laika un finansiālās iespējas minēto rekomendāciju īstenošanai. Būtiski nodrošināt, lai jaunu izaicinājumu identificēšana neapdraud plānošanas dokumentos noteikto ilgtermiņa mērķu sasniegšanu konkrētās jomās;</w:t>
      </w:r>
    </w:p>
    <w:p w14:paraId="0F017C29" w14:textId="18D4EC51" w:rsidR="00C3639D" w:rsidRPr="00C3639D" w:rsidRDefault="00C3639D" w:rsidP="003C7A07">
      <w:pPr>
        <w:pStyle w:val="NoSpacing"/>
        <w:numPr>
          <w:ilvl w:val="1"/>
          <w:numId w:val="36"/>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 xml:space="preserve">Kopumā Latvija uzskata, ka esošā ieviešanas sistēma ir labs pamats ESI fondu ieviešanai arī nākotnē. 2014.-2020. gada plānošanas periodā ir </w:t>
      </w:r>
      <w:proofErr w:type="gramStart"/>
      <w:r w:rsidRPr="00C3639D">
        <w:rPr>
          <w:rFonts w:ascii="Times New Roman" w:hAnsi="Times New Roman"/>
          <w:sz w:val="24"/>
          <w:szCs w:val="24"/>
          <w:lang w:val="lv-LV"/>
        </w:rPr>
        <w:t>veikti nozīmīgi</w:t>
      </w:r>
      <w:proofErr w:type="gramEnd"/>
      <w:r w:rsidRPr="00C3639D">
        <w:rPr>
          <w:rFonts w:ascii="Times New Roman" w:hAnsi="Times New Roman"/>
          <w:sz w:val="24"/>
          <w:szCs w:val="24"/>
          <w:lang w:val="lv-LV"/>
        </w:rPr>
        <w:t xml:space="preserve"> pasākumi ESI fondu ieviešanas sistēmas vienkāršošanā (e-kohēzija, vienkāršotās izmaksas u.c.)</w:t>
      </w:r>
      <w:r w:rsidR="007E43A9">
        <w:rPr>
          <w:rFonts w:ascii="Times New Roman" w:hAnsi="Times New Roman"/>
          <w:sz w:val="24"/>
          <w:szCs w:val="24"/>
          <w:lang w:val="lv-LV"/>
        </w:rPr>
        <w:t>,</w:t>
      </w:r>
      <w:r w:rsidRPr="00C3639D">
        <w:rPr>
          <w:rFonts w:ascii="Times New Roman" w:hAnsi="Times New Roman"/>
          <w:sz w:val="24"/>
          <w:szCs w:val="24"/>
          <w:lang w:val="lv-LV"/>
        </w:rPr>
        <w:t xml:space="preserve"> un nākamajā plānošanas periodā ir jāstrādā pie šo mehānismu pilnveidošanas.  Latvija ir piesardzīga attiecībā uz tādām izmaiņām regulējumā, kas paredzētu būtiskas pārmaiņas ESI fondu ieviešanas sistēmā un radītu nesamērīgus pārrāvumus Kohēzijas politikas programmu īstenošanā;</w:t>
      </w:r>
    </w:p>
    <w:p w14:paraId="4704DB01" w14:textId="4E4B11E0" w:rsidR="00C3639D" w:rsidRPr="00C3639D" w:rsidRDefault="00C3639D" w:rsidP="003C7A07">
      <w:pPr>
        <w:pStyle w:val="NoSpacing"/>
        <w:numPr>
          <w:ilvl w:val="1"/>
          <w:numId w:val="36"/>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Latvija ir atvērta izvērtēt iespējas piemērot diferencētu pieeju, tajā pašā laikā uzskata, ka ir būtiski turpināt darbu pie sistēmas vienkāršošanas, kas nodrošinātu vienkāršošanu visos reģionos un programmās un tiktu ievērota vienāda attieksme pret dalībvalstīm;</w:t>
      </w:r>
    </w:p>
    <w:p w14:paraId="2052925A" w14:textId="03895A72" w:rsidR="00C3639D" w:rsidRPr="00C3639D" w:rsidRDefault="00C3639D" w:rsidP="003C7A07">
      <w:pPr>
        <w:pStyle w:val="NoSpacing"/>
        <w:numPr>
          <w:ilvl w:val="1"/>
          <w:numId w:val="36"/>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Latvija atbalst</w:t>
      </w:r>
      <w:r w:rsidR="00E45C66">
        <w:rPr>
          <w:rFonts w:ascii="Times New Roman" w:hAnsi="Times New Roman"/>
          <w:sz w:val="24"/>
          <w:szCs w:val="24"/>
          <w:lang w:val="lv-LV"/>
        </w:rPr>
        <w:t>a</w:t>
      </w:r>
      <w:r w:rsidRPr="00C3639D">
        <w:rPr>
          <w:rFonts w:ascii="Times New Roman" w:hAnsi="Times New Roman"/>
          <w:sz w:val="24"/>
          <w:szCs w:val="24"/>
          <w:lang w:val="lv-LV"/>
        </w:rPr>
        <w:t xml:space="preserve"> pēc iespējas laicīgāk</w:t>
      </w:r>
      <w:r w:rsidR="00E45C66">
        <w:rPr>
          <w:rFonts w:ascii="Times New Roman" w:hAnsi="Times New Roman"/>
          <w:sz w:val="24"/>
          <w:szCs w:val="24"/>
          <w:lang w:val="lv-LV"/>
        </w:rPr>
        <w:t>u</w:t>
      </w:r>
      <w:r w:rsidRPr="00C3639D">
        <w:rPr>
          <w:rFonts w:ascii="Times New Roman" w:hAnsi="Times New Roman"/>
          <w:sz w:val="24"/>
          <w:szCs w:val="24"/>
          <w:lang w:val="lv-LV"/>
        </w:rPr>
        <w:t xml:space="preserve"> nākamās </w:t>
      </w:r>
      <w:r w:rsidR="00E45C66">
        <w:rPr>
          <w:rFonts w:ascii="Times New Roman" w:hAnsi="Times New Roman"/>
          <w:sz w:val="24"/>
          <w:szCs w:val="24"/>
          <w:lang w:val="lv-LV"/>
        </w:rPr>
        <w:t xml:space="preserve">ES </w:t>
      </w:r>
      <w:r w:rsidR="007E43A9">
        <w:rPr>
          <w:rFonts w:ascii="Times New Roman" w:hAnsi="Times New Roman"/>
          <w:sz w:val="24"/>
          <w:szCs w:val="24"/>
          <w:lang w:val="lv-LV"/>
        </w:rPr>
        <w:t>daudzgadu finanšu shēmas</w:t>
      </w:r>
      <w:r w:rsidRPr="00C3639D">
        <w:rPr>
          <w:rFonts w:ascii="Times New Roman" w:hAnsi="Times New Roman"/>
          <w:sz w:val="24"/>
          <w:szCs w:val="24"/>
          <w:lang w:val="lv-LV"/>
        </w:rPr>
        <w:t xml:space="preserve"> regulējuma izstrādi, lai izvairītos no novēlota ESI fondu ES regulējuma izstrādes un apstiprināšanas, kā arī nodrošinātu savlaicīgu ESI fondu plānošanas uzsākšanu un to efektīvu ieguldīšanu;</w:t>
      </w:r>
    </w:p>
    <w:p w14:paraId="414070EB" w14:textId="76C4A788" w:rsidR="00910E8B" w:rsidRDefault="00C3639D" w:rsidP="003C7A07">
      <w:pPr>
        <w:pStyle w:val="NoSpacing"/>
        <w:numPr>
          <w:ilvl w:val="1"/>
          <w:numId w:val="36"/>
        </w:numPr>
        <w:spacing w:before="120"/>
        <w:ind w:left="714" w:hanging="357"/>
        <w:jc w:val="both"/>
        <w:rPr>
          <w:rFonts w:ascii="Times New Roman" w:hAnsi="Times New Roman"/>
          <w:sz w:val="24"/>
          <w:szCs w:val="24"/>
          <w:lang w:val="lv-LV" w:eastAsia="lv-LV"/>
        </w:rPr>
      </w:pPr>
      <w:r w:rsidRPr="00C3639D">
        <w:rPr>
          <w:rFonts w:ascii="Times New Roman" w:hAnsi="Times New Roman"/>
          <w:sz w:val="24"/>
          <w:szCs w:val="24"/>
          <w:lang w:val="lv-LV"/>
        </w:rPr>
        <w:t xml:space="preserve">Latvija </w:t>
      </w:r>
      <w:r w:rsidR="00E45C66">
        <w:rPr>
          <w:rFonts w:ascii="Times New Roman" w:hAnsi="Times New Roman"/>
          <w:sz w:val="24"/>
          <w:szCs w:val="24"/>
          <w:lang w:val="lv-LV"/>
        </w:rPr>
        <w:t>uzskata</w:t>
      </w:r>
      <w:r w:rsidRPr="00C3639D">
        <w:rPr>
          <w:rFonts w:ascii="Times New Roman" w:hAnsi="Times New Roman"/>
          <w:sz w:val="24"/>
          <w:szCs w:val="24"/>
          <w:lang w:val="lv-LV"/>
        </w:rPr>
        <w:t xml:space="preserve">, ka </w:t>
      </w:r>
      <w:r w:rsidR="00E45C66">
        <w:rPr>
          <w:rFonts w:ascii="Times New Roman" w:hAnsi="Times New Roman"/>
          <w:sz w:val="24"/>
          <w:szCs w:val="24"/>
          <w:lang w:val="lv-LV"/>
        </w:rPr>
        <w:t xml:space="preserve">ir </w:t>
      </w:r>
      <w:r w:rsidRPr="00C3639D">
        <w:rPr>
          <w:rFonts w:ascii="Times New Roman" w:hAnsi="Times New Roman"/>
          <w:sz w:val="24"/>
          <w:szCs w:val="24"/>
          <w:lang w:val="lv-LV"/>
        </w:rPr>
        <w:t>būtisk</w:t>
      </w:r>
      <w:r w:rsidR="00E45C66">
        <w:rPr>
          <w:rFonts w:ascii="Times New Roman" w:hAnsi="Times New Roman"/>
          <w:sz w:val="24"/>
          <w:szCs w:val="24"/>
          <w:lang w:val="lv-LV"/>
        </w:rPr>
        <w:t>i</w:t>
      </w:r>
      <w:r w:rsidRPr="00C3639D">
        <w:rPr>
          <w:rFonts w:ascii="Times New Roman" w:hAnsi="Times New Roman"/>
          <w:sz w:val="24"/>
          <w:szCs w:val="24"/>
          <w:lang w:val="lv-LV"/>
        </w:rPr>
        <w:t xml:space="preserve"> </w:t>
      </w:r>
      <w:r w:rsidR="00E45C66">
        <w:rPr>
          <w:rFonts w:ascii="Times New Roman" w:hAnsi="Times New Roman"/>
          <w:sz w:val="24"/>
          <w:szCs w:val="24"/>
          <w:lang w:val="lv-LV"/>
        </w:rPr>
        <w:t>informēt iedzīvotājus par ESI fondu investīcijām un to pozitīvo ietekmi.</w:t>
      </w:r>
      <w:r w:rsidRPr="00C3639D">
        <w:rPr>
          <w:rFonts w:ascii="Times New Roman" w:hAnsi="Times New Roman"/>
          <w:sz w:val="24"/>
          <w:szCs w:val="24"/>
          <w:lang w:val="lv-LV"/>
        </w:rPr>
        <w:t xml:space="preserve"> Esošās prasības un komunikācijas mehānismi ir pietiekami efektīvi, lai informētu par ESI fondu nozīmību un ieguvumiem iedzīvotājiem.</w:t>
      </w:r>
    </w:p>
    <w:p w14:paraId="6038C375" w14:textId="77777777" w:rsidR="00910E8B" w:rsidRPr="00FD67D6" w:rsidRDefault="00910E8B" w:rsidP="003C7A07">
      <w:pPr>
        <w:pStyle w:val="NoSpacing"/>
        <w:spacing w:before="120"/>
        <w:jc w:val="both"/>
        <w:rPr>
          <w:rFonts w:ascii="Times New Roman" w:hAnsi="Times New Roman"/>
          <w:sz w:val="24"/>
          <w:szCs w:val="24"/>
          <w:lang w:val="lv-LV" w:eastAsia="lv-LV"/>
        </w:rPr>
      </w:pPr>
    </w:p>
    <w:p w14:paraId="7CAF4268" w14:textId="77777777" w:rsidR="00910E8B" w:rsidRDefault="00910E8B" w:rsidP="003C7A07">
      <w:pPr>
        <w:jc w:val="both"/>
        <w:rPr>
          <w:rFonts w:eastAsia="Calibri"/>
          <w:b/>
        </w:rPr>
      </w:pPr>
    </w:p>
    <w:p w14:paraId="6A9386FD" w14:textId="301560CD" w:rsidR="00910E8B" w:rsidRPr="006E525F" w:rsidRDefault="006E525F" w:rsidP="003C7A07">
      <w:pPr>
        <w:pStyle w:val="ListParagraph"/>
        <w:numPr>
          <w:ilvl w:val="0"/>
          <w:numId w:val="23"/>
        </w:numPr>
        <w:spacing w:after="240" w:line="240" w:lineRule="auto"/>
        <w:ind w:left="641" w:hanging="357"/>
        <w:contextualSpacing w:val="0"/>
        <w:jc w:val="both"/>
        <w:rPr>
          <w:rFonts w:ascii="Times New Roman" w:hAnsi="Times New Roman"/>
          <w:b/>
          <w:sz w:val="24"/>
          <w:szCs w:val="24"/>
        </w:rPr>
      </w:pPr>
      <w:r w:rsidRPr="006E525F">
        <w:rPr>
          <w:rFonts w:ascii="Times New Roman" w:hAnsi="Times New Roman"/>
          <w:b/>
          <w:sz w:val="24"/>
          <w:szCs w:val="24"/>
        </w:rPr>
        <w:t>Eiropas Savienības makro-reģionālo stratēģiju īstenošan</w:t>
      </w:r>
      <w:r w:rsidR="00C70F6B">
        <w:rPr>
          <w:rFonts w:ascii="Times New Roman" w:hAnsi="Times New Roman"/>
          <w:b/>
          <w:sz w:val="24"/>
          <w:szCs w:val="24"/>
        </w:rPr>
        <w:t>a</w:t>
      </w:r>
    </w:p>
    <w:p w14:paraId="3A332707" w14:textId="0E3C4889" w:rsidR="00367764" w:rsidRDefault="00367764" w:rsidP="003C7A07">
      <w:pPr>
        <w:spacing w:before="120"/>
        <w:jc w:val="both"/>
      </w:pPr>
      <w:r>
        <w:t>VLP sanāksmē</w:t>
      </w:r>
      <w:r w:rsidR="001E0C5F">
        <w:t xml:space="preserve"> bez diskusijām</w:t>
      </w:r>
      <w:r>
        <w:t xml:space="preserve"> plānots apstiprināt Padomes secinājumus par </w:t>
      </w:r>
      <w:r w:rsidR="007E43A9">
        <w:t>ES</w:t>
      </w:r>
      <w:r>
        <w:t xml:space="preserve"> makro-reģionālo stratēģiju īstenošanu (turpmāk – Secinājumi)</w:t>
      </w:r>
      <w:r w:rsidR="00C70F6B">
        <w:t xml:space="preserve">. Padomes secinājumi </w:t>
      </w:r>
      <w:r>
        <w:t>izstrādāti</w:t>
      </w:r>
      <w:r w:rsidR="00BE3076">
        <w:t>,</w:t>
      </w:r>
      <w:r>
        <w:t xml:space="preserve"> </w:t>
      </w:r>
      <w:r w:rsidR="00C70F6B">
        <w:t xml:space="preserve">ņemot vērā </w:t>
      </w:r>
      <w:r>
        <w:t xml:space="preserve">2016. gada 16. decembra </w:t>
      </w:r>
      <w:r w:rsidR="007E43A9">
        <w:t>EK</w:t>
      </w:r>
      <w:r>
        <w:t xml:space="preserve"> </w:t>
      </w:r>
      <w:r w:rsidR="001E0C5F">
        <w:t xml:space="preserve">pirmo </w:t>
      </w:r>
      <w:r>
        <w:t>ziņojumu</w:t>
      </w:r>
      <w:r w:rsidR="001E0C5F">
        <w:t xml:space="preserve"> par ES makro-reģionālo stratēģiju īstenošanu</w:t>
      </w:r>
      <w:r>
        <w:t xml:space="preserve">. </w:t>
      </w:r>
    </w:p>
    <w:p w14:paraId="724B3790" w14:textId="530C2764" w:rsidR="003C7A07" w:rsidRDefault="00367764" w:rsidP="003C7A07">
      <w:pPr>
        <w:spacing w:before="120"/>
        <w:jc w:val="both"/>
      </w:pPr>
      <w:r>
        <w:t>2015. gada 27. novembra Padomes secinājum</w:t>
      </w:r>
      <w:r w:rsidR="001E0C5F">
        <w:t>i</w:t>
      </w:r>
      <w:r>
        <w:t xml:space="preserve"> par ES Stratēģiju Alpu reģionam</w:t>
      </w:r>
      <w:r w:rsidR="00BE3076">
        <w:t xml:space="preserve"> nosaka</w:t>
      </w:r>
      <w:r>
        <w:t xml:space="preserve">, </w:t>
      </w:r>
      <w:r w:rsidR="001E0C5F">
        <w:t xml:space="preserve">ka </w:t>
      </w:r>
      <w:proofErr w:type="gramStart"/>
      <w:r>
        <w:t>reizi divos</w:t>
      </w:r>
      <w:proofErr w:type="gramEnd"/>
      <w:r>
        <w:t xml:space="preserve"> gados </w:t>
      </w:r>
      <w:r w:rsidR="007E43A9">
        <w:t>EK</w:t>
      </w:r>
      <w:r>
        <w:t xml:space="preserve"> </w:t>
      </w:r>
      <w:r w:rsidR="001E0C5F">
        <w:t>ir jā</w:t>
      </w:r>
      <w:r>
        <w:t xml:space="preserve">sagatavo vienotu ziņojumu, kurā </w:t>
      </w:r>
      <w:r w:rsidR="001E0C5F">
        <w:t>jā</w:t>
      </w:r>
      <w:r>
        <w:t xml:space="preserve">izvērtē progress makro-reģionālo stratēģiju īstenošanā, </w:t>
      </w:r>
      <w:r w:rsidR="001E0C5F">
        <w:t>jā</w:t>
      </w:r>
      <w:r>
        <w:t>sniedz ieteikum</w:t>
      </w:r>
      <w:r w:rsidR="001E0C5F">
        <w:t>i</w:t>
      </w:r>
      <w:r>
        <w:t xml:space="preserve"> stratēģiju un to rīcības plānu attīstīb</w:t>
      </w:r>
      <w:r w:rsidR="001E0C5F">
        <w:t>ai</w:t>
      </w:r>
      <w:r>
        <w:t xml:space="preserve"> un ieviešan</w:t>
      </w:r>
      <w:r w:rsidR="001E0C5F">
        <w:t>ai</w:t>
      </w:r>
      <w:r>
        <w:t xml:space="preserve">. </w:t>
      </w:r>
    </w:p>
    <w:p w14:paraId="0AB17746" w14:textId="66618CBF" w:rsidR="00367764" w:rsidRDefault="00367764" w:rsidP="003C7A07">
      <w:pPr>
        <w:spacing w:before="120"/>
        <w:jc w:val="both"/>
      </w:pPr>
      <w:r>
        <w:t>Šobrīd tiek īstenotas četras ES makro-reģionālās stratēģijas</w:t>
      </w:r>
      <w:r w:rsidR="00C3639D">
        <w:rPr>
          <w:rStyle w:val="FootnoteReference"/>
        </w:rPr>
        <w:footnoteReference w:id="5"/>
      </w:r>
      <w:r>
        <w:t xml:space="preserve">, un to īstenošanā ir iesaistītas 19 ES dalībvalstis, kā arī 8 valstis ārpus ES. Latvija piedalās ES pirmās makro-reģionu stratēģijas </w:t>
      </w:r>
      <w:r w:rsidR="007E43A9">
        <w:t xml:space="preserve">– </w:t>
      </w:r>
      <w:r>
        <w:lastRenderedPageBreak/>
        <w:t xml:space="preserve">Stratēģijas Baltijas jūras reģionam </w:t>
      </w:r>
      <w:r w:rsidR="003623E5">
        <w:t xml:space="preserve">- </w:t>
      </w:r>
      <w:r>
        <w:t xml:space="preserve">ieviešanā. Latvijas Ekonomikas ministrija kopā ar Lietuvu un sadarbībā ar </w:t>
      </w:r>
      <w:r w:rsidR="007E43A9">
        <w:t>EK</w:t>
      </w:r>
      <w:r w:rsidR="000C5087">
        <w:t xml:space="preserve"> nodrošina Stratēģijas e</w:t>
      </w:r>
      <w:r>
        <w:t>nerģētikas politikas joma</w:t>
      </w:r>
      <w:r w:rsidR="000C5087">
        <w:t>i</w:t>
      </w:r>
      <w:r>
        <w:t xml:space="preserve"> koordinēšanu ar mērķi veicināt kopīgā Stratēģijas un Baltijas enerģētikas tirgus starpsavienojumu plāna (BEMIP) Rīcības plāna īstenošanu konkurētspējīgam, drošam un ilgtspējīgam reģiona enerģētikas tirgum.</w:t>
      </w:r>
    </w:p>
    <w:p w14:paraId="55396D7A" w14:textId="77777777" w:rsidR="00367764" w:rsidRDefault="00367764" w:rsidP="003C7A07">
      <w:pPr>
        <w:spacing w:before="120"/>
        <w:jc w:val="both"/>
      </w:pPr>
      <w:r>
        <w:t xml:space="preserve">Secinājumos ir novērtēta ES makro-reģionu stratēģiju kā integrēta ietvara nozīme, </w:t>
      </w:r>
      <w:proofErr w:type="gramStart"/>
      <w:r>
        <w:t>lai risinātu</w:t>
      </w:r>
      <w:proofErr w:type="gramEnd"/>
      <w:r>
        <w:t xml:space="preserve"> kopīgos izaicinājumus noteiktā ģeogrāfiskā telpā, kura aptver ES dalībvalstis un trešās valstis, un, stiprinot sadarbību, sniegtu ieguldījumu ekonomiskās, sociālās un teritoriālās kohēzijas veicināšanā. Secinājumos ir uzvērta nepieciešamība vairāk orientēties uz rezultātu un atbilstošām prioritātēm stratēģiju īstenošanā. Ir svarīgi stiprināt stratēģiju pārvaldību, uzlabojot koordināciju to īstenošanā, un turpināt integrēt makro-reģionu stratēģijas ES nozaru politikās.</w:t>
      </w:r>
    </w:p>
    <w:p w14:paraId="1729D23D" w14:textId="1745C2F6" w:rsidR="00367764" w:rsidRDefault="00367764" w:rsidP="003C7A07">
      <w:pPr>
        <w:spacing w:before="120"/>
        <w:jc w:val="both"/>
      </w:pPr>
      <w:r>
        <w:t xml:space="preserve">Svarīgs secinājumu aspekts ir tajos stiprinātā makro-reģionālo stratēģiju un to finansēšanas instrumentu dimensija. Tiek apsveikta stratēģiju finansēšana, kas tiek </w:t>
      </w:r>
      <w:proofErr w:type="gramStart"/>
      <w:r>
        <w:t xml:space="preserve">nodrošināta </w:t>
      </w:r>
      <w:r w:rsidR="000C5087" w:rsidRPr="000C5087">
        <w:rPr>
          <w:color w:val="000000" w:themeColor="text1"/>
        </w:rPr>
        <w:t xml:space="preserve">Eiropas </w:t>
      </w:r>
      <w:r w:rsidR="001E0C5F">
        <w:rPr>
          <w:color w:val="000000" w:themeColor="text1"/>
        </w:rPr>
        <w:t>Struktur</w:t>
      </w:r>
      <w:r w:rsidR="00141C22">
        <w:rPr>
          <w:color w:val="000000" w:themeColor="text1"/>
        </w:rPr>
        <w:t>ālo</w:t>
      </w:r>
      <w:r w:rsidR="001E0C5F">
        <w:rPr>
          <w:color w:val="000000" w:themeColor="text1"/>
        </w:rPr>
        <w:t xml:space="preserve"> un</w:t>
      </w:r>
      <w:r w:rsidR="001E0C5F" w:rsidRPr="000C5087">
        <w:rPr>
          <w:color w:val="000000" w:themeColor="text1"/>
        </w:rPr>
        <w:t xml:space="preserve"> </w:t>
      </w:r>
      <w:r w:rsidR="000C5087" w:rsidRPr="000C5087">
        <w:rPr>
          <w:color w:val="000000" w:themeColor="text1"/>
        </w:rPr>
        <w:t xml:space="preserve">investīciju </w:t>
      </w:r>
      <w:r w:rsidR="000C5087" w:rsidRPr="000C5087">
        <w:rPr>
          <w:bCs/>
          <w:color w:val="000000" w:themeColor="text1"/>
        </w:rPr>
        <w:t>fond</w:t>
      </w:r>
      <w:r w:rsidR="00141C22">
        <w:rPr>
          <w:bCs/>
          <w:color w:val="000000" w:themeColor="text1"/>
        </w:rPr>
        <w:t>u</w:t>
      </w:r>
      <w:r w:rsidR="000C5087" w:rsidRPr="000C5087">
        <w:rPr>
          <w:color w:val="000000" w:themeColor="text1"/>
        </w:rPr>
        <w:t xml:space="preserve"> </w:t>
      </w:r>
      <w:r>
        <w:t>2014</w:t>
      </w:r>
      <w:proofErr w:type="gramEnd"/>
      <w:r>
        <w:t xml:space="preserve">.-2020. gadam tiesiskā regulējuma ietvaros, un atgādināts par Eiropas teritoriālo sadarbības programmu nozīmi stratēģiju īstenošanā. Tāpat </w:t>
      </w:r>
      <w:r w:rsidR="000C5087">
        <w:t>EK</w:t>
      </w:r>
      <w:r>
        <w:t xml:space="preserve"> un dalībvalstis tiek aicinātas strādāt pie pietiekama finansējuma stratēģiju īstenošanai nodrošināšanas, ņemot vērā ES, reģionālā un nacionālā līmenī pieejamos finanšu resursus.</w:t>
      </w:r>
    </w:p>
    <w:p w14:paraId="701795C9" w14:textId="77777777" w:rsidR="00C3639D" w:rsidRPr="000C5087" w:rsidRDefault="00C3639D" w:rsidP="003C7A07">
      <w:pPr>
        <w:spacing w:before="120"/>
        <w:ind w:right="140"/>
        <w:jc w:val="both"/>
        <w:rPr>
          <w:bCs/>
          <w:u w:val="single"/>
        </w:rPr>
      </w:pPr>
      <w:r w:rsidRPr="000C5087">
        <w:rPr>
          <w:bCs/>
          <w:u w:val="single"/>
        </w:rPr>
        <w:t>Latvijas nostāja:</w:t>
      </w:r>
    </w:p>
    <w:p w14:paraId="46CC7FEF" w14:textId="3BEBDAA6" w:rsidR="00C3639D" w:rsidRDefault="00C3639D" w:rsidP="003C7A07">
      <w:pPr>
        <w:spacing w:before="120"/>
        <w:jc w:val="both"/>
      </w:pPr>
      <w:r>
        <w:rPr>
          <w:bCs/>
        </w:rPr>
        <w:t xml:space="preserve">Latvija atbalsta Padomes secinājumus par </w:t>
      </w:r>
      <w:r w:rsidR="000C5087">
        <w:rPr>
          <w:bCs/>
        </w:rPr>
        <w:t>ES</w:t>
      </w:r>
      <w:r>
        <w:rPr>
          <w:bCs/>
        </w:rPr>
        <w:t xml:space="preserve"> makro-reģionālo stratēģiju īstenošanu</w:t>
      </w:r>
      <w:r w:rsidR="000C5087">
        <w:rPr>
          <w:bCs/>
        </w:rPr>
        <w:t>.</w:t>
      </w:r>
      <w:r w:rsidR="00141C22">
        <w:rPr>
          <w:bCs/>
        </w:rPr>
        <w:t xml:space="preserve"> Latvija uzskata, </w:t>
      </w:r>
      <w:r w:rsidR="00141C22">
        <w:t>ka 2014.-2020. gada plānošanas perioda regulējumā ir iestrādāti atbilstoši mehānismi, lai dalībvalstis no Kohēzijas politikas varētu sniegt ieguldījumu makro-reģionālo stratēģiju mērķu sasniegšanā.</w:t>
      </w:r>
    </w:p>
    <w:p w14:paraId="795DC21F" w14:textId="380D4FD4" w:rsidR="00910E8B" w:rsidRPr="00FD67D6" w:rsidRDefault="00910E8B" w:rsidP="00910E8B">
      <w:pPr>
        <w:spacing w:after="120"/>
        <w:jc w:val="both"/>
        <w:rPr>
          <w:rFonts w:eastAsia="Calibri"/>
        </w:rPr>
      </w:pPr>
    </w:p>
    <w:p w14:paraId="4C34414C" w14:textId="77777777" w:rsidR="00910E8B" w:rsidRDefault="00910E8B">
      <w:pPr>
        <w:rPr>
          <w:b/>
          <w:sz w:val="26"/>
          <w:szCs w:val="26"/>
        </w:rPr>
      </w:pPr>
      <w:r>
        <w:rPr>
          <w:b/>
          <w:sz w:val="26"/>
          <w:szCs w:val="26"/>
        </w:rPr>
        <w:br w:type="page"/>
      </w:r>
    </w:p>
    <w:p w14:paraId="1CED0A56" w14:textId="28138106" w:rsidR="00910E8B" w:rsidRPr="009B6001" w:rsidRDefault="00910E8B" w:rsidP="00910E8B">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367764">
        <w:rPr>
          <w:b/>
          <w:sz w:val="26"/>
          <w:szCs w:val="26"/>
        </w:rPr>
        <w:t>25</w:t>
      </w:r>
      <w:r>
        <w:rPr>
          <w:b/>
          <w:sz w:val="26"/>
          <w:szCs w:val="26"/>
        </w:rPr>
        <w:t xml:space="preserve">. </w:t>
      </w:r>
      <w:r w:rsidR="00367764">
        <w:rPr>
          <w:b/>
          <w:sz w:val="26"/>
          <w:szCs w:val="26"/>
        </w:rPr>
        <w:t>aprīļa</w:t>
      </w:r>
      <w:r w:rsidRPr="009B6001">
        <w:rPr>
          <w:b/>
          <w:sz w:val="26"/>
          <w:szCs w:val="26"/>
        </w:rPr>
        <w:t xml:space="preserve"> sanāksmē</w:t>
      </w:r>
    </w:p>
    <w:p w14:paraId="4CB24E72" w14:textId="77777777" w:rsidR="00910E8B" w:rsidRDefault="00910E8B" w:rsidP="00910E8B">
      <w:pPr>
        <w:pStyle w:val="BodyText2"/>
        <w:tabs>
          <w:tab w:val="left" w:pos="2880"/>
        </w:tabs>
        <w:spacing w:after="120"/>
        <w:ind w:left="2880" w:hanging="2880"/>
        <w:rPr>
          <w:bCs/>
          <w:szCs w:val="24"/>
        </w:rPr>
      </w:pPr>
    </w:p>
    <w:p w14:paraId="6F785702" w14:textId="7E0B6B7D" w:rsidR="00910E8B" w:rsidRDefault="00E52909" w:rsidP="00E52909">
      <w:pPr>
        <w:pStyle w:val="BodyText2"/>
        <w:spacing w:after="120"/>
        <w:ind w:left="2880" w:hanging="2880"/>
      </w:pPr>
      <w:r>
        <w:rPr>
          <w:bCs/>
          <w:szCs w:val="24"/>
        </w:rPr>
        <w:t>Delegācijas vadītājs:</w:t>
      </w:r>
      <w:r>
        <w:rPr>
          <w:bCs/>
          <w:szCs w:val="24"/>
        </w:rPr>
        <w:tab/>
      </w:r>
      <w:r>
        <w:rPr>
          <w:color w:val="000000" w:themeColor="text1"/>
        </w:rPr>
        <w:t xml:space="preserve">Armands </w:t>
      </w:r>
      <w:proofErr w:type="spellStart"/>
      <w:r>
        <w:rPr>
          <w:color w:val="000000" w:themeColor="text1"/>
        </w:rPr>
        <w:t>Eberhards</w:t>
      </w:r>
      <w:proofErr w:type="spellEnd"/>
      <w:r w:rsidR="00910E8B" w:rsidRPr="00803A5B">
        <w:rPr>
          <w:color w:val="000000" w:themeColor="text1"/>
        </w:rPr>
        <w:t xml:space="preserve">, </w:t>
      </w:r>
      <w:r>
        <w:rPr>
          <w:color w:val="000000" w:themeColor="text1"/>
        </w:rPr>
        <w:t>Finanšu ministrijas valsts sekretāra vietnieks Eiropas Savienības struktūrfondu un Kohēzijas fonda jautājumos</w:t>
      </w:r>
      <w:r w:rsidR="00910E8B" w:rsidRPr="00803A5B">
        <w:t>.</w:t>
      </w:r>
    </w:p>
    <w:p w14:paraId="159C2E58" w14:textId="77777777" w:rsidR="00DE345F" w:rsidRPr="00803A5B" w:rsidRDefault="00DE345F" w:rsidP="00E52909">
      <w:pPr>
        <w:pStyle w:val="BodyText2"/>
        <w:spacing w:after="120"/>
        <w:ind w:left="2880" w:hanging="2880"/>
        <w:rPr>
          <w:bCs/>
          <w:szCs w:val="24"/>
        </w:rPr>
      </w:pPr>
    </w:p>
    <w:p w14:paraId="16D0EC46" w14:textId="7C0C141E" w:rsidR="003623E5" w:rsidRPr="00351329" w:rsidRDefault="00910E8B" w:rsidP="00652F78">
      <w:pPr>
        <w:spacing w:after="120"/>
        <w:ind w:left="2880" w:hanging="2880"/>
        <w:jc w:val="both"/>
        <w:rPr>
          <w:color w:val="000000" w:themeColor="text1"/>
        </w:rPr>
      </w:pPr>
      <w:r w:rsidRPr="00DC015C">
        <w:rPr>
          <w:bCs/>
        </w:rPr>
        <w:t>Delegācijas dalībnieki:</w:t>
      </w:r>
      <w:r w:rsidRPr="00DC015C">
        <w:rPr>
          <w:bCs/>
        </w:rPr>
        <w:tab/>
      </w:r>
      <w:r w:rsidR="00E52909" w:rsidRPr="00351329">
        <w:rPr>
          <w:color w:val="000000" w:themeColor="text1"/>
        </w:rPr>
        <w:t>Sanita Pavļuta-Deslandes, vēstniece, pastāvīgā pārstāve ES;</w:t>
      </w:r>
    </w:p>
    <w:p w14:paraId="6804F080" w14:textId="463AA5F8" w:rsidR="003623E5" w:rsidRDefault="00910E8B" w:rsidP="00652F78">
      <w:pPr>
        <w:spacing w:after="120"/>
        <w:ind w:left="2880" w:hanging="2880"/>
        <w:jc w:val="both"/>
        <w:rPr>
          <w:color w:val="000000" w:themeColor="text1"/>
        </w:rPr>
      </w:pPr>
      <w:r w:rsidRPr="00351329">
        <w:rPr>
          <w:color w:val="000000" w:themeColor="text1"/>
        </w:rPr>
        <w:t>               </w:t>
      </w:r>
      <w:r w:rsidR="00E52909">
        <w:rPr>
          <w:color w:val="000000" w:themeColor="text1"/>
        </w:rPr>
        <w:t>                               </w:t>
      </w:r>
      <w:r w:rsidR="00652F78">
        <w:rPr>
          <w:color w:val="000000" w:themeColor="text1"/>
        </w:rPr>
        <w:tab/>
      </w:r>
      <w:r w:rsidR="00E52909">
        <w:rPr>
          <w:color w:val="000000" w:themeColor="text1"/>
        </w:rPr>
        <w:t>Ieva Valtmane, ECOFIN padomniece, Latvijas Republikas Pastāvīgās pārstāvniecība Eiropas Savienībā</w:t>
      </w:r>
      <w:r>
        <w:rPr>
          <w:color w:val="000000" w:themeColor="text1"/>
        </w:rPr>
        <w:t>;</w:t>
      </w:r>
    </w:p>
    <w:p w14:paraId="27DD7DDF" w14:textId="468A1A45" w:rsidR="00910E8B" w:rsidRDefault="00910E8B" w:rsidP="00910E8B">
      <w:pPr>
        <w:ind w:left="2880" w:hanging="2880"/>
        <w:jc w:val="both"/>
        <w:rPr>
          <w:color w:val="000000" w:themeColor="text1"/>
        </w:rPr>
      </w:pPr>
      <w:r>
        <w:rPr>
          <w:color w:val="000000" w:themeColor="text1"/>
        </w:rPr>
        <w:tab/>
      </w:r>
      <w:r w:rsidR="00E52909" w:rsidRPr="00351329">
        <w:rPr>
          <w:color w:val="000000" w:themeColor="text1"/>
        </w:rPr>
        <w:t xml:space="preserve">Evija </w:t>
      </w:r>
      <w:proofErr w:type="spellStart"/>
      <w:r w:rsidR="00E52909" w:rsidRPr="00351329">
        <w:rPr>
          <w:color w:val="000000" w:themeColor="text1"/>
        </w:rPr>
        <w:t>Rimšāne</w:t>
      </w:r>
      <w:proofErr w:type="spellEnd"/>
      <w:r w:rsidR="00E52909" w:rsidRPr="00351329">
        <w:rPr>
          <w:color w:val="000000" w:themeColor="text1"/>
        </w:rPr>
        <w:t>, otrā sekretāre, Ārlietu ministrijas Eiropas Savienības koordinācijas un politiku departamenta</w:t>
      </w:r>
      <w:r w:rsidR="00E52909" w:rsidRPr="00351329">
        <w:rPr>
          <w:b/>
          <w:color w:val="000000" w:themeColor="text1"/>
        </w:rPr>
        <w:t xml:space="preserve"> </w:t>
      </w:r>
      <w:r w:rsidR="00E52909" w:rsidRPr="00351329">
        <w:rPr>
          <w:color w:val="000000" w:themeColor="text1"/>
        </w:rPr>
        <w:t>Pastāvīgo pārstāvju komitejas II daļas sagatavošanas nodaļa</w:t>
      </w:r>
      <w:r>
        <w:rPr>
          <w:color w:val="000000" w:themeColor="text1"/>
        </w:rPr>
        <w:t>.</w:t>
      </w:r>
    </w:p>
    <w:p w14:paraId="7732ABF9" w14:textId="77777777" w:rsidR="00910E8B" w:rsidRDefault="00910E8B" w:rsidP="00910E8B">
      <w:pPr>
        <w:pStyle w:val="BodyText2"/>
        <w:tabs>
          <w:tab w:val="left" w:pos="2880"/>
        </w:tabs>
        <w:spacing w:after="120"/>
        <w:ind w:left="2880" w:hanging="2880"/>
        <w:rPr>
          <w:bCs/>
          <w:szCs w:val="24"/>
        </w:rPr>
      </w:pPr>
    </w:p>
    <w:p w14:paraId="6DFC7919" w14:textId="77777777" w:rsidR="00910E8B" w:rsidRDefault="00910E8B" w:rsidP="00910E8B">
      <w:pPr>
        <w:pStyle w:val="BodyText2"/>
        <w:tabs>
          <w:tab w:val="left" w:pos="2880"/>
        </w:tabs>
        <w:spacing w:after="120"/>
        <w:ind w:left="2880" w:hanging="2880"/>
      </w:pPr>
      <w:r>
        <w:rPr>
          <w:bCs/>
          <w:szCs w:val="24"/>
        </w:rPr>
        <w:tab/>
      </w:r>
    </w:p>
    <w:p w14:paraId="09BEA7DA" w14:textId="77777777" w:rsidR="00910E8B" w:rsidRDefault="00910E8B" w:rsidP="00910E8B">
      <w:pPr>
        <w:pStyle w:val="BodyText2"/>
        <w:tabs>
          <w:tab w:val="left" w:pos="2880"/>
        </w:tabs>
        <w:spacing w:after="120"/>
        <w:ind w:left="2880" w:hanging="2880"/>
      </w:pPr>
    </w:p>
    <w:p w14:paraId="0BB9D1D6" w14:textId="77777777" w:rsidR="00910E8B" w:rsidRDefault="00910E8B" w:rsidP="00910E8B">
      <w:pPr>
        <w:pStyle w:val="BodyText2"/>
        <w:tabs>
          <w:tab w:val="left" w:pos="2880"/>
        </w:tabs>
        <w:spacing w:after="120"/>
        <w:ind w:left="2880" w:hanging="2880"/>
      </w:pPr>
    </w:p>
    <w:p w14:paraId="72B3AE52" w14:textId="77777777" w:rsidR="00910E8B" w:rsidRDefault="00910E8B" w:rsidP="00910E8B">
      <w:pPr>
        <w:pStyle w:val="BodyText2"/>
        <w:tabs>
          <w:tab w:val="left" w:pos="2880"/>
        </w:tabs>
        <w:spacing w:after="120"/>
        <w:ind w:left="2880" w:hanging="2880"/>
      </w:pPr>
    </w:p>
    <w:p w14:paraId="723366BD" w14:textId="77777777" w:rsidR="00910E8B" w:rsidRDefault="00910E8B" w:rsidP="00910E8B">
      <w:pPr>
        <w:pStyle w:val="BodyText2"/>
        <w:tabs>
          <w:tab w:val="left" w:pos="2880"/>
        </w:tabs>
        <w:spacing w:after="120"/>
        <w:ind w:left="2880" w:hanging="2880"/>
      </w:pPr>
    </w:p>
    <w:p w14:paraId="7239FBBB" w14:textId="77777777" w:rsidR="00910E8B" w:rsidRDefault="00910E8B" w:rsidP="00910E8B">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Ārlietu ministrs</w:t>
      </w:r>
      <w:proofErr w:type="gramStart"/>
      <w:r>
        <w:rPr>
          <w:bCs/>
          <w:sz w:val="24"/>
          <w:szCs w:val="24"/>
        </w:rPr>
        <w:t xml:space="preserve">   </w:t>
      </w:r>
      <w:proofErr w:type="gramEnd"/>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w:t>
      </w:r>
      <w:proofErr w:type="spellStart"/>
      <w:r>
        <w:rPr>
          <w:bCs/>
          <w:sz w:val="24"/>
          <w:szCs w:val="24"/>
        </w:rPr>
        <w:t>Rinkēvičs</w:t>
      </w:r>
      <w:proofErr w:type="spellEnd"/>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p>
    <w:p w14:paraId="44B97C8A" w14:textId="6719AFED"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Pr>
          <w:bCs/>
          <w:sz w:val="24"/>
          <w:szCs w:val="24"/>
        </w:rPr>
        <w:t xml:space="preserve">a </w:t>
      </w:r>
      <w:proofErr w:type="spellStart"/>
      <w:r>
        <w:rPr>
          <w:bCs/>
          <w:sz w:val="24"/>
          <w:szCs w:val="24"/>
        </w:rPr>
        <w:t>p.i</w:t>
      </w:r>
      <w:proofErr w:type="spellEnd"/>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r>
      <w:r>
        <w:rPr>
          <w:bCs/>
          <w:sz w:val="24"/>
          <w:szCs w:val="24"/>
        </w:rPr>
        <w:tab/>
        <w:t xml:space="preserve">  Andris Pelšs </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5FE8BA67" w14:textId="77777777" w:rsidR="00A65CD0" w:rsidRDefault="00A65CD0" w:rsidP="00A65CD0">
      <w:pPr>
        <w:pStyle w:val="Header"/>
        <w:tabs>
          <w:tab w:val="clear" w:pos="4320"/>
          <w:tab w:val="clear" w:pos="8640"/>
        </w:tabs>
        <w:spacing w:after="120"/>
        <w:rPr>
          <w:bCs/>
        </w:rPr>
      </w:pPr>
    </w:p>
    <w:p w14:paraId="7E43D9AE"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6672BE10" w14:textId="77777777" w:rsidR="00A65CD0" w:rsidRDefault="00A65CD0" w:rsidP="00A65CD0">
      <w:pPr>
        <w:pStyle w:val="Header"/>
        <w:tabs>
          <w:tab w:val="clear" w:pos="4320"/>
          <w:tab w:val="clear" w:pos="8640"/>
        </w:tabs>
        <w:spacing w:after="120"/>
        <w:rPr>
          <w:bCs/>
        </w:rPr>
      </w:pPr>
    </w:p>
    <w:p w14:paraId="5AF25F80"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72F73C45" w14:textId="77777777" w:rsidR="00A65CD0" w:rsidRDefault="00A65CD0" w:rsidP="00A65CD0">
      <w:pPr>
        <w:pStyle w:val="Header"/>
        <w:tabs>
          <w:tab w:val="clear" w:pos="4320"/>
          <w:tab w:val="clear" w:pos="8640"/>
        </w:tabs>
        <w:spacing w:after="120"/>
        <w:rPr>
          <w:bCs/>
        </w:rPr>
      </w:pPr>
    </w:p>
    <w:p w14:paraId="5F7F004C" w14:textId="77777777" w:rsidR="00A65CD0" w:rsidRDefault="00A65CD0" w:rsidP="00A65CD0">
      <w:pPr>
        <w:pStyle w:val="Header"/>
        <w:tabs>
          <w:tab w:val="clear" w:pos="4320"/>
          <w:tab w:val="clear" w:pos="8640"/>
        </w:tabs>
        <w:spacing w:after="120"/>
        <w:rPr>
          <w:bCs/>
        </w:rPr>
      </w:pPr>
    </w:p>
    <w:p w14:paraId="263B3E59" w14:textId="77777777" w:rsidR="00A65CD0" w:rsidRDefault="00A65CD0" w:rsidP="00A65CD0">
      <w:pPr>
        <w:pStyle w:val="Header"/>
        <w:tabs>
          <w:tab w:val="clear" w:pos="4320"/>
          <w:tab w:val="clear" w:pos="8640"/>
        </w:tabs>
        <w:spacing w:after="120"/>
        <w:rPr>
          <w:bCs/>
        </w:rPr>
      </w:pPr>
    </w:p>
    <w:p w14:paraId="11D025D2" w14:textId="77777777" w:rsidR="00A65CD0" w:rsidRPr="004029B8" w:rsidRDefault="00A65CD0" w:rsidP="00A65CD0">
      <w:pPr>
        <w:pStyle w:val="Header"/>
        <w:tabs>
          <w:tab w:val="clear" w:pos="4320"/>
          <w:tab w:val="clear" w:pos="8640"/>
        </w:tabs>
        <w:rPr>
          <w:bCs/>
        </w:rPr>
      </w:pPr>
      <w:r>
        <w:rPr>
          <w:bCs/>
        </w:rPr>
        <w:t xml:space="preserve">Anda </w:t>
      </w:r>
      <w:proofErr w:type="spellStart"/>
      <w:r>
        <w:rPr>
          <w:bCs/>
        </w:rPr>
        <w:t>Sāre</w:t>
      </w:r>
      <w:proofErr w:type="spellEnd"/>
      <w:r>
        <w:rPr>
          <w:bCs/>
        </w:rPr>
        <w:t>, 67015929</w:t>
      </w:r>
    </w:p>
    <w:p w14:paraId="79479B6A" w14:textId="77777777" w:rsidR="00A65CD0" w:rsidRPr="00910E8B" w:rsidRDefault="00A65CD0" w:rsidP="00A65CD0">
      <w:pPr>
        <w:pStyle w:val="Header"/>
        <w:tabs>
          <w:tab w:val="clear" w:pos="4320"/>
          <w:tab w:val="clear" w:pos="8640"/>
        </w:tabs>
      </w:pPr>
      <w:r>
        <w:rPr>
          <w:bCs/>
          <w:color w:val="0000FF"/>
          <w:u w:val="single"/>
        </w:rPr>
        <w:t>anda.sare@mfa.gov.lv</w:t>
      </w:r>
    </w:p>
    <w:p w14:paraId="7068CBED" w14:textId="77777777" w:rsidR="00910E8B" w:rsidRDefault="00910E8B" w:rsidP="00910E8B">
      <w:pPr>
        <w:pStyle w:val="Header"/>
        <w:tabs>
          <w:tab w:val="clear" w:pos="4320"/>
          <w:tab w:val="clear" w:pos="8640"/>
        </w:tabs>
        <w:spacing w:after="120"/>
        <w:rPr>
          <w:bCs/>
        </w:rPr>
      </w:pPr>
    </w:p>
    <w:sectPr w:rsidR="00910E8B" w:rsidSect="003D298C">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1134" w:left="1701" w:header="567" w:footer="284"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7BE27" w15:done="0"/>
  <w15:commentEx w15:paraId="2BB43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2233F" w14:textId="77777777" w:rsidR="00D53055" w:rsidRDefault="00D53055">
      <w:r>
        <w:separator/>
      </w:r>
    </w:p>
  </w:endnote>
  <w:endnote w:type="continuationSeparator" w:id="0">
    <w:p w14:paraId="5409AF05" w14:textId="77777777" w:rsidR="00D53055" w:rsidRDefault="00D53055">
      <w:r>
        <w:continuationSeparator/>
      </w:r>
    </w:p>
  </w:endnote>
  <w:endnote w:type="continuationNotice" w:id="1">
    <w:p w14:paraId="2799CF32" w14:textId="77777777" w:rsidR="00D53055" w:rsidRDefault="00D5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77B6719C" w:rsidR="00EC7828" w:rsidRPr="003F178E" w:rsidRDefault="00BF4FC6" w:rsidP="003F178E">
    <w:pPr>
      <w:pStyle w:val="Footer"/>
      <w:jc w:val="both"/>
      <w:rPr>
        <w:sz w:val="18"/>
      </w:rPr>
    </w:pPr>
    <w:r w:rsidRPr="008C31F6">
      <w:rPr>
        <w:sz w:val="18"/>
      </w:rPr>
      <w:t>AMzino_</w:t>
    </w:r>
    <w:r w:rsidR="00367764">
      <w:rPr>
        <w:sz w:val="18"/>
      </w:rPr>
      <w:t>12</w:t>
    </w:r>
    <w:r w:rsidR="00910E8B" w:rsidRPr="00910E8B">
      <w:rPr>
        <w:sz w:val="18"/>
      </w:rPr>
      <w:t>0</w:t>
    </w:r>
    <w:r w:rsidR="00367764">
      <w:rPr>
        <w:sz w:val="18"/>
      </w:rPr>
      <w:t>4</w:t>
    </w:r>
    <w:r w:rsidR="00637933" w:rsidRPr="00910E8B">
      <w:rPr>
        <w:sz w:val="18"/>
      </w:rPr>
      <w:t>201</w:t>
    </w:r>
    <w:r w:rsidR="00623C31" w:rsidRPr="00910E8B">
      <w:rPr>
        <w:sz w:val="18"/>
      </w:rPr>
      <w:t>7</w:t>
    </w:r>
    <w:r w:rsidRPr="00910E8B">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367764">
      <w:rPr>
        <w:sz w:val="18"/>
      </w:rPr>
      <w:t>25. aprīļa</w:t>
    </w:r>
    <w:r w:rsidR="00B75DD0">
      <w:rPr>
        <w:sz w:val="18"/>
      </w:rPr>
      <w:t xml:space="preserve"> </w:t>
    </w:r>
    <w:r>
      <w:rPr>
        <w:sz w:val="18"/>
      </w:rPr>
      <w:t>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04AAF" w14:textId="77777777" w:rsidR="00D53055" w:rsidRDefault="00D53055">
      <w:r>
        <w:separator/>
      </w:r>
    </w:p>
  </w:footnote>
  <w:footnote w:type="continuationSeparator" w:id="0">
    <w:p w14:paraId="10923F03" w14:textId="77777777" w:rsidR="00D53055" w:rsidRDefault="00D53055">
      <w:r>
        <w:continuationSeparator/>
      </w:r>
    </w:p>
  </w:footnote>
  <w:footnote w:type="continuationNotice" w:id="1">
    <w:p w14:paraId="5FC40742" w14:textId="77777777" w:rsidR="00D53055" w:rsidRDefault="00D53055"/>
  </w:footnote>
  <w:footnote w:id="2">
    <w:p w14:paraId="6ABBC1DD" w14:textId="12CE2720" w:rsidR="00C3639D" w:rsidRDefault="00C3639D" w:rsidP="00D97C11">
      <w:pPr>
        <w:pStyle w:val="FootnoteText"/>
        <w:jc w:val="both"/>
      </w:pPr>
      <w:r>
        <w:rPr>
          <w:rStyle w:val="FootnoteReference"/>
        </w:rPr>
        <w:footnoteRef/>
      </w:r>
      <w:r>
        <w:t xml:space="preserve"> Eiropas Parlamenta un Padomes Regula (ES) Nr. 1303/2013 ( 2013.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4F3F1808" w14:textId="77777777" w:rsidR="00D44EF2" w:rsidRDefault="00D44EF2" w:rsidP="00D97C11">
      <w:pPr>
        <w:pStyle w:val="FootnoteText"/>
        <w:jc w:val="both"/>
      </w:pPr>
      <w:r>
        <w:rPr>
          <w:rStyle w:val="FootnoteReference"/>
        </w:rPr>
        <w:footnoteRef/>
      </w:r>
      <w:r>
        <w:t xml:space="preserve"> ESI fondi ir Eiropas Reģionālās attīstības fonds (ERAF), Eiropas Sociālais fonds (ESF), Kohēzijas fonds (KF), Eiropas Lauksaimniecības fonds lauku attīstībai (ELFLA) un Eiropas Jūrlietu un zivsaimniecības fonds (EJZF).</w:t>
      </w:r>
    </w:p>
  </w:footnote>
  <w:footnote w:id="4">
    <w:p w14:paraId="6ED71E14" w14:textId="4FDB4917" w:rsidR="00C3639D" w:rsidRDefault="00C3639D" w:rsidP="00D97C11">
      <w:pPr>
        <w:pStyle w:val="FootnoteText"/>
        <w:jc w:val="both"/>
      </w:pPr>
      <w:r>
        <w:rPr>
          <w:rStyle w:val="FootnoteReference"/>
        </w:rPr>
        <w:footnoteRef/>
      </w:r>
      <w:r>
        <w:t xml:space="preserve"> Līgumā par Eiropas Savienības darbību 174. pantā noteikti sociālās, teritoriālās un ekonomiskās kohēzijas principi, kā arī mērķis mazināt reģionālās atšķirības mazāk attīstītos reģionos un teritorijās.</w:t>
      </w:r>
    </w:p>
  </w:footnote>
  <w:footnote w:id="5">
    <w:p w14:paraId="7A0BD021" w14:textId="694024F2" w:rsidR="00C3639D" w:rsidRDefault="00C3639D" w:rsidP="00C3639D">
      <w:pPr>
        <w:pStyle w:val="FootnoteText"/>
        <w:jc w:val="both"/>
      </w:pPr>
      <w:r>
        <w:rPr>
          <w:rStyle w:val="FootnoteReference"/>
        </w:rPr>
        <w:footnoteRef/>
      </w:r>
      <w:r>
        <w:t xml:space="preserve"> ES Stratēģija Baltijas jūras reģionam (apstiprināta 2009. gadā), ES Stratēģija Donavas reģionam (2011), ES Stratēģija Adrijas un Jonijas jūras reģionam (2014) un ES Stratēģija Alpu reģionam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1E7D576C"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F1DE3">
      <w:rPr>
        <w:rStyle w:val="PageNumber"/>
        <w:noProof/>
      </w:rPr>
      <w:t>5</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12B4ADB"/>
    <w:multiLevelType w:val="hybridMultilevel"/>
    <w:tmpl w:val="1086539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A31CE1"/>
    <w:multiLevelType w:val="hybridMultilevel"/>
    <w:tmpl w:val="4A00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BD3AE3"/>
    <w:multiLevelType w:val="hybridMultilevel"/>
    <w:tmpl w:val="A8100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3652FB"/>
    <w:multiLevelType w:val="hybridMultilevel"/>
    <w:tmpl w:val="700862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B430370"/>
    <w:multiLevelType w:val="hybridMultilevel"/>
    <w:tmpl w:val="03F06A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1E14108F"/>
    <w:multiLevelType w:val="hybridMultilevel"/>
    <w:tmpl w:val="D9902696"/>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218A6601"/>
    <w:multiLevelType w:val="hybridMultilevel"/>
    <w:tmpl w:val="0F06B1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20B255A"/>
    <w:multiLevelType w:val="hybridMultilevel"/>
    <w:tmpl w:val="553C6E22"/>
    <w:lvl w:ilvl="0" w:tplc="C284B5EA">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2ED8419E"/>
    <w:multiLevelType w:val="hybridMultilevel"/>
    <w:tmpl w:val="0874B550"/>
    <w:lvl w:ilvl="0" w:tplc="69847818">
      <w:start w:val="1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52F7908"/>
    <w:multiLevelType w:val="hybridMultilevel"/>
    <w:tmpl w:val="F4005A82"/>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37625BA2"/>
    <w:multiLevelType w:val="hybridMultilevel"/>
    <w:tmpl w:val="A35A51A6"/>
    <w:lvl w:ilvl="0" w:tplc="DD34D500">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3E237B2E"/>
    <w:multiLevelType w:val="hybridMultilevel"/>
    <w:tmpl w:val="F55A14A2"/>
    <w:lvl w:ilvl="0" w:tplc="D4FA0542">
      <w:start w:val="4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F90321D"/>
    <w:multiLevelType w:val="hybridMultilevel"/>
    <w:tmpl w:val="39561670"/>
    <w:lvl w:ilvl="0" w:tplc="04260001">
      <w:start w:val="1"/>
      <w:numFmt w:val="bullet"/>
      <w:lvlText w:val=""/>
      <w:lvlJc w:val="left"/>
      <w:pPr>
        <w:ind w:left="720" w:hanging="360"/>
      </w:pPr>
      <w:rPr>
        <w:rFonts w:ascii="Symbol" w:hAnsi="Symbol" w:hint="default"/>
      </w:rPr>
    </w:lvl>
    <w:lvl w:ilvl="1" w:tplc="1084028C">
      <w:start w:val="40"/>
      <w:numFmt w:val="bullet"/>
      <w:lvlText w:val="•"/>
      <w:lvlJc w:val="left"/>
      <w:pPr>
        <w:ind w:left="1800" w:hanging="72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715324"/>
    <w:multiLevelType w:val="hybridMultilevel"/>
    <w:tmpl w:val="9056D55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BEA0313"/>
    <w:multiLevelType w:val="hybridMultilevel"/>
    <w:tmpl w:val="5EB26C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CD0A4E"/>
    <w:multiLevelType w:val="hybridMultilevel"/>
    <w:tmpl w:val="ECF8A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68564A7"/>
    <w:multiLevelType w:val="hybridMultilevel"/>
    <w:tmpl w:val="8B2C8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DC17B4"/>
    <w:multiLevelType w:val="hybridMultilevel"/>
    <w:tmpl w:val="1778977E"/>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66B758D3"/>
    <w:multiLevelType w:val="hybridMultilevel"/>
    <w:tmpl w:val="BCE07D40"/>
    <w:lvl w:ilvl="0" w:tplc="04260001">
      <w:start w:val="1"/>
      <w:numFmt w:val="bullet"/>
      <w:lvlText w:val=""/>
      <w:lvlJc w:val="left"/>
      <w:pPr>
        <w:ind w:left="720" w:hanging="360"/>
      </w:pPr>
      <w:rPr>
        <w:rFonts w:ascii="Symbol" w:hAnsi="Symbol" w:hint="default"/>
        <w:sz w:val="24"/>
      </w:rPr>
    </w:lvl>
    <w:lvl w:ilvl="1" w:tplc="1084028C">
      <w:start w:val="40"/>
      <w:numFmt w:val="bullet"/>
      <w:lvlText w:val="•"/>
      <w:lvlJc w:val="left"/>
      <w:pPr>
        <w:ind w:left="1800" w:hanging="72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785A6349"/>
    <w:multiLevelType w:val="hybridMultilevel"/>
    <w:tmpl w:val="3D242114"/>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33">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
  </w:num>
  <w:num w:numId="5">
    <w:abstractNumId w:val="27"/>
  </w:num>
  <w:num w:numId="6">
    <w:abstractNumId w:val="28"/>
  </w:num>
  <w:num w:numId="7">
    <w:abstractNumId w:val="33"/>
  </w:num>
  <w:num w:numId="8">
    <w:abstractNumId w:val="6"/>
  </w:num>
  <w:num w:numId="9">
    <w:abstractNumId w:val="3"/>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5"/>
  </w:num>
  <w:num w:numId="15">
    <w:abstractNumId w:val="25"/>
  </w:num>
  <w:num w:numId="16">
    <w:abstractNumId w:val="13"/>
  </w:num>
  <w:num w:numId="17">
    <w:abstractNumId w:val="15"/>
  </w:num>
  <w:num w:numId="18">
    <w:abstractNumId w:val="11"/>
  </w:num>
  <w:num w:numId="19">
    <w:abstractNumId w:val="31"/>
  </w:num>
  <w:num w:numId="20">
    <w:abstractNumId w:val="31"/>
  </w:num>
  <w:num w:numId="21">
    <w:abstractNumId w:val="23"/>
  </w:num>
  <w:num w:numId="22">
    <w:abstractNumId w:val="19"/>
  </w:num>
  <w:num w:numId="23">
    <w:abstractNumId w:val="32"/>
  </w:num>
  <w:num w:numId="24">
    <w:abstractNumId w:val="7"/>
  </w:num>
  <w:num w:numId="25">
    <w:abstractNumId w:val="26"/>
  </w:num>
  <w:num w:numId="26">
    <w:abstractNumId w:val="18"/>
  </w:num>
  <w:num w:numId="27">
    <w:abstractNumId w:val="29"/>
  </w:num>
  <w:num w:numId="28">
    <w:abstractNumId w:val="14"/>
  </w:num>
  <w:num w:numId="29">
    <w:abstractNumId w:val="8"/>
  </w:num>
  <w:num w:numId="30">
    <w:abstractNumId w:val="21"/>
  </w:num>
  <w:num w:numId="31">
    <w:abstractNumId w:val="20"/>
  </w:num>
  <w:num w:numId="32">
    <w:abstractNumId w:val="9"/>
  </w:num>
  <w:num w:numId="33">
    <w:abstractNumId w:val="4"/>
  </w:num>
  <w:num w:numId="34">
    <w:abstractNumId w:val="24"/>
  </w:num>
  <w:num w:numId="35">
    <w:abstractNumId w:val="30"/>
  </w:num>
  <w:num w:numId="36">
    <w:abstractNumId w:val="2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Ozols">
    <w15:presenceInfo w15:providerId="None" w15:userId="Jān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27B8"/>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E63"/>
    <w:rsid w:val="000C5087"/>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9C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507B"/>
    <w:rsid w:val="00236390"/>
    <w:rsid w:val="002409AB"/>
    <w:rsid w:val="002410D0"/>
    <w:rsid w:val="00242919"/>
    <w:rsid w:val="00243547"/>
    <w:rsid w:val="00243CF3"/>
    <w:rsid w:val="00246D9A"/>
    <w:rsid w:val="0025125E"/>
    <w:rsid w:val="00251587"/>
    <w:rsid w:val="002516C2"/>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B26"/>
    <w:rsid w:val="00275DEA"/>
    <w:rsid w:val="00275FE3"/>
    <w:rsid w:val="00277348"/>
    <w:rsid w:val="00277BA4"/>
    <w:rsid w:val="00280255"/>
    <w:rsid w:val="00280EFF"/>
    <w:rsid w:val="00281DE8"/>
    <w:rsid w:val="00282A5B"/>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119F"/>
    <w:rsid w:val="003013AB"/>
    <w:rsid w:val="0030155A"/>
    <w:rsid w:val="0030178A"/>
    <w:rsid w:val="00301AA0"/>
    <w:rsid w:val="003020F8"/>
    <w:rsid w:val="00302359"/>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680A"/>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0F54"/>
    <w:rsid w:val="003C1D8D"/>
    <w:rsid w:val="003C1FAB"/>
    <w:rsid w:val="003C234E"/>
    <w:rsid w:val="003C29C4"/>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56B1"/>
    <w:rsid w:val="004262AC"/>
    <w:rsid w:val="00427E7E"/>
    <w:rsid w:val="0043071C"/>
    <w:rsid w:val="00430937"/>
    <w:rsid w:val="00430F55"/>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FED"/>
    <w:rsid w:val="005076BB"/>
    <w:rsid w:val="00507B19"/>
    <w:rsid w:val="005108F3"/>
    <w:rsid w:val="00510AC0"/>
    <w:rsid w:val="005131E2"/>
    <w:rsid w:val="005139FE"/>
    <w:rsid w:val="005149C5"/>
    <w:rsid w:val="00514F3F"/>
    <w:rsid w:val="00515777"/>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283F"/>
    <w:rsid w:val="0053430E"/>
    <w:rsid w:val="00535EBB"/>
    <w:rsid w:val="005368E9"/>
    <w:rsid w:val="00536A71"/>
    <w:rsid w:val="00537C2B"/>
    <w:rsid w:val="00537E1E"/>
    <w:rsid w:val="0054279D"/>
    <w:rsid w:val="005448C4"/>
    <w:rsid w:val="00544913"/>
    <w:rsid w:val="00544C81"/>
    <w:rsid w:val="005452EC"/>
    <w:rsid w:val="00546723"/>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2E9F"/>
    <w:rsid w:val="005732B5"/>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EFD"/>
    <w:rsid w:val="00610658"/>
    <w:rsid w:val="00610CA4"/>
    <w:rsid w:val="00611619"/>
    <w:rsid w:val="00612416"/>
    <w:rsid w:val="0061257D"/>
    <w:rsid w:val="006126B3"/>
    <w:rsid w:val="00612F61"/>
    <w:rsid w:val="00614671"/>
    <w:rsid w:val="006149BD"/>
    <w:rsid w:val="00614AE3"/>
    <w:rsid w:val="00614D1D"/>
    <w:rsid w:val="00615463"/>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58D2"/>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525F"/>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594F"/>
    <w:rsid w:val="007A6AF1"/>
    <w:rsid w:val="007A764D"/>
    <w:rsid w:val="007B0A6A"/>
    <w:rsid w:val="007B1703"/>
    <w:rsid w:val="007B66C5"/>
    <w:rsid w:val="007B7834"/>
    <w:rsid w:val="007B7D36"/>
    <w:rsid w:val="007B7DBC"/>
    <w:rsid w:val="007C00CF"/>
    <w:rsid w:val="007C01D6"/>
    <w:rsid w:val="007C0252"/>
    <w:rsid w:val="007C0B98"/>
    <w:rsid w:val="007C1BA0"/>
    <w:rsid w:val="007C29EA"/>
    <w:rsid w:val="007C46A3"/>
    <w:rsid w:val="007C4BD2"/>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70C6"/>
    <w:rsid w:val="007F7BD5"/>
    <w:rsid w:val="0080012B"/>
    <w:rsid w:val="00800F33"/>
    <w:rsid w:val="00801114"/>
    <w:rsid w:val="00801A37"/>
    <w:rsid w:val="00802049"/>
    <w:rsid w:val="00802EFE"/>
    <w:rsid w:val="00803A5B"/>
    <w:rsid w:val="008043C4"/>
    <w:rsid w:val="00806D3B"/>
    <w:rsid w:val="008104EF"/>
    <w:rsid w:val="008107E6"/>
    <w:rsid w:val="00811A07"/>
    <w:rsid w:val="00812C89"/>
    <w:rsid w:val="00814A46"/>
    <w:rsid w:val="008165DF"/>
    <w:rsid w:val="008171A2"/>
    <w:rsid w:val="008204A5"/>
    <w:rsid w:val="00821136"/>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379B"/>
    <w:rsid w:val="0087401F"/>
    <w:rsid w:val="0087798D"/>
    <w:rsid w:val="00877F00"/>
    <w:rsid w:val="00880D1D"/>
    <w:rsid w:val="00881AD2"/>
    <w:rsid w:val="00881F8A"/>
    <w:rsid w:val="00882F70"/>
    <w:rsid w:val="00884B4A"/>
    <w:rsid w:val="00887F6C"/>
    <w:rsid w:val="00890AE5"/>
    <w:rsid w:val="00890DD5"/>
    <w:rsid w:val="0089185E"/>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3D5B"/>
    <w:rsid w:val="009044C4"/>
    <w:rsid w:val="00905227"/>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47"/>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5870"/>
    <w:rsid w:val="00A865F0"/>
    <w:rsid w:val="00A86A66"/>
    <w:rsid w:val="00A9115A"/>
    <w:rsid w:val="00A911E3"/>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6CB"/>
    <w:rsid w:val="00B14699"/>
    <w:rsid w:val="00B14753"/>
    <w:rsid w:val="00B15F82"/>
    <w:rsid w:val="00B16560"/>
    <w:rsid w:val="00B16F7D"/>
    <w:rsid w:val="00B17308"/>
    <w:rsid w:val="00B17C89"/>
    <w:rsid w:val="00B20236"/>
    <w:rsid w:val="00B21648"/>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242B"/>
    <w:rsid w:val="00B4280B"/>
    <w:rsid w:val="00B42AED"/>
    <w:rsid w:val="00B42C43"/>
    <w:rsid w:val="00B43714"/>
    <w:rsid w:val="00B441A3"/>
    <w:rsid w:val="00B442CD"/>
    <w:rsid w:val="00B44499"/>
    <w:rsid w:val="00B44919"/>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9D6"/>
    <w:rsid w:val="00C34288"/>
    <w:rsid w:val="00C34532"/>
    <w:rsid w:val="00C34F2F"/>
    <w:rsid w:val="00C35D44"/>
    <w:rsid w:val="00C3639D"/>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E7922"/>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15C"/>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39C"/>
    <w:rsid w:val="00FB49EF"/>
    <w:rsid w:val="00FB4F2F"/>
    <w:rsid w:val="00FB57D3"/>
    <w:rsid w:val="00FB5FBD"/>
    <w:rsid w:val="00FB647F"/>
    <w:rsid w:val="00FB64EB"/>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0E586AB-F75D-4DDB-85EE-6A3411C0962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56</TotalTime>
  <Pages>5</Pages>
  <Words>1312</Words>
  <Characters>9568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9</cp:revision>
  <cp:lastPrinted>2017-04-12T11:53:00Z</cp:lastPrinted>
  <dcterms:created xsi:type="dcterms:W3CDTF">2017-04-12T08:10:00Z</dcterms:created>
  <dcterms:modified xsi:type="dcterms:W3CDTF">2017-04-12T11:56:00Z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