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684939" w14:textId="77777777" w:rsidR="00ED3920" w:rsidRPr="00C93F6D" w:rsidRDefault="00ED3920" w:rsidP="00ED3920">
      <w:pPr>
        <w:jc w:val="right"/>
        <w:rPr>
          <w:rFonts w:ascii="Times New Roman" w:hAnsi="Times New Roman" w:cs="Times New Roman"/>
          <w:i/>
          <w:sz w:val="28"/>
          <w:szCs w:val="28"/>
        </w:rPr>
      </w:pPr>
      <w:r w:rsidRPr="00C93F6D">
        <w:rPr>
          <w:rFonts w:ascii="Times New Roman" w:hAnsi="Times New Roman" w:cs="Times New Roman"/>
          <w:i/>
          <w:sz w:val="28"/>
          <w:szCs w:val="28"/>
        </w:rPr>
        <w:t>Projekts</w:t>
      </w:r>
    </w:p>
    <w:p w14:paraId="0DCE0101" w14:textId="77777777" w:rsidR="00ED3920" w:rsidRPr="00ED3920" w:rsidRDefault="00ED3920" w:rsidP="00ED3920">
      <w:pPr>
        <w:spacing w:after="0" w:line="240" w:lineRule="auto"/>
        <w:jc w:val="center"/>
        <w:rPr>
          <w:rFonts w:ascii="Times New Roman" w:eastAsia="Times New Roman" w:hAnsi="Times New Roman" w:cs="Times New Roman"/>
          <w:b/>
          <w:sz w:val="28"/>
          <w:szCs w:val="28"/>
          <w:lang w:eastAsia="zh-CN"/>
        </w:rPr>
      </w:pPr>
      <w:r w:rsidRPr="00ED3920">
        <w:rPr>
          <w:rFonts w:ascii="Times New Roman" w:eastAsia="Times New Roman" w:hAnsi="Times New Roman" w:cs="Times New Roman"/>
          <w:b/>
          <w:sz w:val="28"/>
          <w:szCs w:val="28"/>
          <w:lang w:eastAsia="zh-CN"/>
        </w:rPr>
        <w:t xml:space="preserve">Informatīvais ziņojums </w:t>
      </w:r>
    </w:p>
    <w:p w14:paraId="3309290E" w14:textId="77777777" w:rsidR="00ED3920" w:rsidRPr="00ED3920" w:rsidRDefault="00ED3920" w:rsidP="00ED3920">
      <w:pPr>
        <w:pStyle w:val="Footer"/>
        <w:jc w:val="center"/>
        <w:rPr>
          <w:b/>
          <w:sz w:val="28"/>
          <w:szCs w:val="28"/>
        </w:rPr>
      </w:pPr>
      <w:r w:rsidRPr="00ED3920">
        <w:rPr>
          <w:b/>
          <w:sz w:val="28"/>
          <w:szCs w:val="28"/>
        </w:rPr>
        <w:t>„Par priekšlikumu sniegšanu par turpmāko rīcību</w:t>
      </w:r>
    </w:p>
    <w:p w14:paraId="0178BF94" w14:textId="77777777" w:rsidR="00ED3920" w:rsidRDefault="00ED3920" w:rsidP="00ED3920">
      <w:pPr>
        <w:pStyle w:val="Footer"/>
        <w:jc w:val="center"/>
      </w:pPr>
      <w:r w:rsidRPr="00ED3920">
        <w:rPr>
          <w:b/>
          <w:sz w:val="28"/>
          <w:szCs w:val="28"/>
        </w:rPr>
        <w:t>saistībā ar SIA „</w:t>
      </w:r>
      <w:r>
        <w:rPr>
          <w:b/>
          <w:sz w:val="28"/>
          <w:szCs w:val="28"/>
        </w:rPr>
        <w:t>Standartizācijas, akreditācijas un metroloģijas centrs</w:t>
      </w:r>
      <w:r w:rsidRPr="00ED3920">
        <w:rPr>
          <w:b/>
          <w:sz w:val="28"/>
          <w:szCs w:val="28"/>
        </w:rPr>
        <w:t xml:space="preserve">” </w:t>
      </w:r>
      <w:r>
        <w:rPr>
          <w:b/>
          <w:sz w:val="28"/>
          <w:szCs w:val="28"/>
        </w:rPr>
        <w:t>reorganizēšanu</w:t>
      </w:r>
      <w:r w:rsidRPr="00ED3920">
        <w:rPr>
          <w:b/>
          <w:sz w:val="28"/>
          <w:szCs w:val="28"/>
        </w:rPr>
        <w:t>”</w:t>
      </w:r>
    </w:p>
    <w:p w14:paraId="105A3ACE" w14:textId="77777777" w:rsidR="00ED3920" w:rsidRDefault="00ED3920">
      <w:pPr>
        <w:rPr>
          <w:rFonts w:ascii="Times New Roman" w:hAnsi="Times New Roman" w:cs="Times New Roman"/>
          <w:sz w:val="24"/>
          <w:szCs w:val="24"/>
        </w:rPr>
      </w:pPr>
    </w:p>
    <w:p w14:paraId="708EA07D" w14:textId="77777777" w:rsidR="00ED3920" w:rsidRPr="00D47696" w:rsidRDefault="00D47696" w:rsidP="00D47696">
      <w:pPr>
        <w:pStyle w:val="Heading1"/>
      </w:pPr>
      <w:r w:rsidRPr="00D47696">
        <w:t xml:space="preserve">1. </w:t>
      </w:r>
      <w:r w:rsidR="00ED3920" w:rsidRPr="00D47696">
        <w:t>Situācijas apraksts</w:t>
      </w:r>
    </w:p>
    <w:p w14:paraId="2AAFD4D5" w14:textId="77777777" w:rsidR="00A73803" w:rsidRPr="006F08DD" w:rsidRDefault="00A73803" w:rsidP="00A73803">
      <w:pPr>
        <w:spacing w:after="0" w:line="240" w:lineRule="auto"/>
        <w:ind w:firstLine="720"/>
        <w:jc w:val="both"/>
        <w:rPr>
          <w:rFonts w:ascii="Times New Roman" w:eastAsia="Times New Roman" w:hAnsi="Times New Roman"/>
          <w:sz w:val="28"/>
          <w:szCs w:val="28"/>
          <w:lang w:eastAsia="lv-LV"/>
        </w:rPr>
      </w:pPr>
      <w:r w:rsidRPr="006F08DD">
        <w:rPr>
          <w:rFonts w:ascii="Times New Roman" w:eastAsia="Times New Roman" w:hAnsi="Times New Roman"/>
          <w:sz w:val="28"/>
          <w:szCs w:val="28"/>
          <w:lang w:eastAsia="lv-LV"/>
        </w:rPr>
        <w:t>Ar Ministru kabineta 2012.</w:t>
      </w:r>
      <w:r>
        <w:rPr>
          <w:rFonts w:ascii="Times New Roman" w:eastAsia="Times New Roman" w:hAnsi="Times New Roman"/>
          <w:sz w:val="28"/>
          <w:szCs w:val="28"/>
          <w:lang w:eastAsia="lv-LV"/>
        </w:rPr>
        <w:t> </w:t>
      </w:r>
      <w:r w:rsidRPr="006F08DD">
        <w:rPr>
          <w:rFonts w:ascii="Times New Roman" w:eastAsia="Times New Roman" w:hAnsi="Times New Roman"/>
          <w:sz w:val="28"/>
          <w:szCs w:val="28"/>
          <w:lang w:eastAsia="lv-LV"/>
        </w:rPr>
        <w:t>gada 4.</w:t>
      </w:r>
      <w:r>
        <w:rPr>
          <w:rFonts w:ascii="Times New Roman" w:eastAsia="Times New Roman" w:hAnsi="Times New Roman"/>
          <w:sz w:val="28"/>
          <w:szCs w:val="28"/>
          <w:lang w:eastAsia="lv-LV"/>
        </w:rPr>
        <w:t> </w:t>
      </w:r>
      <w:r w:rsidRPr="006F08DD">
        <w:rPr>
          <w:rFonts w:ascii="Times New Roman" w:eastAsia="Times New Roman" w:hAnsi="Times New Roman"/>
          <w:sz w:val="28"/>
          <w:szCs w:val="28"/>
          <w:lang w:eastAsia="lv-LV"/>
        </w:rPr>
        <w:t>jūnija rīkojumu Nr.</w:t>
      </w:r>
      <w:r>
        <w:rPr>
          <w:rFonts w:ascii="Times New Roman" w:eastAsia="Times New Roman" w:hAnsi="Times New Roman"/>
          <w:sz w:val="28"/>
          <w:szCs w:val="28"/>
          <w:lang w:eastAsia="lv-LV"/>
        </w:rPr>
        <w:t> </w:t>
      </w:r>
      <w:r w:rsidRPr="006F08DD">
        <w:rPr>
          <w:rFonts w:ascii="Times New Roman" w:eastAsia="Times New Roman" w:hAnsi="Times New Roman"/>
          <w:sz w:val="28"/>
          <w:szCs w:val="28"/>
          <w:lang w:eastAsia="lv-LV"/>
        </w:rPr>
        <w:t xml:space="preserve">245 </w:t>
      </w:r>
      <w:r w:rsidRPr="006F08DD">
        <w:rPr>
          <w:rFonts w:ascii="Times New Roman" w:eastAsia="Times New Roman" w:hAnsi="Times New Roman"/>
          <w:i/>
          <w:sz w:val="28"/>
          <w:szCs w:val="28"/>
          <w:lang w:eastAsia="lv-LV"/>
        </w:rPr>
        <w:t>„Par Publisko personu komercdarbības koncepciju”</w:t>
      </w:r>
      <w:r w:rsidRPr="006F08DD">
        <w:rPr>
          <w:rFonts w:ascii="Times New Roman" w:eastAsia="Times New Roman" w:hAnsi="Times New Roman"/>
          <w:sz w:val="28"/>
          <w:szCs w:val="28"/>
          <w:lang w:eastAsia="lv-LV"/>
        </w:rPr>
        <w:t xml:space="preserve"> tika atbalstīti </w:t>
      </w:r>
      <w:r w:rsidRPr="006F08DD">
        <w:rPr>
          <w:rFonts w:ascii="Times New Roman" w:eastAsia="Times New Roman" w:hAnsi="Times New Roman"/>
          <w:i/>
          <w:sz w:val="28"/>
          <w:szCs w:val="28"/>
          <w:lang w:eastAsia="lv-LV"/>
        </w:rPr>
        <w:t>Publisko personu komercdarbības koncepcijā</w:t>
      </w:r>
      <w:r w:rsidRPr="006F08DD">
        <w:rPr>
          <w:rFonts w:ascii="Times New Roman" w:eastAsia="Times New Roman" w:hAnsi="Times New Roman"/>
          <w:sz w:val="28"/>
          <w:szCs w:val="28"/>
          <w:lang w:eastAsia="lv-LV"/>
        </w:rPr>
        <w:t xml:space="preserve"> ietvertie risinājumi, bet ar Ministru kabineta 2012.</w:t>
      </w:r>
      <w:r>
        <w:rPr>
          <w:rFonts w:ascii="Times New Roman" w:eastAsia="Times New Roman" w:hAnsi="Times New Roman"/>
          <w:sz w:val="28"/>
          <w:szCs w:val="28"/>
          <w:lang w:eastAsia="lv-LV"/>
        </w:rPr>
        <w:t> </w:t>
      </w:r>
      <w:r w:rsidRPr="006F08DD">
        <w:rPr>
          <w:rFonts w:ascii="Times New Roman" w:eastAsia="Times New Roman" w:hAnsi="Times New Roman"/>
          <w:sz w:val="28"/>
          <w:szCs w:val="28"/>
          <w:lang w:eastAsia="lv-LV"/>
        </w:rPr>
        <w:t>gada 4.</w:t>
      </w:r>
      <w:r>
        <w:rPr>
          <w:rFonts w:ascii="Times New Roman" w:eastAsia="Times New Roman" w:hAnsi="Times New Roman"/>
          <w:sz w:val="28"/>
          <w:szCs w:val="28"/>
          <w:lang w:eastAsia="lv-LV"/>
        </w:rPr>
        <w:t> </w:t>
      </w:r>
      <w:r w:rsidRPr="006F08DD">
        <w:rPr>
          <w:rFonts w:ascii="Times New Roman" w:eastAsia="Times New Roman" w:hAnsi="Times New Roman"/>
          <w:sz w:val="28"/>
          <w:szCs w:val="28"/>
          <w:lang w:eastAsia="lv-LV"/>
        </w:rPr>
        <w:t>jūnija rīkojumu Nr.</w:t>
      </w:r>
      <w:r>
        <w:rPr>
          <w:rFonts w:ascii="Times New Roman" w:eastAsia="Times New Roman" w:hAnsi="Times New Roman"/>
          <w:sz w:val="28"/>
          <w:szCs w:val="28"/>
          <w:lang w:eastAsia="lv-LV"/>
        </w:rPr>
        <w:t> </w:t>
      </w:r>
      <w:r w:rsidRPr="006F08DD">
        <w:rPr>
          <w:rFonts w:ascii="Times New Roman" w:eastAsia="Times New Roman" w:hAnsi="Times New Roman"/>
          <w:sz w:val="28"/>
          <w:szCs w:val="28"/>
          <w:lang w:eastAsia="lv-LV"/>
        </w:rPr>
        <w:t xml:space="preserve">246 </w:t>
      </w:r>
      <w:r w:rsidRPr="006F08DD">
        <w:rPr>
          <w:rFonts w:ascii="Times New Roman" w:eastAsia="Times New Roman" w:hAnsi="Times New Roman"/>
          <w:i/>
          <w:sz w:val="28"/>
          <w:szCs w:val="28"/>
          <w:lang w:eastAsia="lv-LV"/>
        </w:rPr>
        <w:t>„Par Valsts kapitāla daļu pārvaldības koncepciju”</w:t>
      </w:r>
      <w:r w:rsidRPr="006F08DD">
        <w:rPr>
          <w:rFonts w:ascii="Times New Roman" w:eastAsia="Times New Roman" w:hAnsi="Times New Roman"/>
          <w:sz w:val="28"/>
          <w:szCs w:val="28"/>
          <w:lang w:eastAsia="lv-LV"/>
        </w:rPr>
        <w:t xml:space="preserve"> tika atbalstīti </w:t>
      </w:r>
      <w:r w:rsidRPr="006F08DD">
        <w:rPr>
          <w:rFonts w:ascii="Times New Roman" w:eastAsia="Times New Roman" w:hAnsi="Times New Roman"/>
          <w:i/>
          <w:sz w:val="28"/>
          <w:szCs w:val="28"/>
          <w:lang w:eastAsia="lv-LV"/>
        </w:rPr>
        <w:t>Valsts kapitāla daļu pārvaldības koncepcijā</w:t>
      </w:r>
      <w:r w:rsidRPr="006F08DD">
        <w:rPr>
          <w:rFonts w:ascii="Times New Roman" w:eastAsia="Times New Roman" w:hAnsi="Times New Roman"/>
          <w:sz w:val="28"/>
          <w:szCs w:val="28"/>
          <w:lang w:eastAsia="lv-LV"/>
        </w:rPr>
        <w:t xml:space="preserve"> piedāvātie risinājumi. Ņemot vērā apstiprinātās koncepcijas, ar Ministru prezidenta 2012.</w:t>
      </w:r>
      <w:r>
        <w:rPr>
          <w:rFonts w:ascii="Times New Roman" w:eastAsia="Times New Roman" w:hAnsi="Times New Roman"/>
          <w:sz w:val="28"/>
          <w:szCs w:val="28"/>
          <w:lang w:eastAsia="lv-LV"/>
        </w:rPr>
        <w:t> </w:t>
      </w:r>
      <w:r w:rsidRPr="006F08DD">
        <w:rPr>
          <w:rFonts w:ascii="Times New Roman" w:eastAsia="Times New Roman" w:hAnsi="Times New Roman"/>
          <w:sz w:val="28"/>
          <w:szCs w:val="28"/>
          <w:lang w:eastAsia="lv-LV"/>
        </w:rPr>
        <w:t>gada 19.</w:t>
      </w:r>
      <w:r>
        <w:rPr>
          <w:rFonts w:ascii="Times New Roman" w:eastAsia="Times New Roman" w:hAnsi="Times New Roman"/>
          <w:sz w:val="28"/>
          <w:szCs w:val="28"/>
          <w:lang w:eastAsia="lv-LV"/>
        </w:rPr>
        <w:t> </w:t>
      </w:r>
      <w:r w:rsidRPr="006F08DD">
        <w:rPr>
          <w:rFonts w:ascii="Times New Roman" w:eastAsia="Times New Roman" w:hAnsi="Times New Roman"/>
          <w:sz w:val="28"/>
          <w:szCs w:val="28"/>
          <w:lang w:eastAsia="lv-LV"/>
        </w:rPr>
        <w:t>jūnija rīkojumu Nr.</w:t>
      </w:r>
      <w:r>
        <w:rPr>
          <w:rFonts w:ascii="Times New Roman" w:eastAsia="Times New Roman" w:hAnsi="Times New Roman"/>
          <w:sz w:val="28"/>
          <w:szCs w:val="28"/>
          <w:lang w:eastAsia="lv-LV"/>
        </w:rPr>
        <w:t> </w:t>
      </w:r>
      <w:r w:rsidRPr="006F08DD">
        <w:rPr>
          <w:rFonts w:ascii="Times New Roman" w:eastAsia="Times New Roman" w:hAnsi="Times New Roman"/>
          <w:sz w:val="28"/>
          <w:szCs w:val="28"/>
          <w:lang w:eastAsia="lv-LV"/>
        </w:rPr>
        <w:t xml:space="preserve">233 </w:t>
      </w:r>
      <w:r w:rsidRPr="006F08DD">
        <w:rPr>
          <w:rFonts w:ascii="Times New Roman" w:eastAsia="Times New Roman" w:hAnsi="Times New Roman"/>
          <w:i/>
          <w:sz w:val="28"/>
          <w:szCs w:val="28"/>
          <w:lang w:eastAsia="lv-LV"/>
        </w:rPr>
        <w:t>„Par darba grupu”</w:t>
      </w:r>
      <w:r w:rsidRPr="006F08DD">
        <w:rPr>
          <w:rFonts w:ascii="Times New Roman" w:eastAsia="Times New Roman" w:hAnsi="Times New Roman"/>
          <w:sz w:val="28"/>
          <w:szCs w:val="28"/>
          <w:lang w:eastAsia="lv-LV"/>
        </w:rPr>
        <w:t xml:space="preserve"> tika izveidota starpinstitūciju darba grupa (turpmāk – Darba grupa), kuras uzdevums bija izvērtēt nozaru ministriju iesniegto informāciju par valsts kapitālsabiedrību turpmākās darbības izvērtējumu un sagatavot Darba grupas viedokli un priekšlikumus par valsts līdzdalības nepieciešamību kapitālsabiedrībās, kā arī kapitālsabiedrību turpmāko juridisko statusu un to pārvaldītāju.</w:t>
      </w:r>
    </w:p>
    <w:p w14:paraId="3684C386" w14:textId="77777777" w:rsidR="00A73803" w:rsidRDefault="00A73803" w:rsidP="00A73803">
      <w:pPr>
        <w:spacing w:after="0" w:line="240" w:lineRule="auto"/>
        <w:jc w:val="both"/>
        <w:rPr>
          <w:rFonts w:ascii="Times New Roman" w:eastAsia="Times New Roman" w:hAnsi="Times New Roman"/>
          <w:sz w:val="28"/>
          <w:szCs w:val="28"/>
          <w:lang w:eastAsia="lv-LV"/>
        </w:rPr>
      </w:pPr>
      <w:r w:rsidRPr="006F08DD">
        <w:rPr>
          <w:rFonts w:ascii="Times New Roman" w:eastAsia="Times New Roman" w:hAnsi="Times New Roman"/>
          <w:sz w:val="28"/>
          <w:szCs w:val="28"/>
          <w:lang w:eastAsia="lv-LV"/>
        </w:rPr>
        <w:tab/>
        <w:t xml:space="preserve">Izpildot Ministru prezidenta sniegto uzdevumu, Darba grupa izstrādāja informatīvo ziņojumu </w:t>
      </w:r>
      <w:r w:rsidRPr="006F08DD">
        <w:rPr>
          <w:rFonts w:ascii="Times New Roman" w:eastAsia="Times New Roman" w:hAnsi="Times New Roman"/>
          <w:i/>
          <w:sz w:val="28"/>
          <w:szCs w:val="28"/>
          <w:lang w:eastAsia="lv-LV"/>
        </w:rPr>
        <w:t>„Par valsts līdzdalības kapitālsabiedrībās izvērtēšanu un ar Ministru prezidenta 2012.</w:t>
      </w:r>
      <w:r>
        <w:rPr>
          <w:rFonts w:ascii="Times New Roman" w:eastAsia="Times New Roman" w:hAnsi="Times New Roman"/>
          <w:i/>
          <w:sz w:val="28"/>
          <w:szCs w:val="28"/>
          <w:lang w:eastAsia="lv-LV"/>
        </w:rPr>
        <w:t> </w:t>
      </w:r>
      <w:r w:rsidRPr="006F08DD">
        <w:rPr>
          <w:rFonts w:ascii="Times New Roman" w:eastAsia="Times New Roman" w:hAnsi="Times New Roman"/>
          <w:i/>
          <w:sz w:val="28"/>
          <w:szCs w:val="28"/>
          <w:lang w:eastAsia="lv-LV"/>
        </w:rPr>
        <w:t>gada 19.</w:t>
      </w:r>
      <w:r>
        <w:rPr>
          <w:rFonts w:ascii="Times New Roman" w:eastAsia="Times New Roman" w:hAnsi="Times New Roman"/>
          <w:i/>
          <w:sz w:val="28"/>
          <w:szCs w:val="28"/>
          <w:lang w:eastAsia="lv-LV"/>
        </w:rPr>
        <w:t> </w:t>
      </w:r>
      <w:r w:rsidRPr="006F08DD">
        <w:rPr>
          <w:rFonts w:ascii="Times New Roman" w:eastAsia="Times New Roman" w:hAnsi="Times New Roman"/>
          <w:i/>
          <w:sz w:val="28"/>
          <w:szCs w:val="28"/>
          <w:lang w:eastAsia="lv-LV"/>
        </w:rPr>
        <w:t>jūnija rīkojumu Nr.</w:t>
      </w:r>
      <w:r>
        <w:rPr>
          <w:rFonts w:ascii="Times New Roman" w:eastAsia="Times New Roman" w:hAnsi="Times New Roman"/>
          <w:i/>
          <w:sz w:val="28"/>
          <w:szCs w:val="28"/>
          <w:lang w:eastAsia="lv-LV"/>
        </w:rPr>
        <w:t> </w:t>
      </w:r>
      <w:r w:rsidRPr="006F08DD">
        <w:rPr>
          <w:rFonts w:ascii="Times New Roman" w:eastAsia="Times New Roman" w:hAnsi="Times New Roman"/>
          <w:i/>
          <w:sz w:val="28"/>
          <w:szCs w:val="28"/>
          <w:lang w:eastAsia="lv-LV"/>
        </w:rPr>
        <w:t>233 izveidotās darba grupas priekšlikumiem turpmākajai rīcībai”</w:t>
      </w:r>
      <w:r>
        <w:rPr>
          <w:rFonts w:ascii="Times New Roman" w:eastAsia="Times New Roman" w:hAnsi="Times New Roman"/>
          <w:sz w:val="28"/>
          <w:szCs w:val="28"/>
          <w:lang w:eastAsia="lv-LV"/>
        </w:rPr>
        <w:t xml:space="preserve"> (turpmāk – I</w:t>
      </w:r>
      <w:r w:rsidRPr="006F08DD">
        <w:rPr>
          <w:rFonts w:ascii="Times New Roman" w:eastAsia="Times New Roman" w:hAnsi="Times New Roman"/>
          <w:sz w:val="28"/>
          <w:szCs w:val="28"/>
          <w:lang w:eastAsia="lv-LV"/>
        </w:rPr>
        <w:t>nformatīvais ziņojums), kas tika skatīts un atbalstīts Ministru kabineta 2013.</w:t>
      </w:r>
      <w:r>
        <w:rPr>
          <w:rFonts w:ascii="Times New Roman" w:eastAsia="Times New Roman" w:hAnsi="Times New Roman"/>
          <w:sz w:val="28"/>
          <w:szCs w:val="28"/>
          <w:lang w:eastAsia="lv-LV"/>
        </w:rPr>
        <w:t> </w:t>
      </w:r>
      <w:r w:rsidRPr="006F08DD">
        <w:rPr>
          <w:rFonts w:ascii="Times New Roman" w:eastAsia="Times New Roman" w:hAnsi="Times New Roman"/>
          <w:sz w:val="28"/>
          <w:szCs w:val="28"/>
          <w:lang w:eastAsia="lv-LV"/>
        </w:rPr>
        <w:t>gada 11.</w:t>
      </w:r>
      <w:r>
        <w:rPr>
          <w:rFonts w:ascii="Times New Roman" w:eastAsia="Times New Roman" w:hAnsi="Times New Roman"/>
          <w:sz w:val="28"/>
          <w:szCs w:val="28"/>
          <w:lang w:eastAsia="lv-LV"/>
        </w:rPr>
        <w:t> </w:t>
      </w:r>
      <w:r w:rsidRPr="006F08DD">
        <w:rPr>
          <w:rFonts w:ascii="Times New Roman" w:eastAsia="Times New Roman" w:hAnsi="Times New Roman"/>
          <w:sz w:val="28"/>
          <w:szCs w:val="28"/>
          <w:lang w:eastAsia="lv-LV"/>
        </w:rPr>
        <w:t>jūnija sēdē (prot.</w:t>
      </w:r>
      <w:r>
        <w:rPr>
          <w:rFonts w:ascii="Times New Roman" w:eastAsia="Times New Roman" w:hAnsi="Times New Roman"/>
          <w:sz w:val="28"/>
          <w:szCs w:val="28"/>
          <w:lang w:eastAsia="lv-LV"/>
        </w:rPr>
        <w:t> </w:t>
      </w:r>
      <w:r w:rsidRPr="006F08DD">
        <w:rPr>
          <w:rFonts w:ascii="Times New Roman" w:eastAsia="Times New Roman" w:hAnsi="Times New Roman"/>
          <w:sz w:val="28"/>
          <w:szCs w:val="28"/>
          <w:lang w:eastAsia="lv-LV"/>
        </w:rPr>
        <w:t>Nr.</w:t>
      </w:r>
      <w:r>
        <w:rPr>
          <w:rFonts w:ascii="Times New Roman" w:eastAsia="Times New Roman" w:hAnsi="Times New Roman"/>
          <w:sz w:val="28"/>
          <w:szCs w:val="28"/>
          <w:lang w:eastAsia="lv-LV"/>
        </w:rPr>
        <w:t> </w:t>
      </w:r>
      <w:r w:rsidRPr="006F08DD">
        <w:rPr>
          <w:rFonts w:ascii="Times New Roman" w:eastAsia="Times New Roman" w:hAnsi="Times New Roman"/>
          <w:sz w:val="28"/>
          <w:szCs w:val="28"/>
          <w:lang w:eastAsia="lv-LV"/>
        </w:rPr>
        <w:t>34 37.§). Vienlaikus Ministru kabinets uzdeva nozaru ministrijām a</w:t>
      </w:r>
      <w:r>
        <w:rPr>
          <w:rFonts w:ascii="Times New Roman" w:eastAsia="Times New Roman" w:hAnsi="Times New Roman"/>
          <w:sz w:val="28"/>
          <w:szCs w:val="28"/>
          <w:lang w:eastAsia="lv-LV"/>
        </w:rPr>
        <w:t>tbilstoši kompetencei izvērtēt I</w:t>
      </w:r>
      <w:r w:rsidRPr="006F08DD">
        <w:rPr>
          <w:rFonts w:ascii="Times New Roman" w:eastAsia="Times New Roman" w:hAnsi="Times New Roman"/>
          <w:sz w:val="28"/>
          <w:szCs w:val="28"/>
          <w:lang w:eastAsia="lv-LV"/>
        </w:rPr>
        <w:t>nformatīvajā ziņojumā ietverto Darba grupas ieteikumu finansiālos un tiesiskos riskus un iesniegt Ministru kabinetā priekšlikumus par turpmāko rīcību saistīb</w:t>
      </w:r>
      <w:r w:rsidR="006415A4">
        <w:rPr>
          <w:rFonts w:ascii="Times New Roman" w:eastAsia="Times New Roman" w:hAnsi="Times New Roman"/>
          <w:sz w:val="28"/>
          <w:szCs w:val="28"/>
          <w:lang w:eastAsia="lv-LV"/>
        </w:rPr>
        <w:t>ā ar attiecīgajiem ieteikumiem.</w:t>
      </w:r>
    </w:p>
    <w:p w14:paraId="1E4DC4D9" w14:textId="77777777" w:rsidR="00EE2CF4" w:rsidRDefault="0073642D" w:rsidP="00A73803">
      <w:p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ab/>
      </w:r>
      <w:r w:rsidR="0054103D">
        <w:rPr>
          <w:rFonts w:ascii="Times New Roman" w:eastAsia="Times New Roman" w:hAnsi="Times New Roman"/>
          <w:sz w:val="28"/>
          <w:szCs w:val="28"/>
          <w:lang w:eastAsia="lv-LV"/>
        </w:rPr>
        <w:t>Atbilstoši I</w:t>
      </w:r>
      <w:r w:rsidR="0054103D" w:rsidRPr="006F08DD">
        <w:rPr>
          <w:rFonts w:ascii="Times New Roman" w:eastAsia="Times New Roman" w:hAnsi="Times New Roman"/>
          <w:sz w:val="28"/>
          <w:szCs w:val="28"/>
          <w:lang w:eastAsia="lv-LV"/>
        </w:rPr>
        <w:t xml:space="preserve">nformatīvā ziņojuma </w:t>
      </w:r>
      <w:r w:rsidR="0054103D" w:rsidRPr="00CC68BF">
        <w:rPr>
          <w:rFonts w:ascii="Times New Roman" w:eastAsia="Times New Roman" w:hAnsi="Times New Roman"/>
          <w:sz w:val="28"/>
          <w:szCs w:val="28"/>
          <w:lang w:eastAsia="lv-LV"/>
        </w:rPr>
        <w:t>5. pielikumā</w:t>
      </w:r>
      <w:r w:rsidR="0054103D" w:rsidRPr="006F08DD">
        <w:rPr>
          <w:rFonts w:ascii="Times New Roman" w:eastAsia="Times New Roman" w:hAnsi="Times New Roman"/>
          <w:sz w:val="28"/>
          <w:szCs w:val="28"/>
          <w:lang w:eastAsia="lv-LV"/>
        </w:rPr>
        <w:t xml:space="preserve"> minētajai informācijai Ekonomikas ministrijai (turpmāk – EM)</w:t>
      </w:r>
      <w:r w:rsidR="00EE2CF4">
        <w:rPr>
          <w:rFonts w:ascii="Times New Roman" w:eastAsia="Times New Roman" w:hAnsi="Times New Roman"/>
          <w:sz w:val="28"/>
          <w:szCs w:val="28"/>
          <w:lang w:eastAsia="lv-LV"/>
        </w:rPr>
        <w:t xml:space="preserve"> kā </w:t>
      </w:r>
      <w:r w:rsidR="00EE2CF4" w:rsidRPr="006F08DD">
        <w:rPr>
          <w:rFonts w:ascii="Times New Roman" w:eastAsia="Times New Roman" w:hAnsi="Times New Roman"/>
          <w:sz w:val="28"/>
          <w:szCs w:val="28"/>
          <w:lang w:eastAsia="lv-LV"/>
        </w:rPr>
        <w:t>valsts sabiedrības ar ierobežotu atbildību „</w:t>
      </w:r>
      <w:r w:rsidR="00EE2CF4">
        <w:rPr>
          <w:rFonts w:ascii="Times New Roman" w:eastAsia="Times New Roman" w:hAnsi="Times New Roman"/>
          <w:sz w:val="28"/>
          <w:szCs w:val="28"/>
          <w:lang w:eastAsia="lv-LV"/>
        </w:rPr>
        <w:t>Standartizācijas, akreditācijas un metroloģijas centrs</w:t>
      </w:r>
      <w:r w:rsidR="00EE2CF4" w:rsidRPr="006F08DD">
        <w:rPr>
          <w:rFonts w:ascii="Times New Roman" w:eastAsia="Times New Roman" w:hAnsi="Times New Roman"/>
          <w:sz w:val="28"/>
          <w:szCs w:val="28"/>
          <w:lang w:eastAsia="lv-LV"/>
        </w:rPr>
        <w:t xml:space="preserve">” (turpmāk – </w:t>
      </w:r>
      <w:r w:rsidR="00EE2CF4">
        <w:rPr>
          <w:rFonts w:ascii="Times New Roman" w:eastAsia="Times New Roman" w:hAnsi="Times New Roman"/>
          <w:sz w:val="28"/>
          <w:szCs w:val="28"/>
          <w:lang w:eastAsia="lv-LV"/>
        </w:rPr>
        <w:t>SAMC</w:t>
      </w:r>
      <w:r w:rsidR="00EE2CF4" w:rsidRPr="006F08DD">
        <w:rPr>
          <w:rFonts w:ascii="Times New Roman" w:eastAsia="Times New Roman" w:hAnsi="Times New Roman"/>
          <w:sz w:val="28"/>
          <w:szCs w:val="28"/>
          <w:lang w:eastAsia="lv-LV"/>
        </w:rPr>
        <w:t>)</w:t>
      </w:r>
      <w:r w:rsidR="00EE2CF4">
        <w:rPr>
          <w:rFonts w:ascii="Times New Roman" w:eastAsia="Times New Roman" w:hAnsi="Times New Roman"/>
          <w:sz w:val="28"/>
          <w:szCs w:val="28"/>
          <w:lang w:eastAsia="lv-LV"/>
        </w:rPr>
        <w:t xml:space="preserve"> kapitāl</w:t>
      </w:r>
      <w:r w:rsidR="00166009">
        <w:rPr>
          <w:rFonts w:ascii="Times New Roman" w:eastAsia="Times New Roman" w:hAnsi="Times New Roman"/>
          <w:sz w:val="28"/>
          <w:szCs w:val="28"/>
          <w:lang w:eastAsia="lv-LV"/>
        </w:rPr>
        <w:t>a</w:t>
      </w:r>
      <w:r w:rsidR="00EE2CF4">
        <w:rPr>
          <w:rFonts w:ascii="Times New Roman" w:eastAsia="Times New Roman" w:hAnsi="Times New Roman"/>
          <w:sz w:val="28"/>
          <w:szCs w:val="28"/>
          <w:lang w:eastAsia="lv-LV"/>
        </w:rPr>
        <w:t xml:space="preserve"> daļu turētājam ir nepieciešams</w:t>
      </w:r>
      <w:r w:rsidR="008913B3">
        <w:rPr>
          <w:rFonts w:ascii="Times New Roman" w:eastAsia="Times New Roman" w:hAnsi="Times New Roman"/>
          <w:sz w:val="28"/>
          <w:szCs w:val="28"/>
          <w:lang w:eastAsia="lv-LV"/>
        </w:rPr>
        <w:t xml:space="preserve"> izvērtēt SAMC juridiskā statusa maiņas, pārveidojot to par valsts aģentūru, juridiskos un finanšu riskus, kā arī sagatavot un iesniegt izskatīšanai Ministru kabinetā priekšlikumus par turpmāko rīcību</w:t>
      </w:r>
      <w:r w:rsidR="008913B3" w:rsidRPr="001A4D12">
        <w:rPr>
          <w:rFonts w:ascii="Times New Roman" w:eastAsia="Times New Roman" w:hAnsi="Times New Roman"/>
          <w:sz w:val="28"/>
          <w:szCs w:val="28"/>
          <w:lang w:eastAsia="lv-LV"/>
        </w:rPr>
        <w:t>.</w:t>
      </w:r>
      <w:r w:rsidR="00AF72E4" w:rsidRPr="001A4D12">
        <w:rPr>
          <w:rFonts w:ascii="Times New Roman" w:eastAsia="Times New Roman" w:hAnsi="Times New Roman"/>
          <w:sz w:val="28"/>
          <w:szCs w:val="28"/>
          <w:lang w:eastAsia="lv-LV"/>
        </w:rPr>
        <w:t xml:space="preserve"> Informatīvā ziņojuma ietvaros tika veikts izvērtējums par SIA SAMC veicamajām funkcijām un tika secināts, ka ņemot vērā SIA SAMC uzticētos uzdevumus, kas saistīti ar valsts deleģēto funkciju izpildi un saistošu lēmumu pieņemšanu, tad SIA SAMC būtu pārveidojama par valsts aģentūru.</w:t>
      </w:r>
      <w:r w:rsidR="00AF72E4">
        <w:rPr>
          <w:rFonts w:ascii="Times New Roman" w:eastAsia="Times New Roman" w:hAnsi="Times New Roman"/>
          <w:sz w:val="28"/>
          <w:szCs w:val="28"/>
          <w:lang w:eastAsia="lv-LV"/>
        </w:rPr>
        <w:t xml:space="preserve">   </w:t>
      </w:r>
    </w:p>
    <w:p w14:paraId="28857227" w14:textId="77777777" w:rsidR="0000389B" w:rsidRDefault="0000389B" w:rsidP="00A73803">
      <w:p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ab/>
      </w:r>
      <w:r w:rsidRPr="00603047">
        <w:rPr>
          <w:rFonts w:ascii="Times New Roman" w:eastAsia="Times New Roman" w:hAnsi="Times New Roman"/>
          <w:sz w:val="28"/>
          <w:szCs w:val="28"/>
          <w:lang w:eastAsia="lv-LV"/>
        </w:rPr>
        <w:t>2016.gada 20.septembra Ministru kabineta sēdē (</w:t>
      </w:r>
      <w:r>
        <w:rPr>
          <w:rFonts w:ascii="Times New Roman" w:eastAsia="Times New Roman" w:hAnsi="Times New Roman"/>
          <w:sz w:val="28"/>
          <w:szCs w:val="28"/>
          <w:lang w:eastAsia="lv-LV"/>
        </w:rPr>
        <w:t>prot.Nr.46 35.§</w:t>
      </w:r>
      <w:r w:rsidRPr="00603047">
        <w:rPr>
          <w:rFonts w:ascii="Times New Roman" w:eastAsia="Times New Roman" w:hAnsi="Times New Roman"/>
          <w:sz w:val="28"/>
          <w:szCs w:val="28"/>
          <w:lang w:eastAsia="lv-LV"/>
        </w:rPr>
        <w:t xml:space="preserve">) tika pieņemts zināšanai </w:t>
      </w:r>
      <w:r w:rsidR="002B49A0">
        <w:rPr>
          <w:rFonts w:ascii="Times New Roman" w:eastAsia="Times New Roman" w:hAnsi="Times New Roman"/>
          <w:sz w:val="28"/>
          <w:szCs w:val="28"/>
          <w:lang w:eastAsia="lv-LV"/>
        </w:rPr>
        <w:t>EM</w:t>
      </w:r>
      <w:r w:rsidRPr="00603047">
        <w:rPr>
          <w:rFonts w:ascii="Times New Roman" w:eastAsia="Times New Roman" w:hAnsi="Times New Roman"/>
          <w:sz w:val="28"/>
          <w:szCs w:val="28"/>
          <w:lang w:eastAsia="lv-LV"/>
        </w:rPr>
        <w:t xml:space="preserve"> izstrādātais konceptuālais ziņojums </w:t>
      </w:r>
      <w:r w:rsidRPr="00603047">
        <w:rPr>
          <w:rFonts w:ascii="Times New Roman" w:eastAsia="Times New Roman" w:hAnsi="Times New Roman"/>
          <w:i/>
          <w:sz w:val="28"/>
          <w:szCs w:val="28"/>
          <w:lang w:eastAsia="lv-LV"/>
        </w:rPr>
        <w:t>“Par Latvijas nacionālās standartizācijas sistēmas pilnveidošanu”</w:t>
      </w:r>
      <w:r w:rsidR="000E43BD">
        <w:rPr>
          <w:rFonts w:ascii="Times New Roman" w:eastAsia="Times New Roman" w:hAnsi="Times New Roman"/>
          <w:sz w:val="28"/>
          <w:szCs w:val="28"/>
          <w:lang w:eastAsia="lv-LV"/>
        </w:rPr>
        <w:t xml:space="preserve"> (turpmāk – Standartizācijas konceptuālais ziņojums)</w:t>
      </w:r>
      <w:r w:rsidRPr="00603047">
        <w:rPr>
          <w:rFonts w:ascii="Times New Roman" w:eastAsia="Times New Roman" w:hAnsi="Times New Roman"/>
          <w:sz w:val="28"/>
          <w:szCs w:val="28"/>
          <w:lang w:eastAsia="lv-LV"/>
        </w:rPr>
        <w:t xml:space="preserve">, kurā cita starpā tika iekļauts arī risinājums saistībā ar </w:t>
      </w:r>
      <w:r w:rsidRPr="00603047">
        <w:rPr>
          <w:rFonts w:ascii="Times New Roman" w:eastAsia="Times New Roman" w:hAnsi="Times New Roman"/>
          <w:sz w:val="28"/>
          <w:szCs w:val="28"/>
          <w:lang w:eastAsia="lv-LV"/>
        </w:rPr>
        <w:lastRenderedPageBreak/>
        <w:t>nacionālās standartizācijas institūcijas darbības reorganizāciju. Ievērojot apstākli, ka nacionālās standartizācijas institūcijas</w:t>
      </w:r>
      <w:r w:rsidRPr="00603047">
        <w:t xml:space="preserve"> </w:t>
      </w:r>
      <w:r w:rsidRPr="00603047">
        <w:rPr>
          <w:rFonts w:ascii="Times New Roman" w:eastAsia="Times New Roman" w:hAnsi="Times New Roman"/>
          <w:sz w:val="28"/>
          <w:szCs w:val="28"/>
          <w:lang w:eastAsia="lv-LV"/>
        </w:rPr>
        <w:t>primārā darbība ir saistīta ar standartu izstrādi</w:t>
      </w:r>
      <w:r w:rsidRPr="0078300A">
        <w:rPr>
          <w:rFonts w:ascii="Times New Roman" w:eastAsia="Times New Roman" w:hAnsi="Times New Roman"/>
          <w:sz w:val="28"/>
          <w:szCs w:val="28"/>
          <w:lang w:eastAsia="lv-LV"/>
        </w:rPr>
        <w:t xml:space="preserve"> – standartizāciju, kas nav uzskatām</w:t>
      </w:r>
      <w:r>
        <w:rPr>
          <w:rFonts w:ascii="Times New Roman" w:eastAsia="Times New Roman" w:hAnsi="Times New Roman"/>
          <w:sz w:val="28"/>
          <w:szCs w:val="28"/>
          <w:lang w:eastAsia="lv-LV"/>
        </w:rPr>
        <w:t xml:space="preserve">a par valsts pārvaldes uzdevumu, Ministru kabineta sēdē tika atbalstīts konceptuālajā ziņojumā ietvertais risinājums, ka nacionālās standartizācijas institūcijas funkciju izpilde būtu nododama nevalstiskajai organizācijai – biedrībai, kura tiktu nodibināta ar mērķi attīstīt standartizācijas sistēmu un tās darbību atbilstoši starptautiskajām prasībām, kā arī veicināt standartu izplatību un to izmantošanu.  </w:t>
      </w:r>
    </w:p>
    <w:p w14:paraId="22791A49" w14:textId="77777777" w:rsidR="00B732AA" w:rsidRDefault="0000389B" w:rsidP="00A73803">
      <w:p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ab/>
        <w:t>No minētajiem Ministru kabineta pieņemtajiem lēmumiem secināms, ka Ministru kabinets ir izdarījis izšķiršanos par turpmāko SAMC, kurā ietilpst divi faktiski neatkarīgi biroji - Latvijas nacionālais akreditācijas birojs (turpmāk – LATAK) un Standartizācijas birojs (turpmāk – LVS)</w:t>
      </w:r>
      <w:r w:rsidR="002B49A0">
        <w:rPr>
          <w:rFonts w:ascii="Times New Roman" w:eastAsia="Times New Roman" w:hAnsi="Times New Roman"/>
          <w:sz w:val="28"/>
          <w:szCs w:val="28"/>
          <w:lang w:eastAsia="lv-LV"/>
        </w:rPr>
        <w:t>,</w:t>
      </w:r>
      <w:r>
        <w:rPr>
          <w:rFonts w:ascii="Times New Roman" w:eastAsia="Times New Roman" w:hAnsi="Times New Roman"/>
          <w:sz w:val="28"/>
          <w:szCs w:val="28"/>
          <w:lang w:eastAsia="lv-LV"/>
        </w:rPr>
        <w:t xml:space="preserve"> darbības statusu. Tādējādi ir izsecināms </w:t>
      </w:r>
      <w:r w:rsidR="00E953E2">
        <w:rPr>
          <w:rFonts w:ascii="Times New Roman" w:eastAsia="Times New Roman" w:hAnsi="Times New Roman"/>
          <w:sz w:val="28"/>
          <w:szCs w:val="28"/>
          <w:lang w:eastAsia="lv-LV"/>
        </w:rPr>
        <w:t xml:space="preserve">arī </w:t>
      </w:r>
      <w:r>
        <w:rPr>
          <w:rFonts w:ascii="Times New Roman" w:eastAsia="Times New Roman" w:hAnsi="Times New Roman"/>
          <w:sz w:val="28"/>
          <w:szCs w:val="28"/>
          <w:lang w:eastAsia="lv-LV"/>
        </w:rPr>
        <w:t xml:space="preserve">SAMC reorganizācijas sasniedzamais gala mērķis, proti, </w:t>
      </w:r>
      <w:r w:rsidR="00B732AA">
        <w:rPr>
          <w:rFonts w:ascii="Times New Roman" w:eastAsia="Times New Roman" w:hAnsi="Times New Roman"/>
          <w:sz w:val="28"/>
          <w:szCs w:val="28"/>
          <w:lang w:eastAsia="lv-LV"/>
        </w:rPr>
        <w:t>SAMC tiek likvidēts, savukārt tā vietā tiek izveidotas:</w:t>
      </w:r>
      <w:r w:rsidR="00B732AA" w:rsidRPr="00B732AA">
        <w:rPr>
          <w:rFonts w:ascii="Times New Roman" w:eastAsia="Times New Roman" w:hAnsi="Times New Roman"/>
          <w:sz w:val="28"/>
          <w:szCs w:val="28"/>
          <w:lang w:eastAsia="lv-LV"/>
        </w:rPr>
        <w:t xml:space="preserve"> </w:t>
      </w:r>
      <w:r w:rsidR="00B732AA">
        <w:rPr>
          <w:rFonts w:ascii="Times New Roman" w:eastAsia="Times New Roman" w:hAnsi="Times New Roman"/>
          <w:sz w:val="28"/>
          <w:szCs w:val="28"/>
          <w:lang w:eastAsia="lv-LV"/>
        </w:rPr>
        <w:t>1) valsts aģentūra, kas pilda LATAK funkcijas un pienākumus; 2) bezpeļņas brīvprātīga personu apvienība (biedrība), kas pilda LVS funkcijas un pienākumus.</w:t>
      </w:r>
    </w:p>
    <w:p w14:paraId="1AF22D60" w14:textId="77777777" w:rsidR="002B49A0" w:rsidRDefault="0000389B" w:rsidP="002B49A0">
      <w:pPr>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ab/>
      </w:r>
      <w:r w:rsidR="002B49A0">
        <w:rPr>
          <w:rFonts w:ascii="Times New Roman" w:eastAsia="Times New Roman" w:hAnsi="Times New Roman"/>
          <w:sz w:val="28"/>
          <w:szCs w:val="28"/>
          <w:lang w:eastAsia="lv-LV"/>
        </w:rPr>
        <w:t xml:space="preserve">Ievērojot </w:t>
      </w:r>
      <w:r w:rsidR="00B732AA">
        <w:rPr>
          <w:rFonts w:ascii="Times New Roman" w:eastAsia="Times New Roman" w:hAnsi="Times New Roman"/>
          <w:sz w:val="28"/>
          <w:szCs w:val="28"/>
          <w:lang w:eastAsia="lv-LV"/>
        </w:rPr>
        <w:t xml:space="preserve">no </w:t>
      </w:r>
      <w:r w:rsidR="002B49A0">
        <w:rPr>
          <w:rFonts w:ascii="Times New Roman" w:eastAsia="Times New Roman" w:hAnsi="Times New Roman"/>
          <w:sz w:val="28"/>
          <w:szCs w:val="28"/>
          <w:lang w:eastAsia="lv-LV"/>
        </w:rPr>
        <w:t>Ministru kabineta pieņemtaj</w:t>
      </w:r>
      <w:r w:rsidR="00B732AA">
        <w:rPr>
          <w:rFonts w:ascii="Times New Roman" w:eastAsia="Times New Roman" w:hAnsi="Times New Roman"/>
          <w:sz w:val="28"/>
          <w:szCs w:val="28"/>
          <w:lang w:eastAsia="lv-LV"/>
        </w:rPr>
        <w:t xml:space="preserve">iem </w:t>
      </w:r>
      <w:r w:rsidR="002B49A0">
        <w:rPr>
          <w:rFonts w:ascii="Times New Roman" w:eastAsia="Times New Roman" w:hAnsi="Times New Roman"/>
          <w:sz w:val="28"/>
          <w:szCs w:val="28"/>
          <w:lang w:eastAsia="lv-LV"/>
        </w:rPr>
        <w:t>lē</w:t>
      </w:r>
      <w:r w:rsidR="00B732AA">
        <w:rPr>
          <w:rFonts w:ascii="Times New Roman" w:eastAsia="Times New Roman" w:hAnsi="Times New Roman"/>
          <w:sz w:val="28"/>
          <w:szCs w:val="28"/>
          <w:lang w:eastAsia="lv-LV"/>
        </w:rPr>
        <w:t>mumiem izrietošo SAMC r</w:t>
      </w:r>
      <w:r w:rsidR="002B49A0">
        <w:rPr>
          <w:rFonts w:ascii="Times New Roman" w:eastAsia="Times New Roman" w:hAnsi="Times New Roman"/>
          <w:sz w:val="28"/>
          <w:szCs w:val="28"/>
          <w:lang w:eastAsia="lv-LV"/>
        </w:rPr>
        <w:t>eorganizācijas sasniedza</w:t>
      </w:r>
      <w:r w:rsidR="00B732AA">
        <w:rPr>
          <w:rFonts w:ascii="Times New Roman" w:eastAsia="Times New Roman" w:hAnsi="Times New Roman"/>
          <w:sz w:val="28"/>
          <w:szCs w:val="28"/>
          <w:lang w:eastAsia="lv-LV"/>
        </w:rPr>
        <w:t>mo</w:t>
      </w:r>
      <w:r w:rsidR="002B49A0">
        <w:rPr>
          <w:rFonts w:ascii="Times New Roman" w:eastAsia="Times New Roman" w:hAnsi="Times New Roman"/>
          <w:sz w:val="28"/>
          <w:szCs w:val="28"/>
          <w:lang w:eastAsia="lv-LV"/>
        </w:rPr>
        <w:t xml:space="preserve"> m</w:t>
      </w:r>
      <w:r w:rsidR="00B732AA">
        <w:rPr>
          <w:rFonts w:ascii="Times New Roman" w:eastAsia="Times New Roman" w:hAnsi="Times New Roman"/>
          <w:sz w:val="28"/>
          <w:szCs w:val="28"/>
          <w:lang w:eastAsia="lv-LV"/>
        </w:rPr>
        <w:t>ērķi</w:t>
      </w:r>
      <w:r w:rsidR="002B49A0">
        <w:rPr>
          <w:rFonts w:ascii="Times New Roman" w:eastAsia="Times New Roman" w:hAnsi="Times New Roman"/>
          <w:sz w:val="28"/>
          <w:szCs w:val="28"/>
          <w:lang w:eastAsia="lv-LV"/>
        </w:rPr>
        <w:t>, kas turklāt sakrīt ar EM viedokli, šī informatīvā ziņojuma mērķis ir</w:t>
      </w:r>
      <w:r w:rsidR="00B732AA">
        <w:rPr>
          <w:rFonts w:ascii="Times New Roman" w:eastAsia="Times New Roman" w:hAnsi="Times New Roman"/>
          <w:sz w:val="28"/>
          <w:szCs w:val="28"/>
          <w:lang w:eastAsia="lv-LV"/>
        </w:rPr>
        <w:t xml:space="preserve"> tieši</w:t>
      </w:r>
      <w:r w:rsidR="002B49A0">
        <w:rPr>
          <w:rFonts w:ascii="Times New Roman" w:eastAsia="Times New Roman" w:hAnsi="Times New Roman"/>
          <w:sz w:val="28"/>
          <w:szCs w:val="28"/>
          <w:lang w:eastAsia="lv-LV"/>
        </w:rPr>
        <w:t xml:space="preserve"> atbilstošākā un efektīvākā SAMC reorganizācijas risinājuma identificēšana.</w:t>
      </w:r>
    </w:p>
    <w:p w14:paraId="57C380F5" w14:textId="77777777" w:rsidR="002B49A0" w:rsidRDefault="002B49A0">
      <w:pPr>
        <w:rPr>
          <w:rFonts w:ascii="Times New Roman" w:eastAsia="Times New Roman" w:hAnsi="Times New Roman"/>
          <w:sz w:val="28"/>
          <w:szCs w:val="28"/>
          <w:lang w:eastAsia="lv-LV"/>
        </w:rPr>
      </w:pPr>
      <w:r>
        <w:rPr>
          <w:rFonts w:ascii="Times New Roman" w:eastAsia="Times New Roman" w:hAnsi="Times New Roman"/>
          <w:sz w:val="28"/>
          <w:szCs w:val="28"/>
          <w:lang w:eastAsia="lv-LV"/>
        </w:rPr>
        <w:br w:type="page"/>
      </w:r>
    </w:p>
    <w:p w14:paraId="023722FB" w14:textId="77777777" w:rsidR="00A73803" w:rsidRPr="008B7410" w:rsidRDefault="00D47696" w:rsidP="00D47696">
      <w:pPr>
        <w:pStyle w:val="Heading1"/>
        <w:rPr>
          <w:rFonts w:cs="Times New Roman"/>
          <w:sz w:val="24"/>
          <w:szCs w:val="24"/>
        </w:rPr>
      </w:pPr>
      <w:r>
        <w:rPr>
          <w:rFonts w:eastAsia="Times New Roman"/>
          <w:lang w:eastAsia="lv-LV"/>
        </w:rPr>
        <w:t xml:space="preserve">2. </w:t>
      </w:r>
      <w:r w:rsidR="008D7C49" w:rsidRPr="008B7410">
        <w:rPr>
          <w:rFonts w:eastAsia="Times New Roman"/>
          <w:lang w:eastAsia="lv-LV"/>
        </w:rPr>
        <w:t>SAMC darbības apraksts</w:t>
      </w:r>
    </w:p>
    <w:p w14:paraId="1845A0D9" w14:textId="77777777" w:rsidR="00686CFC" w:rsidRDefault="008D7C49" w:rsidP="00C613E7">
      <w:pPr>
        <w:spacing w:after="0"/>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SAMC</w:t>
      </w:r>
      <w:r w:rsidRPr="006F08DD">
        <w:rPr>
          <w:rFonts w:ascii="Times New Roman" w:eastAsia="Times New Roman" w:hAnsi="Times New Roman"/>
          <w:sz w:val="28"/>
          <w:szCs w:val="28"/>
          <w:lang w:eastAsia="lv-LV"/>
        </w:rPr>
        <w:t xml:space="preserve"> ir valsts kapitālsabiedrība, kuras kapitāla daļu turētājs ir EM.</w:t>
      </w:r>
      <w:r>
        <w:rPr>
          <w:rFonts w:ascii="Times New Roman" w:eastAsia="Times New Roman" w:hAnsi="Times New Roman"/>
          <w:sz w:val="28"/>
          <w:szCs w:val="28"/>
          <w:lang w:eastAsia="lv-LV"/>
        </w:rPr>
        <w:t xml:space="preserve"> </w:t>
      </w:r>
      <w:r w:rsidRPr="006F08DD">
        <w:rPr>
          <w:rFonts w:ascii="Times New Roman" w:eastAsia="Times New Roman" w:hAnsi="Times New Roman"/>
          <w:sz w:val="28"/>
          <w:szCs w:val="28"/>
          <w:lang w:eastAsia="lv-LV"/>
        </w:rPr>
        <w:t xml:space="preserve">Sabiedrība ir reģistrēta </w:t>
      </w:r>
      <w:r>
        <w:rPr>
          <w:rFonts w:ascii="Times New Roman" w:eastAsia="Times New Roman" w:hAnsi="Times New Roman"/>
          <w:sz w:val="28"/>
          <w:szCs w:val="28"/>
          <w:lang w:eastAsia="lv-LV"/>
        </w:rPr>
        <w:t>k</w:t>
      </w:r>
      <w:r w:rsidRPr="006F08DD">
        <w:rPr>
          <w:rFonts w:ascii="Times New Roman" w:eastAsia="Times New Roman" w:hAnsi="Times New Roman"/>
          <w:sz w:val="28"/>
          <w:szCs w:val="28"/>
          <w:lang w:eastAsia="lv-LV"/>
        </w:rPr>
        <w:t>omercreģistrā ar reģistrācijas numuru</w:t>
      </w:r>
      <w:r>
        <w:rPr>
          <w:rFonts w:ascii="Times New Roman" w:eastAsia="Times New Roman" w:hAnsi="Times New Roman"/>
          <w:sz w:val="28"/>
          <w:szCs w:val="28"/>
          <w:lang w:eastAsia="lv-LV"/>
        </w:rPr>
        <w:t xml:space="preserve"> </w:t>
      </w:r>
      <w:r w:rsidRPr="008D7C49">
        <w:rPr>
          <w:rFonts w:ascii="Times New Roman" w:eastAsia="Times New Roman" w:hAnsi="Times New Roman"/>
          <w:sz w:val="28"/>
          <w:szCs w:val="28"/>
          <w:lang w:eastAsia="lv-LV"/>
        </w:rPr>
        <w:t>40003427231</w:t>
      </w:r>
      <w:r>
        <w:rPr>
          <w:rFonts w:ascii="Times New Roman" w:eastAsia="Times New Roman" w:hAnsi="Times New Roman"/>
          <w:sz w:val="28"/>
          <w:szCs w:val="28"/>
          <w:lang w:eastAsia="lv-LV"/>
        </w:rPr>
        <w:t xml:space="preserve">, juridiskā adrese – Krišjāņa </w:t>
      </w:r>
      <w:r w:rsidRPr="008D7C49">
        <w:rPr>
          <w:rFonts w:ascii="Times New Roman" w:eastAsia="Times New Roman" w:hAnsi="Times New Roman"/>
          <w:sz w:val="28"/>
          <w:szCs w:val="28"/>
          <w:lang w:eastAsia="lv-LV"/>
        </w:rPr>
        <w:t>Valdemāra iela 157, Rīga, LV-1013.</w:t>
      </w:r>
      <w:r>
        <w:rPr>
          <w:rFonts w:ascii="Times New Roman" w:eastAsia="Times New Roman" w:hAnsi="Times New Roman"/>
          <w:sz w:val="28"/>
          <w:szCs w:val="28"/>
          <w:lang w:eastAsia="lv-LV"/>
        </w:rPr>
        <w:t xml:space="preserve"> </w:t>
      </w:r>
      <w:r w:rsidR="00686CFC">
        <w:rPr>
          <w:rFonts w:ascii="Times New Roman" w:eastAsia="Times New Roman" w:hAnsi="Times New Roman"/>
          <w:sz w:val="28"/>
          <w:szCs w:val="28"/>
          <w:lang w:eastAsia="lv-LV"/>
        </w:rPr>
        <w:t xml:space="preserve">2009.gadā valsts pārvaldes un finanšu līdzekļu konsolidācijas nolūkos sabiedrībai ar ierobežotu atbildību “Latvijas standarts”, </w:t>
      </w:r>
      <w:r w:rsidR="008B7410">
        <w:rPr>
          <w:rFonts w:ascii="Times New Roman" w:eastAsia="Times New Roman" w:hAnsi="Times New Roman"/>
          <w:sz w:val="28"/>
          <w:szCs w:val="28"/>
          <w:lang w:eastAsia="lv-LV"/>
        </w:rPr>
        <w:t>kas veic</w:t>
      </w:r>
      <w:r w:rsidR="00166009">
        <w:rPr>
          <w:rFonts w:ascii="Times New Roman" w:eastAsia="Times New Roman" w:hAnsi="Times New Roman"/>
          <w:sz w:val="28"/>
          <w:szCs w:val="28"/>
          <w:lang w:eastAsia="lv-LV"/>
        </w:rPr>
        <w:t>a</w:t>
      </w:r>
      <w:r w:rsidR="008B7410">
        <w:rPr>
          <w:rFonts w:ascii="Times New Roman" w:eastAsia="Times New Roman" w:hAnsi="Times New Roman"/>
          <w:sz w:val="28"/>
          <w:szCs w:val="28"/>
          <w:lang w:eastAsia="lv-LV"/>
        </w:rPr>
        <w:t xml:space="preserve"> </w:t>
      </w:r>
      <w:r w:rsidR="00686CFC">
        <w:rPr>
          <w:rFonts w:ascii="Times New Roman" w:eastAsia="Times New Roman" w:hAnsi="Times New Roman"/>
          <w:sz w:val="28"/>
          <w:szCs w:val="28"/>
          <w:lang w:eastAsia="lv-LV"/>
        </w:rPr>
        <w:t xml:space="preserve"> nacionālās standartizācijas institūcijas uzdevumu izpildi, tika nodots pienākums veikt arī nacionālās akreditācijas institūcijas un nacionālās metroloģijas institūcijas uzdevumus, vienlaikus </w:t>
      </w:r>
      <w:r w:rsidR="00C613E7">
        <w:rPr>
          <w:rFonts w:ascii="Times New Roman" w:eastAsia="Times New Roman" w:hAnsi="Times New Roman"/>
          <w:sz w:val="28"/>
          <w:szCs w:val="28"/>
          <w:lang w:eastAsia="lv-LV"/>
        </w:rPr>
        <w:t>veicot sabiedrības firmas maiņu uz</w:t>
      </w:r>
      <w:r w:rsidR="00686CFC">
        <w:rPr>
          <w:rFonts w:ascii="Times New Roman" w:eastAsia="Times New Roman" w:hAnsi="Times New Roman"/>
          <w:sz w:val="28"/>
          <w:szCs w:val="28"/>
          <w:lang w:eastAsia="lv-LV"/>
        </w:rPr>
        <w:t xml:space="preserve"> SAMC.</w:t>
      </w:r>
    </w:p>
    <w:p w14:paraId="42385803" w14:textId="77777777" w:rsidR="00C613E7" w:rsidRDefault="00347360" w:rsidP="00C613E7">
      <w:pPr>
        <w:spacing w:after="0"/>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Atbilstoši Ministru kabineta </w:t>
      </w:r>
      <w:r w:rsidR="00C613E7">
        <w:rPr>
          <w:rFonts w:ascii="Times New Roman" w:eastAsia="Times New Roman" w:hAnsi="Times New Roman"/>
          <w:sz w:val="28"/>
          <w:szCs w:val="28"/>
          <w:lang w:eastAsia="lv-LV"/>
        </w:rPr>
        <w:t xml:space="preserve">2015.gada </w:t>
      </w:r>
      <w:r>
        <w:rPr>
          <w:rFonts w:ascii="Times New Roman" w:eastAsia="Times New Roman" w:hAnsi="Times New Roman"/>
          <w:sz w:val="28"/>
          <w:szCs w:val="28"/>
          <w:lang w:eastAsia="lv-LV"/>
        </w:rPr>
        <w:t>8.decembra noteikumiem Nr.689 “</w:t>
      </w:r>
      <w:r w:rsidRPr="00347360">
        <w:rPr>
          <w:rFonts w:ascii="Times New Roman" w:eastAsia="Times New Roman" w:hAnsi="Times New Roman"/>
          <w:sz w:val="28"/>
          <w:szCs w:val="28"/>
          <w:lang w:eastAsia="lv-LV"/>
        </w:rPr>
        <w:t>Grozījums Ministru kabineta 2014. ga</w:t>
      </w:r>
      <w:r>
        <w:rPr>
          <w:rFonts w:ascii="Times New Roman" w:eastAsia="Times New Roman" w:hAnsi="Times New Roman"/>
          <w:sz w:val="28"/>
          <w:szCs w:val="28"/>
          <w:lang w:eastAsia="lv-LV"/>
        </w:rPr>
        <w:t>da 7. janvāra noteikumos Nr. 3 “</w:t>
      </w:r>
      <w:r w:rsidRPr="00347360">
        <w:rPr>
          <w:rFonts w:ascii="Times New Roman" w:eastAsia="Times New Roman" w:hAnsi="Times New Roman"/>
          <w:sz w:val="28"/>
          <w:szCs w:val="28"/>
          <w:lang w:eastAsia="lv-LV"/>
        </w:rPr>
        <w:t>Noteikumi par nacionālo metroloģijas in</w:t>
      </w:r>
      <w:r>
        <w:rPr>
          <w:rFonts w:ascii="Times New Roman" w:eastAsia="Times New Roman" w:hAnsi="Times New Roman"/>
          <w:sz w:val="28"/>
          <w:szCs w:val="28"/>
          <w:lang w:eastAsia="lv-LV"/>
        </w:rPr>
        <w:t xml:space="preserve">stitūciju”” sākot ar 2016.gada 1.janvāri nacionālās metroloģijas institūciju uzdevumu izpildes pienākums tika nodots sabiedrībai ar ierobežotu atbildību “Latvijas nacionālais metroloģijas centrs”. </w:t>
      </w:r>
    </w:p>
    <w:p w14:paraId="069537E5" w14:textId="77777777" w:rsidR="00E62C53" w:rsidRDefault="00686CFC" w:rsidP="00EB5162">
      <w:pPr>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Šobrīd </w:t>
      </w:r>
      <w:r w:rsidR="002F3690">
        <w:rPr>
          <w:rFonts w:ascii="Times New Roman" w:eastAsia="Times New Roman" w:hAnsi="Times New Roman"/>
          <w:sz w:val="28"/>
          <w:szCs w:val="28"/>
          <w:lang w:eastAsia="lv-LV"/>
        </w:rPr>
        <w:t>SAMC struktūrā</w:t>
      </w:r>
      <w:r w:rsidR="00166009">
        <w:rPr>
          <w:rFonts w:ascii="Times New Roman" w:eastAsia="Times New Roman" w:hAnsi="Times New Roman"/>
          <w:sz w:val="28"/>
          <w:szCs w:val="28"/>
          <w:lang w:eastAsia="lv-LV"/>
        </w:rPr>
        <w:t>, kas norādīta</w:t>
      </w:r>
      <w:r w:rsidR="00347360">
        <w:rPr>
          <w:rFonts w:ascii="Times New Roman" w:eastAsia="Times New Roman" w:hAnsi="Times New Roman"/>
          <w:sz w:val="28"/>
          <w:szCs w:val="28"/>
          <w:lang w:eastAsia="lv-LV"/>
        </w:rPr>
        <w:t xml:space="preserve"> 1.pielikumā,</w:t>
      </w:r>
      <w:r w:rsidR="002F3690">
        <w:rPr>
          <w:rFonts w:ascii="Times New Roman" w:eastAsia="Times New Roman" w:hAnsi="Times New Roman"/>
          <w:sz w:val="28"/>
          <w:szCs w:val="28"/>
          <w:lang w:eastAsia="lv-LV"/>
        </w:rPr>
        <w:t xml:space="preserve"> ietilps divi biroji, proti, Latvijas nacionālais akreditācijas birojs (turpmāk – LATAK) un Standartizācijas birojs (turpmāk – LVS), no kuriem LATAK pilda nacionālās akreditācijas institūcijas funkcijas un uzdevumus, savukārt LVS pilna nacionālās standartizācijas institūcijas funkcijas un uzdevumus. </w:t>
      </w:r>
      <w:r w:rsidR="00B0768F">
        <w:rPr>
          <w:rFonts w:ascii="Times New Roman" w:eastAsia="Times New Roman" w:hAnsi="Times New Roman"/>
          <w:sz w:val="28"/>
          <w:szCs w:val="28"/>
          <w:lang w:eastAsia="lv-LV"/>
        </w:rPr>
        <w:t xml:space="preserve">Pārējās SAMC struktūrvienības </w:t>
      </w:r>
      <w:r w:rsidR="00166009">
        <w:rPr>
          <w:rFonts w:ascii="Times New Roman" w:eastAsia="Times New Roman" w:hAnsi="Times New Roman"/>
          <w:sz w:val="28"/>
          <w:szCs w:val="28"/>
          <w:lang w:eastAsia="lv-LV"/>
        </w:rPr>
        <w:t>un darbinieki nodrošina atbalsta</w:t>
      </w:r>
      <w:r w:rsidR="00B0768F">
        <w:rPr>
          <w:rFonts w:ascii="Times New Roman" w:eastAsia="Times New Roman" w:hAnsi="Times New Roman"/>
          <w:sz w:val="28"/>
          <w:szCs w:val="28"/>
          <w:lang w:eastAsia="lv-LV"/>
        </w:rPr>
        <w:t xml:space="preserve"> funkciju sniegšanu priekš LVS un LATAK.</w:t>
      </w:r>
      <w:r w:rsidR="00347360">
        <w:rPr>
          <w:rFonts w:ascii="Times New Roman" w:eastAsia="Times New Roman" w:hAnsi="Times New Roman"/>
          <w:sz w:val="28"/>
          <w:szCs w:val="28"/>
          <w:lang w:eastAsia="lv-LV"/>
        </w:rPr>
        <w:t xml:space="preserve"> </w:t>
      </w:r>
      <w:r w:rsidR="002F3690">
        <w:rPr>
          <w:rFonts w:ascii="Times New Roman" w:eastAsia="Times New Roman" w:hAnsi="Times New Roman"/>
          <w:sz w:val="28"/>
          <w:szCs w:val="28"/>
          <w:lang w:eastAsia="lv-LV"/>
        </w:rPr>
        <w:t xml:space="preserve"> </w:t>
      </w:r>
    </w:p>
    <w:p w14:paraId="258E06A3" w14:textId="77777777" w:rsidR="00EB5162" w:rsidRDefault="00EB5162" w:rsidP="00EB5162">
      <w:pPr>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SAMC ienākumus pēc būtības veido valsts līdzfinansējums un attiecīgi</w:t>
      </w:r>
      <w:r w:rsidR="00166009">
        <w:rPr>
          <w:rFonts w:ascii="Times New Roman" w:eastAsia="Times New Roman" w:hAnsi="Times New Roman"/>
          <w:sz w:val="28"/>
          <w:szCs w:val="28"/>
          <w:lang w:eastAsia="lv-LV"/>
        </w:rPr>
        <w:t xml:space="preserve"> SAMC</w:t>
      </w:r>
      <w:r>
        <w:rPr>
          <w:rFonts w:ascii="Times New Roman" w:eastAsia="Times New Roman" w:hAnsi="Times New Roman"/>
          <w:sz w:val="28"/>
          <w:szCs w:val="28"/>
          <w:lang w:eastAsia="lv-LV"/>
        </w:rPr>
        <w:t xml:space="preserve"> tajā ietilpstošo struktūrvienību pašu ienākumi.</w:t>
      </w:r>
      <w:r w:rsidR="007C7445">
        <w:rPr>
          <w:rFonts w:ascii="Times New Roman" w:eastAsia="Times New Roman" w:hAnsi="Times New Roman"/>
          <w:sz w:val="28"/>
          <w:szCs w:val="28"/>
          <w:lang w:eastAsia="lv-LV"/>
        </w:rPr>
        <w:t xml:space="preserve"> Kopējais SAMC budžets atspoguļots </w:t>
      </w:r>
      <w:r w:rsidR="00113F8F">
        <w:rPr>
          <w:rFonts w:ascii="Times New Roman" w:eastAsia="Times New Roman" w:hAnsi="Times New Roman"/>
          <w:sz w:val="28"/>
          <w:szCs w:val="28"/>
          <w:lang w:eastAsia="lv-LV"/>
        </w:rPr>
        <w:t>1.attēlā</w:t>
      </w:r>
      <w:r w:rsidR="00BF0D3A">
        <w:rPr>
          <w:rFonts w:ascii="Times New Roman" w:eastAsia="Times New Roman" w:hAnsi="Times New Roman"/>
          <w:sz w:val="28"/>
          <w:szCs w:val="28"/>
          <w:lang w:eastAsia="lv-LV"/>
        </w:rPr>
        <w:t>.</w:t>
      </w:r>
      <w:r w:rsidR="0028008E">
        <w:rPr>
          <w:rFonts w:ascii="Times New Roman" w:eastAsia="Times New Roman" w:hAnsi="Times New Roman"/>
          <w:sz w:val="28"/>
          <w:szCs w:val="28"/>
          <w:lang w:eastAsia="lv-LV"/>
        </w:rPr>
        <w:t xml:space="preserve"> SAMC kopējais budžets kopš 2010.gada ir pakāpeniski pieaudzis, galvenokārt uz pašu ieņēmumu pieauguma pamata. </w:t>
      </w:r>
    </w:p>
    <w:p w14:paraId="3A639292" w14:textId="22C9024B" w:rsidR="00113F8F" w:rsidRDefault="00416F33" w:rsidP="00113F8F">
      <w:pPr>
        <w:ind w:firstLine="720"/>
        <w:jc w:val="right"/>
        <w:rPr>
          <w:rFonts w:ascii="Times New Roman" w:eastAsia="Times New Roman" w:hAnsi="Times New Roman"/>
          <w:sz w:val="28"/>
          <w:szCs w:val="28"/>
          <w:lang w:eastAsia="lv-LV"/>
        </w:rPr>
      </w:pPr>
      <w:r>
        <w:rPr>
          <w:rFonts w:ascii="Times New Roman" w:eastAsia="Times New Roman" w:hAnsi="Times New Roman"/>
          <w:sz w:val="28"/>
          <w:szCs w:val="28"/>
          <w:lang w:eastAsia="lv-LV"/>
        </w:rPr>
        <w:t>1</w:t>
      </w:r>
      <w:r w:rsidR="00113F8F">
        <w:rPr>
          <w:rFonts w:ascii="Times New Roman" w:eastAsia="Times New Roman" w:hAnsi="Times New Roman"/>
          <w:sz w:val="28"/>
          <w:szCs w:val="28"/>
          <w:lang w:eastAsia="lv-LV"/>
        </w:rPr>
        <w:t>.att.</w:t>
      </w:r>
    </w:p>
    <w:p w14:paraId="18FAD058" w14:textId="672C60DD" w:rsidR="00113F8F" w:rsidRDefault="00416F33" w:rsidP="00113F8F">
      <w:pPr>
        <w:jc w:val="center"/>
        <w:rPr>
          <w:rFonts w:ascii="Times New Roman" w:eastAsia="Times New Roman" w:hAnsi="Times New Roman"/>
          <w:sz w:val="28"/>
          <w:szCs w:val="28"/>
          <w:lang w:eastAsia="lv-LV"/>
        </w:rPr>
      </w:pPr>
      <w:r>
        <w:rPr>
          <w:noProof/>
          <w:lang w:val="en-GB" w:eastAsia="en-GB"/>
        </w:rPr>
        <w:drawing>
          <wp:inline distT="0" distB="0" distL="0" distR="0" wp14:anchorId="668C06A3" wp14:editId="34E6EB75">
            <wp:extent cx="5029200" cy="2225040"/>
            <wp:effectExtent l="0" t="0" r="0" b="1016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917899F" w14:textId="77777777" w:rsidR="00113F8F" w:rsidRDefault="00113F8F" w:rsidP="00113F8F">
      <w:pPr>
        <w:jc w:val="center"/>
        <w:rPr>
          <w:rFonts w:ascii="Times New Roman" w:eastAsia="Times New Roman" w:hAnsi="Times New Roman"/>
          <w:i/>
          <w:sz w:val="28"/>
          <w:szCs w:val="28"/>
          <w:lang w:eastAsia="lv-LV"/>
        </w:rPr>
      </w:pPr>
      <w:r w:rsidRPr="00113F8F">
        <w:rPr>
          <w:rFonts w:ascii="Times New Roman" w:eastAsia="Times New Roman" w:hAnsi="Times New Roman"/>
          <w:i/>
          <w:sz w:val="28"/>
          <w:szCs w:val="28"/>
          <w:lang w:eastAsia="lv-LV"/>
        </w:rPr>
        <w:t>SAMC budžets</w:t>
      </w:r>
    </w:p>
    <w:p w14:paraId="470787CE" w14:textId="5857B16F" w:rsidR="00D72E6E" w:rsidRPr="00F91E86" w:rsidRDefault="00EF54AA" w:rsidP="00F91E86">
      <w:pPr>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 </w:t>
      </w:r>
      <w:r w:rsidR="00067F44">
        <w:rPr>
          <w:rFonts w:ascii="Times New Roman" w:eastAsia="Times New Roman" w:hAnsi="Times New Roman"/>
          <w:sz w:val="28"/>
          <w:szCs w:val="28"/>
          <w:lang w:eastAsia="lv-LV"/>
        </w:rPr>
        <w:t>2014.gada</w:t>
      </w:r>
      <w:r w:rsidR="00416F33">
        <w:rPr>
          <w:rFonts w:ascii="Times New Roman" w:eastAsia="Times New Roman" w:hAnsi="Times New Roman"/>
          <w:sz w:val="28"/>
          <w:szCs w:val="28"/>
          <w:lang w:eastAsia="lv-LV"/>
        </w:rPr>
        <w:t xml:space="preserve"> SAMC dotācijā ir ietverta arī papildus </w:t>
      </w:r>
      <w:r w:rsidR="00067F44">
        <w:rPr>
          <w:rFonts w:ascii="Times New Roman" w:eastAsia="Times New Roman" w:hAnsi="Times New Roman"/>
          <w:sz w:val="28"/>
          <w:szCs w:val="28"/>
          <w:lang w:eastAsia="lv-LV"/>
        </w:rPr>
        <w:t>piešķirtā</w:t>
      </w:r>
      <w:r w:rsidR="00416F33">
        <w:rPr>
          <w:rFonts w:ascii="Times New Roman" w:eastAsia="Times New Roman" w:hAnsi="Times New Roman"/>
          <w:sz w:val="28"/>
          <w:szCs w:val="28"/>
          <w:lang w:eastAsia="lv-LV"/>
        </w:rPr>
        <w:t xml:space="preserve"> mērķdotācija</w:t>
      </w:r>
      <w:r w:rsidR="00067F44">
        <w:rPr>
          <w:rFonts w:ascii="Times New Roman" w:eastAsia="Times New Roman" w:hAnsi="Times New Roman"/>
          <w:sz w:val="28"/>
          <w:szCs w:val="28"/>
          <w:lang w:eastAsia="lv-LV"/>
        </w:rPr>
        <w:t xml:space="preserve"> </w:t>
      </w:r>
      <w:r w:rsidR="00067F44">
        <w:rPr>
          <w:rFonts w:ascii="Times New Roman" w:eastAsia="Times New Roman" w:hAnsi="Times New Roman"/>
          <w:sz w:val="28"/>
          <w:szCs w:val="28"/>
          <w:lang w:eastAsia="lv-LV"/>
        </w:rPr>
        <w:br/>
        <w:t xml:space="preserve">106 407 EUR apmērā šādu pasākumu veikšanai – </w:t>
      </w:r>
      <w:r>
        <w:rPr>
          <w:rFonts w:ascii="Times New Roman" w:eastAsia="Times New Roman" w:hAnsi="Times New Roman"/>
          <w:sz w:val="28"/>
          <w:szCs w:val="28"/>
          <w:lang w:eastAsia="lv-LV"/>
        </w:rPr>
        <w:t xml:space="preserve">kvalitātes infrastruktūras attīstības un uzturēšanas pasākumu </w:t>
      </w:r>
      <w:r w:rsidR="00490A23">
        <w:rPr>
          <w:rFonts w:ascii="Times New Roman" w:eastAsia="Times New Roman" w:hAnsi="Times New Roman"/>
          <w:sz w:val="28"/>
          <w:szCs w:val="28"/>
          <w:lang w:eastAsia="lv-LV"/>
        </w:rPr>
        <w:t>īstenošana</w:t>
      </w:r>
      <w:r>
        <w:rPr>
          <w:rFonts w:ascii="Times New Roman" w:eastAsia="Times New Roman" w:hAnsi="Times New Roman"/>
          <w:sz w:val="28"/>
          <w:szCs w:val="28"/>
          <w:lang w:eastAsia="lv-LV"/>
        </w:rPr>
        <w:t>, Eirokodeksa standartu tulko</w:t>
      </w:r>
      <w:r w:rsidR="00490A23">
        <w:rPr>
          <w:rFonts w:ascii="Times New Roman" w:eastAsia="Times New Roman" w:hAnsi="Times New Roman"/>
          <w:sz w:val="28"/>
          <w:szCs w:val="28"/>
          <w:lang w:eastAsia="lv-LV"/>
        </w:rPr>
        <w:t>šana</w:t>
      </w:r>
      <w:r>
        <w:rPr>
          <w:rFonts w:ascii="Times New Roman" w:eastAsia="Times New Roman" w:hAnsi="Times New Roman"/>
          <w:sz w:val="28"/>
          <w:szCs w:val="28"/>
          <w:lang w:eastAsia="lv-LV"/>
        </w:rPr>
        <w:t xml:space="preserve"> un nacionālo</w:t>
      </w:r>
      <w:r w:rsidR="00490A23">
        <w:rPr>
          <w:rFonts w:ascii="Times New Roman" w:eastAsia="Times New Roman" w:hAnsi="Times New Roman"/>
          <w:sz w:val="28"/>
          <w:szCs w:val="28"/>
          <w:lang w:eastAsia="lv-LV"/>
        </w:rPr>
        <w:t xml:space="preserve"> mērvienību etalonu kalibrēšana</w:t>
      </w:r>
      <w:r>
        <w:rPr>
          <w:rFonts w:ascii="Times New Roman" w:eastAsia="Times New Roman" w:hAnsi="Times New Roman"/>
          <w:sz w:val="28"/>
          <w:szCs w:val="28"/>
          <w:lang w:eastAsia="lv-LV"/>
        </w:rPr>
        <w:t xml:space="preserve">. </w:t>
      </w:r>
    </w:p>
    <w:p w14:paraId="06F1CB06" w14:textId="77777777" w:rsidR="008A3705" w:rsidRDefault="00D47696" w:rsidP="00D47696">
      <w:pPr>
        <w:pStyle w:val="Heading2"/>
      </w:pPr>
      <w:r>
        <w:t xml:space="preserve">2.1. </w:t>
      </w:r>
      <w:r w:rsidR="008A3705">
        <w:t>LATAK</w:t>
      </w:r>
    </w:p>
    <w:p w14:paraId="050648D9" w14:textId="77777777" w:rsidR="008B7410" w:rsidRPr="00D47696" w:rsidRDefault="008A3705" w:rsidP="008A3705">
      <w:pPr>
        <w:pStyle w:val="Heading3"/>
      </w:pPr>
      <w:r>
        <w:t>2.1.1.D</w:t>
      </w:r>
      <w:r w:rsidR="008B7410" w:rsidRPr="00D47696">
        <w:t>arbības apraksts</w:t>
      </w:r>
    </w:p>
    <w:p w14:paraId="5D2571FD" w14:textId="77777777" w:rsidR="008B7410" w:rsidRDefault="008B7410" w:rsidP="008B7410">
      <w:pPr>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ab/>
        <w:t>Saskaņā ar Ministru kabineta 2010.gada 18.maija noteikumu Nr.445 “</w:t>
      </w:r>
      <w:r w:rsidRPr="00123AEA">
        <w:rPr>
          <w:rFonts w:ascii="Times New Roman" w:eastAsia="Times New Roman" w:hAnsi="Times New Roman"/>
          <w:i/>
          <w:sz w:val="28"/>
          <w:szCs w:val="28"/>
          <w:lang w:eastAsia="lv-LV"/>
        </w:rPr>
        <w:t>Noteikumi par nacionālo akreditācijas institūciju</w:t>
      </w:r>
      <w:r>
        <w:rPr>
          <w:rFonts w:ascii="Times New Roman" w:eastAsia="Times New Roman" w:hAnsi="Times New Roman"/>
          <w:sz w:val="28"/>
          <w:szCs w:val="28"/>
          <w:lang w:eastAsia="lv-LV"/>
        </w:rPr>
        <w:t>” 2.punktu</w:t>
      </w:r>
      <w:r w:rsidR="00FD7574">
        <w:rPr>
          <w:rFonts w:ascii="Times New Roman" w:eastAsia="Times New Roman" w:hAnsi="Times New Roman"/>
          <w:sz w:val="28"/>
          <w:szCs w:val="28"/>
          <w:lang w:eastAsia="lv-LV"/>
        </w:rPr>
        <w:t xml:space="preserve"> </w:t>
      </w:r>
      <w:r>
        <w:rPr>
          <w:rFonts w:ascii="Times New Roman" w:eastAsia="Times New Roman" w:hAnsi="Times New Roman"/>
          <w:sz w:val="28"/>
          <w:szCs w:val="28"/>
          <w:lang w:eastAsia="lv-LV"/>
        </w:rPr>
        <w:t>LATAK ir deleģēta valsts pārvaldes uzdevuma – nacionālās akreditācijas institūcijas funkciju un uzdevumu, izpilde. Savukārt likuma “</w:t>
      </w:r>
      <w:r w:rsidRPr="005801E5">
        <w:rPr>
          <w:rFonts w:ascii="Times New Roman" w:eastAsia="Times New Roman" w:hAnsi="Times New Roman"/>
          <w:i/>
          <w:sz w:val="28"/>
          <w:szCs w:val="28"/>
          <w:lang w:eastAsia="lv-LV"/>
        </w:rPr>
        <w:t>Par atbilstības novērtēšanu</w:t>
      </w:r>
      <w:r>
        <w:rPr>
          <w:rFonts w:ascii="Times New Roman" w:eastAsia="Times New Roman" w:hAnsi="Times New Roman"/>
          <w:sz w:val="28"/>
          <w:szCs w:val="28"/>
          <w:lang w:eastAsia="lv-LV"/>
        </w:rPr>
        <w:t>” 14.pants nosaka LATAK galvenās funkcijas:</w:t>
      </w:r>
    </w:p>
    <w:p w14:paraId="0092E9DB" w14:textId="77777777" w:rsidR="008B7410" w:rsidRDefault="008B7410" w:rsidP="008B7410">
      <w:pPr>
        <w:pStyle w:val="ListParagraph"/>
        <w:numPr>
          <w:ilvl w:val="0"/>
          <w:numId w:val="1"/>
        </w:numPr>
        <w:jc w:val="both"/>
        <w:rPr>
          <w:rFonts w:ascii="Times New Roman" w:eastAsia="Times New Roman" w:hAnsi="Times New Roman"/>
          <w:sz w:val="28"/>
          <w:szCs w:val="28"/>
          <w:lang w:eastAsia="lv-LV"/>
        </w:rPr>
      </w:pPr>
      <w:r w:rsidRPr="009B2FEC">
        <w:rPr>
          <w:rFonts w:ascii="Times New Roman" w:eastAsia="Times New Roman" w:hAnsi="Times New Roman"/>
          <w:sz w:val="28"/>
          <w:szCs w:val="28"/>
          <w:lang w:eastAsia="lv-LV"/>
        </w:rPr>
        <w:t>novērtēt un akreditēt atbilstības novērtēšanas institūcijas, kā arī uzraudzīt šo institūciju darbību, ievērojot Latvijas nacionālos standartus, normatīvos aktus, Eiropas vai starptautiskos standartus, kā arī savs</w:t>
      </w:r>
      <w:r w:rsidR="00166009">
        <w:rPr>
          <w:rFonts w:ascii="Times New Roman" w:eastAsia="Times New Roman" w:hAnsi="Times New Roman"/>
          <w:sz w:val="28"/>
          <w:szCs w:val="28"/>
          <w:lang w:eastAsia="lv-LV"/>
        </w:rPr>
        <w:t>tarpējā</w:t>
      </w:r>
      <w:r w:rsidRPr="009B2FEC">
        <w:rPr>
          <w:rFonts w:ascii="Times New Roman" w:eastAsia="Times New Roman" w:hAnsi="Times New Roman"/>
          <w:sz w:val="28"/>
          <w:szCs w:val="28"/>
          <w:lang w:eastAsia="lv-LV"/>
        </w:rPr>
        <w:t>s atzīšanas līgumos ar starptautiskajām akreditācijas organizācijām noteiktās prasības;</w:t>
      </w:r>
    </w:p>
    <w:p w14:paraId="1F221C1A" w14:textId="77777777" w:rsidR="008B7410" w:rsidRDefault="008B7410" w:rsidP="008B7410">
      <w:pPr>
        <w:pStyle w:val="ListParagraph"/>
        <w:numPr>
          <w:ilvl w:val="0"/>
          <w:numId w:val="1"/>
        </w:numPr>
        <w:jc w:val="both"/>
        <w:rPr>
          <w:rFonts w:ascii="Times New Roman" w:eastAsia="Times New Roman" w:hAnsi="Times New Roman"/>
          <w:sz w:val="28"/>
          <w:szCs w:val="28"/>
          <w:lang w:eastAsia="lv-LV"/>
        </w:rPr>
      </w:pPr>
      <w:r w:rsidRPr="009B2FEC">
        <w:rPr>
          <w:rFonts w:ascii="Times New Roman" w:eastAsia="Times New Roman" w:hAnsi="Times New Roman"/>
          <w:sz w:val="28"/>
          <w:szCs w:val="28"/>
          <w:lang w:eastAsia="lv-LV"/>
        </w:rPr>
        <w:t>tehniski nodrošināt Latvijas Nacionālās akreditācijas padomes darbu;</w:t>
      </w:r>
    </w:p>
    <w:p w14:paraId="7A9CC4FE" w14:textId="77777777" w:rsidR="008B7410" w:rsidRDefault="008B7410" w:rsidP="008B7410">
      <w:pPr>
        <w:pStyle w:val="ListParagraph"/>
        <w:numPr>
          <w:ilvl w:val="0"/>
          <w:numId w:val="1"/>
        </w:numPr>
        <w:jc w:val="both"/>
        <w:rPr>
          <w:rFonts w:ascii="Times New Roman" w:eastAsia="Times New Roman" w:hAnsi="Times New Roman"/>
          <w:sz w:val="28"/>
          <w:szCs w:val="28"/>
          <w:lang w:eastAsia="lv-LV"/>
        </w:rPr>
      </w:pPr>
      <w:r w:rsidRPr="009B2FEC">
        <w:rPr>
          <w:rFonts w:ascii="Times New Roman" w:eastAsia="Times New Roman" w:hAnsi="Times New Roman"/>
          <w:sz w:val="28"/>
          <w:szCs w:val="28"/>
          <w:lang w:eastAsia="lv-LV"/>
        </w:rPr>
        <w:t>organizēt prasmes pārbaudes un koordinēt starplaboratoriju salīdzinošās programmas saskaņā ar Latvijas, Eiropas Savienības un starptautiskajām prasībām par starplaboratoriju salīdzināšanu;</w:t>
      </w:r>
    </w:p>
    <w:p w14:paraId="6B3E4EC7" w14:textId="77777777" w:rsidR="008B7410" w:rsidRDefault="008B7410" w:rsidP="008B7410">
      <w:pPr>
        <w:pStyle w:val="ListParagraph"/>
        <w:numPr>
          <w:ilvl w:val="0"/>
          <w:numId w:val="1"/>
        </w:numPr>
        <w:jc w:val="both"/>
        <w:rPr>
          <w:rFonts w:ascii="Times New Roman" w:eastAsia="Times New Roman" w:hAnsi="Times New Roman"/>
          <w:sz w:val="28"/>
          <w:szCs w:val="28"/>
          <w:lang w:eastAsia="lv-LV"/>
        </w:rPr>
      </w:pPr>
      <w:r w:rsidRPr="009B2FEC">
        <w:rPr>
          <w:rFonts w:ascii="Times New Roman" w:eastAsia="Times New Roman" w:hAnsi="Times New Roman"/>
          <w:sz w:val="28"/>
          <w:szCs w:val="28"/>
          <w:lang w:eastAsia="lv-LV"/>
        </w:rPr>
        <w:t>sadarboties ar citu valstu nacionālajām akreditācijas institūcijām;</w:t>
      </w:r>
    </w:p>
    <w:p w14:paraId="50610C52" w14:textId="77777777" w:rsidR="008B7410" w:rsidRDefault="008B7410" w:rsidP="008B7410">
      <w:pPr>
        <w:pStyle w:val="ListParagraph"/>
        <w:numPr>
          <w:ilvl w:val="0"/>
          <w:numId w:val="1"/>
        </w:numPr>
        <w:jc w:val="both"/>
        <w:rPr>
          <w:rFonts w:ascii="Times New Roman" w:eastAsia="Times New Roman" w:hAnsi="Times New Roman"/>
          <w:sz w:val="28"/>
          <w:szCs w:val="28"/>
          <w:lang w:eastAsia="lv-LV"/>
        </w:rPr>
      </w:pPr>
      <w:r w:rsidRPr="009B2FEC">
        <w:rPr>
          <w:rFonts w:ascii="Times New Roman" w:eastAsia="Times New Roman" w:hAnsi="Times New Roman"/>
          <w:sz w:val="28"/>
          <w:szCs w:val="28"/>
          <w:lang w:eastAsia="lv-LV"/>
        </w:rPr>
        <w:t>pārstāvēt Latviju starptautiskajās akreditācijas organizācijās;</w:t>
      </w:r>
    </w:p>
    <w:p w14:paraId="36229283" w14:textId="77777777" w:rsidR="008B7410" w:rsidRDefault="008B7410" w:rsidP="008B7410">
      <w:pPr>
        <w:pStyle w:val="ListParagraph"/>
        <w:numPr>
          <w:ilvl w:val="0"/>
          <w:numId w:val="1"/>
        </w:numPr>
        <w:jc w:val="both"/>
        <w:rPr>
          <w:rFonts w:ascii="Times New Roman" w:eastAsia="Times New Roman" w:hAnsi="Times New Roman"/>
          <w:sz w:val="28"/>
          <w:szCs w:val="28"/>
          <w:lang w:eastAsia="lv-LV"/>
        </w:rPr>
      </w:pPr>
      <w:r w:rsidRPr="009B2FEC">
        <w:rPr>
          <w:rFonts w:ascii="Times New Roman" w:eastAsia="Times New Roman" w:hAnsi="Times New Roman"/>
          <w:sz w:val="28"/>
          <w:szCs w:val="28"/>
          <w:lang w:eastAsia="lv-LV"/>
        </w:rPr>
        <w:t>izveidot un uzturēt akreditēto atbilstības novērtēšanas institūciju sarakstu savā mājaslapā internetā</w:t>
      </w:r>
      <w:r>
        <w:rPr>
          <w:rFonts w:ascii="Times New Roman" w:eastAsia="Times New Roman" w:hAnsi="Times New Roman"/>
          <w:sz w:val="28"/>
          <w:szCs w:val="28"/>
          <w:lang w:eastAsia="lv-LV"/>
        </w:rPr>
        <w:t xml:space="preserve"> (</w:t>
      </w:r>
      <w:hyperlink r:id="rId9" w:history="1">
        <w:r w:rsidRPr="006B7024">
          <w:rPr>
            <w:rStyle w:val="Hyperlink"/>
            <w:rFonts w:ascii="Times New Roman" w:eastAsia="Times New Roman" w:hAnsi="Times New Roman"/>
            <w:sz w:val="28"/>
            <w:szCs w:val="28"/>
            <w:lang w:eastAsia="lv-LV"/>
          </w:rPr>
          <w:t>www.latak.lv</w:t>
        </w:r>
      </w:hyperlink>
      <w:r>
        <w:rPr>
          <w:rFonts w:ascii="Times New Roman" w:eastAsia="Times New Roman" w:hAnsi="Times New Roman"/>
          <w:sz w:val="28"/>
          <w:szCs w:val="28"/>
          <w:lang w:eastAsia="lv-LV"/>
        </w:rPr>
        <w:t>)</w:t>
      </w:r>
      <w:r w:rsidRPr="009B2FEC">
        <w:rPr>
          <w:rFonts w:ascii="Times New Roman" w:eastAsia="Times New Roman" w:hAnsi="Times New Roman"/>
          <w:sz w:val="28"/>
          <w:szCs w:val="28"/>
          <w:lang w:eastAsia="lv-LV"/>
        </w:rPr>
        <w:t>;</w:t>
      </w:r>
    </w:p>
    <w:p w14:paraId="675B7491" w14:textId="77777777" w:rsidR="008B7410" w:rsidRDefault="008B7410" w:rsidP="008B7410">
      <w:pPr>
        <w:pStyle w:val="ListParagraph"/>
        <w:numPr>
          <w:ilvl w:val="0"/>
          <w:numId w:val="1"/>
        </w:numPr>
        <w:jc w:val="both"/>
        <w:rPr>
          <w:rFonts w:ascii="Times New Roman" w:eastAsia="Times New Roman" w:hAnsi="Times New Roman"/>
          <w:sz w:val="28"/>
          <w:szCs w:val="28"/>
          <w:lang w:eastAsia="lv-LV"/>
        </w:rPr>
      </w:pPr>
      <w:r w:rsidRPr="009B2FEC">
        <w:rPr>
          <w:rFonts w:ascii="Times New Roman" w:eastAsia="Times New Roman" w:hAnsi="Times New Roman"/>
          <w:sz w:val="28"/>
          <w:szCs w:val="28"/>
          <w:lang w:eastAsia="lv-LV"/>
        </w:rPr>
        <w:t>publicēt oficiālajā tīmekļa vietnē informāciju par akreditētajām atbilstības novērtēšanas institūcijām, kas darbojas reglamentētajā sfērā, un nodrošināt publicētās informācijas ticamību;</w:t>
      </w:r>
    </w:p>
    <w:p w14:paraId="3A93DBBB" w14:textId="77777777" w:rsidR="008B7410" w:rsidRPr="002E1D9D" w:rsidRDefault="008B7410" w:rsidP="008B7410">
      <w:pPr>
        <w:pStyle w:val="ListParagraph"/>
        <w:numPr>
          <w:ilvl w:val="0"/>
          <w:numId w:val="1"/>
        </w:numPr>
        <w:jc w:val="both"/>
        <w:rPr>
          <w:rFonts w:ascii="Times New Roman" w:eastAsia="Times New Roman" w:hAnsi="Times New Roman"/>
          <w:sz w:val="28"/>
          <w:szCs w:val="28"/>
          <w:lang w:eastAsia="lv-LV"/>
        </w:rPr>
      </w:pPr>
      <w:r w:rsidRPr="009B2FEC">
        <w:rPr>
          <w:rFonts w:ascii="Times New Roman" w:eastAsia="Times New Roman" w:hAnsi="Times New Roman"/>
          <w:sz w:val="28"/>
          <w:szCs w:val="28"/>
          <w:lang w:eastAsia="lv-LV"/>
        </w:rPr>
        <w:t>informēt Ekonomikas ministriju par reglamentētajā sfērā akreditētajām institūcijām.</w:t>
      </w:r>
    </w:p>
    <w:p w14:paraId="556174D7" w14:textId="77777777" w:rsidR="00463350" w:rsidRDefault="00014621" w:rsidP="00463350">
      <w:pPr>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Pamatprasības attiecībā uz a</w:t>
      </w:r>
      <w:r w:rsidR="001D4545" w:rsidRPr="001D4545">
        <w:rPr>
          <w:rFonts w:ascii="Times New Roman" w:eastAsia="Times New Roman" w:hAnsi="Times New Roman"/>
          <w:sz w:val="28"/>
          <w:szCs w:val="28"/>
          <w:lang w:eastAsia="lv-LV"/>
        </w:rPr>
        <w:t>kreditācijas</w:t>
      </w:r>
      <w:r>
        <w:rPr>
          <w:rFonts w:ascii="Times New Roman" w:eastAsia="Times New Roman" w:hAnsi="Times New Roman"/>
          <w:sz w:val="28"/>
          <w:szCs w:val="28"/>
          <w:lang w:eastAsia="lv-LV"/>
        </w:rPr>
        <w:t xml:space="preserve"> sistēmas organizāciju un darbību </w:t>
      </w:r>
      <w:r w:rsidR="001D4545" w:rsidRPr="001D4545">
        <w:rPr>
          <w:rFonts w:ascii="Times New Roman" w:eastAsia="Times New Roman" w:hAnsi="Times New Roman"/>
          <w:sz w:val="28"/>
          <w:szCs w:val="28"/>
          <w:lang w:eastAsia="lv-LV"/>
        </w:rPr>
        <w:t xml:space="preserve"> </w:t>
      </w:r>
      <w:r>
        <w:rPr>
          <w:rFonts w:ascii="Times New Roman" w:eastAsia="Times New Roman" w:hAnsi="Times New Roman"/>
          <w:sz w:val="28"/>
          <w:szCs w:val="28"/>
          <w:lang w:eastAsia="lv-LV"/>
        </w:rPr>
        <w:t xml:space="preserve">ir noteiktas </w:t>
      </w:r>
      <w:r w:rsidR="001D4545" w:rsidRPr="001D4545">
        <w:rPr>
          <w:rFonts w:ascii="Times New Roman" w:eastAsia="Times New Roman" w:hAnsi="Times New Roman"/>
          <w:sz w:val="28"/>
          <w:szCs w:val="28"/>
          <w:lang w:eastAsia="lv-LV"/>
        </w:rPr>
        <w:t xml:space="preserve"> Eiropas Parlamenta un Padomes 2008.</w:t>
      </w:r>
      <w:r w:rsidR="001D4545">
        <w:rPr>
          <w:rFonts w:ascii="Times New Roman" w:eastAsia="Times New Roman" w:hAnsi="Times New Roman"/>
          <w:sz w:val="28"/>
          <w:szCs w:val="28"/>
          <w:lang w:eastAsia="lv-LV"/>
        </w:rPr>
        <w:t xml:space="preserve"> gada 9. jūlija Regula</w:t>
      </w:r>
      <w:r w:rsidR="00166009">
        <w:rPr>
          <w:rFonts w:ascii="Times New Roman" w:eastAsia="Times New Roman" w:hAnsi="Times New Roman"/>
          <w:sz w:val="28"/>
          <w:szCs w:val="28"/>
          <w:lang w:eastAsia="lv-LV"/>
        </w:rPr>
        <w:t>s</w:t>
      </w:r>
      <w:r w:rsidR="001D4545">
        <w:rPr>
          <w:rFonts w:ascii="Times New Roman" w:eastAsia="Times New Roman" w:hAnsi="Times New Roman"/>
          <w:sz w:val="28"/>
          <w:szCs w:val="28"/>
          <w:lang w:eastAsia="lv-LV"/>
        </w:rPr>
        <w:t xml:space="preserve"> (EK) Nr.765/2008</w:t>
      </w:r>
      <w:r w:rsidR="001D4545" w:rsidRPr="001D4545">
        <w:rPr>
          <w:rFonts w:ascii="Times New Roman" w:eastAsia="Times New Roman" w:hAnsi="Times New Roman"/>
          <w:sz w:val="28"/>
          <w:szCs w:val="28"/>
          <w:lang w:eastAsia="lv-LV"/>
        </w:rPr>
        <w:t xml:space="preserve"> </w:t>
      </w:r>
      <w:r w:rsidR="001D4545" w:rsidRPr="001D4545">
        <w:rPr>
          <w:rFonts w:ascii="Times New Roman" w:eastAsia="Times New Roman" w:hAnsi="Times New Roman"/>
          <w:i/>
          <w:sz w:val="28"/>
          <w:szCs w:val="28"/>
          <w:lang w:eastAsia="lv-LV"/>
        </w:rPr>
        <w:t>ar ko nosaka akreditācijas un tirgus uzraudzības prasības attiecībā uz produktu tirdzniecību un atceļ Regulu (EEK) Nr.339/93</w:t>
      </w:r>
      <w:r w:rsidR="001D4545">
        <w:rPr>
          <w:rFonts w:ascii="Times New Roman" w:eastAsia="Times New Roman" w:hAnsi="Times New Roman"/>
          <w:sz w:val="28"/>
          <w:szCs w:val="28"/>
          <w:lang w:eastAsia="lv-LV"/>
        </w:rPr>
        <w:t xml:space="preserve"> (turpmāk – Regula)</w:t>
      </w:r>
      <w:r>
        <w:rPr>
          <w:rFonts w:ascii="Times New Roman" w:eastAsia="Times New Roman" w:hAnsi="Times New Roman"/>
          <w:sz w:val="28"/>
          <w:szCs w:val="28"/>
          <w:lang w:eastAsia="lv-LV"/>
        </w:rPr>
        <w:t xml:space="preserve"> II nodaļā.</w:t>
      </w:r>
      <w:r w:rsidR="008538D0">
        <w:rPr>
          <w:rFonts w:ascii="Times New Roman" w:eastAsia="Times New Roman" w:hAnsi="Times New Roman"/>
          <w:sz w:val="28"/>
          <w:szCs w:val="28"/>
          <w:lang w:eastAsia="lv-LV"/>
        </w:rPr>
        <w:t xml:space="preserve"> Kā galven</w:t>
      </w:r>
      <w:r w:rsidR="00463350">
        <w:rPr>
          <w:rFonts w:ascii="Times New Roman" w:eastAsia="Times New Roman" w:hAnsi="Times New Roman"/>
          <w:sz w:val="28"/>
          <w:szCs w:val="28"/>
          <w:lang w:eastAsia="lv-LV"/>
        </w:rPr>
        <w:t>ā</w:t>
      </w:r>
      <w:r w:rsidR="00166009">
        <w:rPr>
          <w:rFonts w:ascii="Times New Roman" w:eastAsia="Times New Roman" w:hAnsi="Times New Roman"/>
          <w:sz w:val="28"/>
          <w:szCs w:val="28"/>
          <w:lang w:eastAsia="lv-LV"/>
        </w:rPr>
        <w:t>s prasības attiecībā uz</w:t>
      </w:r>
      <w:r w:rsidR="008538D0">
        <w:rPr>
          <w:rFonts w:ascii="Times New Roman" w:eastAsia="Times New Roman" w:hAnsi="Times New Roman"/>
          <w:sz w:val="28"/>
          <w:szCs w:val="28"/>
          <w:lang w:eastAsia="lv-LV"/>
        </w:rPr>
        <w:t xml:space="preserve"> akreditācijas būtī</w:t>
      </w:r>
      <w:r w:rsidR="00463350">
        <w:rPr>
          <w:rFonts w:ascii="Times New Roman" w:eastAsia="Times New Roman" w:hAnsi="Times New Roman"/>
          <w:sz w:val="28"/>
          <w:szCs w:val="28"/>
          <w:lang w:eastAsia="lv-LV"/>
        </w:rPr>
        <w:t xml:space="preserve">bu </w:t>
      </w:r>
      <w:r w:rsidR="00166009">
        <w:rPr>
          <w:rFonts w:ascii="Times New Roman" w:eastAsia="Times New Roman" w:hAnsi="Times New Roman"/>
          <w:sz w:val="28"/>
          <w:szCs w:val="28"/>
          <w:lang w:eastAsia="lv-LV"/>
        </w:rPr>
        <w:t xml:space="preserve">un </w:t>
      </w:r>
      <w:r w:rsidR="00463350">
        <w:rPr>
          <w:rFonts w:ascii="Times New Roman" w:eastAsia="Times New Roman" w:hAnsi="Times New Roman"/>
          <w:sz w:val="28"/>
          <w:szCs w:val="28"/>
          <w:lang w:eastAsia="lv-LV"/>
        </w:rPr>
        <w:t>tās tiesisko dabu</w:t>
      </w:r>
      <w:r w:rsidR="006D62C7">
        <w:rPr>
          <w:rFonts w:ascii="Times New Roman" w:eastAsia="Times New Roman" w:hAnsi="Times New Roman"/>
          <w:sz w:val="28"/>
          <w:szCs w:val="28"/>
          <w:lang w:eastAsia="lv-LV"/>
        </w:rPr>
        <w:t>,</w:t>
      </w:r>
      <w:r w:rsidR="00463350">
        <w:rPr>
          <w:rFonts w:ascii="Times New Roman" w:eastAsia="Times New Roman" w:hAnsi="Times New Roman"/>
          <w:sz w:val="28"/>
          <w:szCs w:val="28"/>
          <w:lang w:eastAsia="lv-LV"/>
        </w:rPr>
        <w:t xml:space="preserve"> var </w:t>
      </w:r>
      <w:r w:rsidR="006D62C7">
        <w:rPr>
          <w:rFonts w:ascii="Times New Roman" w:eastAsia="Times New Roman" w:hAnsi="Times New Roman"/>
          <w:sz w:val="28"/>
          <w:szCs w:val="28"/>
          <w:lang w:eastAsia="lv-LV"/>
        </w:rPr>
        <w:t>izcelt</w:t>
      </w:r>
      <w:r w:rsidR="00166009">
        <w:rPr>
          <w:rFonts w:ascii="Times New Roman" w:eastAsia="Times New Roman" w:hAnsi="Times New Roman"/>
          <w:sz w:val="28"/>
          <w:szCs w:val="28"/>
          <w:lang w:eastAsia="lv-LV"/>
        </w:rPr>
        <w:t>:</w:t>
      </w:r>
    </w:p>
    <w:p w14:paraId="16CC4921" w14:textId="77777777" w:rsidR="001D4545" w:rsidRDefault="00463350" w:rsidP="00463350">
      <w:pPr>
        <w:pStyle w:val="ListParagraph"/>
        <w:numPr>
          <w:ilvl w:val="0"/>
          <w:numId w:val="8"/>
        </w:numPr>
        <w:ind w:left="709"/>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Katra dalībvalsts var noteikt tikai vienu nacionālo akreditācijas institūciju</w:t>
      </w:r>
      <w:r w:rsidR="00545B00">
        <w:rPr>
          <w:rFonts w:ascii="Times New Roman" w:eastAsia="Times New Roman" w:hAnsi="Times New Roman"/>
          <w:sz w:val="28"/>
          <w:szCs w:val="28"/>
          <w:lang w:eastAsia="lv-LV"/>
        </w:rPr>
        <w:t xml:space="preserve"> (Regulas 4.panta 1.</w:t>
      </w:r>
      <w:r>
        <w:rPr>
          <w:rFonts w:ascii="Times New Roman" w:eastAsia="Times New Roman" w:hAnsi="Times New Roman"/>
          <w:sz w:val="28"/>
          <w:szCs w:val="28"/>
          <w:lang w:eastAsia="lv-LV"/>
        </w:rPr>
        <w:t>punkts);</w:t>
      </w:r>
    </w:p>
    <w:p w14:paraId="361E357B" w14:textId="77777777" w:rsidR="00463350" w:rsidRDefault="00545B00" w:rsidP="00463350">
      <w:pPr>
        <w:pStyle w:val="ListParagraph"/>
        <w:numPr>
          <w:ilvl w:val="0"/>
          <w:numId w:val="8"/>
        </w:numPr>
        <w:ind w:left="709"/>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Nacionālās akreditācijas institūcijas pienākumus un uzdevumus skaidri atšķir no citu valsts iestāžu pienākumiem un uzdevumiem (Regulas 4.panta 6.punkts);</w:t>
      </w:r>
    </w:p>
    <w:p w14:paraId="3FF675E4" w14:textId="77777777" w:rsidR="00545B00" w:rsidRDefault="00545B00" w:rsidP="00463350">
      <w:pPr>
        <w:pStyle w:val="ListParagraph"/>
        <w:numPr>
          <w:ilvl w:val="0"/>
          <w:numId w:val="8"/>
        </w:numPr>
        <w:ind w:left="709"/>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Nacionālā akreditācijas institūcija darbojās bez peļņas (Regulas 4.panta 7.punkts);</w:t>
      </w:r>
    </w:p>
    <w:p w14:paraId="6D158D3C" w14:textId="77777777" w:rsidR="00545B00" w:rsidRDefault="006D62C7" w:rsidP="00463350">
      <w:pPr>
        <w:pStyle w:val="ListParagraph"/>
        <w:numPr>
          <w:ilvl w:val="0"/>
          <w:numId w:val="8"/>
        </w:numPr>
        <w:ind w:left="709"/>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Nacionālā akreditācijas institūcija veic atbilstības novērtēšanas institūciju kompetences novērtējumu veikt specifiskas atbi</w:t>
      </w:r>
      <w:r w:rsidR="00605306">
        <w:rPr>
          <w:rFonts w:ascii="Times New Roman" w:eastAsia="Times New Roman" w:hAnsi="Times New Roman"/>
          <w:sz w:val="28"/>
          <w:szCs w:val="28"/>
          <w:lang w:eastAsia="lv-LV"/>
        </w:rPr>
        <w:t>lstības novērtēšanas darbības. P</w:t>
      </w:r>
      <w:r>
        <w:rPr>
          <w:rFonts w:ascii="Times New Roman" w:eastAsia="Times New Roman" w:hAnsi="Times New Roman"/>
          <w:sz w:val="28"/>
          <w:szCs w:val="28"/>
          <w:lang w:eastAsia="lv-LV"/>
        </w:rPr>
        <w:t xml:space="preserve">ozitīva </w:t>
      </w:r>
      <w:r w:rsidR="00605306">
        <w:rPr>
          <w:rFonts w:ascii="Times New Roman" w:eastAsia="Times New Roman" w:hAnsi="Times New Roman"/>
          <w:sz w:val="28"/>
          <w:szCs w:val="28"/>
          <w:lang w:eastAsia="lv-LV"/>
        </w:rPr>
        <w:t xml:space="preserve">novērtējuma </w:t>
      </w:r>
      <w:r w:rsidR="00166009">
        <w:rPr>
          <w:rFonts w:ascii="Times New Roman" w:eastAsia="Times New Roman" w:hAnsi="Times New Roman"/>
          <w:sz w:val="28"/>
          <w:szCs w:val="28"/>
          <w:lang w:eastAsia="lv-LV"/>
        </w:rPr>
        <w:t>rezultātā</w:t>
      </w:r>
      <w:r>
        <w:rPr>
          <w:rFonts w:ascii="Times New Roman" w:eastAsia="Times New Roman" w:hAnsi="Times New Roman"/>
          <w:sz w:val="28"/>
          <w:szCs w:val="28"/>
          <w:lang w:eastAsia="lv-LV"/>
        </w:rPr>
        <w:t xml:space="preserve"> attiecīgajai atbilstības novērtēšanas institūcijai tiek izsniegta akreditācijas apliecība</w:t>
      </w:r>
      <w:r w:rsidR="00605306">
        <w:rPr>
          <w:rFonts w:ascii="Times New Roman" w:eastAsia="Times New Roman" w:hAnsi="Times New Roman"/>
          <w:sz w:val="28"/>
          <w:szCs w:val="28"/>
          <w:lang w:eastAsia="lv-LV"/>
        </w:rPr>
        <w:t xml:space="preserve"> un nacionālā akreditācijas institūcija veic attiecīgās instit</w:t>
      </w:r>
      <w:r w:rsidR="00166009">
        <w:rPr>
          <w:rFonts w:ascii="Times New Roman" w:eastAsia="Times New Roman" w:hAnsi="Times New Roman"/>
          <w:sz w:val="28"/>
          <w:szCs w:val="28"/>
          <w:lang w:eastAsia="lv-LV"/>
        </w:rPr>
        <w:t>ūcijas uzraudzību.</w:t>
      </w:r>
      <w:r>
        <w:rPr>
          <w:rFonts w:ascii="Times New Roman" w:eastAsia="Times New Roman" w:hAnsi="Times New Roman"/>
          <w:sz w:val="28"/>
          <w:szCs w:val="28"/>
          <w:lang w:eastAsia="lv-LV"/>
        </w:rPr>
        <w:t xml:space="preserve"> (Regulas 5.panta 1.</w:t>
      </w:r>
      <w:r w:rsidR="00605306">
        <w:rPr>
          <w:rFonts w:ascii="Times New Roman" w:eastAsia="Times New Roman" w:hAnsi="Times New Roman"/>
          <w:sz w:val="28"/>
          <w:szCs w:val="28"/>
          <w:lang w:eastAsia="lv-LV"/>
        </w:rPr>
        <w:t>un 3.</w:t>
      </w:r>
      <w:r>
        <w:rPr>
          <w:rFonts w:ascii="Times New Roman" w:eastAsia="Times New Roman" w:hAnsi="Times New Roman"/>
          <w:sz w:val="28"/>
          <w:szCs w:val="28"/>
          <w:lang w:eastAsia="lv-LV"/>
        </w:rPr>
        <w:t>punkts);</w:t>
      </w:r>
    </w:p>
    <w:p w14:paraId="6ED815BA" w14:textId="77777777" w:rsidR="006D62C7" w:rsidRDefault="00605306" w:rsidP="00463350">
      <w:pPr>
        <w:pStyle w:val="ListParagraph"/>
        <w:numPr>
          <w:ilvl w:val="0"/>
          <w:numId w:val="8"/>
        </w:numPr>
        <w:ind w:left="709"/>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Konstatējot, ka akreditētā atbilstības novērtēšanas institūcija nav kompetenta veikt specifisku atbilstības darbību, nacionālā akr</w:t>
      </w:r>
      <w:r w:rsidR="00166009">
        <w:rPr>
          <w:rFonts w:ascii="Times New Roman" w:eastAsia="Times New Roman" w:hAnsi="Times New Roman"/>
          <w:sz w:val="28"/>
          <w:szCs w:val="28"/>
          <w:lang w:eastAsia="lv-LV"/>
        </w:rPr>
        <w:t>editācijas institūcija ir tiesīg</w:t>
      </w:r>
      <w:r>
        <w:rPr>
          <w:rFonts w:ascii="Times New Roman" w:eastAsia="Times New Roman" w:hAnsi="Times New Roman"/>
          <w:sz w:val="28"/>
          <w:szCs w:val="28"/>
          <w:lang w:eastAsia="lv-LV"/>
        </w:rPr>
        <w:t>a veikt atbilstošus pasākumus, ierobežojot, apturot vai atceļot akreditāciju (Regulas 5.panta 4.punkts);</w:t>
      </w:r>
    </w:p>
    <w:p w14:paraId="72C6862A" w14:textId="77777777" w:rsidR="009F1ABA" w:rsidRDefault="00166009" w:rsidP="00463350">
      <w:pPr>
        <w:pStyle w:val="ListParagraph"/>
        <w:numPr>
          <w:ilvl w:val="0"/>
          <w:numId w:val="8"/>
        </w:numPr>
        <w:ind w:left="709"/>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Konkurences aizlieguma princips</w:t>
      </w:r>
      <w:r w:rsidR="00605306">
        <w:rPr>
          <w:rFonts w:ascii="Times New Roman" w:eastAsia="Times New Roman" w:hAnsi="Times New Roman"/>
          <w:sz w:val="28"/>
          <w:szCs w:val="28"/>
          <w:lang w:eastAsia="lv-LV"/>
        </w:rPr>
        <w:t>, proti, nacionālā akreditācijas institūcija nekonkurē ne ar atbilstības novērtēšanas institūcijām, ne arī ar citu valstu nacionālajām akreditācijas institūcijām</w:t>
      </w:r>
      <w:r w:rsidR="009F1ABA">
        <w:rPr>
          <w:rFonts w:ascii="Times New Roman" w:eastAsia="Times New Roman" w:hAnsi="Times New Roman"/>
          <w:sz w:val="28"/>
          <w:szCs w:val="28"/>
          <w:lang w:eastAsia="lv-LV"/>
        </w:rPr>
        <w:t xml:space="preserve"> (Regulas 6.pants)</w:t>
      </w:r>
      <w:r w:rsidR="00605306">
        <w:rPr>
          <w:rFonts w:ascii="Times New Roman" w:eastAsia="Times New Roman" w:hAnsi="Times New Roman"/>
          <w:sz w:val="28"/>
          <w:szCs w:val="28"/>
          <w:lang w:eastAsia="lv-LV"/>
        </w:rPr>
        <w:t>.</w:t>
      </w:r>
    </w:p>
    <w:p w14:paraId="4515F45D" w14:textId="77777777" w:rsidR="0055031C" w:rsidRDefault="00931B41" w:rsidP="008A3705">
      <w:pPr>
        <w:ind w:firstLine="709"/>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Akreditācija pēc būtības ir valsts instruments, ar kuru tiek kontrolētas atbilstības novērtēšanas </w:t>
      </w:r>
      <w:r w:rsidR="00166009">
        <w:rPr>
          <w:rFonts w:ascii="Times New Roman" w:eastAsia="Times New Roman" w:hAnsi="Times New Roman"/>
          <w:sz w:val="28"/>
          <w:szCs w:val="28"/>
          <w:lang w:eastAsia="lv-LV"/>
        </w:rPr>
        <w:t>institūciju spējas un kompetence</w:t>
      </w:r>
      <w:r>
        <w:rPr>
          <w:rFonts w:ascii="Times New Roman" w:eastAsia="Times New Roman" w:hAnsi="Times New Roman"/>
          <w:sz w:val="28"/>
          <w:szCs w:val="28"/>
          <w:lang w:eastAsia="lv-LV"/>
        </w:rPr>
        <w:t xml:space="preserve"> veikt specifiskas atbilstības novērtēšanas darbības. Tādējādi, nominējot nacionālo akreditācijas institūciju, valsts pēc būtības nodot šai institūcijai arī publisko varu </w:t>
      </w:r>
      <w:r w:rsidRPr="00931B41">
        <w:rPr>
          <w:rFonts w:ascii="Times New Roman" w:eastAsia="Times New Roman" w:hAnsi="Times New Roman"/>
          <w:sz w:val="28"/>
          <w:szCs w:val="28"/>
          <w:lang w:eastAsia="lv-LV"/>
        </w:rPr>
        <w:t>pieņemt saistošus lēmumus par akreditācijas piešķiršanu, ierobežošanu, apturēšanu vai anulēšanu</w:t>
      </w:r>
      <w:r>
        <w:rPr>
          <w:rFonts w:ascii="Times New Roman" w:eastAsia="Times New Roman" w:hAnsi="Times New Roman"/>
          <w:sz w:val="28"/>
          <w:szCs w:val="28"/>
          <w:lang w:eastAsia="lv-LV"/>
        </w:rPr>
        <w:t>.</w:t>
      </w:r>
    </w:p>
    <w:p w14:paraId="764C7E68" w14:textId="77777777" w:rsidR="006032D7" w:rsidRDefault="00B03C6F" w:rsidP="0055031C">
      <w:pPr>
        <w:ind w:firstLine="709"/>
        <w:jc w:val="both"/>
        <w:rPr>
          <w:rFonts w:ascii="Times New Roman" w:eastAsia="Times New Roman" w:hAnsi="Times New Roman"/>
          <w:sz w:val="28"/>
          <w:szCs w:val="28"/>
          <w:lang w:eastAsia="lv-LV"/>
        </w:rPr>
      </w:pPr>
      <w:r w:rsidRPr="00B03C6F">
        <w:rPr>
          <w:rFonts w:ascii="Times New Roman" w:eastAsia="Times New Roman" w:hAnsi="Times New Roman"/>
          <w:sz w:val="28"/>
          <w:szCs w:val="28"/>
          <w:lang w:eastAsia="lv-LV"/>
        </w:rPr>
        <w:t xml:space="preserve">LATAK </w:t>
      </w:r>
      <w:r w:rsidR="0055031C">
        <w:rPr>
          <w:rFonts w:ascii="Times New Roman" w:eastAsia="Times New Roman" w:hAnsi="Times New Roman"/>
          <w:sz w:val="28"/>
          <w:szCs w:val="28"/>
          <w:lang w:eastAsia="lv-LV"/>
        </w:rPr>
        <w:t xml:space="preserve">ir sekmīgi novērtēts no Eiropas akreditācijas struktūras (turpmāk – EA) puses, līdz ar to ir pilntiesīgs EA biedrs, kurš parakstījis </w:t>
      </w:r>
      <w:r w:rsidR="0055031C" w:rsidRPr="00B03C6F">
        <w:rPr>
          <w:rFonts w:ascii="Times New Roman" w:eastAsia="Times New Roman" w:hAnsi="Times New Roman"/>
          <w:sz w:val="28"/>
          <w:szCs w:val="28"/>
          <w:lang w:eastAsia="lv-LV"/>
        </w:rPr>
        <w:t>EA daudzpusējās atzīšanas līgumu par akreditēto atbilstības novērtēšanas</w:t>
      </w:r>
      <w:r w:rsidR="0055031C">
        <w:rPr>
          <w:rFonts w:ascii="Times New Roman" w:eastAsia="Times New Roman" w:hAnsi="Times New Roman"/>
          <w:sz w:val="28"/>
          <w:szCs w:val="28"/>
          <w:lang w:eastAsia="lv-LV"/>
        </w:rPr>
        <w:t xml:space="preserve"> institūciju rezultātu atzīšanu (turpmāk – EA līgums). Šis EA novērtējums ir pamats, lai LATAK akreditēto atbilstības novērtēšanas institūciju izsniegti dokumenti tiktu atzīti visās Eiropas Savienības dalībvalstīs un citās valstīs, kuru nacionālās akreditācijas institūcijas ir EA biedri un ir parakstījušas </w:t>
      </w:r>
      <w:r w:rsidRPr="00B03C6F">
        <w:rPr>
          <w:rFonts w:ascii="Times New Roman" w:eastAsia="Times New Roman" w:hAnsi="Times New Roman"/>
          <w:sz w:val="28"/>
          <w:szCs w:val="28"/>
          <w:lang w:eastAsia="lv-LV"/>
        </w:rPr>
        <w:t xml:space="preserve">EA </w:t>
      </w:r>
      <w:r w:rsidR="0055031C">
        <w:rPr>
          <w:rFonts w:ascii="Times New Roman" w:eastAsia="Times New Roman" w:hAnsi="Times New Roman"/>
          <w:sz w:val="28"/>
          <w:szCs w:val="28"/>
          <w:lang w:eastAsia="lv-LV"/>
        </w:rPr>
        <w:t>līgumu.</w:t>
      </w:r>
    </w:p>
    <w:p w14:paraId="6F9A47D3" w14:textId="77777777" w:rsidR="008A3705" w:rsidRDefault="008A3705" w:rsidP="008A3705">
      <w:pPr>
        <w:pStyle w:val="Heading3"/>
      </w:pPr>
      <w:r>
        <w:t>2.1.2. Finansēšanas modelis</w:t>
      </w:r>
    </w:p>
    <w:p w14:paraId="0CC26729" w14:textId="77777777" w:rsidR="008A3705" w:rsidRDefault="008A3705" w:rsidP="008A3705">
      <w:pPr>
        <w:spacing w:after="0"/>
        <w:ind w:firstLine="709"/>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Atbilstoši likuma “</w:t>
      </w:r>
      <w:r w:rsidRPr="00C93F6D">
        <w:rPr>
          <w:rFonts w:ascii="Times New Roman" w:eastAsia="Times New Roman" w:hAnsi="Times New Roman"/>
          <w:i/>
          <w:sz w:val="28"/>
          <w:szCs w:val="28"/>
          <w:lang w:eastAsia="lv-LV"/>
        </w:rPr>
        <w:t>Par atbilstības novērtēšanu</w:t>
      </w:r>
      <w:r>
        <w:rPr>
          <w:rFonts w:ascii="Times New Roman" w:eastAsia="Times New Roman" w:hAnsi="Times New Roman"/>
          <w:sz w:val="28"/>
          <w:szCs w:val="28"/>
          <w:lang w:eastAsia="lv-LV"/>
        </w:rPr>
        <w:t>” 14.panta trešajā daļā noteiktajai akreditācijas sistēmas finansēšanas kārtībai, LATAK darbība tiek finansēta no šādiem avotiem:</w:t>
      </w:r>
    </w:p>
    <w:p w14:paraId="18FC4CF7" w14:textId="77777777" w:rsidR="008A3705" w:rsidRDefault="008A3705" w:rsidP="008A3705">
      <w:pPr>
        <w:pStyle w:val="ListParagraph"/>
        <w:numPr>
          <w:ilvl w:val="0"/>
          <w:numId w:val="9"/>
        </w:numPr>
        <w:spacing w:after="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finansējums no valsts budžeta līdzekļiem LATAK funkciju veikšanai, izņemot atbilstības novērtēšanas institūciju akreditācijas un uzraudzības funkcijai;</w:t>
      </w:r>
    </w:p>
    <w:p w14:paraId="222154A2" w14:textId="77777777" w:rsidR="008A3705" w:rsidRDefault="008A3705" w:rsidP="008A3705">
      <w:pPr>
        <w:pStyle w:val="ListParagraph"/>
        <w:numPr>
          <w:ilvl w:val="0"/>
          <w:numId w:val="9"/>
        </w:numPr>
        <w:spacing w:after="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ienākumi no akreditācijas pakalpojuma sniegšanas atbilstības novērtēšanas institūcijām.</w:t>
      </w:r>
    </w:p>
    <w:p w14:paraId="73B88777" w14:textId="77777777" w:rsidR="008A3705" w:rsidRDefault="008A3705" w:rsidP="008A3705">
      <w:pPr>
        <w:spacing w:after="0"/>
        <w:ind w:firstLine="709"/>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LATAK </w:t>
      </w:r>
      <w:r w:rsidR="0028008E">
        <w:rPr>
          <w:rFonts w:ascii="Times New Roman" w:eastAsia="Times New Roman" w:hAnsi="Times New Roman"/>
          <w:sz w:val="28"/>
          <w:szCs w:val="28"/>
          <w:lang w:eastAsia="lv-LV"/>
        </w:rPr>
        <w:t xml:space="preserve">pašu ieņēmumi </w:t>
      </w:r>
      <w:r w:rsidRPr="0028008E">
        <w:rPr>
          <w:rFonts w:ascii="Times New Roman" w:eastAsia="Times New Roman" w:hAnsi="Times New Roman"/>
          <w:sz w:val="28"/>
          <w:szCs w:val="28"/>
          <w:lang w:eastAsia="lv-LV"/>
        </w:rPr>
        <w:t xml:space="preserve">kopš </w:t>
      </w:r>
      <w:r w:rsidR="0028008E" w:rsidRPr="0028008E">
        <w:rPr>
          <w:rFonts w:ascii="Times New Roman" w:eastAsia="Times New Roman" w:hAnsi="Times New Roman"/>
          <w:sz w:val="28"/>
          <w:szCs w:val="28"/>
          <w:lang w:eastAsia="lv-LV"/>
        </w:rPr>
        <w:t>2011</w:t>
      </w:r>
      <w:r w:rsidRPr="0028008E">
        <w:rPr>
          <w:rFonts w:ascii="Times New Roman" w:eastAsia="Times New Roman" w:hAnsi="Times New Roman"/>
          <w:sz w:val="28"/>
          <w:szCs w:val="28"/>
          <w:lang w:eastAsia="lv-LV"/>
        </w:rPr>
        <w:t>.gada</w:t>
      </w:r>
      <w:r>
        <w:rPr>
          <w:rFonts w:ascii="Times New Roman" w:eastAsia="Times New Roman" w:hAnsi="Times New Roman"/>
          <w:sz w:val="28"/>
          <w:szCs w:val="28"/>
          <w:lang w:eastAsia="lv-LV"/>
        </w:rPr>
        <w:t xml:space="preserve"> ir pakā</w:t>
      </w:r>
      <w:r w:rsidR="0028008E">
        <w:rPr>
          <w:rFonts w:ascii="Times New Roman" w:eastAsia="Times New Roman" w:hAnsi="Times New Roman"/>
          <w:sz w:val="28"/>
          <w:szCs w:val="28"/>
          <w:lang w:eastAsia="lv-LV"/>
        </w:rPr>
        <w:t>peniski pieauguši</w:t>
      </w:r>
      <w:r w:rsidR="00113F8F">
        <w:rPr>
          <w:rFonts w:ascii="Times New Roman" w:eastAsia="Times New Roman" w:hAnsi="Times New Roman"/>
          <w:sz w:val="28"/>
          <w:szCs w:val="28"/>
          <w:lang w:eastAsia="lv-LV"/>
        </w:rPr>
        <w:t xml:space="preserve"> (skat. 2</w:t>
      </w:r>
      <w:r w:rsidR="0028008E">
        <w:rPr>
          <w:rFonts w:ascii="Times New Roman" w:eastAsia="Times New Roman" w:hAnsi="Times New Roman"/>
          <w:sz w:val="28"/>
          <w:szCs w:val="28"/>
          <w:lang w:eastAsia="lv-LV"/>
        </w:rPr>
        <w:t xml:space="preserve">.attēlu). Šobrīd pašu ieņēmumi, salīdzinot ar 2011.gadu, ir pieauguši vairāk nekā uz pusi. Vienlaikus nav sagaidāms, ka tuvākajā laikā LATAK pašu ieņēmumi saruks. </w:t>
      </w:r>
      <w:r w:rsidR="00166009">
        <w:rPr>
          <w:rFonts w:ascii="Times New Roman" w:eastAsia="Times New Roman" w:hAnsi="Times New Roman"/>
          <w:sz w:val="28"/>
          <w:szCs w:val="28"/>
          <w:lang w:eastAsia="lv-LV"/>
        </w:rPr>
        <w:t>Var prognozēt</w:t>
      </w:r>
      <w:r w:rsidR="0028008E">
        <w:rPr>
          <w:rFonts w:ascii="Times New Roman" w:eastAsia="Times New Roman" w:hAnsi="Times New Roman"/>
          <w:sz w:val="28"/>
          <w:szCs w:val="28"/>
          <w:lang w:eastAsia="lv-LV"/>
        </w:rPr>
        <w:t>, ka LATAK pašu ieņēmumi</w:t>
      </w:r>
      <w:r w:rsidR="00451D4B">
        <w:rPr>
          <w:rFonts w:ascii="Times New Roman" w:eastAsia="Times New Roman" w:hAnsi="Times New Roman"/>
          <w:sz w:val="28"/>
          <w:szCs w:val="28"/>
          <w:lang w:eastAsia="lv-LV"/>
        </w:rPr>
        <w:t xml:space="preserve"> nākotnē</w:t>
      </w:r>
      <w:r w:rsidR="00166009">
        <w:rPr>
          <w:rFonts w:ascii="Times New Roman" w:eastAsia="Times New Roman" w:hAnsi="Times New Roman"/>
          <w:sz w:val="28"/>
          <w:szCs w:val="28"/>
          <w:lang w:eastAsia="lv-LV"/>
        </w:rPr>
        <w:t xml:space="preserve"> paliks konstanti, vai arī nebūtiski pieaugs un to </w:t>
      </w:r>
      <w:r w:rsidR="00451D4B">
        <w:rPr>
          <w:rFonts w:ascii="Times New Roman" w:eastAsia="Times New Roman" w:hAnsi="Times New Roman"/>
          <w:sz w:val="28"/>
          <w:szCs w:val="28"/>
          <w:lang w:eastAsia="lv-LV"/>
        </w:rPr>
        <w:t>veicinās galvenokārt šādi faktori: 1) aizvien pieaugošā akreditācijas loma; 2) akreditācijas sistēmas plaš</w:t>
      </w:r>
      <w:r w:rsidR="001F76F9">
        <w:rPr>
          <w:rFonts w:ascii="Times New Roman" w:eastAsia="Times New Roman" w:hAnsi="Times New Roman"/>
          <w:sz w:val="28"/>
          <w:szCs w:val="28"/>
          <w:lang w:eastAsia="lv-LV"/>
        </w:rPr>
        <w:t>āka pielietošana</w:t>
      </w:r>
      <w:r w:rsidR="00451D4B">
        <w:rPr>
          <w:rFonts w:ascii="Times New Roman" w:eastAsia="Times New Roman" w:hAnsi="Times New Roman"/>
          <w:sz w:val="28"/>
          <w:szCs w:val="28"/>
          <w:lang w:eastAsia="lv-LV"/>
        </w:rPr>
        <w:t xml:space="preserve">.  </w:t>
      </w:r>
    </w:p>
    <w:p w14:paraId="0931DE6A" w14:textId="77777777" w:rsidR="008A3705" w:rsidRDefault="00113F8F" w:rsidP="008A3705">
      <w:pPr>
        <w:spacing w:after="0"/>
        <w:ind w:firstLine="709"/>
        <w:jc w:val="right"/>
        <w:rPr>
          <w:rFonts w:ascii="Times New Roman" w:eastAsia="Times New Roman" w:hAnsi="Times New Roman"/>
          <w:sz w:val="28"/>
          <w:szCs w:val="28"/>
          <w:lang w:eastAsia="lv-LV"/>
        </w:rPr>
      </w:pPr>
      <w:r>
        <w:rPr>
          <w:rFonts w:ascii="Times New Roman" w:eastAsia="Times New Roman" w:hAnsi="Times New Roman"/>
          <w:sz w:val="28"/>
          <w:szCs w:val="28"/>
          <w:lang w:eastAsia="lv-LV"/>
        </w:rPr>
        <w:t>2</w:t>
      </w:r>
      <w:r w:rsidR="008A3705">
        <w:rPr>
          <w:rFonts w:ascii="Times New Roman" w:eastAsia="Times New Roman" w:hAnsi="Times New Roman"/>
          <w:sz w:val="28"/>
          <w:szCs w:val="28"/>
          <w:lang w:eastAsia="lv-LV"/>
        </w:rPr>
        <w:t>.att.</w:t>
      </w:r>
    </w:p>
    <w:p w14:paraId="592E377D" w14:textId="77777777" w:rsidR="008A3705" w:rsidRDefault="00CE1AD7" w:rsidP="00CE1AD7">
      <w:pPr>
        <w:spacing w:after="0"/>
        <w:jc w:val="center"/>
        <w:rPr>
          <w:rFonts w:ascii="Times New Roman" w:eastAsia="Times New Roman" w:hAnsi="Times New Roman"/>
          <w:sz w:val="28"/>
          <w:szCs w:val="28"/>
          <w:lang w:eastAsia="lv-LV"/>
        </w:rPr>
      </w:pPr>
      <w:r>
        <w:rPr>
          <w:noProof/>
          <w:lang w:val="en-GB" w:eastAsia="en-GB"/>
        </w:rPr>
        <w:drawing>
          <wp:inline distT="0" distB="0" distL="0" distR="0" wp14:anchorId="19568620" wp14:editId="2764308D">
            <wp:extent cx="4572000" cy="2051050"/>
            <wp:effectExtent l="0" t="0" r="0" b="63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D138BFA" w14:textId="77777777" w:rsidR="00466E1E" w:rsidRPr="00166009" w:rsidRDefault="003F5530" w:rsidP="00166009">
      <w:pPr>
        <w:spacing w:after="0"/>
        <w:ind w:firstLine="709"/>
        <w:jc w:val="center"/>
        <w:rPr>
          <w:rFonts w:ascii="Times New Roman" w:eastAsia="Times New Roman" w:hAnsi="Times New Roman"/>
          <w:i/>
          <w:sz w:val="28"/>
          <w:szCs w:val="28"/>
          <w:lang w:eastAsia="lv-LV"/>
        </w:rPr>
      </w:pPr>
      <w:r>
        <w:rPr>
          <w:rFonts w:ascii="Times New Roman" w:eastAsia="Times New Roman" w:hAnsi="Times New Roman"/>
          <w:i/>
          <w:sz w:val="28"/>
          <w:szCs w:val="28"/>
          <w:lang w:eastAsia="lv-LV"/>
        </w:rPr>
        <w:t>LATAK pašu ieņēmumi</w:t>
      </w:r>
    </w:p>
    <w:p w14:paraId="51EDE04B" w14:textId="77777777" w:rsidR="008A3705" w:rsidRPr="008A3705" w:rsidRDefault="008A3705" w:rsidP="008A3705">
      <w:pPr>
        <w:ind w:left="360"/>
      </w:pPr>
    </w:p>
    <w:p w14:paraId="2DC27B5C" w14:textId="77777777" w:rsidR="00D47696" w:rsidRPr="00D47696" w:rsidRDefault="002140B0" w:rsidP="00D47696">
      <w:pPr>
        <w:pStyle w:val="Heading3"/>
      </w:pPr>
      <w:r>
        <w:t>2.1.3</w:t>
      </w:r>
      <w:r w:rsidR="00D47696" w:rsidRPr="00D47696">
        <w:t>. Citu valstu pieredze</w:t>
      </w:r>
    </w:p>
    <w:p w14:paraId="1903314C" w14:textId="77777777" w:rsidR="00D47696" w:rsidRDefault="00166009" w:rsidP="0055031C">
      <w:pPr>
        <w:ind w:firstLine="709"/>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Kopumā EA līgumu ir parakstījušas</w:t>
      </w:r>
      <w:r w:rsidR="0025277A">
        <w:rPr>
          <w:rFonts w:ascii="Times New Roman" w:eastAsia="Times New Roman" w:hAnsi="Times New Roman"/>
          <w:sz w:val="28"/>
          <w:szCs w:val="28"/>
          <w:lang w:eastAsia="lv-LV"/>
        </w:rPr>
        <w:t xml:space="preserve"> </w:t>
      </w:r>
      <w:r w:rsidR="00F67B5A">
        <w:rPr>
          <w:rFonts w:ascii="Times New Roman" w:eastAsia="Times New Roman" w:hAnsi="Times New Roman"/>
          <w:sz w:val="28"/>
          <w:szCs w:val="28"/>
          <w:lang w:eastAsia="lv-LV"/>
        </w:rPr>
        <w:t xml:space="preserve">35 valstu nacionālās akreditācijas institūcijas. Visas </w:t>
      </w:r>
      <w:r w:rsidR="00FF0F54">
        <w:rPr>
          <w:rFonts w:ascii="Times New Roman" w:eastAsia="Times New Roman" w:hAnsi="Times New Roman"/>
          <w:sz w:val="28"/>
          <w:szCs w:val="28"/>
          <w:lang w:eastAsia="lv-LV"/>
        </w:rPr>
        <w:t>šīs institū</w:t>
      </w:r>
      <w:r w:rsidR="00A572EE">
        <w:rPr>
          <w:rFonts w:ascii="Times New Roman" w:eastAsia="Times New Roman" w:hAnsi="Times New Roman"/>
          <w:sz w:val="28"/>
          <w:szCs w:val="28"/>
          <w:lang w:eastAsia="lv-LV"/>
        </w:rPr>
        <w:t xml:space="preserve">cijas, pildot savu valstu nacionālo </w:t>
      </w:r>
      <w:r w:rsidR="00D508A2">
        <w:rPr>
          <w:rFonts w:ascii="Times New Roman" w:eastAsia="Times New Roman" w:hAnsi="Times New Roman"/>
          <w:sz w:val="28"/>
          <w:szCs w:val="28"/>
          <w:lang w:eastAsia="lv-LV"/>
        </w:rPr>
        <w:t>akreditācijas institūciju funkcijas, darbojās publisko tiesību jomā. Tām ir piešķirtas ekskluzīvas tiesības veikt akreditāciju un pieņemt ar akreditāciju saistītus lēm</w:t>
      </w:r>
      <w:r w:rsidR="001F28BC">
        <w:rPr>
          <w:rFonts w:ascii="Times New Roman" w:eastAsia="Times New Roman" w:hAnsi="Times New Roman"/>
          <w:sz w:val="28"/>
          <w:szCs w:val="28"/>
          <w:lang w:eastAsia="lv-LV"/>
        </w:rPr>
        <w:t>umus valsts vārdā.  Atbilstoši 3</w:t>
      </w:r>
      <w:r w:rsidR="00D508A2">
        <w:rPr>
          <w:rFonts w:ascii="Times New Roman" w:eastAsia="Times New Roman" w:hAnsi="Times New Roman"/>
          <w:sz w:val="28"/>
          <w:szCs w:val="28"/>
          <w:lang w:eastAsia="lv-LV"/>
        </w:rPr>
        <w:t>.attēlā atspoguļotajai informācijai nacionālās akreditācijas institūcijas pēc būtības ir iedalāmas divos blokos:</w:t>
      </w:r>
    </w:p>
    <w:p w14:paraId="2A86DEEB" w14:textId="77777777" w:rsidR="00D508A2" w:rsidRDefault="00D508A2" w:rsidP="00D508A2">
      <w:pPr>
        <w:pStyle w:val="ListParagraph"/>
        <w:numPr>
          <w:ilvl w:val="0"/>
          <w:numId w:val="12"/>
        </w:numPr>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nacionālās akreditācijas institūcijas, kuras ir izveidotas kā publiskās pārvaldes iestādes;</w:t>
      </w:r>
    </w:p>
    <w:p w14:paraId="13229A97" w14:textId="77777777" w:rsidR="00D508A2" w:rsidRPr="00D508A2" w:rsidRDefault="00D508A2" w:rsidP="00D508A2">
      <w:pPr>
        <w:pStyle w:val="ListParagraph"/>
        <w:numPr>
          <w:ilvl w:val="0"/>
          <w:numId w:val="12"/>
        </w:numPr>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nacionālās akreditācijas institūcijas, kuras ir izveidotas kā privātās organizācijas.</w:t>
      </w:r>
    </w:p>
    <w:p w14:paraId="064F6F70" w14:textId="77777777" w:rsidR="00894B6B" w:rsidRDefault="00894B6B" w:rsidP="00D508A2">
      <w:pPr>
        <w:spacing w:after="0"/>
        <w:ind w:firstLine="709"/>
        <w:jc w:val="right"/>
        <w:rPr>
          <w:rFonts w:ascii="Times New Roman" w:eastAsia="Times New Roman" w:hAnsi="Times New Roman"/>
          <w:sz w:val="28"/>
          <w:szCs w:val="28"/>
          <w:lang w:eastAsia="lv-LV"/>
        </w:rPr>
      </w:pPr>
    </w:p>
    <w:p w14:paraId="3072DD8D" w14:textId="77777777" w:rsidR="00894B6B" w:rsidRDefault="00894B6B" w:rsidP="00D508A2">
      <w:pPr>
        <w:spacing w:after="0"/>
        <w:ind w:firstLine="709"/>
        <w:jc w:val="right"/>
        <w:rPr>
          <w:rFonts w:ascii="Times New Roman" w:eastAsia="Times New Roman" w:hAnsi="Times New Roman"/>
          <w:sz w:val="28"/>
          <w:szCs w:val="28"/>
          <w:lang w:eastAsia="lv-LV"/>
        </w:rPr>
      </w:pPr>
    </w:p>
    <w:p w14:paraId="41AA3719" w14:textId="77777777" w:rsidR="00894B6B" w:rsidRDefault="00894B6B" w:rsidP="00D508A2">
      <w:pPr>
        <w:spacing w:after="0"/>
        <w:ind w:firstLine="709"/>
        <w:jc w:val="right"/>
        <w:rPr>
          <w:rFonts w:ascii="Times New Roman" w:eastAsia="Times New Roman" w:hAnsi="Times New Roman"/>
          <w:sz w:val="28"/>
          <w:szCs w:val="28"/>
          <w:lang w:eastAsia="lv-LV"/>
        </w:rPr>
      </w:pPr>
    </w:p>
    <w:p w14:paraId="3A10A1DC" w14:textId="77777777" w:rsidR="00894B6B" w:rsidRDefault="00894B6B" w:rsidP="00D508A2">
      <w:pPr>
        <w:spacing w:after="0"/>
        <w:ind w:firstLine="709"/>
        <w:jc w:val="right"/>
        <w:rPr>
          <w:rFonts w:ascii="Times New Roman" w:eastAsia="Times New Roman" w:hAnsi="Times New Roman"/>
          <w:sz w:val="28"/>
          <w:szCs w:val="28"/>
          <w:lang w:eastAsia="lv-LV"/>
        </w:rPr>
      </w:pPr>
    </w:p>
    <w:p w14:paraId="2B1E3E5A" w14:textId="77777777" w:rsidR="00894B6B" w:rsidRDefault="00894B6B" w:rsidP="00D508A2">
      <w:pPr>
        <w:spacing w:after="0"/>
        <w:ind w:firstLine="709"/>
        <w:jc w:val="right"/>
        <w:rPr>
          <w:rFonts w:ascii="Times New Roman" w:eastAsia="Times New Roman" w:hAnsi="Times New Roman"/>
          <w:sz w:val="28"/>
          <w:szCs w:val="28"/>
          <w:lang w:eastAsia="lv-LV"/>
        </w:rPr>
      </w:pPr>
    </w:p>
    <w:p w14:paraId="424ADCD6" w14:textId="77777777" w:rsidR="00894B6B" w:rsidRDefault="00894B6B" w:rsidP="00D508A2">
      <w:pPr>
        <w:spacing w:after="0"/>
        <w:ind w:firstLine="709"/>
        <w:jc w:val="right"/>
        <w:rPr>
          <w:rFonts w:ascii="Times New Roman" w:eastAsia="Times New Roman" w:hAnsi="Times New Roman"/>
          <w:sz w:val="28"/>
          <w:szCs w:val="28"/>
          <w:lang w:eastAsia="lv-LV"/>
        </w:rPr>
      </w:pPr>
    </w:p>
    <w:p w14:paraId="4D06C4EC" w14:textId="77777777" w:rsidR="00894B6B" w:rsidRDefault="00894B6B" w:rsidP="00D508A2">
      <w:pPr>
        <w:spacing w:after="0"/>
        <w:ind w:firstLine="709"/>
        <w:jc w:val="right"/>
        <w:rPr>
          <w:rFonts w:ascii="Times New Roman" w:eastAsia="Times New Roman" w:hAnsi="Times New Roman"/>
          <w:sz w:val="28"/>
          <w:szCs w:val="28"/>
          <w:lang w:eastAsia="lv-LV"/>
        </w:rPr>
      </w:pPr>
    </w:p>
    <w:p w14:paraId="17BD8101" w14:textId="77777777" w:rsidR="00894B6B" w:rsidRDefault="00894B6B" w:rsidP="00D508A2">
      <w:pPr>
        <w:spacing w:after="0"/>
        <w:ind w:firstLine="709"/>
        <w:jc w:val="right"/>
        <w:rPr>
          <w:rFonts w:ascii="Times New Roman" w:eastAsia="Times New Roman" w:hAnsi="Times New Roman"/>
          <w:sz w:val="28"/>
          <w:szCs w:val="28"/>
          <w:lang w:eastAsia="lv-LV"/>
        </w:rPr>
      </w:pPr>
    </w:p>
    <w:p w14:paraId="319155B1" w14:textId="77777777" w:rsidR="00D508A2" w:rsidRDefault="00CE1AD7" w:rsidP="00D508A2">
      <w:pPr>
        <w:spacing w:after="0"/>
        <w:ind w:firstLine="709"/>
        <w:jc w:val="right"/>
        <w:rPr>
          <w:rFonts w:ascii="Times New Roman" w:eastAsia="Times New Roman" w:hAnsi="Times New Roman"/>
          <w:sz w:val="28"/>
          <w:szCs w:val="28"/>
          <w:lang w:eastAsia="lv-LV"/>
        </w:rPr>
      </w:pPr>
      <w:r>
        <w:rPr>
          <w:rFonts w:ascii="Times New Roman" w:eastAsia="Times New Roman" w:hAnsi="Times New Roman"/>
          <w:sz w:val="28"/>
          <w:szCs w:val="28"/>
          <w:lang w:eastAsia="lv-LV"/>
        </w:rPr>
        <w:t>3</w:t>
      </w:r>
      <w:r w:rsidR="00D508A2">
        <w:rPr>
          <w:rFonts w:ascii="Times New Roman" w:eastAsia="Times New Roman" w:hAnsi="Times New Roman"/>
          <w:sz w:val="28"/>
          <w:szCs w:val="28"/>
          <w:lang w:eastAsia="lv-LV"/>
        </w:rPr>
        <w:t>.attēls</w:t>
      </w:r>
    </w:p>
    <w:p w14:paraId="2F91420A" w14:textId="77777777" w:rsidR="00F67B5A" w:rsidRDefault="00F67B5A" w:rsidP="00D508A2">
      <w:pPr>
        <w:ind w:firstLine="709"/>
        <w:jc w:val="center"/>
        <w:rPr>
          <w:rFonts w:ascii="Times New Roman" w:eastAsia="Times New Roman" w:hAnsi="Times New Roman"/>
          <w:sz w:val="28"/>
          <w:szCs w:val="28"/>
          <w:lang w:eastAsia="lv-LV"/>
        </w:rPr>
      </w:pPr>
      <w:r>
        <w:rPr>
          <w:noProof/>
          <w:lang w:val="en-GB" w:eastAsia="en-GB"/>
        </w:rPr>
        <w:drawing>
          <wp:inline distT="0" distB="0" distL="0" distR="0" wp14:anchorId="49A74A2B" wp14:editId="7671C996">
            <wp:extent cx="5135880" cy="2288540"/>
            <wp:effectExtent l="0" t="0" r="20320" b="228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29F5232" w14:textId="77777777" w:rsidR="0055031C" w:rsidRPr="00D508A2" w:rsidRDefault="00D508A2" w:rsidP="00D508A2">
      <w:pPr>
        <w:spacing w:after="0"/>
        <w:ind w:firstLine="709"/>
        <w:jc w:val="center"/>
        <w:rPr>
          <w:rFonts w:ascii="Times New Roman" w:eastAsia="Times New Roman" w:hAnsi="Times New Roman"/>
          <w:i/>
          <w:sz w:val="28"/>
          <w:szCs w:val="28"/>
          <w:lang w:eastAsia="lv-LV"/>
        </w:rPr>
      </w:pPr>
      <w:r w:rsidRPr="00D508A2">
        <w:rPr>
          <w:rFonts w:ascii="Times New Roman" w:eastAsia="Times New Roman" w:hAnsi="Times New Roman"/>
          <w:i/>
          <w:sz w:val="28"/>
          <w:szCs w:val="28"/>
          <w:lang w:eastAsia="lv-LV"/>
        </w:rPr>
        <w:t xml:space="preserve">EA līgumu parakstījušo </w:t>
      </w:r>
      <w:r w:rsidR="002F28EC">
        <w:rPr>
          <w:rFonts w:ascii="Times New Roman" w:eastAsia="Times New Roman" w:hAnsi="Times New Roman"/>
          <w:i/>
          <w:sz w:val="28"/>
          <w:szCs w:val="28"/>
          <w:lang w:eastAsia="lv-LV"/>
        </w:rPr>
        <w:t>nacionālo</w:t>
      </w:r>
      <w:r w:rsidR="00166009">
        <w:rPr>
          <w:rFonts w:ascii="Times New Roman" w:eastAsia="Times New Roman" w:hAnsi="Times New Roman"/>
          <w:i/>
          <w:sz w:val="28"/>
          <w:szCs w:val="28"/>
          <w:lang w:eastAsia="lv-LV"/>
        </w:rPr>
        <w:t xml:space="preserve"> akreditācijas institūciju</w:t>
      </w:r>
      <w:r w:rsidRPr="00D508A2">
        <w:rPr>
          <w:rFonts w:ascii="Times New Roman" w:eastAsia="Times New Roman" w:hAnsi="Times New Roman"/>
          <w:i/>
          <w:sz w:val="28"/>
          <w:szCs w:val="28"/>
          <w:lang w:eastAsia="lv-LV"/>
        </w:rPr>
        <w:t xml:space="preserve"> sadalījums</w:t>
      </w:r>
    </w:p>
    <w:p w14:paraId="65213CD3" w14:textId="77777777" w:rsidR="00D508A2" w:rsidRDefault="00D508A2" w:rsidP="0055031C">
      <w:pPr>
        <w:ind w:firstLine="709"/>
        <w:jc w:val="both"/>
        <w:rPr>
          <w:rFonts w:ascii="Times New Roman" w:eastAsia="Times New Roman" w:hAnsi="Times New Roman"/>
          <w:sz w:val="28"/>
          <w:szCs w:val="28"/>
          <w:lang w:eastAsia="lv-LV"/>
        </w:rPr>
      </w:pPr>
    </w:p>
    <w:p w14:paraId="472763D0" w14:textId="77777777" w:rsidR="0010193C" w:rsidRDefault="00D508A2" w:rsidP="0010193C">
      <w:pPr>
        <w:spacing w:after="0"/>
        <w:ind w:firstLine="709"/>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Kā redzams no šī sadalījuma, tad tikai 20% no visām EA līgumu parakstījušo valstu nacionālajām akreditācijas institūcijām ir veidotas kā privātās organizācijas. Šajā lokā ietilpst šādu valstu nacionālās akreditācijas institūcijas: Dānija, Francija, Vācija, Itālija, Rumānija, Spānija un Lielbritānija. </w:t>
      </w:r>
      <w:r w:rsidR="00466E1E">
        <w:rPr>
          <w:rFonts w:ascii="Times New Roman" w:eastAsia="Times New Roman" w:hAnsi="Times New Roman"/>
          <w:sz w:val="28"/>
          <w:szCs w:val="28"/>
          <w:lang w:eastAsia="lv-LV"/>
        </w:rPr>
        <w:t xml:space="preserve">Taču svarīgi ir ņemt vērā, ka šāda situācija ir </w:t>
      </w:r>
      <w:r w:rsidR="0010193C">
        <w:rPr>
          <w:rFonts w:ascii="Times New Roman" w:eastAsia="Times New Roman" w:hAnsi="Times New Roman"/>
          <w:sz w:val="28"/>
          <w:szCs w:val="28"/>
          <w:lang w:eastAsia="lv-LV"/>
        </w:rPr>
        <w:t>iz</w:t>
      </w:r>
      <w:r w:rsidR="00466E1E">
        <w:rPr>
          <w:rFonts w:ascii="Times New Roman" w:eastAsia="Times New Roman" w:hAnsi="Times New Roman"/>
          <w:sz w:val="28"/>
          <w:szCs w:val="28"/>
          <w:lang w:eastAsia="lv-LV"/>
        </w:rPr>
        <w:t>veidojusies</w:t>
      </w:r>
      <w:r w:rsidR="0010193C">
        <w:rPr>
          <w:rFonts w:ascii="Times New Roman" w:eastAsia="Times New Roman" w:hAnsi="Times New Roman"/>
          <w:sz w:val="28"/>
          <w:szCs w:val="28"/>
          <w:lang w:eastAsia="lv-LV"/>
        </w:rPr>
        <w:t xml:space="preserve"> galvenokārt pateicoties diviem aspektiem:</w:t>
      </w:r>
    </w:p>
    <w:p w14:paraId="4D2CF163" w14:textId="77777777" w:rsidR="0055031C" w:rsidRDefault="0010193C" w:rsidP="0010193C">
      <w:pPr>
        <w:pStyle w:val="ListParagraph"/>
        <w:numPr>
          <w:ilvl w:val="0"/>
          <w:numId w:val="13"/>
        </w:numPr>
        <w:spacing w:after="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attiecīgo valstu vēsturiskie apsvērumi;</w:t>
      </w:r>
    </w:p>
    <w:p w14:paraId="5035401A" w14:textId="77777777" w:rsidR="0010193C" w:rsidRDefault="00EB477F" w:rsidP="0010193C">
      <w:pPr>
        <w:pStyle w:val="ListParagraph"/>
        <w:numPr>
          <w:ilvl w:val="0"/>
          <w:numId w:val="13"/>
        </w:numPr>
        <w:spacing w:after="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tiesību</w:t>
      </w:r>
      <w:r w:rsidR="0010193C">
        <w:rPr>
          <w:rFonts w:ascii="Times New Roman" w:eastAsia="Times New Roman" w:hAnsi="Times New Roman"/>
          <w:sz w:val="28"/>
          <w:szCs w:val="28"/>
          <w:lang w:eastAsia="lv-LV"/>
        </w:rPr>
        <w:t xml:space="preserve"> sistēmas īpatnības.</w:t>
      </w:r>
    </w:p>
    <w:p w14:paraId="25E8F6D2" w14:textId="77777777" w:rsidR="004130A5" w:rsidRDefault="00637E2C" w:rsidP="0010193C">
      <w:pPr>
        <w:spacing w:after="0"/>
        <w:ind w:firstLine="709"/>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Visām šīm valstīm ir viena kopīga iezīme, proti, tajās akreditācijas sistēmas jau pastāvēja labu laiku iepriekš pirms tika izveidota Eiropas Savienības akreditācijas sistēma, kas nosaka, ka valstī ir tikai viena autoritatīva nacionālā akreditācijas institūcija, kura ir apveltīta ar publisko varu. Turklāt šīs vēsturiskās sistēmas</w:t>
      </w:r>
      <w:r w:rsidR="00395A7E">
        <w:rPr>
          <w:rFonts w:ascii="Times New Roman" w:eastAsia="Times New Roman" w:hAnsi="Times New Roman"/>
          <w:sz w:val="28"/>
          <w:szCs w:val="28"/>
          <w:lang w:eastAsia="lv-LV"/>
        </w:rPr>
        <w:t>, kurās akreditācija bija brīvprātīgs kompetences apliecināšanas veids,</w:t>
      </w:r>
      <w:r>
        <w:rPr>
          <w:rFonts w:ascii="Times New Roman" w:eastAsia="Times New Roman" w:hAnsi="Times New Roman"/>
          <w:sz w:val="28"/>
          <w:szCs w:val="28"/>
          <w:lang w:eastAsia="lv-LV"/>
        </w:rPr>
        <w:t xml:space="preserve"> funkcionēja pietiekoši augstā līmenī.</w:t>
      </w:r>
      <w:r w:rsidR="00166009">
        <w:rPr>
          <w:rFonts w:ascii="Times New Roman" w:eastAsia="Times New Roman" w:hAnsi="Times New Roman"/>
          <w:sz w:val="28"/>
          <w:szCs w:val="28"/>
          <w:lang w:eastAsia="lv-LV"/>
        </w:rPr>
        <w:t xml:space="preserve"> Brīvprātīgā akreditācija</w:t>
      </w:r>
      <w:r w:rsidR="00395A7E">
        <w:rPr>
          <w:rFonts w:ascii="Times New Roman" w:eastAsia="Times New Roman" w:hAnsi="Times New Roman"/>
          <w:sz w:val="28"/>
          <w:szCs w:val="28"/>
          <w:lang w:eastAsia="lv-LV"/>
        </w:rPr>
        <w:t xml:space="preserve"> nenotika centralizēti valstiskā līmenī un to veica privātais sektors, pi</w:t>
      </w:r>
      <w:r w:rsidR="00944892">
        <w:rPr>
          <w:rFonts w:ascii="Times New Roman" w:eastAsia="Times New Roman" w:hAnsi="Times New Roman"/>
          <w:sz w:val="28"/>
          <w:szCs w:val="28"/>
          <w:lang w:eastAsia="lv-LV"/>
        </w:rPr>
        <w:t>emēram, asociāciju ietvaros</w:t>
      </w:r>
      <w:r w:rsidR="00395A7E">
        <w:rPr>
          <w:rFonts w:ascii="Times New Roman" w:eastAsia="Times New Roman" w:hAnsi="Times New Roman"/>
          <w:sz w:val="28"/>
          <w:szCs w:val="28"/>
          <w:lang w:eastAsia="lv-LV"/>
        </w:rPr>
        <w:t xml:space="preserve">. </w:t>
      </w:r>
      <w:r>
        <w:rPr>
          <w:rFonts w:ascii="Times New Roman" w:eastAsia="Times New Roman" w:hAnsi="Times New Roman"/>
          <w:sz w:val="28"/>
          <w:szCs w:val="28"/>
          <w:lang w:eastAsia="lv-LV"/>
        </w:rPr>
        <w:t xml:space="preserve">Tāpēc </w:t>
      </w:r>
      <w:r w:rsidR="00395A7E">
        <w:rPr>
          <w:rFonts w:ascii="Times New Roman" w:eastAsia="Times New Roman" w:hAnsi="Times New Roman"/>
          <w:sz w:val="28"/>
          <w:szCs w:val="28"/>
          <w:lang w:eastAsia="lv-LV"/>
        </w:rPr>
        <w:t xml:space="preserve">brīdī, kad Eiropas Savienības dalībvalstīm bija jāpielāgo savas nacionālās akreditācijas sistēmas Regulā izvirzītajām prasībām, tajā skaitā jānominē </w:t>
      </w:r>
      <w:r w:rsidR="00166009">
        <w:rPr>
          <w:rFonts w:ascii="Times New Roman" w:eastAsia="Times New Roman" w:hAnsi="Times New Roman"/>
          <w:sz w:val="28"/>
          <w:szCs w:val="28"/>
          <w:lang w:eastAsia="lv-LV"/>
        </w:rPr>
        <w:t xml:space="preserve">tikai </w:t>
      </w:r>
      <w:r w:rsidR="00944892">
        <w:rPr>
          <w:rFonts w:ascii="Times New Roman" w:eastAsia="Times New Roman" w:hAnsi="Times New Roman"/>
          <w:sz w:val="28"/>
          <w:szCs w:val="28"/>
          <w:lang w:eastAsia="lv-LV"/>
        </w:rPr>
        <w:t xml:space="preserve">viena </w:t>
      </w:r>
      <w:r w:rsidR="00395A7E">
        <w:rPr>
          <w:rFonts w:ascii="Times New Roman" w:eastAsia="Times New Roman" w:hAnsi="Times New Roman"/>
          <w:sz w:val="28"/>
          <w:szCs w:val="28"/>
          <w:lang w:eastAsia="lv-LV"/>
        </w:rPr>
        <w:t xml:space="preserve">nacionālās akreditācijas </w:t>
      </w:r>
      <w:r w:rsidR="00944892">
        <w:rPr>
          <w:rFonts w:ascii="Times New Roman" w:eastAsia="Times New Roman" w:hAnsi="Times New Roman"/>
          <w:sz w:val="28"/>
          <w:szCs w:val="28"/>
          <w:lang w:eastAsia="lv-LV"/>
        </w:rPr>
        <w:t>institūcija</w:t>
      </w:r>
      <w:r w:rsidR="00395A7E">
        <w:rPr>
          <w:rFonts w:ascii="Times New Roman" w:eastAsia="Times New Roman" w:hAnsi="Times New Roman"/>
          <w:sz w:val="28"/>
          <w:szCs w:val="28"/>
          <w:lang w:eastAsia="lv-LV"/>
        </w:rPr>
        <w:t>, dal</w:t>
      </w:r>
      <w:r w:rsidR="00DB1F94">
        <w:rPr>
          <w:rFonts w:ascii="Times New Roman" w:eastAsia="Times New Roman" w:hAnsi="Times New Roman"/>
          <w:sz w:val="28"/>
          <w:szCs w:val="28"/>
          <w:lang w:eastAsia="lv-LV"/>
        </w:rPr>
        <w:t>ībvalstīm</w:t>
      </w:r>
      <w:r w:rsidR="00944892">
        <w:rPr>
          <w:rFonts w:ascii="Times New Roman" w:eastAsia="Times New Roman" w:hAnsi="Times New Roman"/>
          <w:sz w:val="28"/>
          <w:szCs w:val="28"/>
          <w:lang w:eastAsia="lv-LV"/>
        </w:rPr>
        <w:t xml:space="preserve"> bija </w:t>
      </w:r>
      <w:r w:rsidR="00DB1F94">
        <w:rPr>
          <w:rFonts w:ascii="Times New Roman" w:eastAsia="Times New Roman" w:hAnsi="Times New Roman"/>
          <w:sz w:val="28"/>
          <w:szCs w:val="28"/>
          <w:lang w:eastAsia="lv-LV"/>
        </w:rPr>
        <w:t xml:space="preserve">jāveic savu esošo sistēmu revīzija un bija jāizveido vienota, valsts pārraudzīta akreditācijas sistēma. </w:t>
      </w:r>
      <w:r w:rsidR="004130A5">
        <w:rPr>
          <w:rFonts w:ascii="Times New Roman" w:eastAsia="Times New Roman" w:hAnsi="Times New Roman"/>
          <w:sz w:val="28"/>
          <w:szCs w:val="28"/>
          <w:lang w:eastAsia="lv-LV"/>
        </w:rPr>
        <w:t xml:space="preserve">Apzinoties, ka vairs nepastāv iespēja eksistēt vairākām akreditācijas institūcijām, minētajās septiņās valstīs dažādu reorganizāciju un apvienošanās rezultātā izveidojās spēcīgas un labi funkcionējošas privātās </w:t>
      </w:r>
      <w:r w:rsidR="00166009">
        <w:rPr>
          <w:rFonts w:ascii="Times New Roman" w:eastAsia="Times New Roman" w:hAnsi="Times New Roman"/>
          <w:sz w:val="28"/>
          <w:szCs w:val="28"/>
          <w:lang w:eastAsia="lv-LV"/>
        </w:rPr>
        <w:t>bez</w:t>
      </w:r>
      <w:r w:rsidR="00EB477F">
        <w:rPr>
          <w:rFonts w:ascii="Times New Roman" w:eastAsia="Times New Roman" w:hAnsi="Times New Roman"/>
          <w:sz w:val="28"/>
          <w:szCs w:val="28"/>
          <w:lang w:eastAsia="lv-LV"/>
        </w:rPr>
        <w:t xml:space="preserve">peļņas </w:t>
      </w:r>
      <w:r w:rsidR="004130A5">
        <w:rPr>
          <w:rFonts w:ascii="Times New Roman" w:eastAsia="Times New Roman" w:hAnsi="Times New Roman"/>
          <w:sz w:val="28"/>
          <w:szCs w:val="28"/>
          <w:lang w:eastAsia="lv-LV"/>
        </w:rPr>
        <w:t>organizācijas, kuras bija kompetentas akreditācijas darbību veikšanā. Pastāvot šādiem labvēlīgiem nosacījumiem, kad privātais sektors spēj veikt attiecīgās publiskās darbības daudz efektīvāk un ir ieinteresēts to darīt sabiedrības interesēs, attiecīgās dalībvalstīs netika veidotas publiskās pārvaldes iestādes, bet gan kā nacionālās akreditācijas institūcijas tika nominētas privātās organizācijas, deleģējot tām veicamos uzdevumus un piešķirot tām pilnvaras akreditācijas jautājumu kontekstā rīkoties valsts vārdā. Vienlaikus</w:t>
      </w:r>
      <w:r w:rsidR="00166009">
        <w:rPr>
          <w:rFonts w:ascii="Times New Roman" w:eastAsia="Times New Roman" w:hAnsi="Times New Roman"/>
          <w:sz w:val="28"/>
          <w:szCs w:val="28"/>
          <w:lang w:eastAsia="lv-LV"/>
        </w:rPr>
        <w:t>,</w:t>
      </w:r>
      <w:r w:rsidR="004130A5">
        <w:rPr>
          <w:rFonts w:ascii="Times New Roman" w:eastAsia="Times New Roman" w:hAnsi="Times New Roman"/>
          <w:sz w:val="28"/>
          <w:szCs w:val="28"/>
          <w:lang w:eastAsia="lv-LV"/>
        </w:rPr>
        <w:t xml:space="preserve"> visas šīs privātās organizācijas, kuras ir noteiktas kā nacionālās akreditācijas institūcijas, regulāri atskaitās un tiek uzraudzītas no atbildīgo publiskās pārvaldes iestāžu puses. </w:t>
      </w:r>
    </w:p>
    <w:p w14:paraId="755193CD" w14:textId="77777777" w:rsidR="00EB477F" w:rsidRDefault="00EB477F" w:rsidP="00C4522C">
      <w:pPr>
        <w:spacing w:after="0"/>
        <w:ind w:firstLine="709"/>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Savukārt otra iezīme šajā sakarībā ir nacionālo tiesību sistēmu</w:t>
      </w:r>
      <w:r w:rsidR="00166009">
        <w:rPr>
          <w:rFonts w:ascii="Times New Roman" w:eastAsia="Times New Roman" w:hAnsi="Times New Roman"/>
          <w:sz w:val="28"/>
          <w:szCs w:val="28"/>
          <w:lang w:eastAsia="lv-LV"/>
        </w:rPr>
        <w:t xml:space="preserve"> īpatnības, ka</w:t>
      </w:r>
      <w:r>
        <w:rPr>
          <w:rFonts w:ascii="Times New Roman" w:eastAsia="Times New Roman" w:hAnsi="Times New Roman"/>
          <w:sz w:val="28"/>
          <w:szCs w:val="28"/>
          <w:lang w:eastAsia="lv-LV"/>
        </w:rPr>
        <w:t xml:space="preserve"> </w:t>
      </w:r>
      <w:r w:rsidR="00C4522C">
        <w:rPr>
          <w:rFonts w:ascii="Times New Roman" w:eastAsia="Times New Roman" w:hAnsi="Times New Roman"/>
          <w:sz w:val="28"/>
          <w:szCs w:val="28"/>
          <w:lang w:eastAsia="lv-LV"/>
        </w:rPr>
        <w:t xml:space="preserve">dažādās valstīs ir iespējams izveidot institūcijas ar dažādiem juridiskajiem statusiem, kas dod iespēju valstīm iesaistīties šo privāto bezpeļņas organizāciju darbā. Praktiski </w:t>
      </w:r>
      <w:r w:rsidR="00C43FCC">
        <w:rPr>
          <w:rFonts w:ascii="Times New Roman" w:eastAsia="Times New Roman" w:hAnsi="Times New Roman"/>
          <w:sz w:val="28"/>
          <w:szCs w:val="28"/>
          <w:lang w:eastAsia="lv-LV"/>
        </w:rPr>
        <w:t>visās šajās nevalstiskajās organizācijās, kuras ir nominētas kā nacionālās akreditācijas institūcijas, valsts tās institūciju, aģentūru, ministriju, utt. personā</w:t>
      </w:r>
      <w:r w:rsidR="00C4522C">
        <w:rPr>
          <w:rFonts w:ascii="Times New Roman" w:eastAsia="Times New Roman" w:hAnsi="Times New Roman"/>
          <w:sz w:val="28"/>
          <w:szCs w:val="28"/>
          <w:lang w:eastAsia="lv-LV"/>
        </w:rPr>
        <w:t xml:space="preserve"> ir pārstāvēta </w:t>
      </w:r>
      <w:r w:rsidR="00840D8F">
        <w:rPr>
          <w:rFonts w:ascii="Times New Roman" w:eastAsia="Times New Roman" w:hAnsi="Times New Roman"/>
          <w:sz w:val="28"/>
          <w:szCs w:val="28"/>
          <w:lang w:eastAsia="lv-LV"/>
        </w:rPr>
        <w:t xml:space="preserve">šo organizāciju darbā, proti, esot to biedrs, līdzīpašnieks, </w:t>
      </w:r>
      <w:r w:rsidR="00FA7DA9">
        <w:rPr>
          <w:rFonts w:ascii="Times New Roman" w:eastAsia="Times New Roman" w:hAnsi="Times New Roman"/>
          <w:sz w:val="28"/>
          <w:szCs w:val="28"/>
          <w:lang w:eastAsia="lv-LV"/>
        </w:rPr>
        <w:t>utt. Tāpēc pēc būtības, neskatoties uz to, ka šīs institūcijas formāli skaitā</w:t>
      </w:r>
      <w:r w:rsidR="00166009">
        <w:rPr>
          <w:rFonts w:ascii="Times New Roman" w:eastAsia="Times New Roman" w:hAnsi="Times New Roman"/>
          <w:sz w:val="28"/>
          <w:szCs w:val="28"/>
          <w:lang w:eastAsia="lv-LV"/>
        </w:rPr>
        <w:t>s kā privāta</w:t>
      </w:r>
      <w:r w:rsidR="00FA7DA9">
        <w:rPr>
          <w:rFonts w:ascii="Times New Roman" w:eastAsia="Times New Roman" w:hAnsi="Times New Roman"/>
          <w:sz w:val="28"/>
          <w:szCs w:val="28"/>
          <w:lang w:eastAsia="lv-LV"/>
        </w:rPr>
        <w:t>s bezpeļņas organizācijas, valsts ir iesaistīta to darbā.</w:t>
      </w:r>
    </w:p>
    <w:p w14:paraId="55A0248B" w14:textId="77777777" w:rsidR="00FA7DA9" w:rsidRDefault="00FA7DA9" w:rsidP="00C4522C">
      <w:pPr>
        <w:spacing w:after="0"/>
        <w:ind w:firstLine="709"/>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Apkopojot minēto informāciju, nerodas šaubas, ka visās Eiropas Savienība</w:t>
      </w:r>
      <w:r w:rsidR="00166009">
        <w:rPr>
          <w:rFonts w:ascii="Times New Roman" w:eastAsia="Times New Roman" w:hAnsi="Times New Roman"/>
          <w:sz w:val="28"/>
          <w:szCs w:val="28"/>
          <w:lang w:eastAsia="lv-LV"/>
        </w:rPr>
        <w:t>s</w:t>
      </w:r>
      <w:r>
        <w:rPr>
          <w:rFonts w:ascii="Times New Roman" w:eastAsia="Times New Roman" w:hAnsi="Times New Roman"/>
          <w:sz w:val="28"/>
          <w:szCs w:val="28"/>
          <w:lang w:eastAsia="lv-LV"/>
        </w:rPr>
        <w:t xml:space="preserve"> dalībvalstīs ir vienota izpratne par to, ka </w:t>
      </w:r>
      <w:r w:rsidR="00664151">
        <w:rPr>
          <w:rFonts w:ascii="Times New Roman" w:eastAsia="Times New Roman" w:hAnsi="Times New Roman"/>
          <w:sz w:val="28"/>
          <w:szCs w:val="28"/>
          <w:lang w:eastAsia="lv-LV"/>
        </w:rPr>
        <w:t xml:space="preserve">akreditācija norisinās publisko tiesību jomā un par tās atbilstošu darbību ir atbildīga publiskā pārvalde. </w:t>
      </w:r>
    </w:p>
    <w:p w14:paraId="7BA6D91C" w14:textId="77777777" w:rsidR="004130A5" w:rsidRDefault="004130A5" w:rsidP="0010193C">
      <w:pPr>
        <w:spacing w:after="0"/>
        <w:ind w:firstLine="709"/>
        <w:jc w:val="both"/>
        <w:rPr>
          <w:rFonts w:ascii="Times New Roman" w:eastAsia="Times New Roman" w:hAnsi="Times New Roman"/>
          <w:sz w:val="28"/>
          <w:szCs w:val="28"/>
          <w:lang w:eastAsia="lv-LV"/>
        </w:rPr>
      </w:pPr>
    </w:p>
    <w:p w14:paraId="4AE40799" w14:textId="77777777" w:rsidR="00F63EDE" w:rsidRDefault="00EE6B0B" w:rsidP="00EE6B0B">
      <w:pPr>
        <w:pStyle w:val="Heading2"/>
      </w:pPr>
      <w:r>
        <w:t>2.2. LVS</w:t>
      </w:r>
    </w:p>
    <w:p w14:paraId="29045F4F" w14:textId="77777777" w:rsidR="00EE6B0B" w:rsidRPr="00EE6B0B" w:rsidRDefault="00EE6B0B" w:rsidP="00DF150D">
      <w:pPr>
        <w:pStyle w:val="Heading3"/>
      </w:pPr>
      <w:r>
        <w:t>2.2.1. Darbības apraksts</w:t>
      </w:r>
    </w:p>
    <w:p w14:paraId="27C934AA" w14:textId="77777777" w:rsidR="00C93F6D" w:rsidRDefault="00C94C9C" w:rsidP="004B634C">
      <w:pPr>
        <w:ind w:firstLine="709"/>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Atbilstoši</w:t>
      </w:r>
      <w:r w:rsidR="00914686">
        <w:rPr>
          <w:rFonts w:ascii="Times New Roman" w:eastAsia="Times New Roman" w:hAnsi="Times New Roman"/>
          <w:sz w:val="28"/>
          <w:szCs w:val="28"/>
          <w:lang w:eastAsia="lv-LV"/>
        </w:rPr>
        <w:t xml:space="preserve"> </w:t>
      </w:r>
      <w:r w:rsidR="00914686" w:rsidRPr="00914686">
        <w:rPr>
          <w:rFonts w:ascii="Times New Roman" w:eastAsia="Times New Roman" w:hAnsi="Times New Roman"/>
          <w:i/>
          <w:sz w:val="28"/>
          <w:szCs w:val="28"/>
          <w:lang w:eastAsia="lv-LV"/>
        </w:rPr>
        <w:t>Standartizācijas likuma</w:t>
      </w:r>
      <w:r w:rsidR="00A10CA8">
        <w:rPr>
          <w:rFonts w:ascii="Times New Roman" w:eastAsia="Times New Roman" w:hAnsi="Times New Roman"/>
          <w:sz w:val="28"/>
          <w:szCs w:val="28"/>
          <w:lang w:eastAsia="lv-LV"/>
        </w:rPr>
        <w:t xml:space="preserve"> 7.panta pirmās daļas 1)</w:t>
      </w:r>
      <w:r>
        <w:rPr>
          <w:rFonts w:ascii="Times New Roman" w:eastAsia="Times New Roman" w:hAnsi="Times New Roman"/>
          <w:sz w:val="28"/>
          <w:szCs w:val="28"/>
          <w:lang w:eastAsia="lv-LV"/>
        </w:rPr>
        <w:t xml:space="preserve"> </w:t>
      </w:r>
      <w:r w:rsidR="00A10CA8">
        <w:rPr>
          <w:rFonts w:ascii="Times New Roman" w:eastAsia="Times New Roman" w:hAnsi="Times New Roman"/>
          <w:sz w:val="28"/>
          <w:szCs w:val="28"/>
          <w:lang w:eastAsia="lv-LV"/>
        </w:rPr>
        <w:t>punkt</w:t>
      </w:r>
      <w:r>
        <w:rPr>
          <w:rFonts w:ascii="Times New Roman" w:eastAsia="Times New Roman" w:hAnsi="Times New Roman"/>
          <w:sz w:val="28"/>
          <w:szCs w:val="28"/>
          <w:lang w:eastAsia="lv-LV"/>
        </w:rPr>
        <w:t>am</w:t>
      </w:r>
      <w:r w:rsidR="00914686">
        <w:rPr>
          <w:rFonts w:ascii="Times New Roman" w:eastAsia="Times New Roman" w:hAnsi="Times New Roman"/>
          <w:sz w:val="28"/>
          <w:szCs w:val="28"/>
          <w:lang w:eastAsia="lv-LV"/>
        </w:rPr>
        <w:t xml:space="preserve"> standartizāciju Latvijā veic </w:t>
      </w:r>
      <w:r>
        <w:rPr>
          <w:rFonts w:ascii="Times New Roman" w:eastAsia="Times New Roman" w:hAnsi="Times New Roman"/>
          <w:sz w:val="28"/>
          <w:szCs w:val="28"/>
          <w:lang w:eastAsia="lv-LV"/>
        </w:rPr>
        <w:t>LVS</w:t>
      </w:r>
      <w:r w:rsidR="00777C8A">
        <w:rPr>
          <w:rFonts w:ascii="Times New Roman" w:eastAsia="Times New Roman" w:hAnsi="Times New Roman"/>
          <w:sz w:val="28"/>
          <w:szCs w:val="28"/>
          <w:lang w:eastAsia="lv-LV"/>
        </w:rPr>
        <w:t>, kur</w:t>
      </w:r>
      <w:r w:rsidR="00AA1CD8">
        <w:rPr>
          <w:rFonts w:ascii="Times New Roman" w:eastAsia="Times New Roman" w:hAnsi="Times New Roman"/>
          <w:sz w:val="28"/>
          <w:szCs w:val="28"/>
          <w:lang w:eastAsia="lv-LV"/>
        </w:rPr>
        <w:t>am saskaņā ar šā likuma 9.pantam</w:t>
      </w:r>
      <w:r w:rsidR="00A10CA8">
        <w:rPr>
          <w:rFonts w:ascii="Times New Roman" w:eastAsia="Times New Roman" w:hAnsi="Times New Roman"/>
          <w:sz w:val="28"/>
          <w:szCs w:val="28"/>
          <w:lang w:eastAsia="lv-LV"/>
        </w:rPr>
        <w:t xml:space="preserve"> ir šādas galvenās funkcijas:</w:t>
      </w:r>
    </w:p>
    <w:p w14:paraId="6CF624DD" w14:textId="77777777" w:rsidR="00A10CA8" w:rsidRPr="00A10CA8" w:rsidRDefault="00A10CA8" w:rsidP="00A10CA8">
      <w:pPr>
        <w:pStyle w:val="ListParagraph"/>
        <w:numPr>
          <w:ilvl w:val="0"/>
          <w:numId w:val="3"/>
        </w:numPr>
        <w:jc w:val="both"/>
        <w:rPr>
          <w:rFonts w:ascii="Times New Roman" w:eastAsia="Times New Roman" w:hAnsi="Times New Roman"/>
          <w:sz w:val="28"/>
          <w:szCs w:val="28"/>
          <w:lang w:eastAsia="lv-LV"/>
        </w:rPr>
      </w:pPr>
      <w:r w:rsidRPr="00A10CA8">
        <w:rPr>
          <w:rFonts w:ascii="Times New Roman" w:eastAsia="Times New Roman" w:hAnsi="Times New Roman"/>
          <w:sz w:val="28"/>
          <w:szCs w:val="28"/>
          <w:lang w:eastAsia="lv-LV"/>
        </w:rPr>
        <w:t>organizēt Latvijas nacionālo standartu izstrādāšanu un starptautisko standartu adaptāciju;</w:t>
      </w:r>
    </w:p>
    <w:p w14:paraId="39F11A96" w14:textId="77777777" w:rsidR="00A10CA8" w:rsidRDefault="00A10CA8" w:rsidP="00A10CA8">
      <w:pPr>
        <w:pStyle w:val="ListParagraph"/>
        <w:numPr>
          <w:ilvl w:val="0"/>
          <w:numId w:val="3"/>
        </w:numPr>
        <w:jc w:val="both"/>
        <w:rPr>
          <w:rFonts w:ascii="Times New Roman" w:eastAsia="Times New Roman" w:hAnsi="Times New Roman"/>
          <w:sz w:val="28"/>
          <w:szCs w:val="28"/>
          <w:lang w:eastAsia="lv-LV"/>
        </w:rPr>
      </w:pPr>
      <w:r w:rsidRPr="00A10CA8">
        <w:rPr>
          <w:rFonts w:ascii="Times New Roman" w:eastAsia="Times New Roman" w:hAnsi="Times New Roman"/>
          <w:sz w:val="28"/>
          <w:szCs w:val="28"/>
          <w:lang w:eastAsia="lv-LV"/>
        </w:rPr>
        <w:t>reģistrēt kā Latvijas nacionālos standartus tos standartus, kurus noteiktā kārtībā ir izstrādājušas vai adaptējušas standartizācijas tehniskās komitejas;</w:t>
      </w:r>
    </w:p>
    <w:p w14:paraId="7195C056" w14:textId="77777777" w:rsidR="008D14C1" w:rsidRPr="00AE3DF8" w:rsidRDefault="00AA1CD8" w:rsidP="00A10CA8">
      <w:pPr>
        <w:pStyle w:val="ListParagraph"/>
        <w:numPr>
          <w:ilvl w:val="0"/>
          <w:numId w:val="3"/>
        </w:numPr>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izdot un publicēt Latvijas nacionālos </w:t>
      </w:r>
      <w:r w:rsidR="00AE3DF8">
        <w:rPr>
          <w:rFonts w:ascii="Times New Roman" w:eastAsia="Times New Roman" w:hAnsi="Times New Roman"/>
          <w:sz w:val="28"/>
          <w:szCs w:val="28"/>
          <w:lang w:eastAsia="lv-LV"/>
        </w:rPr>
        <w:t xml:space="preserve">standartus </w:t>
      </w:r>
      <w:r w:rsidR="00AE3DF8" w:rsidRPr="00AE3DF8">
        <w:rPr>
          <w:rFonts w:ascii="Times New Roman" w:eastAsia="Times New Roman" w:hAnsi="Times New Roman"/>
          <w:sz w:val="28"/>
          <w:szCs w:val="28"/>
          <w:lang w:eastAsia="lv-LV"/>
        </w:rPr>
        <w:t>un citus ar tiem saistītos dokumentus</w:t>
      </w:r>
      <w:r w:rsidR="00AE3DF8">
        <w:rPr>
          <w:rFonts w:ascii="Times New Roman" w:eastAsia="Times New Roman" w:hAnsi="Times New Roman"/>
          <w:sz w:val="28"/>
          <w:szCs w:val="28"/>
          <w:lang w:eastAsia="lv-LV"/>
        </w:rPr>
        <w:t>;</w:t>
      </w:r>
    </w:p>
    <w:p w14:paraId="190086E6" w14:textId="77777777" w:rsidR="00A10CA8" w:rsidRPr="00A10CA8" w:rsidRDefault="00A10CA8" w:rsidP="00A10CA8">
      <w:pPr>
        <w:pStyle w:val="ListParagraph"/>
        <w:numPr>
          <w:ilvl w:val="0"/>
          <w:numId w:val="3"/>
        </w:numPr>
        <w:jc w:val="both"/>
        <w:rPr>
          <w:rFonts w:ascii="Times New Roman" w:eastAsia="Times New Roman" w:hAnsi="Times New Roman"/>
          <w:sz w:val="28"/>
          <w:szCs w:val="28"/>
          <w:lang w:eastAsia="lv-LV"/>
        </w:rPr>
      </w:pPr>
      <w:r w:rsidRPr="00A10CA8">
        <w:rPr>
          <w:rFonts w:ascii="Times New Roman" w:eastAsia="Times New Roman" w:hAnsi="Times New Roman"/>
          <w:sz w:val="28"/>
          <w:szCs w:val="28"/>
          <w:lang w:eastAsia="lv-LV"/>
        </w:rPr>
        <w:t>nodrošināt standartu un citu ar tiem saistīto dokumentu fondu veidošanu un informācijas izplatīšanu standartizācijas jomā;</w:t>
      </w:r>
    </w:p>
    <w:p w14:paraId="4443EF82" w14:textId="77777777" w:rsidR="00A10CA8" w:rsidRDefault="00A10CA8" w:rsidP="00A10CA8">
      <w:pPr>
        <w:pStyle w:val="ListParagraph"/>
        <w:numPr>
          <w:ilvl w:val="0"/>
          <w:numId w:val="3"/>
        </w:numPr>
        <w:jc w:val="both"/>
        <w:rPr>
          <w:rFonts w:ascii="Times New Roman" w:eastAsia="Times New Roman" w:hAnsi="Times New Roman"/>
          <w:sz w:val="28"/>
          <w:szCs w:val="28"/>
          <w:lang w:eastAsia="lv-LV"/>
        </w:rPr>
      </w:pPr>
      <w:r w:rsidRPr="00A10CA8">
        <w:rPr>
          <w:rFonts w:ascii="Times New Roman" w:eastAsia="Times New Roman" w:hAnsi="Times New Roman"/>
          <w:sz w:val="28"/>
          <w:szCs w:val="28"/>
          <w:lang w:eastAsia="lv-LV"/>
        </w:rPr>
        <w:t>piedalīties starptautisko un Eiropas standart</w:t>
      </w:r>
      <w:r w:rsidR="00AE3DF8">
        <w:rPr>
          <w:rFonts w:ascii="Times New Roman" w:eastAsia="Times New Roman" w:hAnsi="Times New Roman"/>
          <w:sz w:val="28"/>
          <w:szCs w:val="28"/>
          <w:lang w:eastAsia="lv-LV"/>
        </w:rPr>
        <w:t>izācijas organizāciju darbā;</w:t>
      </w:r>
    </w:p>
    <w:p w14:paraId="7D4832C7" w14:textId="77777777" w:rsidR="00D9099F" w:rsidRPr="00D9099F" w:rsidRDefault="00AE3DF8" w:rsidP="00D9099F">
      <w:pPr>
        <w:pStyle w:val="ListParagraph"/>
        <w:numPr>
          <w:ilvl w:val="0"/>
          <w:numId w:val="3"/>
        </w:numPr>
        <w:jc w:val="both"/>
        <w:rPr>
          <w:rFonts w:ascii="Times New Roman" w:eastAsia="Times New Roman" w:hAnsi="Times New Roman"/>
          <w:sz w:val="28"/>
          <w:szCs w:val="28"/>
          <w:lang w:eastAsia="lv-LV"/>
        </w:rPr>
      </w:pPr>
      <w:r w:rsidRPr="00AE3DF8">
        <w:rPr>
          <w:rFonts w:ascii="Times New Roman" w:eastAsia="Times New Roman" w:hAnsi="Times New Roman"/>
          <w:sz w:val="28"/>
          <w:szCs w:val="28"/>
          <w:lang w:eastAsia="lv-LV"/>
        </w:rPr>
        <w:t xml:space="preserve">nodrošināt regulāru sadarbību ar Eiropas Savienības institūcijām </w:t>
      </w:r>
      <w:r>
        <w:rPr>
          <w:rFonts w:ascii="Times New Roman" w:eastAsia="Times New Roman" w:hAnsi="Times New Roman"/>
          <w:sz w:val="28"/>
          <w:szCs w:val="28"/>
          <w:lang w:eastAsia="lv-LV"/>
        </w:rPr>
        <w:t>starptautisko saistību izpildei.</w:t>
      </w:r>
    </w:p>
    <w:p w14:paraId="55D0F35A" w14:textId="77777777" w:rsidR="00AE3DF8" w:rsidRDefault="006F6CE3" w:rsidP="005622C0">
      <w:pPr>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Vienlaikus LVS savā darbībā ir jāievēro </w:t>
      </w:r>
      <w:r w:rsidRPr="005622C0">
        <w:rPr>
          <w:rFonts w:ascii="Times New Roman" w:eastAsia="Times New Roman" w:hAnsi="Times New Roman"/>
          <w:sz w:val="28"/>
          <w:szCs w:val="28"/>
          <w:lang w:eastAsia="lv-LV"/>
        </w:rPr>
        <w:t>Eiro</w:t>
      </w:r>
      <w:r>
        <w:rPr>
          <w:rFonts w:ascii="Times New Roman" w:eastAsia="Times New Roman" w:hAnsi="Times New Roman"/>
          <w:sz w:val="28"/>
          <w:szCs w:val="28"/>
          <w:lang w:eastAsia="lv-LV"/>
        </w:rPr>
        <w:t xml:space="preserve">pas Parlamenta un Padomes </w:t>
      </w:r>
      <w:r w:rsidR="00194255">
        <w:rPr>
          <w:rFonts w:ascii="Times New Roman" w:eastAsia="Times New Roman" w:hAnsi="Times New Roman"/>
          <w:sz w:val="28"/>
          <w:szCs w:val="28"/>
          <w:lang w:eastAsia="lv-LV"/>
        </w:rPr>
        <w:t xml:space="preserve">2012.gada 25.oktobra </w:t>
      </w:r>
      <w:r>
        <w:rPr>
          <w:rFonts w:ascii="Times New Roman" w:eastAsia="Times New Roman" w:hAnsi="Times New Roman"/>
          <w:sz w:val="28"/>
          <w:szCs w:val="28"/>
          <w:lang w:eastAsia="lv-LV"/>
        </w:rPr>
        <w:t>Regulas</w:t>
      </w:r>
      <w:r w:rsidRPr="005622C0">
        <w:rPr>
          <w:rFonts w:ascii="Times New Roman" w:eastAsia="Times New Roman" w:hAnsi="Times New Roman"/>
          <w:sz w:val="28"/>
          <w:szCs w:val="28"/>
          <w:lang w:eastAsia="lv-LV"/>
        </w:rPr>
        <w:t xml:space="preserve"> (ES) Nr. 1025/2012 </w:t>
      </w:r>
      <w:r w:rsidRPr="005622C0">
        <w:rPr>
          <w:rFonts w:ascii="Times New Roman" w:eastAsia="Times New Roman" w:hAnsi="Times New Roman"/>
          <w:i/>
          <w:sz w:val="28"/>
          <w:szCs w:val="28"/>
          <w:lang w:eastAsia="lv-LV"/>
        </w:rPr>
        <w:t>par Eiropas standartizāciju, ar ko groza Padomes Direktīvas 89/686/EEK un 93/15/EEK un Eiropas Parlamenta un Padomes Direktīvas 94/9/EK, 94/25/EK, 95/16/EK, 97/23/EK, 98/34/EK, 2004/22/EK, 2007/23/EK, 2009/23/EK un 2009/105/EK, un ar ko atceļ Padomes Lēmumu 87/95/EEK un Eiropas Parlamenta un Padomes Lēmumu Nr. 1673/2006/EK</w:t>
      </w:r>
      <w:r>
        <w:rPr>
          <w:rFonts w:ascii="Times New Roman" w:eastAsia="Times New Roman" w:hAnsi="Times New Roman"/>
          <w:i/>
          <w:sz w:val="28"/>
          <w:szCs w:val="28"/>
          <w:lang w:eastAsia="lv-LV"/>
        </w:rPr>
        <w:t xml:space="preserve"> </w:t>
      </w:r>
      <w:r>
        <w:rPr>
          <w:rFonts w:ascii="Times New Roman" w:eastAsia="Times New Roman" w:hAnsi="Times New Roman"/>
          <w:sz w:val="28"/>
          <w:szCs w:val="28"/>
          <w:lang w:eastAsia="lv-LV"/>
        </w:rPr>
        <w:t>prasības</w:t>
      </w:r>
      <w:r w:rsidR="00194255">
        <w:rPr>
          <w:rFonts w:ascii="Times New Roman" w:eastAsia="Times New Roman" w:hAnsi="Times New Roman"/>
          <w:sz w:val="28"/>
          <w:szCs w:val="28"/>
          <w:lang w:eastAsia="lv-LV"/>
        </w:rPr>
        <w:t>, kas nosaka Eiropas Savienības standartizācijas sistēmas funkcionēšanas pamatu.</w:t>
      </w:r>
    </w:p>
    <w:p w14:paraId="4C14B5A9" w14:textId="77777777" w:rsidR="00CC1209" w:rsidRDefault="001A4D12" w:rsidP="00CC1209">
      <w:pPr>
        <w:spacing w:after="0"/>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Standartu būtības, lomas un vietas tiesību sistēmā izvērtējums tika veikts konceptuālajā ziņojumā “Par Latvijas nacionālās standartizācijas sistēmas pilnveidošanu”, kurš 2016.gada 20.septembrī tika izskatīts Ministru kabinetā (prot.</w:t>
      </w:r>
      <w:r w:rsidR="00CC1209">
        <w:rPr>
          <w:rFonts w:ascii="Times New Roman" w:eastAsia="Times New Roman" w:hAnsi="Times New Roman"/>
          <w:sz w:val="28"/>
          <w:szCs w:val="28"/>
          <w:lang w:eastAsia="lv-LV"/>
        </w:rPr>
        <w:t>Nr.46 35.</w:t>
      </w:r>
      <w:r w:rsidR="00CC1209">
        <w:rPr>
          <w:rFonts w:ascii="Times New Roman" w:eastAsia="Times New Roman" w:hAnsi="Times New Roman" w:cs="Times New Roman"/>
          <w:sz w:val="28"/>
          <w:szCs w:val="28"/>
          <w:lang w:eastAsia="lv-LV"/>
        </w:rPr>
        <w:t>§</w:t>
      </w:r>
      <w:r w:rsidR="00CC1209">
        <w:rPr>
          <w:rFonts w:ascii="Times New Roman" w:eastAsia="Times New Roman" w:hAnsi="Times New Roman"/>
          <w:sz w:val="28"/>
          <w:szCs w:val="28"/>
          <w:lang w:eastAsia="lv-LV"/>
        </w:rPr>
        <w:t>). Izvērtējuma rezultātā tika secināts, ka ir pilnveidojams tiesiskais regulējums, ievērojot šādus nosacījumus:</w:t>
      </w:r>
    </w:p>
    <w:p w14:paraId="5189F8CC" w14:textId="77777777" w:rsidR="00CC1209" w:rsidRDefault="00CC1209" w:rsidP="00F91E86">
      <w:pPr>
        <w:pStyle w:val="ListParagraph"/>
        <w:numPr>
          <w:ilvl w:val="0"/>
          <w:numId w:val="26"/>
        </w:numPr>
        <w:spacing w:after="0"/>
        <w:jc w:val="both"/>
        <w:rPr>
          <w:rFonts w:ascii="Times New Roman" w:eastAsia="Times New Roman" w:hAnsi="Times New Roman"/>
          <w:sz w:val="28"/>
          <w:szCs w:val="28"/>
          <w:lang w:eastAsia="lv-LV"/>
        </w:rPr>
      </w:pPr>
      <w:r w:rsidRPr="00F91E86">
        <w:rPr>
          <w:rFonts w:ascii="Times New Roman" w:eastAsia="Times New Roman" w:hAnsi="Times New Roman"/>
          <w:sz w:val="28"/>
          <w:szCs w:val="28"/>
          <w:lang w:eastAsia="lv-LV"/>
        </w:rPr>
        <w:t>Standartizācija ir biznesa pašregulācijas instruments, kura nepieciešamību galvenokārt nosaka tirgus vai sabiedrības vajadzības. Standartizācija nav atkarīga no likumdevēja, lai gan atsevišķos gadījumos likumdevējs var uzstāties standarta izstrādes iniciatora lomā. Standartizācijas procesu nodrošina eksperti, kuri šim darbam brīvprātīgi piesakās. Uz vispārējā pamata vai pēc savas iniciatīvas ekspertu darbā var piedalīties valsts institūciju pārstāvji.</w:t>
      </w:r>
    </w:p>
    <w:p w14:paraId="351A933C" w14:textId="77777777" w:rsidR="00CC1209" w:rsidRDefault="00CC1209" w:rsidP="00F91E86">
      <w:pPr>
        <w:pStyle w:val="ListParagraph"/>
        <w:numPr>
          <w:ilvl w:val="0"/>
          <w:numId w:val="26"/>
        </w:numPr>
        <w:spacing w:after="0"/>
        <w:jc w:val="both"/>
        <w:rPr>
          <w:rFonts w:ascii="Times New Roman" w:eastAsia="Times New Roman" w:hAnsi="Times New Roman"/>
          <w:sz w:val="28"/>
          <w:szCs w:val="28"/>
          <w:lang w:eastAsia="lv-LV"/>
        </w:rPr>
      </w:pPr>
      <w:r w:rsidRPr="00F91E86">
        <w:rPr>
          <w:rFonts w:ascii="Times New Roman" w:eastAsia="Times New Roman" w:hAnsi="Times New Roman"/>
          <w:sz w:val="28"/>
          <w:szCs w:val="28"/>
          <w:lang w:eastAsia="lv-LV"/>
        </w:rPr>
        <w:t>Standarts ir standartizācijas institūciju apstiprināts dokuments, kurš izstrādāts privāto tiesību jomā, atbilstība kuram nav obligāta.</w:t>
      </w:r>
    </w:p>
    <w:p w14:paraId="578F3891" w14:textId="77777777" w:rsidR="00CC1209" w:rsidRDefault="00CC1209" w:rsidP="00F91E86">
      <w:pPr>
        <w:pStyle w:val="ListParagraph"/>
        <w:numPr>
          <w:ilvl w:val="0"/>
          <w:numId w:val="26"/>
        </w:numPr>
        <w:spacing w:after="0"/>
        <w:jc w:val="both"/>
        <w:rPr>
          <w:rFonts w:ascii="Times New Roman" w:eastAsia="Times New Roman" w:hAnsi="Times New Roman"/>
          <w:sz w:val="28"/>
          <w:szCs w:val="28"/>
          <w:lang w:eastAsia="lv-LV"/>
        </w:rPr>
      </w:pPr>
      <w:r w:rsidRPr="00F91E86">
        <w:rPr>
          <w:rFonts w:ascii="Times New Roman" w:eastAsia="Times New Roman" w:hAnsi="Times New Roman"/>
          <w:sz w:val="28"/>
          <w:szCs w:val="28"/>
          <w:lang w:eastAsia="lv-LV"/>
        </w:rPr>
        <w:t>Standarti ir autortiesību objekti un to autortiesības pieder attiecīgajai standartizācijas institūcijai.</w:t>
      </w:r>
    </w:p>
    <w:p w14:paraId="2C79EF5D" w14:textId="77777777" w:rsidR="00CC1209" w:rsidRPr="00F91E86" w:rsidRDefault="00CC1209" w:rsidP="00F91E86">
      <w:pPr>
        <w:pStyle w:val="ListParagraph"/>
        <w:numPr>
          <w:ilvl w:val="0"/>
          <w:numId w:val="26"/>
        </w:numPr>
        <w:spacing w:after="0"/>
        <w:jc w:val="both"/>
        <w:rPr>
          <w:rFonts w:ascii="Times New Roman" w:eastAsia="Times New Roman" w:hAnsi="Times New Roman"/>
          <w:sz w:val="28"/>
          <w:szCs w:val="28"/>
          <w:lang w:eastAsia="lv-LV"/>
        </w:rPr>
      </w:pPr>
      <w:r w:rsidRPr="00F91E86">
        <w:rPr>
          <w:rFonts w:ascii="Times New Roman" w:eastAsia="Times New Roman" w:hAnsi="Times New Roman"/>
          <w:sz w:val="28"/>
          <w:szCs w:val="28"/>
          <w:lang w:eastAsia="lv-LV"/>
        </w:rPr>
        <w:t>Arī tiešo atsauču uz standartiem izmantošanas gadījumā attiecīgie standarti faktiski tiek ietverti publisko tiesību regulējumā un padarīti par vispārīgi pielietojamiem, taču tas nepārvērš standartus normatīvajos aktos, jo tos ir izdevusi struktūra, kurai nav likumdevēja pilnvaru.</w:t>
      </w:r>
    </w:p>
    <w:p w14:paraId="5CE090B6" w14:textId="77777777" w:rsidR="001A4D12" w:rsidRDefault="001A4D12" w:rsidP="002140B0">
      <w:pPr>
        <w:spacing w:after="0"/>
        <w:ind w:firstLine="720"/>
        <w:jc w:val="both"/>
        <w:rPr>
          <w:rFonts w:ascii="Times New Roman" w:eastAsia="Times New Roman" w:hAnsi="Times New Roman"/>
          <w:sz w:val="28"/>
          <w:szCs w:val="28"/>
          <w:lang w:eastAsia="lv-LV"/>
        </w:rPr>
      </w:pPr>
    </w:p>
    <w:p w14:paraId="2E1C6C5C" w14:textId="77777777" w:rsidR="002140B0" w:rsidRDefault="00194255" w:rsidP="002140B0">
      <w:pPr>
        <w:spacing w:after="0"/>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LVS atbilstoši </w:t>
      </w:r>
      <w:r w:rsidR="00166009">
        <w:rPr>
          <w:rFonts w:ascii="Times New Roman" w:eastAsia="Times New Roman" w:hAnsi="Times New Roman"/>
          <w:sz w:val="28"/>
          <w:szCs w:val="28"/>
          <w:lang w:eastAsia="lv-LV"/>
        </w:rPr>
        <w:t>šīs Regulas 27.pantam ir paziņot</w:t>
      </w:r>
      <w:r w:rsidR="002140B0">
        <w:rPr>
          <w:rFonts w:ascii="Times New Roman" w:eastAsia="Times New Roman" w:hAnsi="Times New Roman"/>
          <w:sz w:val="28"/>
          <w:szCs w:val="28"/>
          <w:lang w:eastAsia="lv-LV"/>
        </w:rPr>
        <w:t>s Eiropas Komisijai kā Latvijas nacionāl</w:t>
      </w:r>
      <w:r w:rsidR="00166009">
        <w:rPr>
          <w:rFonts w:ascii="Times New Roman" w:eastAsia="Times New Roman" w:hAnsi="Times New Roman"/>
          <w:sz w:val="28"/>
          <w:szCs w:val="28"/>
          <w:lang w:eastAsia="lv-LV"/>
        </w:rPr>
        <w:t>ā standartizācijas institūcija. Tas</w:t>
      </w:r>
      <w:r w:rsidR="002140B0">
        <w:rPr>
          <w:rFonts w:ascii="Times New Roman" w:eastAsia="Times New Roman" w:hAnsi="Times New Roman"/>
          <w:sz w:val="28"/>
          <w:szCs w:val="28"/>
          <w:lang w:eastAsia="lv-LV"/>
        </w:rPr>
        <w:t xml:space="preserve"> nozīmē, ka valsts interešu pārstāvība Eiropas Savienības standartizācijas institūcijās tiek nodrošināta caur LVS. </w:t>
      </w:r>
    </w:p>
    <w:p w14:paraId="1375E1E3" w14:textId="77777777" w:rsidR="000C4E07" w:rsidRPr="005622C0" w:rsidRDefault="000C4E07" w:rsidP="000C4E07">
      <w:pPr>
        <w:spacing w:after="0"/>
        <w:ind w:firstLine="709"/>
        <w:jc w:val="both"/>
        <w:rPr>
          <w:rFonts w:ascii="Times New Roman" w:eastAsia="Times New Roman" w:hAnsi="Times New Roman"/>
          <w:sz w:val="28"/>
          <w:szCs w:val="28"/>
          <w:lang w:eastAsia="lv-LV"/>
        </w:rPr>
      </w:pPr>
      <w:r w:rsidRPr="00C41E1B">
        <w:rPr>
          <w:rFonts w:ascii="Times New Roman" w:eastAsia="Times New Roman" w:hAnsi="Times New Roman"/>
          <w:sz w:val="28"/>
          <w:szCs w:val="28"/>
          <w:lang w:eastAsia="lv-LV"/>
        </w:rPr>
        <w:t xml:space="preserve">Starptautiskās sadarbības ietvaros </w:t>
      </w:r>
      <w:r>
        <w:rPr>
          <w:rFonts w:ascii="Times New Roman" w:eastAsia="Times New Roman" w:hAnsi="Times New Roman"/>
          <w:sz w:val="28"/>
          <w:szCs w:val="28"/>
          <w:lang w:eastAsia="lv-LV"/>
        </w:rPr>
        <w:t xml:space="preserve">LVS ir dalībnieks šādās </w:t>
      </w:r>
      <w:r w:rsidRPr="005622C0">
        <w:rPr>
          <w:rFonts w:ascii="Times New Roman" w:eastAsia="Times New Roman" w:hAnsi="Times New Roman"/>
          <w:sz w:val="28"/>
          <w:szCs w:val="28"/>
          <w:lang w:eastAsia="lv-LV"/>
        </w:rPr>
        <w:t>Eiropas un starptautiskajās standartizācijas organizācijās:</w:t>
      </w:r>
    </w:p>
    <w:p w14:paraId="2C677A7D" w14:textId="77777777" w:rsidR="000C4E07" w:rsidRPr="005622C0" w:rsidRDefault="000C4E07" w:rsidP="000C4E07">
      <w:pPr>
        <w:pStyle w:val="ListParagraph"/>
        <w:numPr>
          <w:ilvl w:val="0"/>
          <w:numId w:val="4"/>
        </w:numPr>
        <w:jc w:val="both"/>
        <w:rPr>
          <w:rFonts w:ascii="Times New Roman" w:eastAsia="Times New Roman" w:hAnsi="Times New Roman"/>
          <w:sz w:val="28"/>
          <w:szCs w:val="28"/>
          <w:lang w:eastAsia="lv-LV"/>
        </w:rPr>
      </w:pPr>
      <w:r w:rsidRPr="005622C0">
        <w:rPr>
          <w:rFonts w:ascii="Times New Roman" w:eastAsia="Times New Roman" w:hAnsi="Times New Roman"/>
          <w:sz w:val="28"/>
          <w:szCs w:val="28"/>
          <w:lang w:eastAsia="lv-LV"/>
        </w:rPr>
        <w:t>pilns biedrs Eiropas standartizācijas organizācijā (CEN);</w:t>
      </w:r>
    </w:p>
    <w:p w14:paraId="18D2C9A8" w14:textId="77777777" w:rsidR="000C4E07" w:rsidRPr="005622C0" w:rsidRDefault="000C4E07" w:rsidP="000C4E07">
      <w:pPr>
        <w:pStyle w:val="ListParagraph"/>
        <w:numPr>
          <w:ilvl w:val="0"/>
          <w:numId w:val="4"/>
        </w:numPr>
        <w:jc w:val="both"/>
        <w:rPr>
          <w:rFonts w:ascii="Times New Roman" w:eastAsia="Times New Roman" w:hAnsi="Times New Roman"/>
          <w:sz w:val="28"/>
          <w:szCs w:val="28"/>
          <w:lang w:eastAsia="lv-LV"/>
        </w:rPr>
      </w:pPr>
      <w:r w:rsidRPr="005622C0">
        <w:rPr>
          <w:rFonts w:ascii="Times New Roman" w:eastAsia="Times New Roman" w:hAnsi="Times New Roman"/>
          <w:sz w:val="28"/>
          <w:szCs w:val="28"/>
          <w:lang w:eastAsia="lv-LV"/>
        </w:rPr>
        <w:t>pilns biedrs Eiropas Elektrotehnikas komitejā (CENELEC);</w:t>
      </w:r>
    </w:p>
    <w:p w14:paraId="698EE701" w14:textId="77777777" w:rsidR="000C4E07" w:rsidRDefault="000C4E07" w:rsidP="000C4E07">
      <w:pPr>
        <w:pStyle w:val="ListParagraph"/>
        <w:numPr>
          <w:ilvl w:val="0"/>
          <w:numId w:val="4"/>
        </w:numPr>
        <w:jc w:val="both"/>
        <w:rPr>
          <w:rFonts w:ascii="Times New Roman" w:eastAsia="Times New Roman" w:hAnsi="Times New Roman"/>
          <w:sz w:val="28"/>
          <w:szCs w:val="28"/>
          <w:lang w:eastAsia="lv-LV"/>
        </w:rPr>
      </w:pPr>
      <w:r w:rsidRPr="005622C0">
        <w:rPr>
          <w:rFonts w:ascii="Times New Roman" w:eastAsia="Times New Roman" w:hAnsi="Times New Roman"/>
          <w:sz w:val="28"/>
          <w:szCs w:val="28"/>
          <w:lang w:eastAsia="lv-LV"/>
        </w:rPr>
        <w:t>pilns biedrs Starptautiskā standartizācijas organizācijā ​ (ISO);</w:t>
      </w:r>
    </w:p>
    <w:p w14:paraId="2A40FB50" w14:textId="77777777" w:rsidR="000C4E07" w:rsidRPr="000C4E07" w:rsidRDefault="000C4E07" w:rsidP="000C4E07">
      <w:pPr>
        <w:pStyle w:val="ListParagraph"/>
        <w:numPr>
          <w:ilvl w:val="0"/>
          <w:numId w:val="4"/>
        </w:numPr>
        <w:jc w:val="both"/>
        <w:rPr>
          <w:rFonts w:ascii="Times New Roman" w:eastAsia="Times New Roman" w:hAnsi="Times New Roman"/>
          <w:sz w:val="28"/>
          <w:szCs w:val="28"/>
          <w:lang w:eastAsia="lv-LV"/>
        </w:rPr>
      </w:pPr>
      <w:r w:rsidRPr="000C4E07">
        <w:rPr>
          <w:rFonts w:ascii="Times New Roman" w:eastAsia="Times New Roman" w:hAnsi="Times New Roman"/>
          <w:sz w:val="28"/>
          <w:szCs w:val="28"/>
          <w:lang w:eastAsia="lv-LV"/>
        </w:rPr>
        <w:t>asociētais biedrs Starptautiskajā Elektrotehnikas komisijā​ (IEC).</w:t>
      </w:r>
    </w:p>
    <w:p w14:paraId="0D618B33" w14:textId="4308242F" w:rsidR="0078300A" w:rsidRDefault="008325C3" w:rsidP="00F91E86">
      <w:pPr>
        <w:spacing w:after="120"/>
        <w:ind w:firstLine="720"/>
        <w:jc w:val="both"/>
        <w:rPr>
          <w:rFonts w:ascii="Times New Roman" w:eastAsia="Times New Roman" w:hAnsi="Times New Roman"/>
          <w:sz w:val="28"/>
          <w:szCs w:val="28"/>
          <w:lang w:eastAsia="lv-LV"/>
        </w:rPr>
      </w:pPr>
      <w:r w:rsidRPr="008325C3">
        <w:rPr>
          <w:rFonts w:ascii="Times New Roman" w:eastAsia="Times New Roman" w:hAnsi="Times New Roman"/>
          <w:sz w:val="28"/>
          <w:szCs w:val="28"/>
          <w:lang w:eastAsia="lv-LV"/>
        </w:rPr>
        <w:t xml:space="preserve">Līdz 2016.gada 1.janvārim </w:t>
      </w:r>
      <w:r>
        <w:rPr>
          <w:rFonts w:ascii="Times New Roman" w:eastAsia="Times New Roman" w:hAnsi="Times New Roman"/>
          <w:sz w:val="28"/>
          <w:szCs w:val="28"/>
          <w:lang w:eastAsia="lv-LV"/>
        </w:rPr>
        <w:t>LVS</w:t>
      </w:r>
      <w:r w:rsidRPr="008325C3">
        <w:rPr>
          <w:rFonts w:ascii="Times New Roman" w:eastAsia="Times New Roman" w:hAnsi="Times New Roman"/>
          <w:sz w:val="28"/>
          <w:szCs w:val="28"/>
          <w:lang w:eastAsia="lv-LV"/>
        </w:rPr>
        <w:t xml:space="preserve"> reģistrēti 37853 standartizācijas dokumenti, no kuriem 587 ir nacionālie standarti. </w:t>
      </w:r>
      <w:r w:rsidR="00166009">
        <w:rPr>
          <w:rFonts w:ascii="Times New Roman" w:eastAsia="Times New Roman" w:hAnsi="Times New Roman"/>
          <w:sz w:val="28"/>
          <w:szCs w:val="28"/>
          <w:lang w:eastAsia="lv-LV"/>
        </w:rPr>
        <w:t>LVS</w:t>
      </w:r>
      <w:r w:rsidRPr="008325C3">
        <w:rPr>
          <w:rFonts w:ascii="Times New Roman" w:eastAsia="Times New Roman" w:hAnsi="Times New Roman"/>
          <w:sz w:val="28"/>
          <w:szCs w:val="28"/>
          <w:lang w:eastAsia="lv-LV"/>
        </w:rPr>
        <w:t xml:space="preserve"> ir izveidotas 56 Standartizācijas tehniskās komitejas, kuras 2015.gadā adaptējušas 1363 Eiropas standartus, kā arī apstiprinājušas 23 standartu tulkojumus valsts valodā.</w:t>
      </w:r>
      <w:r w:rsidR="005B5B94" w:rsidRPr="00603047">
        <w:rPr>
          <w:rFonts w:ascii="Times New Roman" w:eastAsia="Times New Roman" w:hAnsi="Times New Roman"/>
          <w:sz w:val="28"/>
          <w:szCs w:val="28"/>
          <w:lang w:eastAsia="lv-LV"/>
        </w:rPr>
        <w:tab/>
      </w:r>
      <w:r w:rsidR="0078300A">
        <w:rPr>
          <w:rFonts w:ascii="Times New Roman" w:eastAsia="Times New Roman" w:hAnsi="Times New Roman"/>
          <w:sz w:val="28"/>
          <w:szCs w:val="28"/>
          <w:lang w:eastAsia="lv-LV"/>
        </w:rPr>
        <w:t xml:space="preserve"> </w:t>
      </w:r>
    </w:p>
    <w:p w14:paraId="2F8B207D" w14:textId="77777777" w:rsidR="002140B0" w:rsidRDefault="002140B0" w:rsidP="002140B0">
      <w:pPr>
        <w:pStyle w:val="Heading3"/>
      </w:pPr>
      <w:r>
        <w:t>2.2.2. Finansēšanas modelis</w:t>
      </w:r>
    </w:p>
    <w:p w14:paraId="076A152F" w14:textId="77777777" w:rsidR="00465487" w:rsidRDefault="005622C0" w:rsidP="005622C0">
      <w:pPr>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Atbilstoši </w:t>
      </w:r>
      <w:r w:rsidRPr="005622C0">
        <w:rPr>
          <w:rFonts w:ascii="Times New Roman" w:eastAsia="Times New Roman" w:hAnsi="Times New Roman"/>
          <w:i/>
          <w:sz w:val="28"/>
          <w:szCs w:val="28"/>
          <w:lang w:eastAsia="lv-LV"/>
        </w:rPr>
        <w:t>Standartizācijas likuma</w:t>
      </w:r>
      <w:r>
        <w:rPr>
          <w:rFonts w:ascii="Times New Roman" w:eastAsia="Times New Roman" w:hAnsi="Times New Roman"/>
          <w:sz w:val="28"/>
          <w:szCs w:val="28"/>
          <w:lang w:eastAsia="lv-LV"/>
        </w:rPr>
        <w:t xml:space="preserve"> </w:t>
      </w:r>
      <w:r w:rsidR="00465487">
        <w:rPr>
          <w:rFonts w:ascii="Times New Roman" w:eastAsia="Times New Roman" w:hAnsi="Times New Roman"/>
          <w:sz w:val="28"/>
          <w:szCs w:val="28"/>
          <w:lang w:eastAsia="lv-LV"/>
        </w:rPr>
        <w:t>V nodaļai standartizācijas finansējumu veido:</w:t>
      </w:r>
    </w:p>
    <w:p w14:paraId="0BBB6147" w14:textId="77777777" w:rsidR="004B5447" w:rsidRDefault="00465487" w:rsidP="00FC17DA">
      <w:pPr>
        <w:pStyle w:val="ListParagraph"/>
        <w:numPr>
          <w:ilvl w:val="0"/>
          <w:numId w:val="14"/>
        </w:numPr>
        <w:jc w:val="both"/>
        <w:rPr>
          <w:rFonts w:ascii="Times New Roman" w:eastAsia="Times New Roman" w:hAnsi="Times New Roman"/>
          <w:sz w:val="28"/>
          <w:szCs w:val="28"/>
          <w:lang w:eastAsia="lv-LV"/>
        </w:rPr>
      </w:pPr>
      <w:r w:rsidRPr="0023399E">
        <w:rPr>
          <w:rFonts w:ascii="Times New Roman" w:eastAsia="Times New Roman" w:hAnsi="Times New Roman"/>
          <w:sz w:val="28"/>
          <w:szCs w:val="28"/>
          <w:lang w:eastAsia="lv-LV"/>
        </w:rPr>
        <w:t>V</w:t>
      </w:r>
      <w:r w:rsidR="004B5447">
        <w:rPr>
          <w:rFonts w:ascii="Times New Roman" w:eastAsia="Times New Roman" w:hAnsi="Times New Roman"/>
          <w:sz w:val="28"/>
          <w:szCs w:val="28"/>
          <w:lang w:eastAsia="lv-LV"/>
        </w:rPr>
        <w:t>alsts sniegtais līdzfinansējums, lai veiktu noteiktas darbības, kas saistītas ar valsts politikas atbilstošas standartizācijas sistēmas uzturēšanu;</w:t>
      </w:r>
    </w:p>
    <w:p w14:paraId="2E8F92EC" w14:textId="77777777" w:rsidR="004B5447" w:rsidRDefault="004B5447" w:rsidP="00FC17DA">
      <w:pPr>
        <w:pStyle w:val="ListParagraph"/>
        <w:numPr>
          <w:ilvl w:val="0"/>
          <w:numId w:val="14"/>
        </w:numPr>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Pašu ienākumiem, tajā skaitā ienākumi no standartu pārdošanas. </w:t>
      </w:r>
    </w:p>
    <w:p w14:paraId="55042F11" w14:textId="77777777" w:rsidR="002D784D" w:rsidRPr="002D784D" w:rsidRDefault="002D784D" w:rsidP="002D784D">
      <w:pPr>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ab/>
        <w:t>LVS pašu ieņēmumi laika periodā no 2012.-2015.gadam</w:t>
      </w:r>
      <w:r w:rsidR="00166009">
        <w:rPr>
          <w:rFonts w:ascii="Times New Roman" w:eastAsia="Times New Roman" w:hAnsi="Times New Roman"/>
          <w:sz w:val="28"/>
          <w:szCs w:val="28"/>
          <w:lang w:eastAsia="lv-LV"/>
        </w:rPr>
        <w:t xml:space="preserve">, kas atspoguļoti 4.attēlā, </w:t>
      </w:r>
      <w:r>
        <w:rPr>
          <w:rFonts w:ascii="Times New Roman" w:eastAsia="Times New Roman" w:hAnsi="Times New Roman"/>
          <w:sz w:val="28"/>
          <w:szCs w:val="28"/>
          <w:lang w:eastAsia="lv-LV"/>
        </w:rPr>
        <w:t>liecina, ka p</w:t>
      </w:r>
      <w:r w:rsidR="00166009">
        <w:rPr>
          <w:rFonts w:ascii="Times New Roman" w:eastAsia="Times New Roman" w:hAnsi="Times New Roman"/>
          <w:sz w:val="28"/>
          <w:szCs w:val="28"/>
          <w:lang w:eastAsia="lv-LV"/>
        </w:rPr>
        <w:t>ašu ieņēmumi pakāpeniski pieaug.</w:t>
      </w:r>
      <w:r>
        <w:rPr>
          <w:rFonts w:ascii="Times New Roman" w:eastAsia="Times New Roman" w:hAnsi="Times New Roman"/>
          <w:sz w:val="28"/>
          <w:szCs w:val="28"/>
          <w:lang w:eastAsia="lv-LV"/>
        </w:rPr>
        <w:t xml:space="preserve"> </w:t>
      </w:r>
      <w:r w:rsidR="00166009">
        <w:rPr>
          <w:rFonts w:ascii="Times New Roman" w:eastAsia="Times New Roman" w:hAnsi="Times New Roman"/>
          <w:sz w:val="28"/>
          <w:szCs w:val="28"/>
          <w:lang w:eastAsia="lv-LV"/>
        </w:rPr>
        <w:t xml:space="preserve">Tas norāda uz </w:t>
      </w:r>
      <w:r>
        <w:rPr>
          <w:rFonts w:ascii="Times New Roman" w:eastAsia="Times New Roman" w:hAnsi="Times New Roman"/>
          <w:sz w:val="28"/>
          <w:szCs w:val="28"/>
          <w:lang w:eastAsia="lv-LV"/>
        </w:rPr>
        <w:t>sabiedrības izpratnes pieaugumu par standartu ieguvumiem un vēlmi aizvien vairāk pielietot standartus praksē.</w:t>
      </w:r>
    </w:p>
    <w:p w14:paraId="1C8E7605" w14:textId="77777777" w:rsidR="00A04154" w:rsidRPr="002D784D" w:rsidRDefault="002D784D" w:rsidP="002D784D">
      <w:pPr>
        <w:pStyle w:val="ListParagraph"/>
        <w:jc w:val="right"/>
        <w:rPr>
          <w:rFonts w:ascii="Times New Roman" w:eastAsia="Times New Roman" w:hAnsi="Times New Roman"/>
          <w:sz w:val="28"/>
          <w:szCs w:val="28"/>
          <w:lang w:eastAsia="lv-LV"/>
        </w:rPr>
      </w:pPr>
      <w:r w:rsidRPr="002D784D">
        <w:rPr>
          <w:rFonts w:ascii="Times New Roman" w:eastAsia="Times New Roman" w:hAnsi="Times New Roman"/>
          <w:sz w:val="28"/>
          <w:szCs w:val="28"/>
          <w:lang w:eastAsia="lv-LV"/>
        </w:rPr>
        <w:t>4.att.</w:t>
      </w:r>
    </w:p>
    <w:p w14:paraId="2052654D" w14:textId="77777777" w:rsidR="00C721B4" w:rsidRDefault="00C721B4" w:rsidP="002D784D">
      <w:pPr>
        <w:pStyle w:val="ListParagraph"/>
        <w:ind w:left="0"/>
        <w:jc w:val="center"/>
        <w:rPr>
          <w:rFonts w:ascii="Times New Roman" w:eastAsia="Times New Roman" w:hAnsi="Times New Roman"/>
          <w:b/>
          <w:sz w:val="28"/>
          <w:szCs w:val="28"/>
          <w:lang w:eastAsia="lv-LV"/>
        </w:rPr>
      </w:pPr>
      <w:r>
        <w:rPr>
          <w:noProof/>
          <w:lang w:val="en-GB" w:eastAsia="en-GB"/>
        </w:rPr>
        <w:drawing>
          <wp:inline distT="0" distB="0" distL="0" distR="0" wp14:anchorId="5A82D66F" wp14:editId="686949E5">
            <wp:extent cx="4921250" cy="1962150"/>
            <wp:effectExtent l="0" t="0" r="63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404F964" w14:textId="77777777" w:rsidR="008941ED" w:rsidRPr="008941ED" w:rsidRDefault="002D784D" w:rsidP="008941ED">
      <w:pPr>
        <w:pStyle w:val="ListParagraph"/>
        <w:ind w:left="0"/>
        <w:jc w:val="center"/>
        <w:rPr>
          <w:rFonts w:ascii="Times New Roman" w:eastAsia="Times New Roman" w:hAnsi="Times New Roman"/>
          <w:i/>
          <w:sz w:val="28"/>
          <w:szCs w:val="28"/>
          <w:lang w:eastAsia="lv-LV"/>
        </w:rPr>
      </w:pPr>
      <w:r w:rsidRPr="002D784D">
        <w:rPr>
          <w:rFonts w:ascii="Times New Roman" w:eastAsia="Times New Roman" w:hAnsi="Times New Roman"/>
          <w:i/>
          <w:sz w:val="28"/>
          <w:szCs w:val="28"/>
          <w:lang w:eastAsia="lv-LV"/>
        </w:rPr>
        <w:t>LVS pašu ieņēmumi</w:t>
      </w:r>
    </w:p>
    <w:p w14:paraId="1DE03092" w14:textId="77777777" w:rsidR="004B5447" w:rsidRDefault="008941ED" w:rsidP="004B5447">
      <w:pPr>
        <w:pStyle w:val="Heading3"/>
      </w:pPr>
      <w:r>
        <w:t>2.2.3</w:t>
      </w:r>
      <w:r w:rsidR="004B5447">
        <w:t xml:space="preserve">. Citu </w:t>
      </w:r>
      <w:r w:rsidR="00581B48">
        <w:t xml:space="preserve">ES </w:t>
      </w:r>
      <w:r w:rsidR="004B5447">
        <w:t>valstu pieredze</w:t>
      </w:r>
    </w:p>
    <w:p w14:paraId="3CB41034" w14:textId="77777777" w:rsidR="00462FED" w:rsidRDefault="00581B48" w:rsidP="00640160">
      <w:pPr>
        <w:spacing w:after="0"/>
        <w:jc w:val="both"/>
        <w:rPr>
          <w:rFonts w:ascii="Times New Roman" w:eastAsia="Times New Roman" w:hAnsi="Times New Roman"/>
          <w:sz w:val="28"/>
          <w:szCs w:val="28"/>
          <w:lang w:eastAsia="lv-LV"/>
        </w:rPr>
      </w:pPr>
      <w:r>
        <w:tab/>
      </w:r>
      <w:r w:rsidR="005200AF">
        <w:rPr>
          <w:rFonts w:ascii="Times New Roman" w:eastAsia="Times New Roman" w:hAnsi="Times New Roman"/>
          <w:sz w:val="28"/>
          <w:szCs w:val="28"/>
          <w:lang w:eastAsia="lv-LV"/>
        </w:rPr>
        <w:t>Starptautiskā standartizācija sistēma ir</w:t>
      </w:r>
      <w:r w:rsidR="00166009">
        <w:rPr>
          <w:rFonts w:ascii="Times New Roman" w:eastAsia="Times New Roman" w:hAnsi="Times New Roman"/>
          <w:sz w:val="28"/>
          <w:szCs w:val="28"/>
          <w:lang w:eastAsia="lv-LV"/>
        </w:rPr>
        <w:t xml:space="preserve"> veidota izteiktā piramidālā struktūrā</w:t>
      </w:r>
      <w:r w:rsidR="005B5B94">
        <w:rPr>
          <w:rFonts w:ascii="Times New Roman" w:eastAsia="Times New Roman" w:hAnsi="Times New Roman"/>
          <w:sz w:val="28"/>
          <w:szCs w:val="28"/>
          <w:lang w:eastAsia="lv-LV"/>
        </w:rPr>
        <w:t xml:space="preserve"> (skat. 5.attēlā)</w:t>
      </w:r>
      <w:r w:rsidR="005200AF">
        <w:rPr>
          <w:rFonts w:ascii="Times New Roman" w:eastAsia="Times New Roman" w:hAnsi="Times New Roman"/>
          <w:sz w:val="28"/>
          <w:szCs w:val="28"/>
          <w:lang w:eastAsia="lv-LV"/>
        </w:rPr>
        <w:t>.</w:t>
      </w:r>
      <w:r w:rsidR="00640160">
        <w:rPr>
          <w:rFonts w:ascii="Times New Roman" w:eastAsia="Times New Roman" w:hAnsi="Times New Roman"/>
          <w:sz w:val="28"/>
          <w:szCs w:val="28"/>
          <w:lang w:eastAsia="lv-LV"/>
        </w:rPr>
        <w:t xml:space="preserve"> Pieaugošajā globalizācijas laikmetā aizvien vairāk standartizācijas darbības norisinās ti</w:t>
      </w:r>
      <w:r w:rsidR="00166009">
        <w:rPr>
          <w:rFonts w:ascii="Times New Roman" w:eastAsia="Times New Roman" w:hAnsi="Times New Roman"/>
          <w:sz w:val="28"/>
          <w:szCs w:val="28"/>
          <w:lang w:eastAsia="lv-LV"/>
        </w:rPr>
        <w:t>eši starptautiskajā līmenī, tādas</w:t>
      </w:r>
      <w:r w:rsidR="00640160">
        <w:rPr>
          <w:rFonts w:ascii="Times New Roman" w:eastAsia="Times New Roman" w:hAnsi="Times New Roman"/>
          <w:sz w:val="28"/>
          <w:szCs w:val="28"/>
          <w:lang w:eastAsia="lv-LV"/>
        </w:rPr>
        <w:t xml:space="preserve"> organizācijās kā </w:t>
      </w:r>
      <w:r w:rsidR="00166009">
        <w:rPr>
          <w:rFonts w:ascii="Times New Roman" w:eastAsia="Times New Roman" w:hAnsi="Times New Roman"/>
          <w:sz w:val="28"/>
          <w:szCs w:val="28"/>
          <w:lang w:eastAsia="lv-LV"/>
        </w:rPr>
        <w:t>ISO</w:t>
      </w:r>
      <w:r w:rsidR="00462FED">
        <w:rPr>
          <w:rFonts w:ascii="Times New Roman" w:eastAsia="Times New Roman" w:hAnsi="Times New Roman"/>
          <w:sz w:val="28"/>
          <w:szCs w:val="28"/>
          <w:lang w:eastAsia="lv-LV"/>
        </w:rPr>
        <w:t xml:space="preserve"> un </w:t>
      </w:r>
      <w:r w:rsidR="00166009">
        <w:rPr>
          <w:rFonts w:ascii="Times New Roman" w:eastAsia="Times New Roman" w:hAnsi="Times New Roman"/>
          <w:sz w:val="28"/>
          <w:szCs w:val="28"/>
          <w:lang w:eastAsia="lv-LV"/>
        </w:rPr>
        <w:t>IEC</w:t>
      </w:r>
      <w:r w:rsidR="00462FED">
        <w:rPr>
          <w:rFonts w:ascii="Times New Roman" w:eastAsia="Times New Roman" w:hAnsi="Times New Roman"/>
          <w:sz w:val="28"/>
          <w:szCs w:val="28"/>
          <w:lang w:eastAsia="lv-LV"/>
        </w:rPr>
        <w:t xml:space="preserve">. Abas minētās organizācijas ir bezpeļņas privātās organizācijas, kurām attiecīgi pieder arī šo institūciju apstiprināto standartu autortiesības. </w:t>
      </w:r>
    </w:p>
    <w:p w14:paraId="62DE7973" w14:textId="77777777" w:rsidR="00462FED" w:rsidRDefault="00462FED" w:rsidP="00640160">
      <w:pPr>
        <w:spacing w:after="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ab/>
        <w:t>Nākošais standartizācijas līmenis ir reģionālais – Eiropas Savienības līmenis, kurā standartizācijas darbības tiek veiktas trijās Eirop</w:t>
      </w:r>
      <w:r w:rsidR="00166009">
        <w:rPr>
          <w:rFonts w:ascii="Times New Roman" w:eastAsia="Times New Roman" w:hAnsi="Times New Roman"/>
          <w:sz w:val="28"/>
          <w:szCs w:val="28"/>
          <w:lang w:eastAsia="lv-LV"/>
        </w:rPr>
        <w:t>as standartizācijas organizācijā</w:t>
      </w:r>
      <w:r>
        <w:rPr>
          <w:rFonts w:ascii="Times New Roman" w:eastAsia="Times New Roman" w:hAnsi="Times New Roman"/>
          <w:sz w:val="28"/>
          <w:szCs w:val="28"/>
          <w:lang w:eastAsia="lv-LV"/>
        </w:rPr>
        <w:t xml:space="preserve">s: </w:t>
      </w:r>
      <w:r w:rsidR="00166009">
        <w:rPr>
          <w:rFonts w:ascii="Times New Roman" w:eastAsia="Times New Roman" w:hAnsi="Times New Roman"/>
          <w:sz w:val="28"/>
          <w:szCs w:val="28"/>
          <w:lang w:eastAsia="lv-LV"/>
        </w:rPr>
        <w:t>CEN</w:t>
      </w:r>
      <w:r>
        <w:rPr>
          <w:rFonts w:ascii="Times New Roman" w:eastAsia="Times New Roman" w:hAnsi="Times New Roman"/>
          <w:sz w:val="28"/>
          <w:szCs w:val="28"/>
          <w:lang w:eastAsia="lv-LV"/>
        </w:rPr>
        <w:t xml:space="preserve">, </w:t>
      </w:r>
      <w:r w:rsidR="00166009">
        <w:rPr>
          <w:rFonts w:ascii="Times New Roman" w:eastAsia="Times New Roman" w:hAnsi="Times New Roman"/>
          <w:sz w:val="28"/>
          <w:szCs w:val="28"/>
          <w:lang w:eastAsia="lv-LV"/>
        </w:rPr>
        <w:t>CENELEC</w:t>
      </w:r>
      <w:r>
        <w:rPr>
          <w:rFonts w:ascii="Times New Roman" w:eastAsia="Times New Roman" w:hAnsi="Times New Roman"/>
          <w:sz w:val="28"/>
          <w:szCs w:val="28"/>
          <w:lang w:eastAsia="lv-LV"/>
        </w:rPr>
        <w:t xml:space="preserve"> un </w:t>
      </w:r>
      <w:r w:rsidR="00166009">
        <w:rPr>
          <w:rFonts w:ascii="Times New Roman" w:eastAsia="Times New Roman" w:hAnsi="Times New Roman"/>
          <w:sz w:val="28"/>
          <w:szCs w:val="28"/>
          <w:lang w:eastAsia="lv-LV"/>
        </w:rPr>
        <w:t xml:space="preserve">Eiropas telekomunikāciju standartu institūts </w:t>
      </w:r>
      <w:r>
        <w:rPr>
          <w:rFonts w:ascii="Times New Roman" w:eastAsia="Times New Roman" w:hAnsi="Times New Roman"/>
          <w:sz w:val="28"/>
          <w:szCs w:val="28"/>
          <w:lang w:eastAsia="lv-LV"/>
        </w:rPr>
        <w:t>(turpmāk – ETSI).</w:t>
      </w:r>
      <w:r w:rsidR="00055CFD">
        <w:rPr>
          <w:rFonts w:ascii="Times New Roman" w:eastAsia="Times New Roman" w:hAnsi="Times New Roman"/>
          <w:sz w:val="28"/>
          <w:szCs w:val="28"/>
          <w:lang w:eastAsia="lv-LV"/>
        </w:rPr>
        <w:t xml:space="preserve"> Visas minētās Eiropas standartizācijas organizācijas ir privātā</w:t>
      </w:r>
      <w:r w:rsidR="00166009">
        <w:rPr>
          <w:rFonts w:ascii="Times New Roman" w:eastAsia="Times New Roman" w:hAnsi="Times New Roman"/>
          <w:sz w:val="28"/>
          <w:szCs w:val="28"/>
          <w:lang w:eastAsia="lv-LV"/>
        </w:rPr>
        <w:t>s bezpeļņas organizācijas, kurām</w:t>
      </w:r>
      <w:r w:rsidR="00055CFD">
        <w:rPr>
          <w:rFonts w:ascii="Times New Roman" w:eastAsia="Times New Roman" w:hAnsi="Times New Roman"/>
          <w:sz w:val="28"/>
          <w:szCs w:val="28"/>
          <w:lang w:eastAsia="lv-LV"/>
        </w:rPr>
        <w:t xml:space="preserve"> attiecīgi pieder arī šo institūciju apstiprināto standartu autortiesības.</w:t>
      </w:r>
    </w:p>
    <w:p w14:paraId="0BE61376" w14:textId="77777777" w:rsidR="00494AB5" w:rsidRDefault="00055CFD" w:rsidP="00640160">
      <w:pPr>
        <w:spacing w:after="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ab/>
      </w:r>
      <w:r w:rsidR="00843340">
        <w:rPr>
          <w:rFonts w:ascii="Times New Roman" w:eastAsia="Times New Roman" w:hAnsi="Times New Roman"/>
          <w:sz w:val="28"/>
          <w:szCs w:val="28"/>
          <w:lang w:eastAsia="lv-LV"/>
        </w:rPr>
        <w:t xml:space="preserve">Noslēdzošais standartizācijas līmenis ir nacionālais. </w:t>
      </w:r>
      <w:r w:rsidR="00166009">
        <w:rPr>
          <w:rFonts w:ascii="Times New Roman" w:eastAsia="Times New Roman" w:hAnsi="Times New Roman"/>
          <w:sz w:val="28"/>
          <w:szCs w:val="28"/>
          <w:lang w:eastAsia="lv-LV"/>
        </w:rPr>
        <w:t>Š</w:t>
      </w:r>
      <w:r w:rsidR="0007401C">
        <w:rPr>
          <w:rFonts w:ascii="Times New Roman" w:eastAsia="Times New Roman" w:hAnsi="Times New Roman"/>
          <w:sz w:val="28"/>
          <w:szCs w:val="28"/>
          <w:lang w:eastAsia="lv-LV"/>
        </w:rPr>
        <w:t>ajā līmenī pēc būtības var tikt izstrādāti standarti, kas nekonfliktē ar starptautiskajiem un Eiropas standartiem.</w:t>
      </w:r>
      <w:r w:rsidR="00C804DB">
        <w:rPr>
          <w:rFonts w:ascii="Times New Roman" w:eastAsia="Times New Roman" w:hAnsi="Times New Roman"/>
          <w:sz w:val="28"/>
          <w:szCs w:val="28"/>
          <w:lang w:eastAsia="lv-LV"/>
        </w:rPr>
        <w:t xml:space="preserve"> Tādējādi </w:t>
      </w:r>
      <w:r w:rsidR="00255145">
        <w:rPr>
          <w:rFonts w:ascii="Times New Roman" w:eastAsia="Times New Roman" w:hAnsi="Times New Roman"/>
          <w:sz w:val="28"/>
          <w:szCs w:val="28"/>
          <w:lang w:eastAsia="lv-LV"/>
        </w:rPr>
        <w:t xml:space="preserve">nacionālo standartu </w:t>
      </w:r>
      <w:r w:rsidR="00095472">
        <w:rPr>
          <w:rFonts w:ascii="Times New Roman" w:eastAsia="Times New Roman" w:hAnsi="Times New Roman"/>
          <w:sz w:val="28"/>
          <w:szCs w:val="28"/>
          <w:lang w:eastAsia="lv-LV"/>
        </w:rPr>
        <w:t xml:space="preserve">īpatsvars kopējā standartu fondā </w:t>
      </w:r>
      <w:r w:rsidR="00255145">
        <w:rPr>
          <w:rFonts w:ascii="Times New Roman" w:eastAsia="Times New Roman" w:hAnsi="Times New Roman"/>
          <w:sz w:val="28"/>
          <w:szCs w:val="28"/>
          <w:lang w:eastAsia="lv-LV"/>
        </w:rPr>
        <w:t>ir nebūtisks</w:t>
      </w:r>
      <w:r w:rsidR="00095472">
        <w:rPr>
          <w:rFonts w:ascii="Times New Roman" w:eastAsia="Times New Roman" w:hAnsi="Times New Roman"/>
          <w:sz w:val="28"/>
          <w:szCs w:val="28"/>
          <w:lang w:eastAsia="lv-LV"/>
        </w:rPr>
        <w:t xml:space="preserve">. </w:t>
      </w:r>
      <w:r w:rsidR="00494AB5">
        <w:rPr>
          <w:rFonts w:ascii="Times New Roman" w:eastAsia="Times New Roman" w:hAnsi="Times New Roman"/>
          <w:sz w:val="28"/>
          <w:szCs w:val="28"/>
          <w:lang w:eastAsia="lv-LV"/>
        </w:rPr>
        <w:t>Tas nozīmē, ka</w:t>
      </w:r>
      <w:r w:rsidR="00AF5FB0">
        <w:rPr>
          <w:rFonts w:ascii="Times New Roman" w:eastAsia="Times New Roman" w:hAnsi="Times New Roman"/>
          <w:sz w:val="28"/>
          <w:szCs w:val="28"/>
          <w:lang w:eastAsia="lv-LV"/>
        </w:rPr>
        <w:t xml:space="preserve"> nacionālo standartizācijas institūciju darbs galvenokārt</w:t>
      </w:r>
      <w:r w:rsidR="00255145">
        <w:rPr>
          <w:rFonts w:ascii="Times New Roman" w:eastAsia="Times New Roman" w:hAnsi="Times New Roman"/>
          <w:sz w:val="28"/>
          <w:szCs w:val="28"/>
          <w:lang w:eastAsia="lv-LV"/>
        </w:rPr>
        <w:t xml:space="preserve"> </w:t>
      </w:r>
      <w:r w:rsidR="00494AB5">
        <w:rPr>
          <w:rFonts w:ascii="Times New Roman" w:eastAsia="Times New Roman" w:hAnsi="Times New Roman"/>
          <w:sz w:val="28"/>
          <w:szCs w:val="28"/>
          <w:lang w:eastAsia="lv-LV"/>
        </w:rPr>
        <w:t xml:space="preserve">ir saistīts ar Eiropas un starptautiskajiem standartiem. </w:t>
      </w:r>
      <w:r w:rsidR="00E538E2">
        <w:rPr>
          <w:rFonts w:ascii="Times New Roman" w:eastAsia="Times New Roman" w:hAnsi="Times New Roman"/>
          <w:sz w:val="28"/>
          <w:szCs w:val="28"/>
          <w:lang w:eastAsia="lv-LV"/>
        </w:rPr>
        <w:t xml:space="preserve">Turklāt nacionālās standartizācijas institūcijas ir pilnvarotas no starptautisko un Eiropas standartizācijas institūciju puses </w:t>
      </w:r>
      <w:r w:rsidR="00670884">
        <w:rPr>
          <w:rFonts w:ascii="Times New Roman" w:eastAsia="Times New Roman" w:hAnsi="Times New Roman"/>
          <w:sz w:val="28"/>
          <w:szCs w:val="28"/>
          <w:lang w:eastAsia="lv-LV"/>
        </w:rPr>
        <w:t>izplatīt</w:t>
      </w:r>
      <w:r w:rsidR="00166009">
        <w:rPr>
          <w:rFonts w:ascii="Times New Roman" w:eastAsia="Times New Roman" w:hAnsi="Times New Roman"/>
          <w:sz w:val="28"/>
          <w:szCs w:val="28"/>
          <w:lang w:eastAsia="lv-LV"/>
        </w:rPr>
        <w:t xml:space="preserve"> par samērīgu samaksu šo</w:t>
      </w:r>
      <w:r w:rsidR="00670884">
        <w:rPr>
          <w:rFonts w:ascii="Times New Roman" w:eastAsia="Times New Roman" w:hAnsi="Times New Roman"/>
          <w:sz w:val="28"/>
          <w:szCs w:val="28"/>
          <w:lang w:eastAsia="lv-LV"/>
        </w:rPr>
        <w:t xml:space="preserve"> institūciju standartus, kas ir aizsargāti ar autortiesībām.</w:t>
      </w:r>
    </w:p>
    <w:p w14:paraId="148551D0" w14:textId="77777777" w:rsidR="00462FED" w:rsidRDefault="00462FED" w:rsidP="00640160">
      <w:pPr>
        <w:spacing w:after="0"/>
        <w:jc w:val="both"/>
        <w:rPr>
          <w:rFonts w:ascii="Times New Roman" w:eastAsia="Times New Roman" w:hAnsi="Times New Roman"/>
          <w:sz w:val="28"/>
          <w:szCs w:val="28"/>
          <w:lang w:eastAsia="lv-LV"/>
        </w:rPr>
      </w:pPr>
    </w:p>
    <w:p w14:paraId="59A05807" w14:textId="77777777" w:rsidR="005200AF" w:rsidRDefault="005200AF" w:rsidP="00640160">
      <w:pPr>
        <w:spacing w:after="0"/>
        <w:jc w:val="right"/>
        <w:rPr>
          <w:rFonts w:ascii="Times New Roman" w:eastAsia="Times New Roman" w:hAnsi="Times New Roman"/>
          <w:sz w:val="28"/>
          <w:szCs w:val="28"/>
          <w:lang w:eastAsia="lv-LV"/>
        </w:rPr>
      </w:pPr>
      <w:r>
        <w:rPr>
          <w:rFonts w:ascii="Times New Roman" w:eastAsia="Times New Roman" w:hAnsi="Times New Roman"/>
          <w:sz w:val="28"/>
          <w:szCs w:val="28"/>
          <w:lang w:eastAsia="lv-LV"/>
        </w:rPr>
        <w:t>5.att.</w:t>
      </w:r>
    </w:p>
    <w:p w14:paraId="775DD89C" w14:textId="77777777" w:rsidR="005200AF" w:rsidRDefault="001C2B2D" w:rsidP="00640160">
      <w:pPr>
        <w:spacing w:after="0"/>
        <w:jc w:val="center"/>
        <w:rPr>
          <w:rFonts w:ascii="Times New Roman" w:eastAsia="Times New Roman" w:hAnsi="Times New Roman"/>
          <w:sz w:val="28"/>
          <w:szCs w:val="28"/>
          <w:lang w:eastAsia="lv-LV"/>
        </w:rPr>
      </w:pPr>
      <w:r>
        <w:rPr>
          <w:rFonts w:ascii="Times New Roman" w:eastAsia="Times New Roman" w:hAnsi="Times New Roman"/>
          <w:noProof/>
          <w:sz w:val="28"/>
          <w:szCs w:val="28"/>
          <w:lang w:val="en-GB" w:eastAsia="en-GB"/>
        </w:rPr>
        <w:drawing>
          <wp:inline distT="0" distB="0" distL="0" distR="0" wp14:anchorId="2A44D3C6" wp14:editId="2D7D16E4">
            <wp:extent cx="5274310" cy="2772321"/>
            <wp:effectExtent l="25400" t="0" r="59690" b="73025"/>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64BD13B" w14:textId="77777777" w:rsidR="00640160" w:rsidRPr="00640160" w:rsidRDefault="00640160" w:rsidP="00640160">
      <w:pPr>
        <w:spacing w:after="0"/>
        <w:jc w:val="center"/>
        <w:rPr>
          <w:rFonts w:ascii="Times New Roman" w:eastAsia="Times New Roman" w:hAnsi="Times New Roman"/>
          <w:i/>
          <w:sz w:val="28"/>
          <w:szCs w:val="28"/>
          <w:lang w:eastAsia="lv-LV"/>
        </w:rPr>
      </w:pPr>
      <w:r w:rsidRPr="00640160">
        <w:rPr>
          <w:rFonts w:ascii="Times New Roman" w:eastAsia="Times New Roman" w:hAnsi="Times New Roman"/>
          <w:i/>
          <w:sz w:val="28"/>
          <w:szCs w:val="28"/>
          <w:lang w:eastAsia="lv-LV"/>
        </w:rPr>
        <w:t>Standartizācijas struk</w:t>
      </w:r>
      <w:r>
        <w:rPr>
          <w:rFonts w:ascii="Times New Roman" w:eastAsia="Times New Roman" w:hAnsi="Times New Roman"/>
          <w:i/>
          <w:sz w:val="28"/>
          <w:szCs w:val="28"/>
          <w:lang w:eastAsia="lv-LV"/>
        </w:rPr>
        <w:t>t</w:t>
      </w:r>
      <w:r w:rsidRPr="00640160">
        <w:rPr>
          <w:rFonts w:ascii="Times New Roman" w:eastAsia="Times New Roman" w:hAnsi="Times New Roman"/>
          <w:i/>
          <w:sz w:val="28"/>
          <w:szCs w:val="28"/>
          <w:lang w:eastAsia="lv-LV"/>
        </w:rPr>
        <w:t>ūra</w:t>
      </w:r>
    </w:p>
    <w:p w14:paraId="05A6A851" w14:textId="77777777" w:rsidR="005200AF" w:rsidRPr="005200AF" w:rsidRDefault="005200AF" w:rsidP="00581B48">
      <w:pPr>
        <w:jc w:val="both"/>
      </w:pPr>
    </w:p>
    <w:p w14:paraId="6593E3C5" w14:textId="77777777" w:rsidR="00581B48" w:rsidRDefault="00322CD7" w:rsidP="00581B48">
      <w:pPr>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ab/>
      </w:r>
      <w:r w:rsidR="00581B48" w:rsidRPr="00581B48">
        <w:rPr>
          <w:rFonts w:ascii="Times New Roman" w:eastAsia="Times New Roman" w:hAnsi="Times New Roman"/>
          <w:sz w:val="28"/>
          <w:szCs w:val="28"/>
          <w:lang w:eastAsia="lv-LV"/>
        </w:rPr>
        <w:t>Dažādās</w:t>
      </w:r>
      <w:r w:rsidR="00581B48">
        <w:rPr>
          <w:rFonts w:ascii="Times New Roman" w:eastAsia="Times New Roman" w:hAnsi="Times New Roman"/>
          <w:sz w:val="28"/>
          <w:szCs w:val="28"/>
          <w:lang w:eastAsia="lv-LV"/>
        </w:rPr>
        <w:t xml:space="preserve"> Eiropas S</w:t>
      </w:r>
      <w:r w:rsidR="00166009">
        <w:rPr>
          <w:rFonts w:ascii="Times New Roman" w:eastAsia="Times New Roman" w:hAnsi="Times New Roman"/>
          <w:sz w:val="28"/>
          <w:szCs w:val="28"/>
          <w:lang w:eastAsia="lv-LV"/>
        </w:rPr>
        <w:t>avienības dalībvalstīs nacionālās</w:t>
      </w:r>
      <w:r w:rsidR="00581B48">
        <w:rPr>
          <w:rFonts w:ascii="Times New Roman" w:eastAsia="Times New Roman" w:hAnsi="Times New Roman"/>
          <w:sz w:val="28"/>
          <w:szCs w:val="28"/>
          <w:lang w:eastAsia="lv-LV"/>
        </w:rPr>
        <w:t xml:space="preserve"> standartizācijas</w:t>
      </w:r>
      <w:r w:rsidR="00166009">
        <w:rPr>
          <w:rFonts w:ascii="Times New Roman" w:eastAsia="Times New Roman" w:hAnsi="Times New Roman"/>
          <w:sz w:val="28"/>
          <w:szCs w:val="28"/>
          <w:lang w:eastAsia="lv-LV"/>
        </w:rPr>
        <w:t xml:space="preserve"> sistēmas, tajā skaitā nacionālo</w:t>
      </w:r>
      <w:r w:rsidR="00581B48">
        <w:rPr>
          <w:rFonts w:ascii="Times New Roman" w:eastAsia="Times New Roman" w:hAnsi="Times New Roman"/>
          <w:sz w:val="28"/>
          <w:szCs w:val="28"/>
          <w:lang w:eastAsia="lv-LV"/>
        </w:rPr>
        <w:t xml:space="preserve"> standartizācijas institūciju juridiskās formas, atšķiras. Tāpēc šajā sakarībā ir izdalāmi divi jautājumi:</w:t>
      </w:r>
    </w:p>
    <w:p w14:paraId="7595ED2E" w14:textId="77777777" w:rsidR="00581B48" w:rsidRDefault="00581B48" w:rsidP="00581B48">
      <w:pPr>
        <w:pStyle w:val="ListParagraph"/>
        <w:numPr>
          <w:ilvl w:val="0"/>
          <w:numId w:val="15"/>
        </w:numPr>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Standartizācijas darbību juridiskā daba;</w:t>
      </w:r>
    </w:p>
    <w:p w14:paraId="13B8FE24" w14:textId="77777777" w:rsidR="00581B48" w:rsidRDefault="00581B48" w:rsidP="00581B48">
      <w:pPr>
        <w:pStyle w:val="ListParagraph"/>
        <w:numPr>
          <w:ilvl w:val="0"/>
          <w:numId w:val="15"/>
        </w:numPr>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Nacionālās standartizācijas institūcijas juridiskais statuss.</w:t>
      </w:r>
    </w:p>
    <w:p w14:paraId="3AFA6B71" w14:textId="77777777" w:rsidR="00322CD7" w:rsidRPr="00581B48" w:rsidRDefault="00581B48" w:rsidP="00581B48">
      <w:pPr>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ab/>
        <w:t xml:space="preserve">Attiecībā uz </w:t>
      </w:r>
      <w:r w:rsidR="00022873">
        <w:rPr>
          <w:rFonts w:ascii="Times New Roman" w:eastAsia="Times New Roman" w:hAnsi="Times New Roman"/>
          <w:sz w:val="28"/>
          <w:szCs w:val="28"/>
          <w:lang w:eastAsia="lv-LV"/>
        </w:rPr>
        <w:t>standartizācijas darbību juridisko dabu</w:t>
      </w:r>
      <w:r w:rsidR="00166009">
        <w:rPr>
          <w:rFonts w:ascii="Times New Roman" w:eastAsia="Times New Roman" w:hAnsi="Times New Roman"/>
          <w:sz w:val="28"/>
          <w:szCs w:val="28"/>
          <w:lang w:eastAsia="lv-LV"/>
        </w:rPr>
        <w:t xml:space="preserve"> jānorāda, ka</w:t>
      </w:r>
      <w:r w:rsidR="00022873">
        <w:rPr>
          <w:rFonts w:ascii="Times New Roman" w:eastAsia="Times New Roman" w:hAnsi="Times New Roman"/>
          <w:sz w:val="28"/>
          <w:szCs w:val="28"/>
          <w:lang w:eastAsia="lv-LV"/>
        </w:rPr>
        <w:t xml:space="preserve"> ne</w:t>
      </w:r>
      <w:r w:rsidR="00166009">
        <w:rPr>
          <w:rFonts w:ascii="Times New Roman" w:eastAsia="Times New Roman" w:hAnsi="Times New Roman"/>
          <w:sz w:val="28"/>
          <w:szCs w:val="28"/>
          <w:lang w:eastAsia="lv-LV"/>
        </w:rPr>
        <w:t>dz</w:t>
      </w:r>
      <w:r w:rsidR="00022873">
        <w:rPr>
          <w:rFonts w:ascii="Times New Roman" w:eastAsia="Times New Roman" w:hAnsi="Times New Roman"/>
          <w:sz w:val="28"/>
          <w:szCs w:val="28"/>
          <w:lang w:eastAsia="lv-LV"/>
        </w:rPr>
        <w:t xml:space="preserve"> Eiropas Savienības līmenī, ne</w:t>
      </w:r>
      <w:r w:rsidR="00166009">
        <w:rPr>
          <w:rFonts w:ascii="Times New Roman" w:eastAsia="Times New Roman" w:hAnsi="Times New Roman"/>
          <w:sz w:val="28"/>
          <w:szCs w:val="28"/>
          <w:lang w:eastAsia="lv-LV"/>
        </w:rPr>
        <w:t>dz</w:t>
      </w:r>
      <w:r w:rsidR="00022873">
        <w:rPr>
          <w:rFonts w:ascii="Times New Roman" w:eastAsia="Times New Roman" w:hAnsi="Times New Roman"/>
          <w:sz w:val="28"/>
          <w:szCs w:val="28"/>
          <w:lang w:eastAsia="lv-LV"/>
        </w:rPr>
        <w:t xml:space="preserve"> arī starptautiskajā līmenī nerodas šaubas par to, ka standartizācija norisinās privāto tiesību jomā, ņemot vērā standartu būtību</w:t>
      </w:r>
      <w:r w:rsidR="000A342B">
        <w:rPr>
          <w:rFonts w:ascii="Times New Roman" w:eastAsia="Times New Roman" w:hAnsi="Times New Roman"/>
          <w:sz w:val="28"/>
          <w:szCs w:val="28"/>
          <w:lang w:eastAsia="lv-LV"/>
        </w:rPr>
        <w:t xml:space="preserve"> un faktu, ka standartu izstrādi neveic publiskā pārvalde</w:t>
      </w:r>
      <w:r w:rsidR="00022873">
        <w:rPr>
          <w:rFonts w:ascii="Times New Roman" w:eastAsia="Times New Roman" w:hAnsi="Times New Roman"/>
          <w:sz w:val="28"/>
          <w:szCs w:val="28"/>
          <w:lang w:eastAsia="lv-LV"/>
        </w:rPr>
        <w:t>. Standarts pēc savas dabas ir tehnis</w:t>
      </w:r>
      <w:r w:rsidR="00636673">
        <w:rPr>
          <w:rFonts w:ascii="Times New Roman" w:eastAsia="Times New Roman" w:hAnsi="Times New Roman"/>
          <w:sz w:val="28"/>
          <w:szCs w:val="28"/>
          <w:lang w:eastAsia="lv-LV"/>
        </w:rPr>
        <w:t>ka</w:t>
      </w:r>
      <w:r w:rsidR="00166009">
        <w:rPr>
          <w:rFonts w:ascii="Times New Roman" w:eastAsia="Times New Roman" w:hAnsi="Times New Roman"/>
          <w:sz w:val="28"/>
          <w:szCs w:val="28"/>
          <w:lang w:eastAsia="lv-LV"/>
        </w:rPr>
        <w:t>s</w:t>
      </w:r>
      <w:r w:rsidR="00636673">
        <w:rPr>
          <w:rFonts w:ascii="Times New Roman" w:eastAsia="Times New Roman" w:hAnsi="Times New Roman"/>
          <w:sz w:val="28"/>
          <w:szCs w:val="28"/>
          <w:lang w:eastAsia="lv-LV"/>
        </w:rPr>
        <w:t xml:space="preserve"> dabas dokuments, par kuru ir vienojušās attiecīgajā nozarē ieinteresētās puses, piemēram, ražotāji, tirgotāji, pircēji, patērētāji, lietotāji, </w:t>
      </w:r>
      <w:r w:rsidR="00166009">
        <w:rPr>
          <w:rFonts w:ascii="Times New Roman" w:eastAsia="Times New Roman" w:hAnsi="Times New Roman"/>
          <w:sz w:val="28"/>
          <w:szCs w:val="28"/>
          <w:lang w:eastAsia="lv-LV"/>
        </w:rPr>
        <w:t>politikas izstrādātāji u.c</w:t>
      </w:r>
      <w:r w:rsidR="00636673">
        <w:rPr>
          <w:rFonts w:ascii="Times New Roman" w:eastAsia="Times New Roman" w:hAnsi="Times New Roman"/>
          <w:sz w:val="28"/>
          <w:szCs w:val="28"/>
          <w:lang w:eastAsia="lv-LV"/>
        </w:rPr>
        <w:t>. Standartizācija nav no valsts puses uzspiesta darbība un standartizācijas procesā valsts nevar</w:t>
      </w:r>
      <w:r w:rsidR="00353342">
        <w:rPr>
          <w:rFonts w:ascii="Times New Roman" w:eastAsia="Times New Roman" w:hAnsi="Times New Roman"/>
          <w:sz w:val="28"/>
          <w:szCs w:val="28"/>
          <w:lang w:eastAsia="lv-LV"/>
        </w:rPr>
        <w:t xml:space="preserve"> uzspiest savu vēlmi. Valsts piedalās standartizācijas darbībās kā vien</w:t>
      </w:r>
      <w:r w:rsidR="00166009">
        <w:rPr>
          <w:rFonts w:ascii="Times New Roman" w:eastAsia="Times New Roman" w:hAnsi="Times New Roman"/>
          <w:sz w:val="28"/>
          <w:szCs w:val="28"/>
          <w:lang w:eastAsia="lv-LV"/>
        </w:rPr>
        <w:t>a</w:t>
      </w:r>
      <w:r w:rsidR="00353342">
        <w:rPr>
          <w:rFonts w:ascii="Times New Roman" w:eastAsia="Times New Roman" w:hAnsi="Times New Roman"/>
          <w:sz w:val="28"/>
          <w:szCs w:val="28"/>
          <w:lang w:eastAsia="lv-LV"/>
        </w:rPr>
        <w:t xml:space="preserve"> no ieinteres</w:t>
      </w:r>
      <w:r w:rsidR="00311A14">
        <w:rPr>
          <w:rFonts w:ascii="Times New Roman" w:eastAsia="Times New Roman" w:hAnsi="Times New Roman"/>
          <w:sz w:val="28"/>
          <w:szCs w:val="28"/>
          <w:lang w:eastAsia="lv-LV"/>
        </w:rPr>
        <w:t>ētajā pusēm uz vienlīdzīgiem nosacījumiem.</w:t>
      </w:r>
      <w:r w:rsidR="00710466">
        <w:rPr>
          <w:rFonts w:ascii="Times New Roman" w:eastAsia="Times New Roman" w:hAnsi="Times New Roman"/>
          <w:sz w:val="28"/>
          <w:szCs w:val="28"/>
          <w:lang w:eastAsia="lv-LV"/>
        </w:rPr>
        <w:t xml:space="preserve"> Rezultātā, izstrādātie standart</w:t>
      </w:r>
      <w:r w:rsidR="005B5B94">
        <w:rPr>
          <w:rFonts w:ascii="Times New Roman" w:eastAsia="Times New Roman" w:hAnsi="Times New Roman"/>
          <w:sz w:val="28"/>
          <w:szCs w:val="28"/>
          <w:lang w:eastAsia="lv-LV"/>
        </w:rPr>
        <w:t>i</w:t>
      </w:r>
      <w:r w:rsidR="00710466">
        <w:rPr>
          <w:rFonts w:ascii="Times New Roman" w:eastAsia="Times New Roman" w:hAnsi="Times New Roman"/>
          <w:sz w:val="28"/>
          <w:szCs w:val="28"/>
          <w:lang w:eastAsia="lv-LV"/>
        </w:rPr>
        <w:t xml:space="preserve"> ir ar brīvprātīgās pielietošanas dabu</w:t>
      </w:r>
      <w:r w:rsidR="00E90343">
        <w:rPr>
          <w:rFonts w:ascii="Times New Roman" w:eastAsia="Times New Roman" w:hAnsi="Times New Roman"/>
          <w:sz w:val="28"/>
          <w:szCs w:val="28"/>
          <w:lang w:eastAsia="lv-LV"/>
        </w:rPr>
        <w:t>, kas nozīmē, ka atbilstība tiem nav obligāta. Tajā pašā laikā standarti var tikt izmantoti kā politikas atbalsta instruments, uz kuriem tiek veidotas atsauces tiesību aktos: netiešās atsauces, kas nosaka, ka minētais standarts ir viens no iespējamajiem risinājumiem</w:t>
      </w:r>
      <w:r w:rsidR="00166009">
        <w:rPr>
          <w:rFonts w:ascii="Times New Roman" w:eastAsia="Times New Roman" w:hAnsi="Times New Roman"/>
          <w:sz w:val="28"/>
          <w:szCs w:val="28"/>
          <w:lang w:eastAsia="lv-LV"/>
        </w:rPr>
        <w:t>,</w:t>
      </w:r>
      <w:r w:rsidR="00E90343">
        <w:rPr>
          <w:rFonts w:ascii="Times New Roman" w:eastAsia="Times New Roman" w:hAnsi="Times New Roman"/>
          <w:sz w:val="28"/>
          <w:szCs w:val="28"/>
          <w:lang w:eastAsia="lv-LV"/>
        </w:rPr>
        <w:t xml:space="preserve"> vai arī tiešās atsauces, kas nosaka, ka atbilstība m</w:t>
      </w:r>
      <w:r w:rsidR="005B5B94">
        <w:rPr>
          <w:rFonts w:ascii="Times New Roman" w:eastAsia="Times New Roman" w:hAnsi="Times New Roman"/>
          <w:sz w:val="28"/>
          <w:szCs w:val="28"/>
          <w:lang w:eastAsia="lv-LV"/>
        </w:rPr>
        <w:t>inētajam standartam ir obligāta.</w:t>
      </w:r>
    </w:p>
    <w:p w14:paraId="33F8A904" w14:textId="77777777" w:rsidR="002D784D" w:rsidRDefault="002D784D" w:rsidP="00581B48">
      <w:pPr>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ab/>
        <w:t>Ievērojot vēsturiskos aspektus</w:t>
      </w:r>
      <w:r w:rsidR="00452CCA">
        <w:rPr>
          <w:rFonts w:ascii="Times New Roman" w:eastAsia="Times New Roman" w:hAnsi="Times New Roman"/>
          <w:sz w:val="28"/>
          <w:szCs w:val="28"/>
          <w:lang w:eastAsia="lv-LV"/>
        </w:rPr>
        <w:t xml:space="preserve">, </w:t>
      </w:r>
      <w:r>
        <w:rPr>
          <w:rFonts w:ascii="Times New Roman" w:eastAsia="Times New Roman" w:hAnsi="Times New Roman"/>
          <w:sz w:val="28"/>
          <w:szCs w:val="28"/>
          <w:lang w:eastAsia="lv-LV"/>
        </w:rPr>
        <w:t>nevalstiskā sektora izrādīto aktivitāti un iespējas</w:t>
      </w:r>
      <w:r w:rsidR="005B5B94">
        <w:rPr>
          <w:rFonts w:ascii="Times New Roman" w:eastAsia="Times New Roman" w:hAnsi="Times New Roman"/>
          <w:sz w:val="28"/>
          <w:szCs w:val="28"/>
          <w:lang w:eastAsia="lv-LV"/>
        </w:rPr>
        <w:t xml:space="preserve">, kā arī </w:t>
      </w:r>
      <w:r w:rsidR="00452CCA">
        <w:rPr>
          <w:rFonts w:ascii="Times New Roman" w:eastAsia="Times New Roman" w:hAnsi="Times New Roman"/>
          <w:sz w:val="28"/>
          <w:szCs w:val="28"/>
          <w:lang w:eastAsia="lv-LV"/>
        </w:rPr>
        <w:t>nacionālās tiesību sistēmas īpatnības</w:t>
      </w:r>
      <w:r>
        <w:rPr>
          <w:rFonts w:ascii="Times New Roman" w:eastAsia="Times New Roman" w:hAnsi="Times New Roman"/>
          <w:sz w:val="28"/>
          <w:szCs w:val="28"/>
          <w:lang w:eastAsia="lv-LV"/>
        </w:rPr>
        <w:t xml:space="preserve">, Eiropas Savienības dalībvalstīs nacionālo standartizācijas institūciju </w:t>
      </w:r>
      <w:r w:rsidR="00166009">
        <w:rPr>
          <w:rFonts w:ascii="Times New Roman" w:eastAsia="Times New Roman" w:hAnsi="Times New Roman"/>
          <w:sz w:val="28"/>
          <w:szCs w:val="28"/>
          <w:lang w:eastAsia="lv-LV"/>
        </w:rPr>
        <w:t>juridiskie statusi ir atšķirīgi un</w:t>
      </w:r>
      <w:r>
        <w:rPr>
          <w:rFonts w:ascii="Times New Roman" w:eastAsia="Times New Roman" w:hAnsi="Times New Roman"/>
          <w:sz w:val="28"/>
          <w:szCs w:val="28"/>
          <w:lang w:eastAsia="lv-LV"/>
        </w:rPr>
        <w:t xml:space="preserve"> tos var iedalīt divās daļās (skat. </w:t>
      </w:r>
      <w:r w:rsidR="005B5B94">
        <w:rPr>
          <w:rFonts w:ascii="Times New Roman" w:eastAsia="Times New Roman" w:hAnsi="Times New Roman"/>
          <w:sz w:val="28"/>
          <w:szCs w:val="28"/>
          <w:lang w:eastAsia="lv-LV"/>
        </w:rPr>
        <w:t>6</w:t>
      </w:r>
      <w:r>
        <w:rPr>
          <w:rFonts w:ascii="Times New Roman" w:eastAsia="Times New Roman" w:hAnsi="Times New Roman"/>
          <w:sz w:val="28"/>
          <w:szCs w:val="28"/>
          <w:lang w:eastAsia="lv-LV"/>
        </w:rPr>
        <w:t>.attēlā):</w:t>
      </w:r>
    </w:p>
    <w:p w14:paraId="6578C58F" w14:textId="77777777" w:rsidR="00581B48" w:rsidRDefault="005B5B94" w:rsidP="002D784D">
      <w:pPr>
        <w:pStyle w:val="ListParagraph"/>
        <w:numPr>
          <w:ilvl w:val="0"/>
          <w:numId w:val="16"/>
        </w:numPr>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Valsts</w:t>
      </w:r>
      <w:r w:rsidR="002D784D">
        <w:rPr>
          <w:rFonts w:ascii="Times New Roman" w:eastAsia="Times New Roman" w:hAnsi="Times New Roman"/>
          <w:sz w:val="28"/>
          <w:szCs w:val="28"/>
          <w:lang w:eastAsia="lv-LV"/>
        </w:rPr>
        <w:t xml:space="preserve"> institūcijas;</w:t>
      </w:r>
    </w:p>
    <w:p w14:paraId="653FE73F" w14:textId="77777777" w:rsidR="00581B48" w:rsidRDefault="002D784D" w:rsidP="004B5447">
      <w:pPr>
        <w:pStyle w:val="ListParagraph"/>
        <w:numPr>
          <w:ilvl w:val="0"/>
          <w:numId w:val="16"/>
        </w:numPr>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Privātās organizācijas.</w:t>
      </w:r>
    </w:p>
    <w:p w14:paraId="5F975618" w14:textId="77777777" w:rsidR="00706E35" w:rsidRPr="008941ED" w:rsidRDefault="00055CFD" w:rsidP="008941ED">
      <w:pPr>
        <w:spacing w:after="0"/>
        <w:jc w:val="right"/>
        <w:rPr>
          <w:rFonts w:ascii="Times New Roman" w:eastAsia="Times New Roman" w:hAnsi="Times New Roman"/>
          <w:sz w:val="28"/>
          <w:szCs w:val="28"/>
          <w:lang w:eastAsia="lv-LV"/>
        </w:rPr>
      </w:pPr>
      <w:r>
        <w:rPr>
          <w:rFonts w:ascii="Times New Roman" w:eastAsia="Times New Roman" w:hAnsi="Times New Roman"/>
          <w:sz w:val="28"/>
          <w:szCs w:val="28"/>
          <w:lang w:eastAsia="lv-LV"/>
        </w:rPr>
        <w:t>6</w:t>
      </w:r>
      <w:r w:rsidR="008941ED">
        <w:rPr>
          <w:rFonts w:ascii="Times New Roman" w:eastAsia="Times New Roman" w:hAnsi="Times New Roman"/>
          <w:sz w:val="28"/>
          <w:szCs w:val="28"/>
          <w:lang w:eastAsia="lv-LV"/>
        </w:rPr>
        <w:t>.att.</w:t>
      </w:r>
    </w:p>
    <w:p w14:paraId="4BCEBA5F" w14:textId="77777777" w:rsidR="004B5447" w:rsidRDefault="00C721B4" w:rsidP="00B03C6F">
      <w:pPr>
        <w:pStyle w:val="ListParagraph"/>
        <w:jc w:val="center"/>
        <w:rPr>
          <w:rFonts w:ascii="Times New Roman" w:eastAsia="Times New Roman" w:hAnsi="Times New Roman"/>
          <w:b/>
          <w:sz w:val="28"/>
          <w:szCs w:val="28"/>
          <w:lang w:eastAsia="lv-LV"/>
        </w:rPr>
      </w:pPr>
      <w:r>
        <w:rPr>
          <w:noProof/>
          <w:lang w:val="en-GB" w:eastAsia="en-GB"/>
        </w:rPr>
        <w:drawing>
          <wp:inline distT="0" distB="0" distL="0" distR="0" wp14:anchorId="32E3F901" wp14:editId="6ED45C79">
            <wp:extent cx="4696047" cy="2745740"/>
            <wp:effectExtent l="0" t="0" r="3175" b="2286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4D0BEAE" w14:textId="77777777" w:rsidR="005C174F" w:rsidRDefault="008941ED" w:rsidP="00B03C6F">
      <w:pPr>
        <w:pStyle w:val="ListParagraph"/>
        <w:jc w:val="center"/>
        <w:rPr>
          <w:rFonts w:ascii="Times New Roman" w:eastAsia="Times New Roman" w:hAnsi="Times New Roman"/>
          <w:i/>
          <w:sz w:val="28"/>
          <w:szCs w:val="28"/>
          <w:lang w:eastAsia="lv-LV"/>
        </w:rPr>
      </w:pPr>
      <w:r w:rsidRPr="008941ED">
        <w:rPr>
          <w:rFonts w:ascii="Times New Roman" w:eastAsia="Times New Roman" w:hAnsi="Times New Roman"/>
          <w:i/>
          <w:sz w:val="28"/>
          <w:szCs w:val="28"/>
          <w:lang w:eastAsia="lv-LV"/>
        </w:rPr>
        <w:t>Nacionālo standartizācijas</w:t>
      </w:r>
      <w:r w:rsidR="005C174F">
        <w:rPr>
          <w:rFonts w:ascii="Times New Roman" w:eastAsia="Times New Roman" w:hAnsi="Times New Roman"/>
          <w:i/>
          <w:sz w:val="28"/>
          <w:szCs w:val="28"/>
          <w:lang w:eastAsia="lv-LV"/>
        </w:rPr>
        <w:t xml:space="preserve"> institūciju</w:t>
      </w:r>
    </w:p>
    <w:p w14:paraId="672FEFD3" w14:textId="77777777" w:rsidR="00EE6B0B" w:rsidRPr="008941ED" w:rsidRDefault="008941ED" w:rsidP="00B03C6F">
      <w:pPr>
        <w:pStyle w:val="ListParagraph"/>
        <w:jc w:val="center"/>
        <w:rPr>
          <w:rFonts w:ascii="Times New Roman" w:eastAsia="Times New Roman" w:hAnsi="Times New Roman"/>
          <w:i/>
          <w:sz w:val="28"/>
          <w:szCs w:val="28"/>
          <w:lang w:eastAsia="lv-LV"/>
        </w:rPr>
      </w:pPr>
      <w:r w:rsidRPr="008941ED">
        <w:rPr>
          <w:rFonts w:ascii="Times New Roman" w:eastAsia="Times New Roman" w:hAnsi="Times New Roman"/>
          <w:i/>
          <w:sz w:val="28"/>
          <w:szCs w:val="28"/>
          <w:lang w:eastAsia="lv-LV"/>
        </w:rPr>
        <w:t>sadalījums Eiropas Savienībā</w:t>
      </w:r>
    </w:p>
    <w:p w14:paraId="351070F5" w14:textId="77777777" w:rsidR="008941ED" w:rsidRDefault="008941ED" w:rsidP="008941ED">
      <w:pPr>
        <w:pStyle w:val="ListParagraph"/>
        <w:ind w:left="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ab/>
      </w:r>
    </w:p>
    <w:p w14:paraId="52CA31C8" w14:textId="77777777" w:rsidR="007835F2" w:rsidRDefault="008941ED" w:rsidP="005200AF">
      <w:pPr>
        <w:pStyle w:val="ListParagraph"/>
        <w:ind w:left="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ab/>
        <w:t>Nacionālās standartizācijas institūcijas publiskās pārvaldes institūcijas</w:t>
      </w:r>
      <w:r w:rsidR="00166009">
        <w:rPr>
          <w:rFonts w:ascii="Times New Roman" w:eastAsia="Times New Roman" w:hAnsi="Times New Roman"/>
          <w:sz w:val="28"/>
          <w:szCs w:val="28"/>
          <w:lang w:eastAsia="lv-LV"/>
        </w:rPr>
        <w:t xml:space="preserve"> veidolā</w:t>
      </w:r>
      <w:r>
        <w:rPr>
          <w:rFonts w:ascii="Times New Roman" w:eastAsia="Times New Roman" w:hAnsi="Times New Roman"/>
          <w:sz w:val="28"/>
          <w:szCs w:val="28"/>
          <w:lang w:eastAsia="lv-LV"/>
        </w:rPr>
        <w:t xml:space="preserve"> ir Čehijā, Maķedonijā, Īrijā, Lietuvā, Luksemburgā, Maltā, Polijā, Portugālē, Slovākijā, Slovēnijā.</w:t>
      </w:r>
      <w:r w:rsidR="00452CCA">
        <w:rPr>
          <w:rFonts w:ascii="Times New Roman" w:eastAsia="Times New Roman" w:hAnsi="Times New Roman"/>
          <w:sz w:val="28"/>
          <w:szCs w:val="28"/>
          <w:lang w:eastAsia="lv-LV"/>
        </w:rPr>
        <w:t xml:space="preserve"> Taču, neskat</w:t>
      </w:r>
      <w:r w:rsidR="005200AF">
        <w:rPr>
          <w:rFonts w:ascii="Times New Roman" w:eastAsia="Times New Roman" w:hAnsi="Times New Roman"/>
          <w:sz w:val="28"/>
          <w:szCs w:val="28"/>
          <w:lang w:eastAsia="lv-LV"/>
        </w:rPr>
        <w:t>oties uz to, ka minē</w:t>
      </w:r>
      <w:r w:rsidR="005B5B94">
        <w:rPr>
          <w:rFonts w:ascii="Times New Roman" w:eastAsia="Times New Roman" w:hAnsi="Times New Roman"/>
          <w:sz w:val="28"/>
          <w:szCs w:val="28"/>
          <w:lang w:eastAsia="lv-LV"/>
        </w:rPr>
        <w:t>tajās valstīs nacionālās standartizācijas institūcijas ir izveidotas kā valsts institūcijas, tās</w:t>
      </w:r>
      <w:r w:rsidR="005200AF">
        <w:rPr>
          <w:rFonts w:ascii="Times New Roman" w:eastAsia="Times New Roman" w:hAnsi="Times New Roman"/>
          <w:sz w:val="28"/>
          <w:szCs w:val="28"/>
          <w:lang w:eastAsia="lv-LV"/>
        </w:rPr>
        <w:t xml:space="preserve">, ievērojot nacionālās </w:t>
      </w:r>
      <w:r w:rsidR="005B5B94">
        <w:rPr>
          <w:rFonts w:ascii="Times New Roman" w:eastAsia="Times New Roman" w:hAnsi="Times New Roman"/>
          <w:sz w:val="28"/>
          <w:szCs w:val="28"/>
          <w:lang w:eastAsia="lv-LV"/>
        </w:rPr>
        <w:t xml:space="preserve">tiesību sistēmas īpatnības, </w:t>
      </w:r>
      <w:r w:rsidR="005200AF">
        <w:rPr>
          <w:rFonts w:ascii="Times New Roman" w:eastAsia="Times New Roman" w:hAnsi="Times New Roman"/>
          <w:sz w:val="28"/>
          <w:szCs w:val="28"/>
          <w:lang w:eastAsia="lv-LV"/>
        </w:rPr>
        <w:t xml:space="preserve">ir tiesīgas darboties arī privāto tiesību jomā, sniedzot </w:t>
      </w:r>
      <w:r w:rsidR="00166009">
        <w:rPr>
          <w:rFonts w:ascii="Times New Roman" w:eastAsia="Times New Roman" w:hAnsi="Times New Roman"/>
          <w:sz w:val="28"/>
          <w:szCs w:val="28"/>
          <w:lang w:eastAsia="lv-LV"/>
        </w:rPr>
        <w:t xml:space="preserve">arī privātus pakalpojumus, </w:t>
      </w:r>
      <w:r w:rsidR="005200AF">
        <w:rPr>
          <w:rFonts w:ascii="Times New Roman" w:eastAsia="Times New Roman" w:hAnsi="Times New Roman"/>
          <w:sz w:val="28"/>
          <w:szCs w:val="28"/>
          <w:lang w:eastAsia="lv-LV"/>
        </w:rPr>
        <w:t>cita starpā</w:t>
      </w:r>
      <w:r w:rsidR="00166009">
        <w:rPr>
          <w:rFonts w:ascii="Times New Roman" w:eastAsia="Times New Roman" w:hAnsi="Times New Roman"/>
          <w:sz w:val="28"/>
          <w:szCs w:val="28"/>
          <w:lang w:eastAsia="lv-LV"/>
        </w:rPr>
        <w:t>,</w:t>
      </w:r>
      <w:r w:rsidR="005200AF">
        <w:rPr>
          <w:rFonts w:ascii="Times New Roman" w:eastAsia="Times New Roman" w:hAnsi="Times New Roman"/>
          <w:sz w:val="28"/>
          <w:szCs w:val="28"/>
          <w:lang w:eastAsia="lv-LV"/>
        </w:rPr>
        <w:t xml:space="preserve"> arī pā</w:t>
      </w:r>
      <w:r w:rsidR="005B5B94">
        <w:rPr>
          <w:rFonts w:ascii="Times New Roman" w:eastAsia="Times New Roman" w:hAnsi="Times New Roman"/>
          <w:sz w:val="28"/>
          <w:szCs w:val="28"/>
          <w:lang w:eastAsia="lv-LV"/>
        </w:rPr>
        <w:t xml:space="preserve">rdod standartus, no kuriem dominējošais vairums ir starptautiskie un Eiropas standarti. Turklāt minēto valsts institūcijas pārvaldības modeļi lielākoties  ir veidoti </w:t>
      </w:r>
      <w:r w:rsidR="00166009">
        <w:rPr>
          <w:rFonts w:ascii="Times New Roman" w:eastAsia="Times New Roman" w:hAnsi="Times New Roman"/>
          <w:sz w:val="28"/>
          <w:szCs w:val="28"/>
          <w:lang w:eastAsia="lv-LV"/>
        </w:rPr>
        <w:t>tā</w:t>
      </w:r>
      <w:r w:rsidR="005B5B94">
        <w:rPr>
          <w:rFonts w:ascii="Times New Roman" w:eastAsia="Times New Roman" w:hAnsi="Times New Roman"/>
          <w:sz w:val="28"/>
          <w:szCs w:val="28"/>
          <w:lang w:eastAsia="lv-LV"/>
        </w:rPr>
        <w:t>, ka attiecīgo institūciju vadību nodrošina dažādu ieinteresēto pušu pārstāvji.</w:t>
      </w:r>
    </w:p>
    <w:p w14:paraId="31E4AA23" w14:textId="77777777" w:rsidR="007835F2" w:rsidRDefault="007835F2">
      <w:pPr>
        <w:rPr>
          <w:rFonts w:ascii="Times New Roman" w:eastAsia="Times New Roman" w:hAnsi="Times New Roman"/>
          <w:sz w:val="28"/>
          <w:szCs w:val="28"/>
          <w:lang w:eastAsia="lv-LV"/>
        </w:rPr>
      </w:pPr>
      <w:r>
        <w:rPr>
          <w:rFonts w:ascii="Times New Roman" w:eastAsia="Times New Roman" w:hAnsi="Times New Roman"/>
          <w:sz w:val="28"/>
          <w:szCs w:val="28"/>
          <w:lang w:eastAsia="lv-LV"/>
        </w:rPr>
        <w:br w:type="page"/>
      </w:r>
    </w:p>
    <w:p w14:paraId="2C5FCA72" w14:textId="77777777" w:rsidR="008941ED" w:rsidRDefault="007835F2" w:rsidP="007835F2">
      <w:pPr>
        <w:pStyle w:val="Heading1"/>
        <w:rPr>
          <w:rFonts w:eastAsia="Times New Roman"/>
          <w:lang w:eastAsia="lv-LV"/>
        </w:rPr>
      </w:pPr>
      <w:r>
        <w:rPr>
          <w:rFonts w:eastAsia="Times New Roman"/>
          <w:lang w:eastAsia="lv-LV"/>
        </w:rPr>
        <w:t xml:space="preserve">3. </w:t>
      </w:r>
      <w:r w:rsidR="00166009">
        <w:rPr>
          <w:rFonts w:eastAsia="Times New Roman"/>
          <w:lang w:eastAsia="lv-LV"/>
        </w:rPr>
        <w:t>SAMC r</w:t>
      </w:r>
      <w:r>
        <w:rPr>
          <w:rFonts w:eastAsia="Times New Roman"/>
          <w:lang w:eastAsia="lv-LV"/>
        </w:rPr>
        <w:t>eorganizācijas procesa riski</w:t>
      </w:r>
    </w:p>
    <w:p w14:paraId="71E6470F" w14:textId="77777777" w:rsidR="0095085B" w:rsidRDefault="009545C5" w:rsidP="003C73CA">
      <w:pPr>
        <w:jc w:val="both"/>
        <w:rPr>
          <w:rFonts w:ascii="Times New Roman" w:hAnsi="Times New Roman" w:cs="Times New Roman"/>
          <w:sz w:val="28"/>
          <w:szCs w:val="28"/>
          <w:lang w:eastAsia="lv-LV"/>
        </w:rPr>
      </w:pPr>
      <w:r>
        <w:rPr>
          <w:rFonts w:ascii="Times New Roman" w:hAnsi="Times New Roman" w:cs="Times New Roman"/>
          <w:sz w:val="28"/>
          <w:szCs w:val="28"/>
          <w:lang w:eastAsia="lv-LV"/>
        </w:rPr>
        <w:tab/>
        <w:t>Gan LATAK, gan LVS ir dažādu reģionālo un starptautisko institūciju biedri un ir svarīgi, lai reorganizācijas ietvaros to</w:t>
      </w:r>
      <w:r w:rsidR="004F3C90">
        <w:rPr>
          <w:rFonts w:ascii="Times New Roman" w:hAnsi="Times New Roman" w:cs="Times New Roman"/>
          <w:sz w:val="28"/>
          <w:szCs w:val="28"/>
          <w:lang w:eastAsia="lv-LV"/>
        </w:rPr>
        <w:t xml:space="preserve"> statuss un</w:t>
      </w:r>
      <w:r>
        <w:rPr>
          <w:rFonts w:ascii="Times New Roman" w:hAnsi="Times New Roman" w:cs="Times New Roman"/>
          <w:sz w:val="28"/>
          <w:szCs w:val="28"/>
          <w:lang w:eastAsia="lv-LV"/>
        </w:rPr>
        <w:t xml:space="preserve"> darbība šajās organizācijās netiktu negatīvi ietekmēta. Reorganizācijas mērķis ir </w:t>
      </w:r>
      <w:r w:rsidR="0095085B">
        <w:rPr>
          <w:rFonts w:ascii="Times New Roman" w:hAnsi="Times New Roman" w:cs="Times New Roman"/>
          <w:sz w:val="28"/>
          <w:szCs w:val="28"/>
          <w:lang w:eastAsia="lv-LV"/>
        </w:rPr>
        <w:t xml:space="preserve">pilnveidot un </w:t>
      </w:r>
      <w:r>
        <w:rPr>
          <w:rFonts w:ascii="Times New Roman" w:hAnsi="Times New Roman" w:cs="Times New Roman"/>
          <w:sz w:val="28"/>
          <w:szCs w:val="28"/>
          <w:lang w:eastAsia="lv-LV"/>
        </w:rPr>
        <w:t xml:space="preserve">stiprināt </w:t>
      </w:r>
      <w:r w:rsidR="004F3C90">
        <w:rPr>
          <w:rFonts w:ascii="Times New Roman" w:hAnsi="Times New Roman" w:cs="Times New Roman"/>
          <w:sz w:val="28"/>
          <w:szCs w:val="28"/>
          <w:lang w:eastAsia="lv-LV"/>
        </w:rPr>
        <w:t xml:space="preserve">Latvijas </w:t>
      </w:r>
      <w:r w:rsidR="0095085B">
        <w:rPr>
          <w:rFonts w:ascii="Times New Roman" w:hAnsi="Times New Roman" w:cs="Times New Roman"/>
          <w:sz w:val="28"/>
          <w:szCs w:val="28"/>
          <w:lang w:eastAsia="lv-LV"/>
        </w:rPr>
        <w:t xml:space="preserve">akreditācijas un standartizācijas sistēmu funkcionēšanu, tādējādi uzlabojot uzņēmējdarbības vidi un dodot pozitīvu ietekmi valsts tautsaimniecības izaugsmei. Līdz ar to SAMC reorganizācija </w:t>
      </w:r>
      <w:r>
        <w:rPr>
          <w:rFonts w:ascii="Times New Roman" w:hAnsi="Times New Roman" w:cs="Times New Roman"/>
          <w:sz w:val="28"/>
          <w:szCs w:val="28"/>
          <w:lang w:eastAsia="lv-LV"/>
        </w:rPr>
        <w:t xml:space="preserve"> nedrīkst vājināt, ne arī kādā citā veidā negatīvi ietekmēt LATAK un LVS </w:t>
      </w:r>
      <w:r w:rsidR="0095085B">
        <w:rPr>
          <w:rFonts w:ascii="Times New Roman" w:hAnsi="Times New Roman" w:cs="Times New Roman"/>
          <w:sz w:val="28"/>
          <w:szCs w:val="28"/>
          <w:lang w:eastAsia="lv-LV"/>
        </w:rPr>
        <w:t xml:space="preserve">turpmāko darbību. </w:t>
      </w:r>
      <w:r>
        <w:rPr>
          <w:rFonts w:ascii="Times New Roman" w:hAnsi="Times New Roman" w:cs="Times New Roman"/>
          <w:sz w:val="28"/>
          <w:szCs w:val="28"/>
          <w:lang w:eastAsia="lv-LV"/>
        </w:rPr>
        <w:t xml:space="preserve"> </w:t>
      </w:r>
      <w:r w:rsidR="004F3C90">
        <w:rPr>
          <w:rFonts w:ascii="Times New Roman" w:hAnsi="Times New Roman" w:cs="Times New Roman"/>
          <w:sz w:val="28"/>
          <w:szCs w:val="28"/>
          <w:lang w:eastAsia="lv-LV"/>
        </w:rPr>
        <w:t>Attiecīgi</w:t>
      </w:r>
      <w:r w:rsidR="0095085B">
        <w:rPr>
          <w:rFonts w:ascii="Times New Roman" w:hAnsi="Times New Roman" w:cs="Times New Roman"/>
          <w:sz w:val="28"/>
          <w:szCs w:val="28"/>
          <w:lang w:eastAsia="lv-LV"/>
        </w:rPr>
        <w:t>, vērtējot SAMC reorganizācijas iespējamos risinājumus, Ekonom</w:t>
      </w:r>
      <w:r w:rsidR="004F3C90">
        <w:rPr>
          <w:rFonts w:ascii="Times New Roman" w:hAnsi="Times New Roman" w:cs="Times New Roman"/>
          <w:sz w:val="28"/>
          <w:szCs w:val="28"/>
          <w:lang w:eastAsia="lv-LV"/>
        </w:rPr>
        <w:t>ikas ministrija ir identificējus</w:t>
      </w:r>
      <w:r w:rsidR="0095085B">
        <w:rPr>
          <w:rFonts w:ascii="Times New Roman" w:hAnsi="Times New Roman" w:cs="Times New Roman"/>
          <w:sz w:val="28"/>
          <w:szCs w:val="28"/>
          <w:lang w:eastAsia="lv-LV"/>
        </w:rPr>
        <w:t xml:space="preserve">i </w:t>
      </w:r>
      <w:r w:rsidR="004F3C90">
        <w:rPr>
          <w:rFonts w:ascii="Times New Roman" w:hAnsi="Times New Roman" w:cs="Times New Roman"/>
          <w:sz w:val="28"/>
          <w:szCs w:val="28"/>
          <w:lang w:eastAsia="lv-LV"/>
        </w:rPr>
        <w:t xml:space="preserve">šādus </w:t>
      </w:r>
      <w:r w:rsidR="0095085B">
        <w:rPr>
          <w:rFonts w:ascii="Times New Roman" w:hAnsi="Times New Roman" w:cs="Times New Roman"/>
          <w:sz w:val="28"/>
          <w:szCs w:val="28"/>
          <w:lang w:eastAsia="lv-LV"/>
        </w:rPr>
        <w:t>galvenos riskus, kas būtu jāņem vērā:</w:t>
      </w:r>
    </w:p>
    <w:p w14:paraId="2A410DE0" w14:textId="77777777" w:rsidR="00297E9B" w:rsidRDefault="00297E9B" w:rsidP="0095085B">
      <w:pPr>
        <w:pStyle w:val="ListParagraph"/>
        <w:numPr>
          <w:ilvl w:val="0"/>
          <w:numId w:val="17"/>
        </w:numPr>
        <w:jc w:val="both"/>
        <w:rPr>
          <w:rFonts w:ascii="Times New Roman" w:hAnsi="Times New Roman" w:cs="Times New Roman"/>
          <w:sz w:val="28"/>
          <w:szCs w:val="28"/>
          <w:lang w:eastAsia="lv-LV"/>
        </w:rPr>
      </w:pPr>
      <w:r>
        <w:rPr>
          <w:rFonts w:ascii="Times New Roman" w:hAnsi="Times New Roman" w:cs="Times New Roman"/>
          <w:sz w:val="28"/>
          <w:szCs w:val="28"/>
          <w:lang w:eastAsia="lv-LV"/>
        </w:rPr>
        <w:t>Bezpeļņas principa nodrošināšana n</w:t>
      </w:r>
      <w:r w:rsidR="0095085B">
        <w:rPr>
          <w:rFonts w:ascii="Times New Roman" w:hAnsi="Times New Roman" w:cs="Times New Roman"/>
          <w:sz w:val="28"/>
          <w:szCs w:val="28"/>
          <w:lang w:eastAsia="lv-LV"/>
        </w:rPr>
        <w:t xml:space="preserve">acionālās </w:t>
      </w:r>
      <w:r>
        <w:rPr>
          <w:rFonts w:ascii="Times New Roman" w:hAnsi="Times New Roman" w:cs="Times New Roman"/>
          <w:sz w:val="28"/>
          <w:szCs w:val="28"/>
          <w:lang w:eastAsia="lv-LV"/>
        </w:rPr>
        <w:t>akreditācijas institūcija darbā;</w:t>
      </w:r>
    </w:p>
    <w:p w14:paraId="1CBE14EE" w14:textId="77777777" w:rsidR="007E069F" w:rsidRDefault="004F3C90" w:rsidP="0095085B">
      <w:pPr>
        <w:pStyle w:val="ListParagraph"/>
        <w:numPr>
          <w:ilvl w:val="0"/>
          <w:numId w:val="17"/>
        </w:numPr>
        <w:jc w:val="both"/>
        <w:rPr>
          <w:rFonts w:ascii="Times New Roman" w:hAnsi="Times New Roman" w:cs="Times New Roman"/>
          <w:sz w:val="28"/>
          <w:szCs w:val="28"/>
          <w:lang w:eastAsia="lv-LV"/>
        </w:rPr>
      </w:pPr>
      <w:r>
        <w:rPr>
          <w:rFonts w:ascii="Times New Roman" w:hAnsi="Times New Roman" w:cs="Times New Roman"/>
          <w:sz w:val="28"/>
          <w:szCs w:val="28"/>
          <w:lang w:eastAsia="lv-LV"/>
        </w:rPr>
        <w:t>Nacionālo</w:t>
      </w:r>
      <w:r w:rsidR="007E069F" w:rsidRPr="00297E9B">
        <w:rPr>
          <w:rFonts w:ascii="Times New Roman" w:hAnsi="Times New Roman" w:cs="Times New Roman"/>
          <w:sz w:val="28"/>
          <w:szCs w:val="28"/>
          <w:lang w:eastAsia="lv-LV"/>
        </w:rPr>
        <w:t xml:space="preserve"> akreditācijas un standartizācijas institūciju atzīšanas reģionālajās un starptautiskajās institūcijās</w:t>
      </w:r>
      <w:r w:rsidR="007E069F">
        <w:rPr>
          <w:rFonts w:ascii="Times New Roman" w:hAnsi="Times New Roman" w:cs="Times New Roman"/>
          <w:sz w:val="28"/>
          <w:szCs w:val="28"/>
          <w:lang w:eastAsia="lv-LV"/>
        </w:rPr>
        <w:t xml:space="preserve"> </w:t>
      </w:r>
      <w:r w:rsidR="007E069F" w:rsidRPr="00297E9B">
        <w:rPr>
          <w:rFonts w:ascii="Times New Roman" w:hAnsi="Times New Roman" w:cs="Times New Roman"/>
          <w:sz w:val="28"/>
          <w:szCs w:val="28"/>
          <w:lang w:eastAsia="lv-LV"/>
        </w:rPr>
        <w:t>saglabāšana</w:t>
      </w:r>
      <w:r w:rsidR="007E069F">
        <w:rPr>
          <w:rFonts w:ascii="Times New Roman" w:hAnsi="Times New Roman" w:cs="Times New Roman"/>
          <w:sz w:val="28"/>
          <w:szCs w:val="28"/>
          <w:lang w:eastAsia="lv-LV"/>
        </w:rPr>
        <w:t>;</w:t>
      </w:r>
    </w:p>
    <w:p w14:paraId="4335BE09" w14:textId="77777777" w:rsidR="00297E9B" w:rsidRDefault="00297E9B" w:rsidP="009741E7">
      <w:pPr>
        <w:pStyle w:val="ListParagraph"/>
        <w:numPr>
          <w:ilvl w:val="0"/>
          <w:numId w:val="17"/>
        </w:numPr>
        <w:jc w:val="both"/>
        <w:rPr>
          <w:rFonts w:ascii="Times New Roman" w:hAnsi="Times New Roman" w:cs="Times New Roman"/>
          <w:sz w:val="28"/>
          <w:szCs w:val="28"/>
          <w:lang w:eastAsia="lv-LV"/>
        </w:rPr>
      </w:pPr>
      <w:r>
        <w:rPr>
          <w:rFonts w:ascii="Times New Roman" w:hAnsi="Times New Roman" w:cs="Times New Roman"/>
          <w:sz w:val="28"/>
          <w:szCs w:val="28"/>
          <w:lang w:eastAsia="lv-LV"/>
        </w:rPr>
        <w:t>Nacionālās akreditācijas institūcijas darbinieku konkurēts</w:t>
      </w:r>
      <w:r w:rsidR="007E069F">
        <w:rPr>
          <w:rFonts w:ascii="Times New Roman" w:hAnsi="Times New Roman" w:cs="Times New Roman"/>
          <w:sz w:val="28"/>
          <w:szCs w:val="28"/>
          <w:lang w:eastAsia="lv-LV"/>
        </w:rPr>
        <w:t>pējīga atalgojuma nod</w:t>
      </w:r>
      <w:r w:rsidR="00504B81">
        <w:rPr>
          <w:rFonts w:ascii="Times New Roman" w:hAnsi="Times New Roman" w:cs="Times New Roman"/>
          <w:sz w:val="28"/>
          <w:szCs w:val="28"/>
          <w:lang w:eastAsia="lv-LV"/>
        </w:rPr>
        <w:t>rošināšana;</w:t>
      </w:r>
    </w:p>
    <w:p w14:paraId="7FC8355C" w14:textId="77777777" w:rsidR="00504B81" w:rsidRPr="007E069F" w:rsidRDefault="00504B81" w:rsidP="009741E7">
      <w:pPr>
        <w:pStyle w:val="ListParagraph"/>
        <w:numPr>
          <w:ilvl w:val="0"/>
          <w:numId w:val="17"/>
        </w:numPr>
        <w:jc w:val="both"/>
        <w:rPr>
          <w:rFonts w:ascii="Times New Roman" w:hAnsi="Times New Roman" w:cs="Times New Roman"/>
          <w:sz w:val="28"/>
          <w:szCs w:val="28"/>
          <w:lang w:eastAsia="lv-LV"/>
        </w:rPr>
      </w:pPr>
      <w:r>
        <w:rPr>
          <w:rFonts w:ascii="Times New Roman" w:hAnsi="Times New Roman" w:cs="Times New Roman"/>
          <w:sz w:val="28"/>
          <w:szCs w:val="28"/>
          <w:lang w:eastAsia="lv-LV"/>
        </w:rPr>
        <w:t>LATAK admin</w:t>
      </w:r>
      <w:r w:rsidR="004F3C90">
        <w:rPr>
          <w:rFonts w:ascii="Times New Roman" w:hAnsi="Times New Roman" w:cs="Times New Roman"/>
          <w:sz w:val="28"/>
          <w:szCs w:val="28"/>
          <w:lang w:eastAsia="lv-LV"/>
        </w:rPr>
        <w:t>istratīvo funkciju izmaksu optimizēšana</w:t>
      </w:r>
      <w:r>
        <w:rPr>
          <w:rFonts w:ascii="Times New Roman" w:hAnsi="Times New Roman" w:cs="Times New Roman"/>
          <w:sz w:val="28"/>
          <w:szCs w:val="28"/>
          <w:lang w:eastAsia="lv-LV"/>
        </w:rPr>
        <w:t>.</w:t>
      </w:r>
    </w:p>
    <w:p w14:paraId="3EB3FF4F" w14:textId="77777777" w:rsidR="009545C5" w:rsidRDefault="00297E9B" w:rsidP="003C73CA">
      <w:pPr>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[1] </w:t>
      </w:r>
      <w:r w:rsidRPr="00297E9B">
        <w:rPr>
          <w:rFonts w:ascii="Times New Roman" w:hAnsi="Times New Roman" w:cs="Times New Roman"/>
          <w:i/>
          <w:sz w:val="28"/>
          <w:szCs w:val="28"/>
          <w:lang w:eastAsia="lv-LV"/>
        </w:rPr>
        <w:t>Bezpeļņas princips</w:t>
      </w:r>
    </w:p>
    <w:p w14:paraId="1A566154" w14:textId="77777777" w:rsidR="00F6406A" w:rsidRDefault="004F3C90" w:rsidP="003C73CA">
      <w:pPr>
        <w:jc w:val="both"/>
        <w:rPr>
          <w:rFonts w:ascii="Times New Roman" w:hAnsi="Times New Roman" w:cs="Times New Roman"/>
          <w:sz w:val="28"/>
          <w:szCs w:val="28"/>
          <w:lang w:eastAsia="lv-LV"/>
        </w:rPr>
      </w:pPr>
      <w:r>
        <w:rPr>
          <w:rFonts w:ascii="Times New Roman" w:hAnsi="Times New Roman" w:cs="Times New Roman"/>
          <w:sz w:val="28"/>
          <w:szCs w:val="28"/>
          <w:lang w:eastAsia="lv-LV"/>
        </w:rPr>
        <w:tab/>
        <w:t xml:space="preserve">Bezpeļņas </w:t>
      </w:r>
      <w:r w:rsidR="007E1B46">
        <w:rPr>
          <w:rFonts w:ascii="Times New Roman" w:hAnsi="Times New Roman" w:cs="Times New Roman"/>
          <w:sz w:val="28"/>
          <w:szCs w:val="28"/>
          <w:lang w:eastAsia="lv-LV"/>
        </w:rPr>
        <w:t>principa ievērošana nacionālās akreditācijas institūcijas darbā ir fundamentāla prasība</w:t>
      </w:r>
      <w:r w:rsidR="00CB10C5">
        <w:rPr>
          <w:rFonts w:ascii="Times New Roman" w:hAnsi="Times New Roman" w:cs="Times New Roman"/>
          <w:sz w:val="28"/>
          <w:szCs w:val="28"/>
          <w:lang w:eastAsia="lv-LV"/>
        </w:rPr>
        <w:t>, kas nostiprināta Regulā</w:t>
      </w:r>
      <w:r w:rsidR="00CF0BCD">
        <w:rPr>
          <w:rFonts w:ascii="Times New Roman" w:hAnsi="Times New Roman" w:cs="Times New Roman"/>
          <w:sz w:val="28"/>
          <w:szCs w:val="28"/>
          <w:lang w:eastAsia="lv-LV"/>
        </w:rPr>
        <w:t xml:space="preserve">. Tās izpratnē bezpeļņas princips nozīmē, ka akreditācijas darbība nav paredzēta, lai nacionālās akreditācijas institūcijas īpašnieki vai locekļi gūtu kādu labumu. Akreditācijas </w:t>
      </w:r>
      <w:r w:rsidR="0096355C">
        <w:rPr>
          <w:rFonts w:ascii="Times New Roman" w:hAnsi="Times New Roman" w:cs="Times New Roman"/>
          <w:sz w:val="28"/>
          <w:szCs w:val="28"/>
          <w:lang w:eastAsia="lv-LV"/>
        </w:rPr>
        <w:t>mērķis nav palielināt vai izmaksāt peļņu, neskatoties uz to</w:t>
      </w:r>
      <w:r w:rsidR="00CF0BCD">
        <w:rPr>
          <w:rFonts w:ascii="Times New Roman" w:hAnsi="Times New Roman" w:cs="Times New Roman"/>
          <w:sz w:val="28"/>
          <w:szCs w:val="28"/>
          <w:lang w:eastAsia="lv-LV"/>
        </w:rPr>
        <w:t xml:space="preserve">, ka nacionālā akreditācijas institūcija ir tiesīga sniegt publiskus pakalpojumus par samaksu. </w:t>
      </w:r>
      <w:r w:rsidR="00656371">
        <w:rPr>
          <w:rFonts w:ascii="Times New Roman" w:hAnsi="Times New Roman" w:cs="Times New Roman"/>
          <w:sz w:val="28"/>
          <w:szCs w:val="28"/>
          <w:lang w:eastAsia="lv-LV"/>
        </w:rPr>
        <w:t xml:space="preserve">Gadījumā, ja akreditācijas rezultātā tomēr rodas peļņa, tad šī situācija var tikt labota divos veidos: 1) samazinot akreditācijas </w:t>
      </w:r>
      <w:r w:rsidR="00F91197">
        <w:rPr>
          <w:rFonts w:ascii="Times New Roman" w:hAnsi="Times New Roman" w:cs="Times New Roman"/>
          <w:sz w:val="28"/>
          <w:szCs w:val="28"/>
          <w:lang w:eastAsia="lv-LV"/>
        </w:rPr>
        <w:t xml:space="preserve">izmaksas; 2) </w:t>
      </w:r>
      <w:r w:rsidR="0096355C">
        <w:rPr>
          <w:rFonts w:ascii="Times New Roman" w:hAnsi="Times New Roman" w:cs="Times New Roman"/>
          <w:sz w:val="28"/>
          <w:szCs w:val="28"/>
          <w:lang w:eastAsia="lv-LV"/>
        </w:rPr>
        <w:t>invest</w:t>
      </w:r>
      <w:r w:rsidR="00F91197">
        <w:rPr>
          <w:rFonts w:ascii="Times New Roman" w:hAnsi="Times New Roman" w:cs="Times New Roman"/>
          <w:sz w:val="28"/>
          <w:szCs w:val="28"/>
          <w:lang w:eastAsia="lv-LV"/>
        </w:rPr>
        <w:t xml:space="preserve">ējot peļņu nacionālās akreditācijas institūcijas darbības uzlabošanai. </w:t>
      </w:r>
      <w:r w:rsidR="00F6406A">
        <w:rPr>
          <w:rFonts w:ascii="Times New Roman" w:hAnsi="Times New Roman" w:cs="Times New Roman"/>
          <w:sz w:val="28"/>
          <w:szCs w:val="28"/>
          <w:lang w:eastAsia="lv-LV"/>
        </w:rPr>
        <w:t xml:space="preserve">Akreditācijas </w:t>
      </w:r>
      <w:r>
        <w:rPr>
          <w:rFonts w:ascii="Times New Roman" w:hAnsi="Times New Roman" w:cs="Times New Roman"/>
          <w:sz w:val="28"/>
          <w:szCs w:val="28"/>
          <w:lang w:eastAsia="lv-LV"/>
        </w:rPr>
        <w:t>kā viena</w:t>
      </w:r>
      <w:r w:rsidR="00F6406A">
        <w:rPr>
          <w:rFonts w:ascii="Times New Roman" w:hAnsi="Times New Roman" w:cs="Times New Roman"/>
          <w:sz w:val="28"/>
          <w:szCs w:val="28"/>
          <w:lang w:eastAsia="lv-LV"/>
        </w:rPr>
        <w:t xml:space="preserve"> no valsts budžeta ieņēmumu ģenerējošajiem instrumentiem</w:t>
      </w:r>
      <w:r>
        <w:rPr>
          <w:rFonts w:ascii="Times New Roman" w:hAnsi="Times New Roman" w:cs="Times New Roman"/>
          <w:sz w:val="28"/>
          <w:szCs w:val="28"/>
          <w:lang w:eastAsia="lv-LV"/>
        </w:rPr>
        <w:t xml:space="preserve"> izmantošana</w:t>
      </w:r>
      <w:r w:rsidR="00F6406A">
        <w:rPr>
          <w:rFonts w:ascii="Times New Roman" w:hAnsi="Times New Roman" w:cs="Times New Roman"/>
          <w:sz w:val="28"/>
          <w:szCs w:val="28"/>
          <w:lang w:eastAsia="lv-LV"/>
        </w:rPr>
        <w:t>, radītu nopietnas un pamatotas šaub</w:t>
      </w:r>
      <w:r w:rsidR="007E069F">
        <w:rPr>
          <w:rFonts w:ascii="Times New Roman" w:hAnsi="Times New Roman" w:cs="Times New Roman"/>
          <w:sz w:val="28"/>
          <w:szCs w:val="28"/>
          <w:lang w:eastAsia="lv-LV"/>
        </w:rPr>
        <w:t>as par akreditācijas atbilstību Regulā nostiprinātajam mērķim</w:t>
      </w:r>
      <w:r w:rsidR="00F6406A">
        <w:rPr>
          <w:rFonts w:ascii="Times New Roman" w:hAnsi="Times New Roman" w:cs="Times New Roman"/>
          <w:sz w:val="28"/>
          <w:szCs w:val="28"/>
          <w:lang w:eastAsia="lv-LV"/>
        </w:rPr>
        <w:t xml:space="preserve"> </w:t>
      </w:r>
      <w:r w:rsidR="007E069F">
        <w:rPr>
          <w:rFonts w:ascii="Times New Roman" w:hAnsi="Times New Roman" w:cs="Times New Roman"/>
          <w:sz w:val="28"/>
          <w:szCs w:val="28"/>
          <w:lang w:eastAsia="lv-LV"/>
        </w:rPr>
        <w:t xml:space="preserve">attiecībā uz akreditācijas bezpeļņas dabu. </w:t>
      </w:r>
    </w:p>
    <w:p w14:paraId="7EE08F01" w14:textId="77777777" w:rsidR="00F6406A" w:rsidRDefault="00F91197" w:rsidP="003C73CA">
      <w:pPr>
        <w:jc w:val="both"/>
        <w:rPr>
          <w:rFonts w:ascii="Times New Roman" w:hAnsi="Times New Roman" w:cs="Times New Roman"/>
          <w:i/>
          <w:sz w:val="28"/>
          <w:szCs w:val="28"/>
          <w:lang w:eastAsia="lv-LV"/>
        </w:rPr>
      </w:pPr>
      <w:r>
        <w:rPr>
          <w:rFonts w:ascii="Times New Roman" w:hAnsi="Times New Roman" w:cs="Times New Roman"/>
          <w:sz w:val="28"/>
          <w:szCs w:val="28"/>
          <w:lang w:eastAsia="lv-LV"/>
        </w:rPr>
        <w:t xml:space="preserve">[2] </w:t>
      </w:r>
      <w:r>
        <w:rPr>
          <w:rFonts w:ascii="Times New Roman" w:hAnsi="Times New Roman" w:cs="Times New Roman"/>
          <w:i/>
          <w:sz w:val="28"/>
          <w:szCs w:val="28"/>
          <w:lang w:eastAsia="lv-LV"/>
        </w:rPr>
        <w:t>LATAK un LVS starptautiskā atzīšana</w:t>
      </w:r>
    </w:p>
    <w:p w14:paraId="07DB221C" w14:textId="77777777" w:rsidR="00F91197" w:rsidRDefault="00F91197" w:rsidP="003C73CA">
      <w:pPr>
        <w:jc w:val="both"/>
        <w:rPr>
          <w:rFonts w:ascii="Times New Roman" w:hAnsi="Times New Roman" w:cs="Times New Roman"/>
          <w:sz w:val="28"/>
          <w:szCs w:val="28"/>
          <w:lang w:eastAsia="lv-LV"/>
        </w:rPr>
      </w:pPr>
      <w:r>
        <w:rPr>
          <w:rFonts w:ascii="Times New Roman" w:hAnsi="Times New Roman" w:cs="Times New Roman"/>
          <w:sz w:val="28"/>
          <w:szCs w:val="28"/>
          <w:lang w:eastAsia="lv-LV"/>
        </w:rPr>
        <w:tab/>
        <w:t xml:space="preserve">Viens no svarīgākajiem apsvērumiem, kas ir jāņem vērā SAMC reorganizācijas gaitā, ir </w:t>
      </w:r>
      <w:r w:rsidR="00D06F64">
        <w:rPr>
          <w:rFonts w:ascii="Times New Roman" w:hAnsi="Times New Roman" w:cs="Times New Roman"/>
          <w:sz w:val="28"/>
          <w:szCs w:val="28"/>
          <w:lang w:eastAsia="lv-LV"/>
        </w:rPr>
        <w:t>nacionālās akreditācijas institūcijas</w:t>
      </w:r>
      <w:r>
        <w:rPr>
          <w:rFonts w:ascii="Times New Roman" w:hAnsi="Times New Roman" w:cs="Times New Roman"/>
          <w:sz w:val="28"/>
          <w:szCs w:val="28"/>
          <w:lang w:eastAsia="lv-LV"/>
        </w:rPr>
        <w:t xml:space="preserve"> un </w:t>
      </w:r>
      <w:r w:rsidR="00D06F64">
        <w:rPr>
          <w:rFonts w:ascii="Times New Roman" w:hAnsi="Times New Roman" w:cs="Times New Roman"/>
          <w:sz w:val="28"/>
          <w:szCs w:val="28"/>
          <w:lang w:eastAsia="lv-LV"/>
        </w:rPr>
        <w:t>nacionālās standartizācijas institūcijas st</w:t>
      </w:r>
      <w:r>
        <w:rPr>
          <w:rFonts w:ascii="Times New Roman" w:hAnsi="Times New Roman" w:cs="Times New Roman"/>
          <w:sz w:val="28"/>
          <w:szCs w:val="28"/>
          <w:lang w:eastAsia="lv-LV"/>
        </w:rPr>
        <w:t>arptautiskās atzīšanas nepārtrauktība.</w:t>
      </w:r>
      <w:r w:rsidR="002C2626">
        <w:rPr>
          <w:rFonts w:ascii="Times New Roman" w:hAnsi="Times New Roman" w:cs="Times New Roman"/>
          <w:sz w:val="28"/>
          <w:szCs w:val="28"/>
          <w:lang w:eastAsia="lv-LV"/>
        </w:rPr>
        <w:t xml:space="preserve"> </w:t>
      </w:r>
    </w:p>
    <w:p w14:paraId="7CB852AD" w14:textId="77777777" w:rsidR="00F3471D" w:rsidRDefault="00D06F64" w:rsidP="003C73CA">
      <w:pPr>
        <w:jc w:val="both"/>
        <w:rPr>
          <w:rFonts w:ascii="Times New Roman" w:hAnsi="Times New Roman" w:cs="Times New Roman"/>
          <w:sz w:val="28"/>
          <w:szCs w:val="28"/>
          <w:lang w:eastAsia="lv-LV"/>
        </w:rPr>
      </w:pPr>
      <w:r>
        <w:rPr>
          <w:rFonts w:ascii="Times New Roman" w:hAnsi="Times New Roman" w:cs="Times New Roman"/>
          <w:sz w:val="28"/>
          <w:szCs w:val="28"/>
          <w:lang w:eastAsia="lv-LV"/>
        </w:rPr>
        <w:tab/>
        <w:t>Nacionālās akreditācijas institūcijas</w:t>
      </w:r>
      <w:r w:rsidR="002C2626">
        <w:rPr>
          <w:rFonts w:ascii="Times New Roman" w:hAnsi="Times New Roman" w:cs="Times New Roman"/>
          <w:sz w:val="28"/>
          <w:szCs w:val="28"/>
          <w:lang w:eastAsia="lv-LV"/>
        </w:rPr>
        <w:t xml:space="preserve"> gadījumā atzīšanas nosacījumi ir definēti Regulā</w:t>
      </w:r>
      <w:r>
        <w:rPr>
          <w:rFonts w:ascii="Times New Roman" w:hAnsi="Times New Roman" w:cs="Times New Roman"/>
          <w:sz w:val="28"/>
          <w:szCs w:val="28"/>
          <w:lang w:eastAsia="lv-LV"/>
        </w:rPr>
        <w:t>, kas nosaka, ka nacionālajai akreditācijas institūcijai ir jābūt pozitīvi novērtētai no Eiropas akreditācijas struktūras puses</w:t>
      </w:r>
      <w:r w:rsidR="00F57C66">
        <w:rPr>
          <w:rFonts w:ascii="Times New Roman" w:hAnsi="Times New Roman" w:cs="Times New Roman"/>
          <w:sz w:val="28"/>
          <w:szCs w:val="28"/>
          <w:lang w:eastAsia="lv-LV"/>
        </w:rPr>
        <w:t>. Tikai tādā gadījumā tiek uzskatīts, ka nacionālā akreditācijas institūcija ievēro visas saistošās tiesību normas, kas noteiktas Regulā. Tādējādi,</w:t>
      </w:r>
      <w:r w:rsidR="00427D0C">
        <w:rPr>
          <w:rFonts w:ascii="Times New Roman" w:hAnsi="Times New Roman" w:cs="Times New Roman"/>
          <w:sz w:val="28"/>
          <w:szCs w:val="28"/>
          <w:lang w:eastAsia="lv-LV"/>
        </w:rPr>
        <w:t xml:space="preserve"> ievērojot Regulas</w:t>
      </w:r>
      <w:r>
        <w:rPr>
          <w:rFonts w:ascii="Times New Roman" w:hAnsi="Times New Roman" w:cs="Times New Roman"/>
          <w:sz w:val="28"/>
          <w:szCs w:val="28"/>
          <w:lang w:eastAsia="lv-LV"/>
        </w:rPr>
        <w:t xml:space="preserve"> </w:t>
      </w:r>
      <w:r w:rsidR="00F57C66">
        <w:rPr>
          <w:rFonts w:ascii="Times New Roman" w:hAnsi="Times New Roman" w:cs="Times New Roman"/>
          <w:sz w:val="28"/>
          <w:szCs w:val="28"/>
          <w:lang w:eastAsia="lv-LV"/>
        </w:rPr>
        <w:t xml:space="preserve">11.panta otro daļu, nacionālās akreditācijas institūcijas izdotās akreditācijas apliecības un attiecīgi akreditēto atbilstības novērtēšanas institūciju izsniegtie atbilstību apliecinošie dokumenti tiek atzīti visā Eiropas Savienībā. LATAK ir sekmīgi novērtēts no Eiropas akreditācijas struktūras puses </w:t>
      </w:r>
      <w:r w:rsidR="00A31A04">
        <w:rPr>
          <w:rFonts w:ascii="Times New Roman" w:hAnsi="Times New Roman" w:cs="Times New Roman"/>
          <w:sz w:val="28"/>
          <w:szCs w:val="28"/>
          <w:lang w:eastAsia="lv-LV"/>
        </w:rPr>
        <w:t>šādās jomās: kalibrēšana, testēšana, produktu sertificēšana, pārvaldības sistēmu sertificēšana, personu sertificēšana, inspicēšana un verifikācija. Kopumā LATAK ir akreditējusi vairāk nekā 200 atbilstības novērtēšanas institūciju šajās jomās, kuru izsniegtie atbilstību apliecinošie dokumenti tiek atzīti visā Eiropas Savienībā.</w:t>
      </w:r>
      <w:r w:rsidR="00427D0C">
        <w:rPr>
          <w:rFonts w:ascii="Times New Roman" w:hAnsi="Times New Roman" w:cs="Times New Roman"/>
          <w:sz w:val="28"/>
          <w:szCs w:val="28"/>
          <w:lang w:eastAsia="lv-LV"/>
        </w:rPr>
        <w:t xml:space="preserve"> Tāpēc ir ļoti būtiski SAMC reorganizācijas procesā neradīt nacionālās akreditācijas institūcijas darbīb</w:t>
      </w:r>
      <w:r w:rsidR="00F3471D">
        <w:rPr>
          <w:rFonts w:ascii="Times New Roman" w:hAnsi="Times New Roman" w:cs="Times New Roman"/>
          <w:sz w:val="28"/>
          <w:szCs w:val="28"/>
          <w:lang w:eastAsia="lv-LV"/>
        </w:rPr>
        <w:t>as atzīšanas pārtraukumu, jo tam būtu ļoti negatīvas sekas uz:</w:t>
      </w:r>
    </w:p>
    <w:p w14:paraId="4648B421" w14:textId="77777777" w:rsidR="00F3471D" w:rsidRDefault="00F3471D" w:rsidP="00F3471D">
      <w:pPr>
        <w:pStyle w:val="ListParagraph"/>
        <w:numPr>
          <w:ilvl w:val="0"/>
          <w:numId w:val="18"/>
        </w:numPr>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Pašu </w:t>
      </w:r>
      <w:r w:rsidR="00427D0C" w:rsidRPr="00F3471D">
        <w:rPr>
          <w:rFonts w:ascii="Times New Roman" w:hAnsi="Times New Roman" w:cs="Times New Roman"/>
          <w:sz w:val="28"/>
          <w:szCs w:val="28"/>
          <w:lang w:eastAsia="lv-LV"/>
        </w:rPr>
        <w:t xml:space="preserve">akreditēto </w:t>
      </w:r>
      <w:r>
        <w:rPr>
          <w:rFonts w:ascii="Times New Roman" w:hAnsi="Times New Roman" w:cs="Times New Roman"/>
          <w:sz w:val="28"/>
          <w:szCs w:val="28"/>
          <w:lang w:eastAsia="lv-LV"/>
        </w:rPr>
        <w:t xml:space="preserve">atbilstības novērtēšanas </w:t>
      </w:r>
      <w:r w:rsidR="00427D0C" w:rsidRPr="00F3471D">
        <w:rPr>
          <w:rFonts w:ascii="Times New Roman" w:hAnsi="Times New Roman" w:cs="Times New Roman"/>
          <w:sz w:val="28"/>
          <w:szCs w:val="28"/>
          <w:lang w:eastAsia="lv-LV"/>
        </w:rPr>
        <w:t xml:space="preserve">institūciju </w:t>
      </w:r>
      <w:r w:rsidRPr="00F3471D">
        <w:rPr>
          <w:rFonts w:ascii="Times New Roman" w:hAnsi="Times New Roman" w:cs="Times New Roman"/>
          <w:sz w:val="28"/>
          <w:szCs w:val="28"/>
          <w:lang w:eastAsia="lv-LV"/>
        </w:rPr>
        <w:t>darbību</w:t>
      </w:r>
      <w:r>
        <w:rPr>
          <w:rFonts w:ascii="Times New Roman" w:hAnsi="Times New Roman" w:cs="Times New Roman"/>
          <w:sz w:val="28"/>
          <w:szCs w:val="28"/>
          <w:lang w:eastAsia="lv-LV"/>
        </w:rPr>
        <w:t>, jo ne pats atbilstības novērtēšanas process, ne arī tā rezultāts netikt</w:t>
      </w:r>
      <w:r w:rsidR="004F3C90">
        <w:rPr>
          <w:rFonts w:ascii="Times New Roman" w:hAnsi="Times New Roman" w:cs="Times New Roman"/>
          <w:sz w:val="28"/>
          <w:szCs w:val="28"/>
          <w:lang w:eastAsia="lv-LV"/>
        </w:rPr>
        <w:t>u atzīts ārpus Latvijas robežām – l</w:t>
      </w:r>
      <w:r>
        <w:rPr>
          <w:rFonts w:ascii="Times New Roman" w:hAnsi="Times New Roman" w:cs="Times New Roman"/>
          <w:sz w:val="28"/>
          <w:szCs w:val="28"/>
          <w:lang w:eastAsia="lv-LV"/>
        </w:rPr>
        <w:t>īdz ar to pieprasījums pēc šādiem pakalpojumiem būtiski samazinātos;</w:t>
      </w:r>
    </w:p>
    <w:p w14:paraId="6E332470" w14:textId="77777777" w:rsidR="00C67602" w:rsidRDefault="00F3471D" w:rsidP="00F3471D">
      <w:pPr>
        <w:pStyle w:val="ListParagraph"/>
        <w:numPr>
          <w:ilvl w:val="0"/>
          <w:numId w:val="18"/>
        </w:numPr>
        <w:jc w:val="both"/>
        <w:rPr>
          <w:rFonts w:ascii="Times New Roman" w:hAnsi="Times New Roman" w:cs="Times New Roman"/>
          <w:sz w:val="28"/>
          <w:szCs w:val="28"/>
          <w:lang w:eastAsia="lv-LV"/>
        </w:rPr>
      </w:pPr>
      <w:r>
        <w:rPr>
          <w:rFonts w:ascii="Times New Roman" w:hAnsi="Times New Roman" w:cs="Times New Roman"/>
          <w:sz w:val="28"/>
          <w:szCs w:val="28"/>
          <w:lang w:eastAsia="lv-LV"/>
        </w:rPr>
        <w:t>Akreditēto atbilstības novērtēšanas institūciju klientiem, piemēram, dažādu preču ražotājiem un pakalpojumu sniedzējiem</w:t>
      </w:r>
      <w:r w:rsidR="00C67602">
        <w:rPr>
          <w:rFonts w:ascii="Times New Roman" w:hAnsi="Times New Roman" w:cs="Times New Roman"/>
          <w:sz w:val="28"/>
          <w:szCs w:val="28"/>
          <w:lang w:eastAsia="lv-LV"/>
        </w:rPr>
        <w:t>, kuriem būs jāsaņem atbilstības novērtēšanas pakalpojums no jauna un ārpus Latvijas.</w:t>
      </w:r>
    </w:p>
    <w:p w14:paraId="3B09BD58" w14:textId="77777777" w:rsidR="00C67602" w:rsidRDefault="00C67602" w:rsidP="003C73CA">
      <w:pPr>
        <w:jc w:val="both"/>
        <w:rPr>
          <w:rFonts w:ascii="Times New Roman" w:hAnsi="Times New Roman" w:cs="Times New Roman"/>
          <w:sz w:val="28"/>
          <w:szCs w:val="28"/>
          <w:lang w:eastAsia="lv-LV"/>
        </w:rPr>
      </w:pPr>
      <w:r>
        <w:rPr>
          <w:rFonts w:ascii="Times New Roman" w:hAnsi="Times New Roman" w:cs="Times New Roman"/>
          <w:sz w:val="28"/>
          <w:szCs w:val="28"/>
          <w:lang w:eastAsia="lv-LV"/>
        </w:rPr>
        <w:tab/>
        <w:t xml:space="preserve">Tāpēc, ņemot vērā minēto, ir </w:t>
      </w:r>
      <w:r w:rsidR="004F3C90">
        <w:rPr>
          <w:rFonts w:ascii="Times New Roman" w:hAnsi="Times New Roman" w:cs="Times New Roman"/>
          <w:sz w:val="28"/>
          <w:szCs w:val="28"/>
          <w:lang w:eastAsia="lv-LV"/>
        </w:rPr>
        <w:t>skaidrs</w:t>
      </w:r>
      <w:r>
        <w:rPr>
          <w:rFonts w:ascii="Times New Roman" w:hAnsi="Times New Roman" w:cs="Times New Roman"/>
          <w:sz w:val="28"/>
          <w:szCs w:val="28"/>
          <w:lang w:eastAsia="lv-LV"/>
        </w:rPr>
        <w:t xml:space="preserve"> ka sekas nacionālās akreditācijas institūcijas starptautiskās atzīšanas </w:t>
      </w:r>
      <w:r w:rsidR="004F3C90">
        <w:rPr>
          <w:rFonts w:ascii="Times New Roman" w:hAnsi="Times New Roman" w:cs="Times New Roman"/>
          <w:sz w:val="28"/>
          <w:szCs w:val="28"/>
          <w:lang w:eastAsia="lv-LV"/>
        </w:rPr>
        <w:t>pārtraukšanai ir ļoti nozīmīgas. L</w:t>
      </w:r>
      <w:r>
        <w:rPr>
          <w:rFonts w:ascii="Times New Roman" w:hAnsi="Times New Roman" w:cs="Times New Roman"/>
          <w:sz w:val="28"/>
          <w:szCs w:val="28"/>
          <w:lang w:eastAsia="lv-LV"/>
        </w:rPr>
        <w:t>īdz ar to reorganizācijas procesā ir jāievēro maksimālā piesardzība un jāīsteno tāds process, kura ietvaros tiek maksimāli samazināti starptautiskās atzīšanas pārtraukšanas riski.</w:t>
      </w:r>
    </w:p>
    <w:p w14:paraId="7FB1BF18" w14:textId="77777777" w:rsidR="00240694" w:rsidRDefault="00C67602" w:rsidP="003C73CA">
      <w:pPr>
        <w:jc w:val="both"/>
        <w:rPr>
          <w:rFonts w:ascii="Times New Roman" w:hAnsi="Times New Roman" w:cs="Times New Roman"/>
          <w:sz w:val="28"/>
          <w:szCs w:val="28"/>
          <w:lang w:eastAsia="lv-LV"/>
        </w:rPr>
      </w:pPr>
      <w:r>
        <w:rPr>
          <w:rFonts w:ascii="Times New Roman" w:hAnsi="Times New Roman" w:cs="Times New Roman"/>
          <w:sz w:val="28"/>
          <w:szCs w:val="28"/>
          <w:lang w:eastAsia="lv-LV"/>
        </w:rPr>
        <w:tab/>
        <w:t>Kaut gan nacionālās standartizācijas inst</w:t>
      </w:r>
      <w:r w:rsidR="00553D20">
        <w:rPr>
          <w:rFonts w:ascii="Times New Roman" w:hAnsi="Times New Roman" w:cs="Times New Roman"/>
          <w:sz w:val="28"/>
          <w:szCs w:val="28"/>
          <w:lang w:eastAsia="lv-LV"/>
        </w:rPr>
        <w:t>itūcijas starptautiskās atzīšanas pārtraukšanas radītie</w:t>
      </w:r>
      <w:r>
        <w:rPr>
          <w:rFonts w:ascii="Times New Roman" w:hAnsi="Times New Roman" w:cs="Times New Roman"/>
          <w:sz w:val="28"/>
          <w:szCs w:val="28"/>
          <w:lang w:eastAsia="lv-LV"/>
        </w:rPr>
        <w:t xml:space="preserve"> riski nav tik nozīmīgi </w:t>
      </w:r>
      <w:r w:rsidR="00553D20">
        <w:rPr>
          <w:rFonts w:ascii="Times New Roman" w:hAnsi="Times New Roman" w:cs="Times New Roman"/>
          <w:sz w:val="28"/>
          <w:szCs w:val="28"/>
          <w:lang w:eastAsia="lv-LV"/>
        </w:rPr>
        <w:t>kā tie ir akreditācijas gadījumā</w:t>
      </w:r>
      <w:r w:rsidR="00F3471D">
        <w:rPr>
          <w:rFonts w:ascii="Times New Roman" w:hAnsi="Times New Roman" w:cs="Times New Roman"/>
          <w:sz w:val="28"/>
          <w:szCs w:val="28"/>
          <w:lang w:eastAsia="lv-LV"/>
        </w:rPr>
        <w:t xml:space="preserve">, </w:t>
      </w:r>
      <w:r w:rsidR="004F3C90">
        <w:rPr>
          <w:rFonts w:ascii="Times New Roman" w:hAnsi="Times New Roman" w:cs="Times New Roman"/>
          <w:sz w:val="28"/>
          <w:szCs w:val="28"/>
          <w:lang w:eastAsia="lv-LV"/>
        </w:rPr>
        <w:t xml:space="preserve">arī </w:t>
      </w:r>
      <w:r>
        <w:rPr>
          <w:rFonts w:ascii="Times New Roman" w:hAnsi="Times New Roman" w:cs="Times New Roman"/>
          <w:sz w:val="28"/>
          <w:szCs w:val="28"/>
          <w:lang w:eastAsia="lv-LV"/>
        </w:rPr>
        <w:t xml:space="preserve">tie </w:t>
      </w:r>
      <w:r w:rsidR="00F3471D">
        <w:rPr>
          <w:rFonts w:ascii="Times New Roman" w:hAnsi="Times New Roman" w:cs="Times New Roman"/>
          <w:sz w:val="28"/>
          <w:szCs w:val="28"/>
          <w:lang w:eastAsia="lv-LV"/>
        </w:rPr>
        <w:t xml:space="preserve">jebkurā gadījumā </w:t>
      </w:r>
      <w:r w:rsidR="004F3C90">
        <w:rPr>
          <w:rFonts w:ascii="Times New Roman" w:hAnsi="Times New Roman" w:cs="Times New Roman"/>
          <w:sz w:val="28"/>
          <w:szCs w:val="28"/>
          <w:lang w:eastAsia="lv-LV"/>
        </w:rPr>
        <w:t xml:space="preserve">ir </w:t>
      </w:r>
      <w:r>
        <w:rPr>
          <w:rFonts w:ascii="Times New Roman" w:hAnsi="Times New Roman" w:cs="Times New Roman"/>
          <w:sz w:val="28"/>
          <w:szCs w:val="28"/>
          <w:lang w:eastAsia="lv-LV"/>
        </w:rPr>
        <w:t>svarīgi.</w:t>
      </w:r>
      <w:r w:rsidR="007D52A7">
        <w:rPr>
          <w:rFonts w:ascii="Times New Roman" w:hAnsi="Times New Roman" w:cs="Times New Roman"/>
          <w:sz w:val="28"/>
          <w:szCs w:val="28"/>
          <w:lang w:eastAsia="lv-LV"/>
        </w:rPr>
        <w:t xml:space="preserve"> LVS šobrīd ir </w:t>
      </w:r>
      <w:r w:rsidR="008E59A5">
        <w:rPr>
          <w:rFonts w:ascii="Times New Roman" w:hAnsi="Times New Roman" w:cs="Times New Roman"/>
          <w:sz w:val="28"/>
          <w:szCs w:val="28"/>
          <w:lang w:eastAsia="lv-LV"/>
        </w:rPr>
        <w:t>Eiropas standartizācijas organizāciju – CEN un CENELEC biedrs</w:t>
      </w:r>
      <w:r w:rsidR="00273FB0">
        <w:rPr>
          <w:rFonts w:ascii="Times New Roman" w:hAnsi="Times New Roman" w:cs="Times New Roman"/>
          <w:sz w:val="28"/>
          <w:szCs w:val="28"/>
          <w:lang w:eastAsia="lv-LV"/>
        </w:rPr>
        <w:t xml:space="preserve">, līdz ar to </w:t>
      </w:r>
      <w:r w:rsidR="004F3C90">
        <w:rPr>
          <w:rFonts w:ascii="Times New Roman" w:hAnsi="Times New Roman" w:cs="Times New Roman"/>
          <w:sz w:val="28"/>
          <w:szCs w:val="28"/>
          <w:lang w:eastAsia="lv-LV"/>
        </w:rPr>
        <w:t xml:space="preserve">LVS </w:t>
      </w:r>
      <w:r w:rsidR="00273FB0">
        <w:rPr>
          <w:rFonts w:ascii="Times New Roman" w:hAnsi="Times New Roman" w:cs="Times New Roman"/>
          <w:sz w:val="28"/>
          <w:szCs w:val="28"/>
          <w:lang w:eastAsia="lv-LV"/>
        </w:rPr>
        <w:t xml:space="preserve">nodrošina pieeju šo organizāciju apstiprinātajiem </w:t>
      </w:r>
      <w:r w:rsidR="00240694">
        <w:rPr>
          <w:rFonts w:ascii="Times New Roman" w:hAnsi="Times New Roman" w:cs="Times New Roman"/>
          <w:sz w:val="28"/>
          <w:szCs w:val="28"/>
          <w:lang w:eastAsia="lv-LV"/>
        </w:rPr>
        <w:t xml:space="preserve">Eiropas </w:t>
      </w:r>
      <w:r w:rsidR="00273FB0">
        <w:rPr>
          <w:rFonts w:ascii="Times New Roman" w:hAnsi="Times New Roman" w:cs="Times New Roman"/>
          <w:sz w:val="28"/>
          <w:szCs w:val="28"/>
          <w:lang w:eastAsia="lv-LV"/>
        </w:rPr>
        <w:t xml:space="preserve">standartiem. </w:t>
      </w:r>
      <w:r w:rsidR="00240694">
        <w:rPr>
          <w:rFonts w:ascii="Times New Roman" w:hAnsi="Times New Roman" w:cs="Times New Roman"/>
          <w:sz w:val="28"/>
          <w:szCs w:val="28"/>
          <w:lang w:eastAsia="lv-LV"/>
        </w:rPr>
        <w:t>Pieejas nodrošināšana šiem standartiem ir būtiska šādu apsvērumu dēļ:</w:t>
      </w:r>
    </w:p>
    <w:p w14:paraId="60FCEBA9" w14:textId="77777777" w:rsidR="00273FB0" w:rsidRDefault="00240694" w:rsidP="003C73CA">
      <w:pPr>
        <w:pStyle w:val="ListParagraph"/>
        <w:numPr>
          <w:ilvl w:val="0"/>
          <w:numId w:val="19"/>
        </w:numPr>
        <w:jc w:val="both"/>
        <w:rPr>
          <w:rFonts w:ascii="Times New Roman" w:hAnsi="Times New Roman" w:cs="Times New Roman"/>
          <w:sz w:val="28"/>
          <w:szCs w:val="28"/>
          <w:lang w:eastAsia="lv-LV"/>
        </w:rPr>
      </w:pPr>
      <w:r>
        <w:rPr>
          <w:rFonts w:ascii="Times New Roman" w:hAnsi="Times New Roman" w:cs="Times New Roman"/>
          <w:sz w:val="28"/>
          <w:szCs w:val="28"/>
          <w:lang w:eastAsia="lv-LV"/>
        </w:rPr>
        <w:t>Virknē normatīvaj</w:t>
      </w:r>
      <w:r w:rsidR="004F3C90">
        <w:rPr>
          <w:rFonts w:ascii="Times New Roman" w:hAnsi="Times New Roman" w:cs="Times New Roman"/>
          <w:sz w:val="28"/>
          <w:szCs w:val="28"/>
          <w:lang w:eastAsia="lv-LV"/>
        </w:rPr>
        <w:t>os aktos tiek veidotas atsauces</w:t>
      </w:r>
      <w:r>
        <w:rPr>
          <w:rFonts w:ascii="Times New Roman" w:hAnsi="Times New Roman" w:cs="Times New Roman"/>
          <w:sz w:val="28"/>
          <w:szCs w:val="28"/>
          <w:lang w:eastAsia="lv-LV"/>
        </w:rPr>
        <w:t xml:space="preserve"> </w:t>
      </w:r>
      <w:r w:rsidR="004F3C90">
        <w:rPr>
          <w:rFonts w:ascii="Times New Roman" w:hAnsi="Times New Roman" w:cs="Times New Roman"/>
          <w:sz w:val="28"/>
          <w:szCs w:val="28"/>
          <w:lang w:eastAsia="lv-LV"/>
        </w:rPr>
        <w:t>(</w:t>
      </w:r>
      <w:r>
        <w:rPr>
          <w:rFonts w:ascii="Times New Roman" w:hAnsi="Times New Roman" w:cs="Times New Roman"/>
          <w:sz w:val="28"/>
          <w:szCs w:val="28"/>
          <w:lang w:eastAsia="lv-LV"/>
        </w:rPr>
        <w:t>gan tiešās, gan arī netiešās</w:t>
      </w:r>
      <w:r w:rsidR="004F3C90">
        <w:rPr>
          <w:rFonts w:ascii="Times New Roman" w:hAnsi="Times New Roman" w:cs="Times New Roman"/>
          <w:sz w:val="28"/>
          <w:szCs w:val="28"/>
          <w:lang w:eastAsia="lv-LV"/>
        </w:rPr>
        <w:t>)</w:t>
      </w:r>
      <w:r>
        <w:rPr>
          <w:rFonts w:ascii="Times New Roman" w:hAnsi="Times New Roman" w:cs="Times New Roman"/>
          <w:sz w:val="28"/>
          <w:szCs w:val="28"/>
          <w:lang w:eastAsia="lv-LV"/>
        </w:rPr>
        <w:t xml:space="preserve"> uz Eiropas standartiem, līdz ar to valsts pienākums ir nodrošināt pieeju pie attiecīgajiem standartiem. </w:t>
      </w:r>
    </w:p>
    <w:p w14:paraId="61E99A9E" w14:textId="77777777" w:rsidR="00240694" w:rsidRPr="00240694" w:rsidRDefault="00B4704C" w:rsidP="003C73CA">
      <w:pPr>
        <w:pStyle w:val="ListParagraph"/>
        <w:numPr>
          <w:ilvl w:val="0"/>
          <w:numId w:val="19"/>
        </w:numPr>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Atbilstoši Preču un pakalpojumu drošuma likuma tiesību normām standarti tiek izmantoti preču un pakalpojumu drošuma vērtēšanas procesā, ja normatīvajos aktos nav noteiktas attiecīgās preces vai pakalpojuma </w:t>
      </w:r>
      <w:r w:rsidR="00F40E2E">
        <w:rPr>
          <w:rFonts w:ascii="Times New Roman" w:hAnsi="Times New Roman" w:cs="Times New Roman"/>
          <w:sz w:val="28"/>
          <w:szCs w:val="28"/>
          <w:lang w:eastAsia="lv-LV"/>
        </w:rPr>
        <w:t>speciālās prasības.</w:t>
      </w:r>
    </w:p>
    <w:p w14:paraId="59DD92A3" w14:textId="77777777" w:rsidR="00CE0692" w:rsidRDefault="00F40E2E" w:rsidP="003C73CA">
      <w:pPr>
        <w:jc w:val="both"/>
        <w:rPr>
          <w:rFonts w:ascii="Times New Roman" w:hAnsi="Times New Roman" w:cs="Times New Roman"/>
          <w:sz w:val="28"/>
          <w:szCs w:val="28"/>
          <w:lang w:eastAsia="lv-LV"/>
        </w:rPr>
      </w:pPr>
      <w:r>
        <w:rPr>
          <w:rFonts w:ascii="Times New Roman" w:hAnsi="Times New Roman" w:cs="Times New Roman"/>
          <w:sz w:val="28"/>
          <w:szCs w:val="28"/>
          <w:lang w:eastAsia="lv-LV"/>
        </w:rPr>
        <w:tab/>
      </w:r>
      <w:r w:rsidR="00B4704C">
        <w:rPr>
          <w:rFonts w:ascii="Times New Roman" w:hAnsi="Times New Roman" w:cs="Times New Roman"/>
          <w:sz w:val="28"/>
          <w:szCs w:val="28"/>
          <w:lang w:eastAsia="lv-LV"/>
        </w:rPr>
        <w:t xml:space="preserve">Faktiski </w:t>
      </w:r>
      <w:r w:rsidR="004F3C90">
        <w:rPr>
          <w:rFonts w:ascii="Times New Roman" w:hAnsi="Times New Roman" w:cs="Times New Roman"/>
          <w:sz w:val="28"/>
          <w:szCs w:val="28"/>
          <w:lang w:eastAsia="lv-LV"/>
        </w:rPr>
        <w:t xml:space="preserve">šādas </w:t>
      </w:r>
      <w:r w:rsidR="00B4704C">
        <w:rPr>
          <w:rFonts w:ascii="Times New Roman" w:hAnsi="Times New Roman" w:cs="Times New Roman"/>
          <w:sz w:val="28"/>
          <w:szCs w:val="28"/>
          <w:lang w:eastAsia="lv-LV"/>
        </w:rPr>
        <w:t xml:space="preserve">pieejas nenodrošināšanas gadījumā </w:t>
      </w:r>
      <w:r>
        <w:rPr>
          <w:rFonts w:ascii="Times New Roman" w:hAnsi="Times New Roman" w:cs="Times New Roman"/>
          <w:sz w:val="28"/>
          <w:szCs w:val="28"/>
          <w:lang w:eastAsia="lv-LV"/>
        </w:rPr>
        <w:t>rastos situācija, ka</w:t>
      </w:r>
      <w:r w:rsidR="004F3C90">
        <w:rPr>
          <w:rFonts w:ascii="Times New Roman" w:hAnsi="Times New Roman" w:cs="Times New Roman"/>
          <w:sz w:val="28"/>
          <w:szCs w:val="28"/>
          <w:lang w:eastAsia="lv-LV"/>
        </w:rPr>
        <w:t xml:space="preserve"> attiecīgo normatīvo aktu subjektiem netiktu nodrošināta iespēja </w:t>
      </w:r>
      <w:r w:rsidR="00CE0692">
        <w:rPr>
          <w:rFonts w:ascii="Times New Roman" w:hAnsi="Times New Roman" w:cs="Times New Roman"/>
          <w:sz w:val="28"/>
          <w:szCs w:val="28"/>
          <w:lang w:eastAsia="lv-LV"/>
        </w:rPr>
        <w:t>ievērot</w:t>
      </w:r>
      <w:r w:rsidR="004F3C90">
        <w:rPr>
          <w:rFonts w:ascii="Times New Roman" w:hAnsi="Times New Roman" w:cs="Times New Roman"/>
          <w:sz w:val="28"/>
          <w:szCs w:val="28"/>
          <w:lang w:eastAsia="lv-LV"/>
        </w:rPr>
        <w:t xml:space="preserve"> normatīvajos aktos noteiktās prasības</w:t>
      </w:r>
      <w:r w:rsidR="00CE0692">
        <w:rPr>
          <w:rFonts w:ascii="Times New Roman" w:hAnsi="Times New Roman" w:cs="Times New Roman"/>
          <w:sz w:val="28"/>
          <w:szCs w:val="28"/>
          <w:lang w:eastAsia="lv-LV"/>
        </w:rPr>
        <w:t xml:space="preserve">. </w:t>
      </w:r>
    </w:p>
    <w:p w14:paraId="244F5EFE" w14:textId="77777777" w:rsidR="00CE0692" w:rsidRDefault="00D728B1" w:rsidP="003C73CA">
      <w:pPr>
        <w:jc w:val="both"/>
        <w:rPr>
          <w:rFonts w:ascii="Times New Roman" w:hAnsi="Times New Roman" w:cs="Times New Roman"/>
          <w:i/>
          <w:sz w:val="28"/>
          <w:szCs w:val="28"/>
          <w:lang w:eastAsia="lv-LV"/>
        </w:rPr>
      </w:pPr>
      <w:r>
        <w:rPr>
          <w:rFonts w:ascii="Times New Roman" w:hAnsi="Times New Roman" w:cs="Times New Roman"/>
          <w:sz w:val="28"/>
          <w:szCs w:val="28"/>
          <w:lang w:eastAsia="lv-LV"/>
        </w:rPr>
        <w:t>[3]</w:t>
      </w:r>
      <w:r>
        <w:rPr>
          <w:rFonts w:ascii="Times New Roman" w:hAnsi="Times New Roman" w:cs="Times New Roman"/>
          <w:sz w:val="28"/>
          <w:szCs w:val="28"/>
          <w:lang w:eastAsia="lv-LV"/>
        </w:rPr>
        <w:tab/>
      </w:r>
      <w:r w:rsidRPr="00EC2601">
        <w:rPr>
          <w:rFonts w:ascii="Times New Roman" w:hAnsi="Times New Roman" w:cs="Times New Roman"/>
          <w:i/>
          <w:sz w:val="28"/>
          <w:szCs w:val="28"/>
          <w:lang w:eastAsia="lv-LV"/>
        </w:rPr>
        <w:t>LATAK darbi</w:t>
      </w:r>
      <w:r w:rsidR="00EC2601" w:rsidRPr="00EC2601">
        <w:rPr>
          <w:rFonts w:ascii="Times New Roman" w:hAnsi="Times New Roman" w:cs="Times New Roman"/>
          <w:i/>
          <w:sz w:val="28"/>
          <w:szCs w:val="28"/>
          <w:lang w:eastAsia="lv-LV"/>
        </w:rPr>
        <w:t>nieku atalgojums</w:t>
      </w:r>
    </w:p>
    <w:p w14:paraId="13FBFFB5" w14:textId="77777777" w:rsidR="00D00748" w:rsidRDefault="00B5097D" w:rsidP="003C73CA">
      <w:pPr>
        <w:jc w:val="both"/>
        <w:rPr>
          <w:rFonts w:ascii="Times New Roman" w:hAnsi="Times New Roman" w:cs="Times New Roman"/>
          <w:sz w:val="28"/>
          <w:szCs w:val="28"/>
          <w:lang w:eastAsia="lv-LV"/>
        </w:rPr>
      </w:pPr>
      <w:r>
        <w:rPr>
          <w:rFonts w:ascii="Times New Roman" w:hAnsi="Times New Roman" w:cs="Times New Roman"/>
          <w:sz w:val="28"/>
          <w:szCs w:val="28"/>
          <w:lang w:eastAsia="lv-LV"/>
        </w:rPr>
        <w:tab/>
        <w:t xml:space="preserve">Vispirms </w:t>
      </w:r>
      <w:r w:rsidR="00D708E5">
        <w:rPr>
          <w:rFonts w:ascii="Times New Roman" w:hAnsi="Times New Roman" w:cs="Times New Roman"/>
          <w:sz w:val="28"/>
          <w:szCs w:val="28"/>
          <w:lang w:eastAsia="lv-LV"/>
        </w:rPr>
        <w:t xml:space="preserve">un pats būtiskākais apskatot šo risku </w:t>
      </w:r>
      <w:r>
        <w:rPr>
          <w:rFonts w:ascii="Times New Roman" w:hAnsi="Times New Roman" w:cs="Times New Roman"/>
          <w:sz w:val="28"/>
          <w:szCs w:val="28"/>
          <w:lang w:eastAsia="lv-LV"/>
        </w:rPr>
        <w:t xml:space="preserve">ir svarīgi izprast akreditācijas lomu </w:t>
      </w:r>
      <w:r w:rsidR="00D007A9">
        <w:rPr>
          <w:rFonts w:ascii="Times New Roman" w:hAnsi="Times New Roman" w:cs="Times New Roman"/>
          <w:sz w:val="28"/>
          <w:szCs w:val="28"/>
          <w:lang w:eastAsia="lv-LV"/>
        </w:rPr>
        <w:t>un nozīmi tautsaimniecībā</w:t>
      </w:r>
      <w:r w:rsidR="00796F93">
        <w:rPr>
          <w:rFonts w:ascii="Times New Roman" w:hAnsi="Times New Roman" w:cs="Times New Roman"/>
          <w:sz w:val="28"/>
          <w:szCs w:val="28"/>
          <w:lang w:eastAsia="lv-LV"/>
        </w:rPr>
        <w:t xml:space="preserve">. </w:t>
      </w:r>
      <w:r w:rsidR="007803DF">
        <w:rPr>
          <w:rFonts w:ascii="Times New Roman" w:hAnsi="Times New Roman" w:cs="Times New Roman"/>
          <w:sz w:val="28"/>
          <w:szCs w:val="28"/>
          <w:lang w:eastAsia="lv-LV"/>
        </w:rPr>
        <w:t>Regulāri</w:t>
      </w:r>
      <w:r w:rsidR="00D00748">
        <w:rPr>
          <w:rFonts w:ascii="Times New Roman" w:hAnsi="Times New Roman" w:cs="Times New Roman"/>
          <w:sz w:val="28"/>
          <w:szCs w:val="28"/>
          <w:lang w:eastAsia="lv-LV"/>
        </w:rPr>
        <w:t>, gan vietējās, gan arī pārrobežu tirdzniecības un pakalpojumu sniegšanas kontekstā, sabiedrībā saskaramies ar jautājumu par dažādu sertifikātu, test</w:t>
      </w:r>
      <w:r w:rsidR="004F3C90">
        <w:rPr>
          <w:rFonts w:ascii="Times New Roman" w:hAnsi="Times New Roman" w:cs="Times New Roman"/>
          <w:sz w:val="28"/>
          <w:szCs w:val="28"/>
          <w:lang w:eastAsia="lv-LV"/>
        </w:rPr>
        <w:t>ēšanas pārskatu, atzinumu, utt.</w:t>
      </w:r>
      <w:r w:rsidR="00D00748">
        <w:rPr>
          <w:rFonts w:ascii="Times New Roman" w:hAnsi="Times New Roman" w:cs="Times New Roman"/>
          <w:sz w:val="28"/>
          <w:szCs w:val="28"/>
          <w:lang w:eastAsia="lv-LV"/>
        </w:rPr>
        <w:t xml:space="preserve"> nepieciešamību. Visus minētos dokumentus izsniedz atbilstības novērtēšanas</w:t>
      </w:r>
      <w:r w:rsidR="004F3C90">
        <w:rPr>
          <w:rFonts w:ascii="Times New Roman" w:hAnsi="Times New Roman" w:cs="Times New Roman"/>
          <w:sz w:val="28"/>
          <w:szCs w:val="28"/>
          <w:lang w:eastAsia="lv-LV"/>
        </w:rPr>
        <w:t xml:space="preserve"> institūcijas, t.i.</w:t>
      </w:r>
      <w:r w:rsidR="00D00748">
        <w:rPr>
          <w:rFonts w:ascii="Times New Roman" w:hAnsi="Times New Roman" w:cs="Times New Roman"/>
          <w:sz w:val="28"/>
          <w:szCs w:val="28"/>
          <w:lang w:eastAsia="lv-LV"/>
        </w:rPr>
        <w:t xml:space="preserve">, sertifikācijas institūcijas, testēšanas  laboratorijas, inspicēšanas </w:t>
      </w:r>
      <w:r w:rsidR="004F3C90">
        <w:rPr>
          <w:rFonts w:ascii="Times New Roman" w:hAnsi="Times New Roman" w:cs="Times New Roman"/>
          <w:sz w:val="28"/>
          <w:szCs w:val="28"/>
          <w:lang w:eastAsia="lv-LV"/>
        </w:rPr>
        <w:t>institūcijas, kuru</w:t>
      </w:r>
      <w:r w:rsidR="00275ECA">
        <w:rPr>
          <w:rFonts w:ascii="Times New Roman" w:hAnsi="Times New Roman" w:cs="Times New Roman"/>
          <w:sz w:val="28"/>
          <w:szCs w:val="28"/>
          <w:lang w:eastAsia="lv-LV"/>
        </w:rPr>
        <w:t xml:space="preserve"> kompetenci un spējas veikt attiecīgās atbilstības novērtēšanas darbības ir novērtējis LATAK. </w:t>
      </w:r>
      <w:r w:rsidR="000A47C2">
        <w:rPr>
          <w:rFonts w:ascii="Times New Roman" w:hAnsi="Times New Roman" w:cs="Times New Roman"/>
          <w:sz w:val="28"/>
          <w:szCs w:val="28"/>
          <w:lang w:eastAsia="lv-LV"/>
        </w:rPr>
        <w:t>Tāpēc LATAK faktiski ir viens no augstākajiem elementiem kvalitātes infrastruktūras nodrošināšanā un lielā mērā no tā darba kvalitātes ir atkarīga atbilstības institūciju darba rezultāts</w:t>
      </w:r>
      <w:r w:rsidR="00D56D15">
        <w:rPr>
          <w:rFonts w:ascii="Times New Roman" w:hAnsi="Times New Roman" w:cs="Times New Roman"/>
          <w:sz w:val="28"/>
          <w:szCs w:val="28"/>
          <w:lang w:eastAsia="lv-LV"/>
        </w:rPr>
        <w:t>, kas savukārt atspoguļojās preč</w:t>
      </w:r>
      <w:r w:rsidR="000A47C2">
        <w:rPr>
          <w:rFonts w:ascii="Times New Roman" w:hAnsi="Times New Roman" w:cs="Times New Roman"/>
          <w:sz w:val="28"/>
          <w:szCs w:val="28"/>
          <w:lang w:eastAsia="lv-LV"/>
        </w:rPr>
        <w:t>u, pakalpojumu un procesu drošumā, kvalitātē un uzticamībā.</w:t>
      </w:r>
      <w:r w:rsidR="008076F8">
        <w:rPr>
          <w:rFonts w:ascii="Times New Roman" w:hAnsi="Times New Roman" w:cs="Times New Roman"/>
          <w:sz w:val="28"/>
          <w:szCs w:val="28"/>
          <w:lang w:eastAsia="lv-LV"/>
        </w:rPr>
        <w:t xml:space="preserve"> Vienlaikus akreditācija ir būtisks elements godīgas konkurences veicināšanā un starptautiskās t</w:t>
      </w:r>
      <w:r w:rsidR="004F3C90">
        <w:rPr>
          <w:rFonts w:ascii="Times New Roman" w:hAnsi="Times New Roman" w:cs="Times New Roman"/>
          <w:sz w:val="28"/>
          <w:szCs w:val="28"/>
          <w:lang w:eastAsia="lv-LV"/>
        </w:rPr>
        <w:t>irdzniecības šķēršļu mazināšanā</w:t>
      </w:r>
      <w:r w:rsidR="008076F8">
        <w:rPr>
          <w:rFonts w:ascii="Times New Roman" w:hAnsi="Times New Roman" w:cs="Times New Roman"/>
          <w:sz w:val="28"/>
          <w:szCs w:val="28"/>
          <w:lang w:eastAsia="lv-LV"/>
        </w:rPr>
        <w:t>, kā arī nodrošina br</w:t>
      </w:r>
      <w:r w:rsidR="004F3C90">
        <w:rPr>
          <w:rFonts w:ascii="Times New Roman" w:hAnsi="Times New Roman" w:cs="Times New Roman"/>
          <w:sz w:val="28"/>
          <w:szCs w:val="28"/>
          <w:lang w:eastAsia="lv-LV"/>
        </w:rPr>
        <w:t>īvu preču un pakalpojumu apriti</w:t>
      </w:r>
      <w:r w:rsidR="008076F8">
        <w:rPr>
          <w:rFonts w:ascii="Times New Roman" w:hAnsi="Times New Roman" w:cs="Times New Roman"/>
          <w:sz w:val="28"/>
          <w:szCs w:val="28"/>
          <w:lang w:eastAsia="lv-LV"/>
        </w:rPr>
        <w:t xml:space="preserve"> Eiropas Savienības ietvaros.</w:t>
      </w:r>
    </w:p>
    <w:p w14:paraId="5F090696" w14:textId="72D8BBA4" w:rsidR="0090146B" w:rsidRDefault="00F54802" w:rsidP="00D61E48">
      <w:pPr>
        <w:jc w:val="both"/>
        <w:rPr>
          <w:rFonts w:ascii="Times New Roman" w:hAnsi="Times New Roman" w:cs="Times New Roman"/>
          <w:sz w:val="28"/>
          <w:szCs w:val="28"/>
          <w:lang w:eastAsia="lv-LV"/>
        </w:rPr>
      </w:pPr>
      <w:r>
        <w:rPr>
          <w:rFonts w:ascii="Times New Roman" w:hAnsi="Times New Roman" w:cs="Times New Roman"/>
          <w:sz w:val="28"/>
          <w:szCs w:val="28"/>
          <w:lang w:eastAsia="lv-LV"/>
        </w:rPr>
        <w:tab/>
        <w:t>LATAK vārdā atbilstības novērtēšanas institūciju novērtēšanu veic</w:t>
      </w:r>
      <w:r w:rsidR="008076F8">
        <w:rPr>
          <w:rFonts w:ascii="Times New Roman" w:hAnsi="Times New Roman" w:cs="Times New Roman"/>
          <w:sz w:val="28"/>
          <w:szCs w:val="28"/>
          <w:lang w:eastAsia="lv-LV"/>
        </w:rPr>
        <w:t xml:space="preserve"> vērtētāju komanda, kurā var ietilpt gan vērtētāji, gan arī</w:t>
      </w:r>
      <w:r>
        <w:rPr>
          <w:rFonts w:ascii="Times New Roman" w:hAnsi="Times New Roman" w:cs="Times New Roman"/>
          <w:sz w:val="28"/>
          <w:szCs w:val="28"/>
          <w:lang w:eastAsia="lv-LV"/>
        </w:rPr>
        <w:t xml:space="preserve"> vadošie vērtē</w:t>
      </w:r>
      <w:r w:rsidR="00BA320A">
        <w:rPr>
          <w:rFonts w:ascii="Times New Roman" w:hAnsi="Times New Roman" w:cs="Times New Roman"/>
          <w:sz w:val="28"/>
          <w:szCs w:val="28"/>
          <w:lang w:eastAsia="lv-LV"/>
        </w:rPr>
        <w:t xml:space="preserve">tāji, kuri darba tirgū </w:t>
      </w:r>
      <w:r>
        <w:rPr>
          <w:rFonts w:ascii="Times New Roman" w:hAnsi="Times New Roman" w:cs="Times New Roman"/>
          <w:sz w:val="28"/>
          <w:szCs w:val="28"/>
          <w:lang w:eastAsia="lv-LV"/>
        </w:rPr>
        <w:t>konkurē</w:t>
      </w:r>
      <w:r w:rsidR="000A47C2">
        <w:rPr>
          <w:rFonts w:ascii="Times New Roman" w:hAnsi="Times New Roman" w:cs="Times New Roman"/>
          <w:sz w:val="28"/>
          <w:szCs w:val="28"/>
          <w:lang w:eastAsia="lv-LV"/>
        </w:rPr>
        <w:t xml:space="preserve"> ar auditoriem un vērtētājiem privātajā sektorā. Tāpēc, lai saglabātu LATAK augsto kompetences līmeni</w:t>
      </w:r>
      <w:r w:rsidR="008076F8">
        <w:rPr>
          <w:rFonts w:ascii="Times New Roman" w:hAnsi="Times New Roman" w:cs="Times New Roman"/>
          <w:sz w:val="28"/>
          <w:szCs w:val="28"/>
          <w:lang w:eastAsia="lv-LV"/>
        </w:rPr>
        <w:t xml:space="preserve">, </w:t>
      </w:r>
      <w:r w:rsidR="00197D31">
        <w:rPr>
          <w:rFonts w:ascii="Times New Roman" w:hAnsi="Times New Roman" w:cs="Times New Roman"/>
          <w:sz w:val="28"/>
          <w:szCs w:val="28"/>
          <w:lang w:eastAsia="lv-LV"/>
        </w:rPr>
        <w:t xml:space="preserve">tādējādi </w:t>
      </w:r>
      <w:r w:rsidR="008076F8">
        <w:rPr>
          <w:rFonts w:ascii="Times New Roman" w:hAnsi="Times New Roman" w:cs="Times New Roman"/>
          <w:sz w:val="28"/>
          <w:szCs w:val="28"/>
          <w:lang w:eastAsia="lv-LV"/>
        </w:rPr>
        <w:t>saglabājot</w:t>
      </w:r>
      <w:r w:rsidR="00197D31">
        <w:rPr>
          <w:rFonts w:ascii="Times New Roman" w:hAnsi="Times New Roman" w:cs="Times New Roman"/>
          <w:sz w:val="28"/>
          <w:szCs w:val="28"/>
          <w:lang w:eastAsia="lv-LV"/>
        </w:rPr>
        <w:t xml:space="preserve"> arī kopējo atbilstības novērtēšanas sistēmas līmeni, </w:t>
      </w:r>
      <w:r w:rsidR="000A47C2">
        <w:rPr>
          <w:rFonts w:ascii="Times New Roman" w:hAnsi="Times New Roman" w:cs="Times New Roman"/>
          <w:sz w:val="28"/>
          <w:szCs w:val="28"/>
          <w:lang w:eastAsia="lv-LV"/>
        </w:rPr>
        <w:t>ir svarīg</w:t>
      </w:r>
      <w:r w:rsidR="00197D31">
        <w:rPr>
          <w:rFonts w:ascii="Times New Roman" w:hAnsi="Times New Roman" w:cs="Times New Roman"/>
          <w:sz w:val="28"/>
          <w:szCs w:val="28"/>
          <w:lang w:eastAsia="lv-LV"/>
        </w:rPr>
        <w:t xml:space="preserve">i, lai LATAK </w:t>
      </w:r>
      <w:r w:rsidR="00BE3542">
        <w:rPr>
          <w:rFonts w:ascii="Times New Roman" w:hAnsi="Times New Roman" w:cs="Times New Roman"/>
          <w:sz w:val="28"/>
          <w:szCs w:val="28"/>
          <w:lang w:eastAsia="lv-LV"/>
        </w:rPr>
        <w:t xml:space="preserve">darbiniekiem tiktu </w:t>
      </w:r>
      <w:r w:rsidR="004F3C90">
        <w:rPr>
          <w:rFonts w:ascii="Times New Roman" w:hAnsi="Times New Roman" w:cs="Times New Roman"/>
          <w:sz w:val="28"/>
          <w:szCs w:val="28"/>
          <w:lang w:eastAsia="lv-LV"/>
        </w:rPr>
        <w:t>nodrošināts</w:t>
      </w:r>
      <w:r w:rsidR="00BE3542">
        <w:rPr>
          <w:rFonts w:ascii="Times New Roman" w:hAnsi="Times New Roman" w:cs="Times New Roman"/>
          <w:sz w:val="28"/>
          <w:szCs w:val="28"/>
          <w:lang w:eastAsia="lv-LV"/>
        </w:rPr>
        <w:t xml:space="preserve"> konkurētspējīgs atalgojums salīdzin</w:t>
      </w:r>
      <w:r w:rsidR="00BA320A">
        <w:rPr>
          <w:rFonts w:ascii="Times New Roman" w:hAnsi="Times New Roman" w:cs="Times New Roman"/>
          <w:sz w:val="28"/>
          <w:szCs w:val="28"/>
          <w:lang w:eastAsia="lv-LV"/>
        </w:rPr>
        <w:t xml:space="preserve">ājumā ar privāto sektoru, </w:t>
      </w:r>
      <w:r w:rsidR="004F3C90">
        <w:rPr>
          <w:rFonts w:ascii="Times New Roman" w:hAnsi="Times New Roman" w:cs="Times New Roman"/>
          <w:sz w:val="28"/>
          <w:szCs w:val="28"/>
          <w:lang w:eastAsia="lv-LV"/>
        </w:rPr>
        <w:t>tādējādi</w:t>
      </w:r>
      <w:r w:rsidR="00BA320A">
        <w:rPr>
          <w:rFonts w:ascii="Times New Roman" w:hAnsi="Times New Roman" w:cs="Times New Roman"/>
          <w:sz w:val="28"/>
          <w:szCs w:val="28"/>
          <w:lang w:eastAsia="lv-LV"/>
        </w:rPr>
        <w:t xml:space="preserve"> </w:t>
      </w:r>
      <w:r w:rsidR="004F3C90">
        <w:rPr>
          <w:rFonts w:ascii="Times New Roman" w:hAnsi="Times New Roman" w:cs="Times New Roman"/>
          <w:sz w:val="28"/>
          <w:szCs w:val="28"/>
          <w:lang w:eastAsia="lv-LV"/>
        </w:rPr>
        <w:t>nodrošinot</w:t>
      </w:r>
      <w:r w:rsidR="00BE3542">
        <w:rPr>
          <w:rFonts w:ascii="Times New Roman" w:hAnsi="Times New Roman" w:cs="Times New Roman"/>
          <w:sz w:val="28"/>
          <w:szCs w:val="28"/>
          <w:lang w:eastAsia="lv-LV"/>
        </w:rPr>
        <w:t xml:space="preserve"> augstas klases profesionāļu </w:t>
      </w:r>
      <w:r w:rsidR="00BA320A">
        <w:rPr>
          <w:rFonts w:ascii="Times New Roman" w:hAnsi="Times New Roman" w:cs="Times New Roman"/>
          <w:sz w:val="28"/>
          <w:szCs w:val="28"/>
          <w:lang w:eastAsia="lv-LV"/>
        </w:rPr>
        <w:t>palikšanu</w:t>
      </w:r>
      <w:r w:rsidR="004F3C90">
        <w:rPr>
          <w:rFonts w:ascii="Times New Roman" w:hAnsi="Times New Roman" w:cs="Times New Roman"/>
          <w:sz w:val="28"/>
          <w:szCs w:val="28"/>
          <w:lang w:eastAsia="lv-LV"/>
        </w:rPr>
        <w:t xml:space="preserve"> valsts pārvaldē</w:t>
      </w:r>
      <w:r w:rsidR="00BE3542">
        <w:rPr>
          <w:rFonts w:ascii="Times New Roman" w:hAnsi="Times New Roman" w:cs="Times New Roman"/>
          <w:sz w:val="28"/>
          <w:szCs w:val="28"/>
          <w:lang w:eastAsia="lv-LV"/>
        </w:rPr>
        <w:t>.</w:t>
      </w:r>
      <w:r w:rsidR="00A86DAA">
        <w:rPr>
          <w:rFonts w:ascii="Times New Roman" w:hAnsi="Times New Roman" w:cs="Times New Roman"/>
          <w:sz w:val="28"/>
          <w:szCs w:val="28"/>
          <w:lang w:eastAsia="lv-LV"/>
        </w:rPr>
        <w:t xml:space="preserve"> Tāpēc LATAK pārveidošanas </w:t>
      </w:r>
      <w:r w:rsidR="00D06C96">
        <w:rPr>
          <w:rFonts w:ascii="Times New Roman" w:hAnsi="Times New Roman" w:cs="Times New Roman"/>
          <w:sz w:val="28"/>
          <w:szCs w:val="28"/>
          <w:lang w:eastAsia="lv-LV"/>
        </w:rPr>
        <w:t xml:space="preserve">par aģentūru procesā ir jānodrošina, ka LATAK darbinieku atalgojums tiek saglabāts vismaz esošajā līmenī, tādējādi saglabājot </w:t>
      </w:r>
      <w:r w:rsidR="00894B6B">
        <w:rPr>
          <w:rFonts w:ascii="Times New Roman" w:hAnsi="Times New Roman" w:cs="Times New Roman"/>
          <w:sz w:val="28"/>
          <w:szCs w:val="28"/>
          <w:lang w:eastAsia="lv-LV"/>
        </w:rPr>
        <w:t>to konkurētspējīgu salīdzinājumā</w:t>
      </w:r>
      <w:r w:rsidR="00D06C96">
        <w:rPr>
          <w:rFonts w:ascii="Times New Roman" w:hAnsi="Times New Roman" w:cs="Times New Roman"/>
          <w:sz w:val="28"/>
          <w:szCs w:val="28"/>
          <w:lang w:eastAsia="lv-LV"/>
        </w:rPr>
        <w:t xml:space="preserve"> ar privātajā sektorā līdzvērtīgiem amatiem.</w:t>
      </w:r>
    </w:p>
    <w:p w14:paraId="784E97C2" w14:textId="77777777" w:rsidR="00504B81" w:rsidRDefault="00504B81" w:rsidP="00D61E48">
      <w:pPr>
        <w:jc w:val="both"/>
        <w:rPr>
          <w:rFonts w:ascii="Times New Roman" w:hAnsi="Times New Roman" w:cs="Times New Roman"/>
          <w:sz w:val="28"/>
          <w:szCs w:val="28"/>
          <w:lang w:eastAsia="lv-LV"/>
        </w:rPr>
      </w:pPr>
      <w:r>
        <w:rPr>
          <w:rFonts w:ascii="Times New Roman" w:hAnsi="Times New Roman" w:cs="Times New Roman"/>
          <w:sz w:val="28"/>
          <w:szCs w:val="28"/>
          <w:lang w:eastAsia="lv-LV"/>
        </w:rPr>
        <w:t>[4]</w:t>
      </w:r>
      <w:r>
        <w:rPr>
          <w:rFonts w:ascii="Times New Roman" w:hAnsi="Times New Roman" w:cs="Times New Roman"/>
          <w:sz w:val="28"/>
          <w:szCs w:val="28"/>
          <w:lang w:eastAsia="lv-LV"/>
        </w:rPr>
        <w:tab/>
      </w:r>
      <w:r w:rsidRPr="00504B81">
        <w:rPr>
          <w:rFonts w:ascii="Times New Roman" w:hAnsi="Times New Roman" w:cs="Times New Roman"/>
          <w:i/>
          <w:sz w:val="28"/>
          <w:szCs w:val="28"/>
          <w:lang w:eastAsia="lv-LV"/>
        </w:rPr>
        <w:t>LATAK administratīvo funkciju izpildes izmaksas</w:t>
      </w:r>
    </w:p>
    <w:p w14:paraId="1CD8C954" w14:textId="3C3F429D" w:rsidR="00E26453" w:rsidRDefault="00504B81" w:rsidP="00631EE1">
      <w:pPr>
        <w:jc w:val="both"/>
        <w:rPr>
          <w:rFonts w:ascii="Times New Roman" w:hAnsi="Times New Roman" w:cs="Times New Roman"/>
          <w:sz w:val="28"/>
          <w:szCs w:val="28"/>
          <w:lang w:eastAsia="lv-LV"/>
        </w:rPr>
      </w:pPr>
      <w:r>
        <w:rPr>
          <w:rFonts w:ascii="Times New Roman" w:hAnsi="Times New Roman" w:cs="Times New Roman"/>
          <w:sz w:val="28"/>
          <w:szCs w:val="28"/>
          <w:lang w:eastAsia="lv-LV"/>
        </w:rPr>
        <w:tab/>
        <w:t>Izvērtējot līdzšinējo situāciju un potenciālo LATAK nākotnes izaugs</w:t>
      </w:r>
      <w:r w:rsidR="00E370A2">
        <w:rPr>
          <w:rFonts w:ascii="Times New Roman" w:hAnsi="Times New Roman" w:cs="Times New Roman"/>
          <w:sz w:val="28"/>
          <w:szCs w:val="28"/>
          <w:lang w:eastAsia="lv-LV"/>
        </w:rPr>
        <w:t>mi ir</w:t>
      </w:r>
      <w:r>
        <w:rPr>
          <w:rFonts w:ascii="Times New Roman" w:hAnsi="Times New Roman" w:cs="Times New Roman"/>
          <w:sz w:val="28"/>
          <w:szCs w:val="28"/>
          <w:lang w:eastAsia="lv-LV"/>
        </w:rPr>
        <w:t xml:space="preserve"> pamat</w:t>
      </w:r>
      <w:r w:rsidR="00E370A2">
        <w:rPr>
          <w:rFonts w:ascii="Times New Roman" w:hAnsi="Times New Roman" w:cs="Times New Roman"/>
          <w:sz w:val="28"/>
          <w:szCs w:val="28"/>
          <w:lang w:eastAsia="lv-LV"/>
        </w:rPr>
        <w:t xml:space="preserve">s uzskatīt, ka LATAK tiks klasificēts </w:t>
      </w:r>
      <w:r w:rsidR="00E26453">
        <w:rPr>
          <w:rFonts w:ascii="Times New Roman" w:hAnsi="Times New Roman" w:cs="Times New Roman"/>
          <w:sz w:val="28"/>
          <w:szCs w:val="28"/>
          <w:lang w:eastAsia="lv-LV"/>
        </w:rPr>
        <w:t xml:space="preserve">kā maza iestāde. Līdz ar to izmaksu efektivitātes un optimizācijas nolūka nebūtu lietderīgi, ka LATAK atsevišķi tiek uzturēts personāls, kas veic nevis LATAK galveno funkciju, proti, akreditāciju, bet gan veic vairāk administratīvajām un atbalsta funkcijām raksturīgus pienākumus, piemēram, personāla, IT, grāmatvedības, u.c. līdzīga rakstura funkcijas. Tāpēc LATAK reorganizācijas kontekstā ir jāparedz risinājums, ka minēto atbalsta un administratīvo funkciju LATAK vietā veiktu EM, kā pārraugošā institūcija. </w:t>
      </w:r>
    </w:p>
    <w:p w14:paraId="43B0647F" w14:textId="68932751" w:rsidR="008941ED" w:rsidRPr="004C289E" w:rsidRDefault="003E758F" w:rsidP="004C289E">
      <w:pPr>
        <w:pStyle w:val="Heading1"/>
        <w:rPr>
          <w:rFonts w:eastAsia="Times New Roman"/>
          <w:lang w:eastAsia="lv-LV"/>
        </w:rPr>
      </w:pPr>
      <w:r>
        <w:rPr>
          <w:rFonts w:eastAsia="Times New Roman"/>
          <w:lang w:eastAsia="lv-LV"/>
        </w:rPr>
        <w:t>4</w:t>
      </w:r>
      <w:r w:rsidR="004C289E" w:rsidRPr="004C289E">
        <w:rPr>
          <w:rFonts w:eastAsia="Times New Roman"/>
          <w:lang w:eastAsia="lv-LV"/>
        </w:rPr>
        <w:t xml:space="preserve">. </w:t>
      </w:r>
      <w:r w:rsidR="00EE032C">
        <w:rPr>
          <w:rFonts w:eastAsia="Times New Roman"/>
          <w:lang w:eastAsia="lv-LV"/>
        </w:rPr>
        <w:t xml:space="preserve">SAMC reorganizācijas </w:t>
      </w:r>
      <w:r w:rsidR="004C289E" w:rsidRPr="004C289E">
        <w:rPr>
          <w:rFonts w:eastAsia="Times New Roman"/>
          <w:lang w:eastAsia="lv-LV"/>
        </w:rPr>
        <w:t>risinājum</w:t>
      </w:r>
      <w:r w:rsidR="00EE032C">
        <w:rPr>
          <w:rFonts w:eastAsia="Times New Roman"/>
          <w:lang w:eastAsia="lv-LV"/>
        </w:rPr>
        <w:t>u izvērtējums</w:t>
      </w:r>
    </w:p>
    <w:p w14:paraId="610C32D4" w14:textId="77777777" w:rsidR="008941ED" w:rsidRPr="004C289E" w:rsidRDefault="008941ED" w:rsidP="00721327">
      <w:pPr>
        <w:spacing w:after="0" w:line="240" w:lineRule="auto"/>
        <w:jc w:val="both"/>
        <w:rPr>
          <w:rFonts w:ascii="Times New Roman" w:eastAsia="Times New Roman" w:hAnsi="Times New Roman"/>
          <w:sz w:val="28"/>
          <w:szCs w:val="28"/>
          <w:lang w:eastAsia="lv-LV"/>
        </w:rPr>
      </w:pPr>
    </w:p>
    <w:p w14:paraId="2C06CEED" w14:textId="77777777" w:rsidR="00B732AA" w:rsidRDefault="004C289E" w:rsidP="00721327">
      <w:p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ab/>
      </w:r>
      <w:r w:rsidR="00687343">
        <w:rPr>
          <w:rFonts w:ascii="Times New Roman" w:eastAsia="Times New Roman" w:hAnsi="Times New Roman"/>
          <w:sz w:val="28"/>
          <w:szCs w:val="28"/>
          <w:lang w:eastAsia="lv-LV"/>
        </w:rPr>
        <w:t xml:space="preserve">Ievērojot </w:t>
      </w:r>
      <w:r w:rsidR="00567522">
        <w:rPr>
          <w:rFonts w:ascii="Times New Roman" w:eastAsia="Times New Roman" w:hAnsi="Times New Roman"/>
          <w:sz w:val="28"/>
          <w:szCs w:val="28"/>
          <w:lang w:eastAsia="lv-LV"/>
        </w:rPr>
        <w:t>akreditācijas un standartizāc</w:t>
      </w:r>
      <w:r w:rsidR="00E26453">
        <w:rPr>
          <w:rFonts w:ascii="Times New Roman" w:eastAsia="Times New Roman" w:hAnsi="Times New Roman"/>
          <w:sz w:val="28"/>
          <w:szCs w:val="28"/>
          <w:lang w:eastAsia="lv-LV"/>
        </w:rPr>
        <w:t>ijas būtību, citu valstu praksi un identificētos riskus</w:t>
      </w:r>
      <w:r w:rsidR="00567522">
        <w:rPr>
          <w:rFonts w:ascii="Times New Roman" w:eastAsia="Times New Roman" w:hAnsi="Times New Roman"/>
          <w:sz w:val="28"/>
          <w:szCs w:val="28"/>
          <w:lang w:eastAsia="lv-LV"/>
        </w:rPr>
        <w:t xml:space="preserve"> secināms, ka faktiski SAMC ietvaros ir apvienotas divas pēc saviem darbības principiem nesavienojamas struktūrvienības, no kurām viena -  LATAK darbojās publisko tiesību jomā, savukārt otra – LVS darbojās privāto tiesību jomā. Tāpēc SAMC šī brīža </w:t>
      </w:r>
      <w:r w:rsidR="004F3C90">
        <w:rPr>
          <w:rFonts w:ascii="Times New Roman" w:eastAsia="Times New Roman" w:hAnsi="Times New Roman"/>
          <w:sz w:val="28"/>
          <w:szCs w:val="28"/>
          <w:lang w:eastAsia="lv-LV"/>
        </w:rPr>
        <w:t>formā</w:t>
      </w:r>
      <w:r w:rsidR="00567522">
        <w:rPr>
          <w:rFonts w:ascii="Times New Roman" w:eastAsia="Times New Roman" w:hAnsi="Times New Roman"/>
          <w:sz w:val="28"/>
          <w:szCs w:val="28"/>
          <w:lang w:eastAsia="lv-LV"/>
        </w:rPr>
        <w:t xml:space="preserve"> tiešā veidā nav pārve</w:t>
      </w:r>
      <w:r w:rsidR="004F3C90">
        <w:rPr>
          <w:rFonts w:ascii="Times New Roman" w:eastAsia="Times New Roman" w:hAnsi="Times New Roman"/>
          <w:sz w:val="28"/>
          <w:szCs w:val="28"/>
          <w:lang w:eastAsia="lv-LV"/>
        </w:rPr>
        <w:t xml:space="preserve">idojama par valsts aģentūru. </w:t>
      </w:r>
      <w:r w:rsidR="00B732AA">
        <w:rPr>
          <w:rFonts w:ascii="Times New Roman" w:eastAsia="Times New Roman" w:hAnsi="Times New Roman"/>
          <w:sz w:val="28"/>
          <w:szCs w:val="28"/>
          <w:lang w:eastAsia="lv-LV"/>
        </w:rPr>
        <w:t xml:space="preserve">SAMC reorganizācijas risinājumu izvēli ierobežo spēkā esošais tiesiskais regulējums, kas nosaka gan veidu, kā valsts pārvalde ir tiesīga darboties privātajā tiesību jomā, gan arī kārtību, kā </w:t>
      </w:r>
      <w:r w:rsidR="0043525A">
        <w:rPr>
          <w:rFonts w:ascii="Times New Roman" w:eastAsia="Times New Roman" w:hAnsi="Times New Roman"/>
          <w:sz w:val="28"/>
          <w:szCs w:val="28"/>
          <w:lang w:eastAsia="lv-LV"/>
        </w:rPr>
        <w:t>tiek veikta kapitālsabiedrību reorganizācija</w:t>
      </w:r>
      <w:r w:rsidR="00B732AA">
        <w:rPr>
          <w:rFonts w:ascii="Times New Roman" w:eastAsia="Times New Roman" w:hAnsi="Times New Roman"/>
          <w:sz w:val="28"/>
          <w:szCs w:val="28"/>
          <w:lang w:eastAsia="lv-LV"/>
        </w:rPr>
        <w:t>.</w:t>
      </w:r>
    </w:p>
    <w:p w14:paraId="1C3D20C2" w14:textId="77777777" w:rsidR="0043525A" w:rsidRDefault="0043525A" w:rsidP="00721327">
      <w:p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ab/>
        <w:t>EM ir izvērtējusi vairākus iespējamos SAMC reorganizācija risinājumu, ņemot vērā gan pastāvošos riskus, gan akreditācijas un standartizācijas būtību, kā arī spēkā esošo tiesisko regulējumu:</w:t>
      </w:r>
    </w:p>
    <w:p w14:paraId="701E70F7" w14:textId="77777777" w:rsidR="0043525A" w:rsidRDefault="0043525A" w:rsidP="00721327">
      <w:pPr>
        <w:spacing w:after="0" w:line="240" w:lineRule="auto"/>
        <w:jc w:val="both"/>
        <w:rPr>
          <w:rFonts w:ascii="Times New Roman" w:eastAsia="Times New Roman" w:hAnsi="Times New Roman"/>
          <w:sz w:val="28"/>
          <w:szCs w:val="28"/>
          <w:lang w:eastAsia="lv-LV"/>
        </w:rPr>
      </w:pPr>
    </w:p>
    <w:p w14:paraId="5AE0A04D" w14:textId="77777777" w:rsidR="00991D10" w:rsidRPr="00F91E86" w:rsidRDefault="0043525A" w:rsidP="00F91E86">
      <w:pPr>
        <w:pStyle w:val="ListParagraph"/>
        <w:numPr>
          <w:ilvl w:val="0"/>
          <w:numId w:val="23"/>
        </w:numPr>
        <w:spacing w:after="0" w:line="240" w:lineRule="auto"/>
        <w:ind w:left="0" w:firstLine="431"/>
        <w:jc w:val="both"/>
        <w:rPr>
          <w:rFonts w:ascii="Times New Roman" w:eastAsia="Times New Roman" w:hAnsi="Times New Roman"/>
          <w:b/>
          <w:sz w:val="28"/>
          <w:szCs w:val="28"/>
          <w:lang w:eastAsia="lv-LV"/>
        </w:rPr>
      </w:pPr>
      <w:r w:rsidRPr="00F91E86">
        <w:rPr>
          <w:rFonts w:ascii="Times New Roman" w:eastAsia="Times New Roman" w:hAnsi="Times New Roman"/>
          <w:b/>
          <w:i/>
          <w:sz w:val="28"/>
          <w:szCs w:val="28"/>
          <w:lang w:eastAsia="lv-LV"/>
        </w:rPr>
        <w:t xml:space="preserve">SAMC pārveidošana par valsts aģentūru, no kuras laika gaitā tiek nodalītas </w:t>
      </w:r>
      <w:r w:rsidR="00991D10" w:rsidRPr="00F91E86">
        <w:rPr>
          <w:rFonts w:ascii="Times New Roman" w:eastAsia="Times New Roman" w:hAnsi="Times New Roman"/>
          <w:b/>
          <w:i/>
          <w:sz w:val="28"/>
          <w:szCs w:val="28"/>
          <w:lang w:eastAsia="lv-LV"/>
        </w:rPr>
        <w:t>LVS funkcijas, kuras tiek nodotas bezpeļņas brīvprātīgai personu apvienībai (biedrībai)</w:t>
      </w:r>
    </w:p>
    <w:p w14:paraId="76728B74" w14:textId="77777777" w:rsidR="000265E9" w:rsidRDefault="0043525A" w:rsidP="0043525A">
      <w:p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ab/>
        <w:t xml:space="preserve">Šāds SAMC reorganizācijas risinājums no procesuālā viedokļa būtu visvieglāk īstenojamais. Attiecībā uz akreditāciju un LATAK darbību tas neradītu negatīvu ietekmi, taču tā rezultātā ar standartizācijas darbībām kādu laiku nodarbotos valsts aģentūra, kas ir pretrunā </w:t>
      </w:r>
      <w:r w:rsidR="000E43BD">
        <w:rPr>
          <w:rFonts w:ascii="Times New Roman" w:eastAsia="Times New Roman" w:hAnsi="Times New Roman"/>
          <w:sz w:val="28"/>
          <w:szCs w:val="28"/>
          <w:lang w:eastAsia="lv-LV"/>
        </w:rPr>
        <w:t xml:space="preserve">ar standartizācijas būtību, kas pēc savas dabas norit nevis publisko tiesību jomā, bet gan privāto tiesību jomā. Šāds risinājums būtu ne tikai pretrunā Latvijai saistošajiem Eiropas Savienības un starptautiskajā līmenī nostiprinātajiem standartizācijas principiem, bet arī Standartizācijas konceptuālajā ziņojumā ietvertajam. </w:t>
      </w:r>
      <w:r w:rsidR="00886776">
        <w:rPr>
          <w:rFonts w:ascii="Times New Roman" w:eastAsia="Times New Roman" w:hAnsi="Times New Roman"/>
          <w:sz w:val="28"/>
          <w:szCs w:val="28"/>
          <w:lang w:eastAsia="lv-LV"/>
        </w:rPr>
        <w:t>Arī Publisko aģentūru likuma 4.panta pirmā daļa nosaka, ka v</w:t>
      </w:r>
      <w:r w:rsidR="00886776" w:rsidRPr="00886776">
        <w:rPr>
          <w:rFonts w:ascii="Times New Roman" w:eastAsia="Times New Roman" w:hAnsi="Times New Roman"/>
          <w:sz w:val="28"/>
          <w:szCs w:val="28"/>
          <w:lang w:eastAsia="lv-LV"/>
        </w:rPr>
        <w:t>alsts aģentūra nodrošina pakalpojumu sniegšanu likumos un Ministru kabineta noteikumos noteikto valsts pārvaldes uzdevumu izpildes ietvaros</w:t>
      </w:r>
      <w:r w:rsidR="00886776">
        <w:rPr>
          <w:rFonts w:ascii="Times New Roman" w:eastAsia="Times New Roman" w:hAnsi="Times New Roman"/>
          <w:sz w:val="28"/>
          <w:szCs w:val="28"/>
          <w:lang w:eastAsia="lv-LV"/>
        </w:rPr>
        <w:t>. Tā kā standartizācijas darbību veikšana un tās rezultātā radīto darbu realizācija neietilpst valsts pārvaldes uzdevuma tvērumā, LVS funkcijas nevar realizēt valsts aģentūr</w:t>
      </w:r>
      <w:r w:rsidR="00991D10">
        <w:rPr>
          <w:rFonts w:ascii="Times New Roman" w:eastAsia="Times New Roman" w:hAnsi="Times New Roman"/>
          <w:sz w:val="28"/>
          <w:szCs w:val="28"/>
          <w:lang w:eastAsia="lv-LV"/>
        </w:rPr>
        <w:t>a</w:t>
      </w:r>
      <w:r w:rsidR="00886776">
        <w:rPr>
          <w:rFonts w:ascii="Times New Roman" w:eastAsia="Times New Roman" w:hAnsi="Times New Roman"/>
          <w:sz w:val="28"/>
          <w:szCs w:val="28"/>
          <w:lang w:eastAsia="lv-LV"/>
        </w:rPr>
        <w:t>.</w:t>
      </w:r>
    </w:p>
    <w:p w14:paraId="235CC70C" w14:textId="77777777" w:rsidR="00991D10" w:rsidRDefault="00991D10" w:rsidP="0043525A">
      <w:p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ab/>
      </w:r>
      <w:r w:rsidR="000E43BD">
        <w:rPr>
          <w:rFonts w:ascii="Times New Roman" w:eastAsia="Times New Roman" w:hAnsi="Times New Roman"/>
          <w:sz w:val="28"/>
          <w:szCs w:val="28"/>
          <w:lang w:eastAsia="lv-LV"/>
        </w:rPr>
        <w:t xml:space="preserve">Turklāt, īstenojot šo risinājumu, faktiski </w:t>
      </w:r>
      <w:r w:rsidR="000265E9">
        <w:rPr>
          <w:rFonts w:ascii="Times New Roman" w:eastAsia="Times New Roman" w:hAnsi="Times New Roman"/>
          <w:sz w:val="28"/>
          <w:szCs w:val="28"/>
          <w:lang w:eastAsia="lv-LV"/>
        </w:rPr>
        <w:t xml:space="preserve">tiktu radīts priekštats, ka standartus izstrādā valsts, tādējādi </w:t>
      </w:r>
      <w:r w:rsidR="00886776">
        <w:rPr>
          <w:rFonts w:ascii="Times New Roman" w:eastAsia="Times New Roman" w:hAnsi="Times New Roman"/>
          <w:sz w:val="28"/>
          <w:szCs w:val="28"/>
          <w:lang w:eastAsia="lv-LV"/>
        </w:rPr>
        <w:t>dodot iespēju apšaubīt starptautiski atzītu faktu, ka standarti ir ar autortiesībām aizsargāti darbi. Vairāk nekā 95% no visiem LVS pieejamajiem standartiem autortiesības pieder Eiropas un Starptautiskajām standartizācijas organizācijām. Tāpēc standartu kā autortiesību objektu apšaubīšanas gadījumā pastāv pamatota iespējamība, ka minētās organizācijas liegs LVS pieeju minētajiem standar</w:t>
      </w:r>
      <w:r>
        <w:rPr>
          <w:rFonts w:ascii="Times New Roman" w:eastAsia="Times New Roman" w:hAnsi="Times New Roman"/>
          <w:sz w:val="28"/>
          <w:szCs w:val="28"/>
          <w:lang w:eastAsia="lv-LV"/>
        </w:rPr>
        <w:t>tiem.</w:t>
      </w:r>
    </w:p>
    <w:p w14:paraId="394CCC09" w14:textId="77777777" w:rsidR="00991D10" w:rsidRDefault="00991D10" w:rsidP="0043525A">
      <w:p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ab/>
        <w:t>Apkopojot minēto, secināms, ka šis SAMC reorganizācijas risinājums nav īstenojams, jo tā rezultātā tiktu apdraudēta LVS starptautiskā atzīšana gan no Eiropas, gan arī no starptautiskajām standartizācijas organizācijām.</w:t>
      </w:r>
    </w:p>
    <w:p w14:paraId="523C4358" w14:textId="77777777" w:rsidR="00991D10" w:rsidRDefault="00991D10" w:rsidP="0043525A">
      <w:pPr>
        <w:spacing w:after="0" w:line="240" w:lineRule="auto"/>
        <w:jc w:val="both"/>
        <w:rPr>
          <w:rFonts w:ascii="Times New Roman" w:eastAsia="Times New Roman" w:hAnsi="Times New Roman"/>
          <w:sz w:val="28"/>
          <w:szCs w:val="28"/>
          <w:lang w:eastAsia="lv-LV"/>
        </w:rPr>
      </w:pPr>
    </w:p>
    <w:p w14:paraId="6CF06B25" w14:textId="77777777" w:rsidR="0043525A" w:rsidRPr="00F91E86" w:rsidRDefault="00991D10" w:rsidP="00F91E86">
      <w:pPr>
        <w:pStyle w:val="ListParagraph"/>
        <w:numPr>
          <w:ilvl w:val="0"/>
          <w:numId w:val="23"/>
        </w:numPr>
        <w:spacing w:after="0" w:line="240" w:lineRule="auto"/>
        <w:ind w:left="0" w:firstLine="431"/>
        <w:jc w:val="both"/>
        <w:rPr>
          <w:rFonts w:ascii="Times New Roman" w:eastAsia="Times New Roman" w:hAnsi="Times New Roman"/>
          <w:b/>
          <w:i/>
          <w:sz w:val="28"/>
          <w:szCs w:val="28"/>
          <w:lang w:eastAsia="lv-LV"/>
        </w:rPr>
      </w:pPr>
      <w:r w:rsidRPr="00F91E86">
        <w:rPr>
          <w:rFonts w:ascii="Times New Roman" w:eastAsia="Times New Roman" w:hAnsi="Times New Roman"/>
          <w:b/>
          <w:i/>
          <w:sz w:val="28"/>
          <w:szCs w:val="28"/>
          <w:lang w:eastAsia="lv-LV"/>
        </w:rPr>
        <w:t>Valsts līdzdalība SAMC tiek saglabāta līdz tiek izveidota bezpeļņas brīvprātīga personu apvienība (biedrība), kas pilda LVS funkcijas un pienākumus, savukārt paralēli tiek izveidota jauna valsts aģentūra, kas pilda LATAK funkcijas un pienākumus</w:t>
      </w:r>
    </w:p>
    <w:p w14:paraId="5E4B6506" w14:textId="70584E40" w:rsidR="00625573" w:rsidRDefault="00991D10" w:rsidP="0043525A">
      <w:p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ab/>
      </w:r>
      <w:r w:rsidR="001718F0">
        <w:rPr>
          <w:rFonts w:ascii="Times New Roman" w:eastAsia="Times New Roman" w:hAnsi="Times New Roman"/>
          <w:sz w:val="28"/>
          <w:szCs w:val="28"/>
          <w:lang w:eastAsia="lv-LV"/>
        </w:rPr>
        <w:t>Minētā risinājuma trūkums ir saistīts ar to, ka spēkā esošais tiesiskais regulējums neparedz iespēju kapitālsabiedrības daļu pārv</w:t>
      </w:r>
      <w:r w:rsidR="002802A2" w:rsidRPr="001A4D12">
        <w:rPr>
          <w:rFonts w:ascii="Times New Roman" w:eastAsia="Times New Roman" w:hAnsi="Times New Roman"/>
          <w:sz w:val="28"/>
          <w:szCs w:val="28"/>
          <w:lang w:eastAsia="lv-LV"/>
        </w:rPr>
        <w:t>e</w:t>
      </w:r>
      <w:r w:rsidR="001718F0">
        <w:rPr>
          <w:rFonts w:ascii="Times New Roman" w:eastAsia="Times New Roman" w:hAnsi="Times New Roman"/>
          <w:sz w:val="28"/>
          <w:szCs w:val="28"/>
          <w:lang w:eastAsia="lv-LV"/>
        </w:rPr>
        <w:t xml:space="preserve">idot par valsts aģentūru. Līdz ar to faktiski būs nepieciešams </w:t>
      </w:r>
      <w:r w:rsidR="00625573">
        <w:rPr>
          <w:rFonts w:ascii="Times New Roman" w:eastAsia="Times New Roman" w:hAnsi="Times New Roman"/>
          <w:sz w:val="28"/>
          <w:szCs w:val="28"/>
          <w:lang w:eastAsia="lv-LV"/>
        </w:rPr>
        <w:t>izveidot jaunu publisko aģentūru, kas pildīs LATAK funkcijas un</w:t>
      </w:r>
      <w:r w:rsidR="00F13B68">
        <w:rPr>
          <w:rFonts w:ascii="Times New Roman" w:eastAsia="Times New Roman" w:hAnsi="Times New Roman"/>
          <w:sz w:val="28"/>
          <w:szCs w:val="28"/>
          <w:lang w:eastAsia="lv-LV"/>
        </w:rPr>
        <w:t xml:space="preserve"> pienākumus. Savukārt jaunas pu</w:t>
      </w:r>
      <w:r w:rsidR="00625573">
        <w:rPr>
          <w:rFonts w:ascii="Times New Roman" w:eastAsia="Times New Roman" w:hAnsi="Times New Roman"/>
          <w:sz w:val="28"/>
          <w:szCs w:val="28"/>
          <w:lang w:eastAsia="lv-LV"/>
        </w:rPr>
        <w:t>b</w:t>
      </w:r>
      <w:r w:rsidR="00F13B68">
        <w:rPr>
          <w:rFonts w:ascii="Times New Roman" w:eastAsia="Times New Roman" w:hAnsi="Times New Roman"/>
          <w:sz w:val="28"/>
          <w:szCs w:val="28"/>
          <w:lang w:eastAsia="lv-LV"/>
        </w:rPr>
        <w:t>l</w:t>
      </w:r>
      <w:r w:rsidR="00625573">
        <w:rPr>
          <w:rFonts w:ascii="Times New Roman" w:eastAsia="Times New Roman" w:hAnsi="Times New Roman"/>
          <w:sz w:val="28"/>
          <w:szCs w:val="28"/>
          <w:lang w:eastAsia="lv-LV"/>
        </w:rPr>
        <w:t>iskās aģentūras izveide radīs divus riskus:</w:t>
      </w:r>
    </w:p>
    <w:p w14:paraId="0D6F7751" w14:textId="77777777" w:rsidR="002802A2" w:rsidRDefault="002802A2" w:rsidP="002802A2">
      <w:pPr>
        <w:pStyle w:val="ListParagraph"/>
        <w:numPr>
          <w:ilvl w:val="0"/>
          <w:numId w:val="24"/>
        </w:num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Pastāv risks par LATAK starptautiskās atzīšanas pārtraukšanu. </w:t>
      </w:r>
      <w:r w:rsidR="00A47671">
        <w:rPr>
          <w:rFonts w:ascii="Times New Roman" w:eastAsia="Times New Roman" w:hAnsi="Times New Roman"/>
          <w:sz w:val="28"/>
          <w:szCs w:val="28"/>
          <w:lang w:eastAsia="lv-LV"/>
        </w:rPr>
        <w:t xml:space="preserve">Veidojot aģentūru no jauna (nevis reorganizācijas ceļā) </w:t>
      </w:r>
      <w:r>
        <w:rPr>
          <w:rFonts w:ascii="Times New Roman" w:eastAsia="Times New Roman" w:hAnsi="Times New Roman"/>
          <w:sz w:val="28"/>
          <w:szCs w:val="28"/>
          <w:lang w:eastAsia="lv-LV"/>
        </w:rPr>
        <w:t xml:space="preserve">Eiropas akreditācijas struktūrai </w:t>
      </w:r>
      <w:r w:rsidR="00A47671">
        <w:rPr>
          <w:rFonts w:ascii="Times New Roman" w:eastAsia="Times New Roman" w:hAnsi="Times New Roman"/>
          <w:sz w:val="28"/>
          <w:szCs w:val="28"/>
          <w:lang w:eastAsia="lv-LV"/>
        </w:rPr>
        <w:t xml:space="preserve">var rasties pamatotas šaubas </w:t>
      </w:r>
      <w:r>
        <w:rPr>
          <w:rFonts w:ascii="Times New Roman" w:eastAsia="Times New Roman" w:hAnsi="Times New Roman"/>
          <w:sz w:val="28"/>
          <w:szCs w:val="28"/>
          <w:lang w:eastAsia="lv-LV"/>
        </w:rPr>
        <w:t>par jaunizveidotās publiskās aģentūras kompetenci, struktūru, nodrošinājumu (materiālo, tehnisko un cilvēkresursu) un spējām veikt akreditācijas darbības atbilstoši Regulas prasības.</w:t>
      </w:r>
      <w:r w:rsidR="00716C6E">
        <w:rPr>
          <w:rFonts w:ascii="Times New Roman" w:eastAsia="Times New Roman" w:hAnsi="Times New Roman"/>
          <w:sz w:val="28"/>
          <w:szCs w:val="28"/>
          <w:lang w:eastAsia="lv-LV"/>
        </w:rPr>
        <w:t xml:space="preserve"> Lai par to pārliecinātos, būs nepieciešama ārpuskārtas novērtēšana, kas radīt</w:t>
      </w:r>
      <w:r w:rsidR="00F50EDA">
        <w:rPr>
          <w:rFonts w:ascii="Times New Roman" w:eastAsia="Times New Roman" w:hAnsi="Times New Roman"/>
          <w:sz w:val="28"/>
          <w:szCs w:val="28"/>
          <w:lang w:eastAsia="lv-LV"/>
        </w:rPr>
        <w:t xml:space="preserve"> laika nobīdi un līdz ar to </w:t>
      </w:r>
      <w:r w:rsidR="00716C6E">
        <w:rPr>
          <w:rFonts w:ascii="Times New Roman" w:eastAsia="Times New Roman" w:hAnsi="Times New Roman"/>
          <w:sz w:val="28"/>
          <w:szCs w:val="28"/>
          <w:lang w:eastAsia="lv-LV"/>
        </w:rPr>
        <w:t xml:space="preserve"> pārrāvumu LATAK </w:t>
      </w:r>
      <w:r w:rsidR="00F50EDA">
        <w:rPr>
          <w:rFonts w:ascii="Times New Roman" w:eastAsia="Times New Roman" w:hAnsi="Times New Roman"/>
          <w:sz w:val="28"/>
          <w:szCs w:val="28"/>
          <w:lang w:eastAsia="lv-LV"/>
        </w:rPr>
        <w:t xml:space="preserve">akreditēto institūciju izsniegto dokumentu atzīšanā. </w:t>
      </w:r>
    </w:p>
    <w:p w14:paraId="439AB99E" w14:textId="4F8CDB9A" w:rsidR="001718F0" w:rsidRPr="00CF404F" w:rsidRDefault="00D22EF6" w:rsidP="00CF404F">
      <w:pPr>
        <w:pStyle w:val="ListParagraph"/>
        <w:numPr>
          <w:ilvl w:val="0"/>
          <w:numId w:val="24"/>
        </w:numPr>
        <w:spacing w:after="0" w:line="240" w:lineRule="auto"/>
        <w:jc w:val="both"/>
        <w:rPr>
          <w:rFonts w:ascii="Times New Roman" w:eastAsia="Times New Roman" w:hAnsi="Times New Roman"/>
          <w:sz w:val="28"/>
          <w:szCs w:val="28"/>
          <w:lang w:eastAsia="lv-LV"/>
        </w:rPr>
      </w:pPr>
      <w:r w:rsidRPr="00CF404F">
        <w:rPr>
          <w:rFonts w:ascii="Times New Roman" w:eastAsia="Times New Roman" w:hAnsi="Times New Roman"/>
          <w:sz w:val="28"/>
          <w:szCs w:val="28"/>
          <w:lang w:eastAsia="lv-LV"/>
        </w:rPr>
        <w:t>Pastāv šķēršļi tiesību, saistību, mantas, finanšu līdzekļu (tai skaitā pašu ieņēmumu), lietvedības un arhīva nodošanas procesā no SAMC uz jaunizveidojamo publisko aģentūru. Šobrīd normatīvajos aktos šāda nodošanas kārtība nav paredzēta</w:t>
      </w:r>
      <w:r w:rsidR="00125F25" w:rsidRPr="00CF404F">
        <w:rPr>
          <w:rFonts w:ascii="Times New Roman" w:eastAsia="Times New Roman" w:hAnsi="Times New Roman"/>
          <w:sz w:val="28"/>
          <w:szCs w:val="28"/>
          <w:lang w:eastAsia="lv-LV"/>
        </w:rPr>
        <w:t xml:space="preserve">, ja </w:t>
      </w:r>
      <w:r w:rsidR="00104517" w:rsidRPr="00CF404F">
        <w:rPr>
          <w:rFonts w:ascii="Times New Roman" w:eastAsia="Times New Roman" w:hAnsi="Times New Roman"/>
          <w:sz w:val="28"/>
          <w:szCs w:val="28"/>
          <w:lang w:eastAsia="lv-LV"/>
        </w:rPr>
        <w:t>kapitālsabiedrība netiek reorganizēta</w:t>
      </w:r>
      <w:r w:rsidRPr="00CF404F">
        <w:rPr>
          <w:rFonts w:ascii="Times New Roman" w:eastAsia="Times New Roman" w:hAnsi="Times New Roman"/>
          <w:sz w:val="28"/>
          <w:szCs w:val="28"/>
          <w:lang w:eastAsia="lv-LV"/>
        </w:rPr>
        <w:t xml:space="preserve">. Līdz ar to, ievērojot publisko tiesību jomā piemērojamo principu – atļauts ir tikai tas, kas noteikts ar tiesību normu, šāda materiālo un nemateriālo vērtību nodošana no SAMC uz jaunizveidojamo aģentūru nav iespējama. </w:t>
      </w:r>
    </w:p>
    <w:p w14:paraId="44A960BB" w14:textId="77777777" w:rsidR="00CF404F" w:rsidRDefault="00D22EF6" w:rsidP="0043525A">
      <w:p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ab/>
      </w:r>
    </w:p>
    <w:p w14:paraId="21CFA9BB" w14:textId="1D3974C7" w:rsidR="00D22EF6" w:rsidRDefault="00CF404F" w:rsidP="0043525A">
      <w:p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ab/>
      </w:r>
      <w:r w:rsidR="00D22EF6">
        <w:rPr>
          <w:rFonts w:ascii="Times New Roman" w:eastAsia="Times New Roman" w:hAnsi="Times New Roman"/>
          <w:sz w:val="28"/>
          <w:szCs w:val="28"/>
          <w:lang w:eastAsia="lv-LV"/>
        </w:rPr>
        <w:t xml:space="preserve">Ievērojot, ka SAMC reorganizācijas procesā ir nepieciešams nodrošināt LATAK un LVS darbības nepārtrauktību, šī risinājuma īstenošana nav </w:t>
      </w:r>
      <w:r w:rsidR="00A47671">
        <w:rPr>
          <w:rFonts w:ascii="Times New Roman" w:eastAsia="Times New Roman" w:hAnsi="Times New Roman"/>
          <w:sz w:val="28"/>
          <w:szCs w:val="28"/>
          <w:lang w:eastAsia="lv-LV"/>
        </w:rPr>
        <w:t xml:space="preserve"> iespējama</w:t>
      </w:r>
      <w:r w:rsidR="00D22EF6">
        <w:rPr>
          <w:rFonts w:ascii="Times New Roman" w:eastAsia="Times New Roman" w:hAnsi="Times New Roman"/>
          <w:sz w:val="28"/>
          <w:szCs w:val="28"/>
          <w:lang w:eastAsia="lv-LV"/>
        </w:rPr>
        <w:t xml:space="preserve">. </w:t>
      </w:r>
    </w:p>
    <w:p w14:paraId="36AF41C7" w14:textId="77777777" w:rsidR="00D22EF6" w:rsidRDefault="00D22EF6" w:rsidP="0043525A">
      <w:pPr>
        <w:spacing w:after="0" w:line="240" w:lineRule="auto"/>
        <w:jc w:val="both"/>
        <w:rPr>
          <w:rFonts w:ascii="Times New Roman" w:eastAsia="Times New Roman" w:hAnsi="Times New Roman"/>
          <w:sz w:val="28"/>
          <w:szCs w:val="28"/>
          <w:lang w:eastAsia="lv-LV"/>
        </w:rPr>
      </w:pPr>
    </w:p>
    <w:p w14:paraId="7C7B36C5" w14:textId="77777777" w:rsidR="00A47671" w:rsidRPr="00F91E86" w:rsidRDefault="00A47671" w:rsidP="00F91E86">
      <w:pPr>
        <w:pStyle w:val="ListParagraph"/>
        <w:numPr>
          <w:ilvl w:val="0"/>
          <w:numId w:val="23"/>
        </w:numPr>
        <w:spacing w:after="0" w:line="240" w:lineRule="auto"/>
        <w:jc w:val="both"/>
        <w:rPr>
          <w:rFonts w:ascii="Times New Roman" w:eastAsia="Times New Roman" w:hAnsi="Times New Roman"/>
          <w:b/>
          <w:i/>
          <w:sz w:val="28"/>
          <w:szCs w:val="28"/>
          <w:lang w:eastAsia="lv-LV"/>
        </w:rPr>
      </w:pPr>
      <w:r w:rsidRPr="00F91E86">
        <w:rPr>
          <w:rFonts w:ascii="Times New Roman" w:eastAsia="Times New Roman" w:hAnsi="Times New Roman"/>
          <w:b/>
          <w:i/>
          <w:sz w:val="28"/>
          <w:szCs w:val="28"/>
          <w:lang w:eastAsia="lv-LV"/>
        </w:rPr>
        <w:t>SIA SAMC reorganizācija</w:t>
      </w:r>
    </w:p>
    <w:p w14:paraId="1DF12EB6" w14:textId="77777777" w:rsidR="00D22EF6" w:rsidRPr="00F91E86" w:rsidRDefault="00DB6389" w:rsidP="00F91E86">
      <w:pPr>
        <w:pStyle w:val="ListParagraph"/>
        <w:numPr>
          <w:ilvl w:val="0"/>
          <w:numId w:val="23"/>
        </w:numPr>
        <w:spacing w:after="0" w:line="240" w:lineRule="auto"/>
        <w:jc w:val="both"/>
        <w:rPr>
          <w:rFonts w:ascii="Times New Roman" w:eastAsia="Times New Roman" w:hAnsi="Times New Roman"/>
          <w:i/>
          <w:sz w:val="28"/>
          <w:szCs w:val="28"/>
          <w:lang w:eastAsia="lv-LV"/>
        </w:rPr>
      </w:pPr>
      <w:r w:rsidRPr="00F91E86">
        <w:rPr>
          <w:rFonts w:ascii="Times New Roman" w:eastAsia="Times New Roman" w:hAnsi="Times New Roman"/>
          <w:i/>
          <w:sz w:val="28"/>
          <w:szCs w:val="28"/>
          <w:lang w:eastAsia="lv-LV"/>
        </w:rPr>
        <w:t xml:space="preserve">SAMC sadalīšana nodalīšanas ceļā </w:t>
      </w:r>
    </w:p>
    <w:p w14:paraId="4899BB6E" w14:textId="77777777" w:rsidR="00E566C0" w:rsidRDefault="00DB6389" w:rsidP="00721327">
      <w:p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ab/>
        <w:t xml:space="preserve">Šāds SAMC reorganizācijas risinājums pēc būtības ir visatbilstošākais, lai sasniegtu SAMC reorganizācijas procesā sasniedzamos mērķus, proti, no SAMC tiktu nodalīta manta, kas saistīta ar LATAK </w:t>
      </w:r>
      <w:r w:rsidR="009D37DD">
        <w:rPr>
          <w:rFonts w:ascii="Times New Roman" w:eastAsia="Times New Roman" w:hAnsi="Times New Roman"/>
          <w:sz w:val="28"/>
          <w:szCs w:val="28"/>
          <w:lang w:eastAsia="lv-LV"/>
        </w:rPr>
        <w:t>funkciju izpildi. Tā tiktu nodo</w:t>
      </w:r>
      <w:r>
        <w:rPr>
          <w:rFonts w:ascii="Times New Roman" w:eastAsia="Times New Roman" w:hAnsi="Times New Roman"/>
          <w:sz w:val="28"/>
          <w:szCs w:val="28"/>
          <w:lang w:eastAsia="lv-LV"/>
        </w:rPr>
        <w:t xml:space="preserve">ta jaundibināmai sabiedrībai, kura sekojoši tiktu pārveidota par valsts aģentūru. Savukārt SAMC turpinātu darbu kapitālsabiedrības statusā līdz </w:t>
      </w:r>
      <w:r w:rsidRPr="00DB6389">
        <w:rPr>
          <w:rFonts w:ascii="Times New Roman" w:eastAsia="Times New Roman" w:hAnsi="Times New Roman"/>
          <w:sz w:val="28"/>
          <w:szCs w:val="28"/>
          <w:lang w:eastAsia="lv-LV"/>
        </w:rPr>
        <w:t xml:space="preserve">tiek izveidota bezpeļņas brīvprātīga personu apvienība (biedrība), kas </w:t>
      </w:r>
      <w:r>
        <w:rPr>
          <w:rFonts w:ascii="Times New Roman" w:eastAsia="Times New Roman" w:hAnsi="Times New Roman"/>
          <w:sz w:val="28"/>
          <w:szCs w:val="28"/>
          <w:lang w:eastAsia="lv-LV"/>
        </w:rPr>
        <w:t>pārņemtu LVS funkciju un pienākumu izpildi.</w:t>
      </w:r>
      <w:r w:rsidR="0000773C">
        <w:rPr>
          <w:rFonts w:ascii="Times New Roman" w:eastAsia="Times New Roman" w:hAnsi="Times New Roman"/>
          <w:sz w:val="28"/>
          <w:szCs w:val="28"/>
          <w:lang w:eastAsia="lv-LV"/>
        </w:rPr>
        <w:t xml:space="preserve"> Būtisks šķērslis šī risinājuma īstenošanai ir speciālās prasības attiecībā uz valsts kapitālsabiedrību reorganizēšanu, kas noteiktas </w:t>
      </w:r>
      <w:r w:rsidR="0000773C" w:rsidRPr="0000773C">
        <w:rPr>
          <w:rFonts w:ascii="Times New Roman" w:eastAsia="Times New Roman" w:hAnsi="Times New Roman"/>
          <w:sz w:val="28"/>
          <w:szCs w:val="28"/>
          <w:lang w:eastAsia="lv-LV"/>
        </w:rPr>
        <w:t>Publiskas personas kapitāla daļu un kapi</w:t>
      </w:r>
      <w:r w:rsidR="0000773C">
        <w:rPr>
          <w:rFonts w:ascii="Times New Roman" w:eastAsia="Times New Roman" w:hAnsi="Times New Roman"/>
          <w:sz w:val="28"/>
          <w:szCs w:val="28"/>
          <w:lang w:eastAsia="lv-LV"/>
        </w:rPr>
        <w:t>tālsabiedrību pārvaldības likumā un tieši tā 128.panta trešajā daļā, proti, publiskas personas kapitālsabiedrī</w:t>
      </w:r>
      <w:r w:rsidR="00E566C0">
        <w:rPr>
          <w:rFonts w:ascii="Times New Roman" w:eastAsia="Times New Roman" w:hAnsi="Times New Roman"/>
          <w:sz w:val="28"/>
          <w:szCs w:val="28"/>
          <w:lang w:eastAsia="lv-LV"/>
        </w:rPr>
        <w:t xml:space="preserve">bas sadalīšanai nevar piemērot nodalīšanas paņēmienu. </w:t>
      </w:r>
    </w:p>
    <w:p w14:paraId="4CB85775" w14:textId="77777777" w:rsidR="00E566C0" w:rsidRDefault="00E566C0" w:rsidP="00721327">
      <w:p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ab/>
        <w:t>Ievērojot minēto, secināms, ka minētais SAMC reorganizācijas risinājums nav īstenojams.</w:t>
      </w:r>
    </w:p>
    <w:p w14:paraId="56FFFDF1" w14:textId="77777777" w:rsidR="00E566C0" w:rsidRDefault="00E566C0" w:rsidP="00F91E86">
      <w:pPr>
        <w:pStyle w:val="ListParagraph"/>
        <w:numPr>
          <w:ilvl w:val="0"/>
          <w:numId w:val="23"/>
        </w:numPr>
        <w:spacing w:after="0" w:line="240" w:lineRule="auto"/>
        <w:jc w:val="both"/>
        <w:rPr>
          <w:rFonts w:ascii="Times New Roman" w:eastAsia="Times New Roman" w:hAnsi="Times New Roman"/>
          <w:i/>
          <w:sz w:val="28"/>
          <w:szCs w:val="28"/>
          <w:lang w:eastAsia="lv-LV"/>
        </w:rPr>
      </w:pPr>
      <w:r w:rsidRPr="00F91E86">
        <w:rPr>
          <w:rFonts w:ascii="Times New Roman" w:eastAsia="Times New Roman" w:hAnsi="Times New Roman"/>
          <w:i/>
          <w:sz w:val="28"/>
          <w:szCs w:val="28"/>
          <w:lang w:eastAsia="lv-LV"/>
        </w:rPr>
        <w:t>SAMC sadalīšana sašķelšanas ceļ</w:t>
      </w:r>
      <w:r>
        <w:rPr>
          <w:rFonts w:ascii="Times New Roman" w:eastAsia="Times New Roman" w:hAnsi="Times New Roman"/>
          <w:i/>
          <w:sz w:val="28"/>
          <w:szCs w:val="28"/>
          <w:lang w:eastAsia="lv-LV"/>
        </w:rPr>
        <w:t>ā</w:t>
      </w:r>
    </w:p>
    <w:p w14:paraId="35BDE99B" w14:textId="399C0F2D" w:rsidR="00454EC5" w:rsidRPr="00F91E86" w:rsidRDefault="00E566C0" w:rsidP="00AE76BE">
      <w:pPr>
        <w:spacing w:after="0" w:line="240" w:lineRule="auto"/>
        <w:jc w:val="both"/>
        <w:rPr>
          <w:rFonts w:ascii="Times New Roman" w:eastAsia="Times New Roman" w:hAnsi="Times New Roman"/>
          <w:i/>
          <w:sz w:val="28"/>
          <w:szCs w:val="28"/>
          <w:lang w:eastAsia="lv-LV"/>
        </w:rPr>
      </w:pPr>
      <w:r>
        <w:rPr>
          <w:rFonts w:ascii="Times New Roman" w:eastAsia="Times New Roman" w:hAnsi="Times New Roman"/>
          <w:sz w:val="28"/>
          <w:szCs w:val="28"/>
          <w:lang w:eastAsia="lv-LV"/>
        </w:rPr>
        <w:tab/>
      </w:r>
      <w:r w:rsidR="00B73C96">
        <w:rPr>
          <w:rFonts w:ascii="Times New Roman" w:eastAsia="Times New Roman" w:hAnsi="Times New Roman"/>
          <w:sz w:val="28"/>
          <w:szCs w:val="28"/>
          <w:lang w:eastAsia="lv-LV"/>
        </w:rPr>
        <w:t>Neskatoties uz to, minētā risinājuma ieviešana no procesuālā viedokļa ir sarežģītāka nekā SAMC sadalīšana nodalīšanas ceļā, tā īstenošana rezultātā nav saskatāmi acīmredzami riski, kas negatīvi ietekmētu turpmāku LATAK un LVS funkciju izpildi.</w:t>
      </w:r>
    </w:p>
    <w:p w14:paraId="51B7BE18" w14:textId="77777777" w:rsidR="00AE76BE" w:rsidRDefault="00454EC5" w:rsidP="00721327">
      <w:p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ab/>
      </w:r>
    </w:p>
    <w:p w14:paraId="49C84CDA" w14:textId="16F96148" w:rsidR="00A47671" w:rsidRDefault="00AE76BE" w:rsidP="00721327">
      <w:p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ab/>
        <w:t xml:space="preserve">Ievērojot minēto, izvērtējuma rezultātā gūts apliecinājums tam, ka atbilstošākais SAMC reorganizācijas risinājums, lai sasniegtu nosprausto mērķi ir SAMC sadalīšana sašķelšanas ceļā. Tādējādi sākotnēji SAMC vietā tiktu izveidotas divas jaunas kapitālsabiedrības – LATAK un LVS, no kurām LATAK, ievērojot normatīvajos aktos noteikto kārtību, tiktu pārveidota par valsts aģentūru, savukārt LVS pastāvētu līdz </w:t>
      </w:r>
      <w:r w:rsidRPr="00DB6389">
        <w:rPr>
          <w:rFonts w:ascii="Times New Roman" w:eastAsia="Times New Roman" w:hAnsi="Times New Roman"/>
          <w:sz w:val="28"/>
          <w:szCs w:val="28"/>
          <w:lang w:eastAsia="lv-LV"/>
        </w:rPr>
        <w:t xml:space="preserve">tiek izveidota </w:t>
      </w:r>
      <w:r>
        <w:rPr>
          <w:rFonts w:ascii="Times New Roman" w:eastAsia="Times New Roman" w:hAnsi="Times New Roman"/>
          <w:sz w:val="28"/>
          <w:szCs w:val="28"/>
          <w:lang w:eastAsia="lv-LV"/>
        </w:rPr>
        <w:t xml:space="preserve">Latvijai saistošām starptautiskajām prasībām atbilstoša </w:t>
      </w:r>
      <w:r w:rsidRPr="00DB6389">
        <w:rPr>
          <w:rFonts w:ascii="Times New Roman" w:eastAsia="Times New Roman" w:hAnsi="Times New Roman"/>
          <w:sz w:val="28"/>
          <w:szCs w:val="28"/>
          <w:lang w:eastAsia="lv-LV"/>
        </w:rPr>
        <w:t xml:space="preserve">bezpeļņas brīvprātīga personu apvienība (biedrība), kas </w:t>
      </w:r>
      <w:r>
        <w:rPr>
          <w:rFonts w:ascii="Times New Roman" w:eastAsia="Times New Roman" w:hAnsi="Times New Roman"/>
          <w:sz w:val="28"/>
          <w:szCs w:val="28"/>
          <w:lang w:eastAsia="lv-LV"/>
        </w:rPr>
        <w:t xml:space="preserve">pārņemtu LVS funkciju un pienākumu izpildi. Tā kā SAMC reorganizācijas piedāvātais risinājums nav veicams vienā posmā, tas grafiski ir atspoguļots </w:t>
      </w:r>
      <w:r w:rsidR="00D67018">
        <w:rPr>
          <w:rFonts w:ascii="Times New Roman" w:eastAsia="Times New Roman" w:hAnsi="Times New Roman"/>
          <w:sz w:val="28"/>
          <w:szCs w:val="28"/>
          <w:lang w:eastAsia="lv-LV"/>
        </w:rPr>
        <w:t>attēlā Nr.7.</w:t>
      </w:r>
    </w:p>
    <w:p w14:paraId="243932B8" w14:textId="77777777" w:rsidR="00454EC5" w:rsidRDefault="00454EC5" w:rsidP="00721327">
      <w:pPr>
        <w:spacing w:after="0" w:line="240" w:lineRule="auto"/>
        <w:jc w:val="both"/>
        <w:rPr>
          <w:rFonts w:ascii="Times New Roman" w:eastAsia="Times New Roman" w:hAnsi="Times New Roman"/>
          <w:sz w:val="28"/>
          <w:szCs w:val="28"/>
          <w:lang w:eastAsia="lv-LV"/>
        </w:rPr>
      </w:pPr>
    </w:p>
    <w:p w14:paraId="415B896C" w14:textId="77777777" w:rsidR="00454EC5" w:rsidRDefault="00D67018" w:rsidP="00D67018">
      <w:pPr>
        <w:spacing w:after="0" w:line="240" w:lineRule="auto"/>
        <w:jc w:val="right"/>
        <w:rPr>
          <w:rFonts w:ascii="Times New Roman" w:eastAsia="Times New Roman" w:hAnsi="Times New Roman"/>
          <w:sz w:val="28"/>
          <w:szCs w:val="28"/>
          <w:lang w:eastAsia="lv-LV"/>
        </w:rPr>
      </w:pPr>
      <w:r>
        <w:rPr>
          <w:rFonts w:ascii="Times New Roman" w:eastAsia="Times New Roman" w:hAnsi="Times New Roman"/>
          <w:sz w:val="28"/>
          <w:szCs w:val="28"/>
          <w:lang w:eastAsia="lv-LV"/>
        </w:rPr>
        <w:t>7.att.</w:t>
      </w:r>
    </w:p>
    <w:p w14:paraId="6FB3C022" w14:textId="77777777" w:rsidR="006D6E6A" w:rsidRDefault="00D67018" w:rsidP="00721327">
      <w:pPr>
        <w:spacing w:after="0" w:line="240" w:lineRule="auto"/>
        <w:jc w:val="both"/>
        <w:rPr>
          <w:rFonts w:ascii="Times New Roman" w:eastAsia="Times New Roman" w:hAnsi="Times New Roman"/>
          <w:sz w:val="28"/>
          <w:szCs w:val="28"/>
          <w:lang w:eastAsia="lv-LV"/>
        </w:rPr>
      </w:pPr>
      <w:r>
        <w:rPr>
          <w:rFonts w:ascii="Times New Roman" w:eastAsia="Times New Roman" w:hAnsi="Times New Roman"/>
          <w:noProof/>
          <w:sz w:val="28"/>
          <w:szCs w:val="28"/>
          <w:lang w:val="en-GB" w:eastAsia="en-GB"/>
        </w:rPr>
        <w:drawing>
          <wp:inline distT="0" distB="0" distL="0" distR="0" wp14:anchorId="63EC883D" wp14:editId="043376C9">
            <wp:extent cx="5273675" cy="3402330"/>
            <wp:effectExtent l="0" t="0" r="9525" b="1270"/>
            <wp:docPr id="2" name="Picture 2" descr="../../../../../Screen%20Shot%202016-10-26%20at%2014.34.19.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6-10-26%20at%2014.34.19.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73675" cy="3402330"/>
                    </a:xfrm>
                    <a:prstGeom prst="rect">
                      <a:avLst/>
                    </a:prstGeom>
                    <a:noFill/>
                    <a:ln>
                      <a:noFill/>
                    </a:ln>
                  </pic:spPr>
                </pic:pic>
              </a:graphicData>
            </a:graphic>
          </wp:inline>
        </w:drawing>
      </w:r>
    </w:p>
    <w:p w14:paraId="5DDED8A1" w14:textId="77777777" w:rsidR="006D6E6A" w:rsidRDefault="006D6E6A" w:rsidP="00721327">
      <w:pPr>
        <w:spacing w:after="0" w:line="240" w:lineRule="auto"/>
        <w:jc w:val="both"/>
        <w:rPr>
          <w:rFonts w:ascii="Times New Roman" w:eastAsia="Times New Roman" w:hAnsi="Times New Roman"/>
          <w:sz w:val="28"/>
          <w:szCs w:val="28"/>
          <w:lang w:eastAsia="lv-LV"/>
        </w:rPr>
      </w:pPr>
    </w:p>
    <w:p w14:paraId="49297121" w14:textId="77777777" w:rsidR="006D6E6A" w:rsidRPr="00D67018" w:rsidRDefault="00D67018" w:rsidP="00D67018">
      <w:pPr>
        <w:spacing w:after="0" w:line="240" w:lineRule="auto"/>
        <w:jc w:val="center"/>
        <w:rPr>
          <w:rFonts w:ascii="Times New Roman" w:eastAsia="Times New Roman" w:hAnsi="Times New Roman"/>
          <w:i/>
          <w:sz w:val="28"/>
          <w:szCs w:val="28"/>
          <w:lang w:eastAsia="lv-LV"/>
        </w:rPr>
      </w:pPr>
      <w:r w:rsidRPr="00D67018">
        <w:rPr>
          <w:rFonts w:ascii="Times New Roman" w:eastAsia="Times New Roman" w:hAnsi="Times New Roman"/>
          <w:i/>
          <w:sz w:val="28"/>
          <w:szCs w:val="28"/>
          <w:lang w:eastAsia="lv-LV"/>
        </w:rPr>
        <w:t>SAMC reorganizācijas shēma</w:t>
      </w:r>
    </w:p>
    <w:p w14:paraId="55E5D441" w14:textId="77777777" w:rsidR="00504B81" w:rsidRDefault="00504B81" w:rsidP="00721327">
      <w:pPr>
        <w:spacing w:after="0" w:line="240" w:lineRule="auto"/>
        <w:jc w:val="both"/>
        <w:rPr>
          <w:rFonts w:ascii="Times New Roman" w:eastAsia="Times New Roman" w:hAnsi="Times New Roman"/>
          <w:sz w:val="28"/>
          <w:szCs w:val="28"/>
          <w:lang w:eastAsia="lv-LV"/>
        </w:rPr>
      </w:pPr>
    </w:p>
    <w:p w14:paraId="6D0CB693" w14:textId="77777777" w:rsidR="0090146B" w:rsidRDefault="0090146B" w:rsidP="00721327">
      <w:pPr>
        <w:spacing w:after="0" w:line="240" w:lineRule="auto"/>
        <w:jc w:val="both"/>
        <w:rPr>
          <w:rFonts w:ascii="Times New Roman" w:eastAsia="Times New Roman" w:hAnsi="Times New Roman"/>
          <w:sz w:val="28"/>
          <w:szCs w:val="28"/>
          <w:lang w:eastAsia="lv-LV"/>
        </w:rPr>
      </w:pPr>
    </w:p>
    <w:p w14:paraId="1BC51400" w14:textId="77777777" w:rsidR="006D6E6A" w:rsidRDefault="00F5088B" w:rsidP="00721327">
      <w:p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SAMC reorganizācijas procesa apraksts:</w:t>
      </w:r>
    </w:p>
    <w:p w14:paraId="729CFB5F" w14:textId="77777777" w:rsidR="00F5088B" w:rsidRDefault="00C419AB" w:rsidP="00721327">
      <w:pPr>
        <w:spacing w:after="0" w:line="240" w:lineRule="auto"/>
        <w:jc w:val="both"/>
        <w:rPr>
          <w:rFonts w:ascii="Times New Roman" w:eastAsia="Times New Roman" w:hAnsi="Times New Roman"/>
          <w:sz w:val="28"/>
          <w:szCs w:val="28"/>
          <w:u w:val="single"/>
          <w:lang w:eastAsia="lv-LV"/>
        </w:rPr>
      </w:pPr>
      <w:r w:rsidRPr="00C419AB">
        <w:rPr>
          <w:rFonts w:ascii="Times New Roman" w:eastAsia="Times New Roman" w:hAnsi="Times New Roman"/>
          <w:sz w:val="28"/>
          <w:szCs w:val="28"/>
          <w:u w:val="single"/>
          <w:lang w:eastAsia="lv-LV"/>
        </w:rPr>
        <w:t>1.posms jeb starpposms.</w:t>
      </w:r>
    </w:p>
    <w:p w14:paraId="0B644E45" w14:textId="77777777" w:rsidR="002D22B5" w:rsidRDefault="00150171" w:rsidP="00721327">
      <w:p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ab/>
      </w:r>
      <w:r w:rsidR="00C419AB">
        <w:rPr>
          <w:rFonts w:ascii="Times New Roman" w:eastAsia="Times New Roman" w:hAnsi="Times New Roman"/>
          <w:sz w:val="28"/>
          <w:szCs w:val="28"/>
          <w:lang w:eastAsia="lv-LV"/>
        </w:rPr>
        <w:t>Šis posms ir domāts, lai ielikt</w:t>
      </w:r>
      <w:r w:rsidR="00461665">
        <w:rPr>
          <w:rFonts w:ascii="Times New Roman" w:eastAsia="Times New Roman" w:hAnsi="Times New Roman"/>
          <w:sz w:val="28"/>
          <w:szCs w:val="28"/>
          <w:lang w:eastAsia="lv-LV"/>
        </w:rPr>
        <w:t>u</w:t>
      </w:r>
      <w:r w:rsidR="00C419AB">
        <w:rPr>
          <w:rFonts w:ascii="Times New Roman" w:eastAsia="Times New Roman" w:hAnsi="Times New Roman"/>
          <w:sz w:val="28"/>
          <w:szCs w:val="28"/>
          <w:lang w:eastAsia="lv-LV"/>
        </w:rPr>
        <w:t xml:space="preserve"> pamatu</w:t>
      </w:r>
      <w:r w:rsidR="004E2B7B">
        <w:rPr>
          <w:rFonts w:ascii="Times New Roman" w:eastAsia="Times New Roman" w:hAnsi="Times New Roman"/>
          <w:sz w:val="28"/>
          <w:szCs w:val="28"/>
          <w:lang w:eastAsia="lv-LV"/>
        </w:rPr>
        <w:t>s</w:t>
      </w:r>
      <w:r w:rsidR="00C419AB">
        <w:rPr>
          <w:rFonts w:ascii="Times New Roman" w:eastAsia="Times New Roman" w:hAnsi="Times New Roman"/>
          <w:sz w:val="28"/>
          <w:szCs w:val="28"/>
          <w:lang w:eastAsia="lv-LV"/>
        </w:rPr>
        <w:t xml:space="preserve"> sekm</w:t>
      </w:r>
      <w:r w:rsidR="00D5197E">
        <w:rPr>
          <w:rFonts w:ascii="Times New Roman" w:eastAsia="Times New Roman" w:hAnsi="Times New Roman"/>
          <w:sz w:val="28"/>
          <w:szCs w:val="28"/>
          <w:lang w:eastAsia="lv-LV"/>
        </w:rPr>
        <w:t>īgai SAMC reorganizācijai</w:t>
      </w:r>
      <w:r w:rsidR="00C419AB">
        <w:rPr>
          <w:rFonts w:ascii="Times New Roman" w:eastAsia="Times New Roman" w:hAnsi="Times New Roman"/>
          <w:sz w:val="28"/>
          <w:szCs w:val="28"/>
          <w:lang w:eastAsia="lv-LV"/>
        </w:rPr>
        <w:t>, nodalot SAMC struktūrvienības LATAK</w:t>
      </w:r>
      <w:r w:rsidR="00D5197E">
        <w:rPr>
          <w:rFonts w:ascii="Times New Roman" w:eastAsia="Times New Roman" w:hAnsi="Times New Roman"/>
          <w:sz w:val="28"/>
          <w:szCs w:val="28"/>
          <w:lang w:eastAsia="lv-LV"/>
        </w:rPr>
        <w:t>, kas darbojās publisko tiesību jomā</w:t>
      </w:r>
      <w:r w:rsidR="00C419AB">
        <w:rPr>
          <w:rFonts w:ascii="Times New Roman" w:eastAsia="Times New Roman" w:hAnsi="Times New Roman"/>
          <w:sz w:val="28"/>
          <w:szCs w:val="28"/>
          <w:lang w:eastAsia="lv-LV"/>
        </w:rPr>
        <w:t xml:space="preserve"> un LVS, </w:t>
      </w:r>
      <w:r w:rsidR="00D5197E">
        <w:rPr>
          <w:rFonts w:ascii="Times New Roman" w:eastAsia="Times New Roman" w:hAnsi="Times New Roman"/>
          <w:sz w:val="28"/>
          <w:szCs w:val="28"/>
          <w:lang w:eastAsia="lv-LV"/>
        </w:rPr>
        <w:t xml:space="preserve">kas darbojās privāto tiesību jomā. </w:t>
      </w:r>
      <w:r w:rsidR="00C419AB">
        <w:rPr>
          <w:rFonts w:ascii="Times New Roman" w:eastAsia="Times New Roman" w:hAnsi="Times New Roman"/>
          <w:sz w:val="28"/>
          <w:szCs w:val="28"/>
          <w:lang w:eastAsia="lv-LV"/>
        </w:rPr>
        <w:t xml:space="preserve">Tāpēc </w:t>
      </w:r>
      <w:r w:rsidR="00F30BFB">
        <w:rPr>
          <w:rFonts w:ascii="Times New Roman" w:eastAsia="Times New Roman" w:hAnsi="Times New Roman"/>
          <w:sz w:val="28"/>
          <w:szCs w:val="28"/>
          <w:lang w:eastAsia="lv-LV"/>
        </w:rPr>
        <w:t xml:space="preserve">sākotnēji </w:t>
      </w:r>
      <w:r w:rsidR="00C419AB">
        <w:rPr>
          <w:rFonts w:ascii="Times New Roman" w:eastAsia="Times New Roman" w:hAnsi="Times New Roman"/>
          <w:sz w:val="28"/>
          <w:szCs w:val="28"/>
          <w:lang w:eastAsia="lv-LV"/>
        </w:rPr>
        <w:t>var rasties priekšstats</w:t>
      </w:r>
      <w:r w:rsidR="00D309F9">
        <w:rPr>
          <w:rFonts w:ascii="Times New Roman" w:eastAsia="Times New Roman" w:hAnsi="Times New Roman"/>
          <w:sz w:val="28"/>
          <w:szCs w:val="28"/>
          <w:lang w:eastAsia="lv-LV"/>
        </w:rPr>
        <w:t xml:space="preserve">, ka šāda rīcība ir vērsta uz </w:t>
      </w:r>
      <w:r w:rsidR="00C419AB">
        <w:rPr>
          <w:rFonts w:ascii="Times New Roman" w:eastAsia="Times New Roman" w:hAnsi="Times New Roman"/>
          <w:sz w:val="28"/>
          <w:szCs w:val="28"/>
          <w:lang w:eastAsia="lv-LV"/>
        </w:rPr>
        <w:t xml:space="preserve">valsts </w:t>
      </w:r>
      <w:r w:rsidR="00461665">
        <w:rPr>
          <w:rFonts w:ascii="Times New Roman" w:eastAsia="Times New Roman" w:hAnsi="Times New Roman"/>
          <w:sz w:val="28"/>
          <w:szCs w:val="28"/>
          <w:lang w:eastAsia="lv-LV"/>
        </w:rPr>
        <w:t>kapitālsabiedrību skaita</w:t>
      </w:r>
      <w:r w:rsidR="00D309F9">
        <w:rPr>
          <w:rFonts w:ascii="Times New Roman" w:eastAsia="Times New Roman" w:hAnsi="Times New Roman"/>
          <w:sz w:val="28"/>
          <w:szCs w:val="28"/>
          <w:lang w:eastAsia="lv-LV"/>
        </w:rPr>
        <w:t xml:space="preserve"> pieaugumu</w:t>
      </w:r>
      <w:r w:rsidR="00C419AB">
        <w:rPr>
          <w:rFonts w:ascii="Times New Roman" w:eastAsia="Times New Roman" w:hAnsi="Times New Roman"/>
          <w:sz w:val="28"/>
          <w:szCs w:val="28"/>
          <w:lang w:eastAsia="lv-LV"/>
        </w:rPr>
        <w:t xml:space="preserve">, taču tas ir tikai īstermiņa </w:t>
      </w:r>
      <w:r w:rsidR="002B7EE7">
        <w:rPr>
          <w:rFonts w:ascii="Times New Roman" w:eastAsia="Times New Roman" w:hAnsi="Times New Roman"/>
          <w:sz w:val="28"/>
          <w:szCs w:val="28"/>
          <w:lang w:eastAsia="lv-LV"/>
        </w:rPr>
        <w:t>solis</w:t>
      </w:r>
      <w:r w:rsidR="002D22B5">
        <w:rPr>
          <w:rFonts w:ascii="Times New Roman" w:eastAsia="Times New Roman" w:hAnsi="Times New Roman"/>
          <w:sz w:val="28"/>
          <w:szCs w:val="28"/>
          <w:lang w:eastAsia="lv-LV"/>
        </w:rPr>
        <w:t>, kas</w:t>
      </w:r>
      <w:r w:rsidR="002B7EE7">
        <w:rPr>
          <w:rFonts w:ascii="Times New Roman" w:eastAsia="Times New Roman" w:hAnsi="Times New Roman"/>
          <w:sz w:val="28"/>
          <w:szCs w:val="28"/>
          <w:lang w:eastAsia="lv-LV"/>
        </w:rPr>
        <w:t xml:space="preserve"> nepieciešams, lai</w:t>
      </w:r>
      <w:r w:rsidR="001F5FD2">
        <w:rPr>
          <w:rFonts w:ascii="Times New Roman" w:eastAsia="Times New Roman" w:hAnsi="Times New Roman"/>
          <w:sz w:val="28"/>
          <w:szCs w:val="28"/>
          <w:lang w:eastAsia="lv-LV"/>
        </w:rPr>
        <w:t xml:space="preserve">, ievērojot normatīvajos aktos noteikto kapitālsabiedrību reorganizācijas </w:t>
      </w:r>
      <w:r w:rsidR="00AB20C7">
        <w:rPr>
          <w:rFonts w:ascii="Times New Roman" w:eastAsia="Times New Roman" w:hAnsi="Times New Roman"/>
          <w:sz w:val="28"/>
          <w:szCs w:val="28"/>
          <w:lang w:eastAsia="lv-LV"/>
        </w:rPr>
        <w:t>kārtību,</w:t>
      </w:r>
      <w:r w:rsidR="002B7EE7">
        <w:rPr>
          <w:rFonts w:ascii="Times New Roman" w:eastAsia="Times New Roman" w:hAnsi="Times New Roman"/>
          <w:sz w:val="28"/>
          <w:szCs w:val="28"/>
          <w:lang w:eastAsia="lv-LV"/>
        </w:rPr>
        <w:t xml:space="preserve"> sekmī</w:t>
      </w:r>
      <w:r w:rsidR="001F5FD2">
        <w:rPr>
          <w:rFonts w:ascii="Times New Roman" w:eastAsia="Times New Roman" w:hAnsi="Times New Roman"/>
          <w:sz w:val="28"/>
          <w:szCs w:val="28"/>
          <w:lang w:eastAsia="lv-LV"/>
        </w:rPr>
        <w:t xml:space="preserve">gi sasniegtu SAMC reorganizācijas </w:t>
      </w:r>
      <w:r w:rsidR="00AB20C7">
        <w:rPr>
          <w:rFonts w:ascii="Times New Roman" w:eastAsia="Times New Roman" w:hAnsi="Times New Roman"/>
          <w:sz w:val="28"/>
          <w:szCs w:val="28"/>
          <w:lang w:eastAsia="lv-LV"/>
        </w:rPr>
        <w:t>nospraustos</w:t>
      </w:r>
      <w:r w:rsidR="001F5FD2">
        <w:rPr>
          <w:rFonts w:ascii="Times New Roman" w:eastAsia="Times New Roman" w:hAnsi="Times New Roman"/>
          <w:sz w:val="28"/>
          <w:szCs w:val="28"/>
          <w:lang w:eastAsia="lv-LV"/>
        </w:rPr>
        <w:t xml:space="preserve"> mērķus</w:t>
      </w:r>
      <w:r w:rsidR="00C501A1">
        <w:rPr>
          <w:rFonts w:ascii="Times New Roman" w:eastAsia="Times New Roman" w:hAnsi="Times New Roman"/>
          <w:sz w:val="28"/>
          <w:szCs w:val="28"/>
          <w:lang w:eastAsia="lv-LV"/>
        </w:rPr>
        <w:t xml:space="preserve"> un </w:t>
      </w:r>
      <w:r w:rsidR="00BD1D88">
        <w:rPr>
          <w:rFonts w:ascii="Times New Roman" w:eastAsia="Times New Roman" w:hAnsi="Times New Roman"/>
          <w:sz w:val="28"/>
          <w:szCs w:val="28"/>
          <w:lang w:eastAsia="lv-LV"/>
        </w:rPr>
        <w:t>neradītu riskus nacionālās akreditācijas un standartizācijas institūciju darbības atzīšanai starptautiskajā līmenī</w:t>
      </w:r>
      <w:r w:rsidR="001F5FD2">
        <w:rPr>
          <w:rFonts w:ascii="Times New Roman" w:eastAsia="Times New Roman" w:hAnsi="Times New Roman"/>
          <w:sz w:val="28"/>
          <w:szCs w:val="28"/>
          <w:lang w:eastAsia="lv-LV"/>
        </w:rPr>
        <w:t>.</w:t>
      </w:r>
      <w:r w:rsidR="002D22B5">
        <w:rPr>
          <w:rFonts w:ascii="Times New Roman" w:eastAsia="Times New Roman" w:hAnsi="Times New Roman"/>
          <w:sz w:val="28"/>
          <w:szCs w:val="28"/>
          <w:lang w:eastAsia="lv-LV"/>
        </w:rPr>
        <w:t xml:space="preserve"> </w:t>
      </w:r>
      <w:r w:rsidR="00AB20C7">
        <w:rPr>
          <w:rFonts w:ascii="Times New Roman" w:eastAsia="Times New Roman" w:hAnsi="Times New Roman"/>
          <w:sz w:val="28"/>
          <w:szCs w:val="28"/>
          <w:lang w:eastAsia="lv-LV"/>
        </w:rPr>
        <w:t>Turklāt ilgtermiņā</w:t>
      </w:r>
      <w:r w:rsidR="00461665">
        <w:rPr>
          <w:rFonts w:ascii="Times New Roman" w:eastAsia="Times New Roman" w:hAnsi="Times New Roman"/>
          <w:sz w:val="28"/>
          <w:szCs w:val="28"/>
          <w:lang w:eastAsia="lv-LV"/>
        </w:rPr>
        <w:t xml:space="preserve"> valsts kapitālsabiedrību skaits tiks samazināts.</w:t>
      </w:r>
    </w:p>
    <w:p w14:paraId="221B7021" w14:textId="77777777" w:rsidR="00150171" w:rsidRDefault="00150171" w:rsidP="00721327">
      <w:p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ab/>
        <w:t xml:space="preserve">Lai realizētu šajā posmā noteikto, atbilstoši </w:t>
      </w:r>
      <w:r w:rsidR="0058279F" w:rsidRPr="009D51D9">
        <w:rPr>
          <w:rFonts w:ascii="Times New Roman" w:eastAsia="Times New Roman" w:hAnsi="Times New Roman"/>
          <w:i/>
          <w:sz w:val="28"/>
          <w:szCs w:val="28"/>
          <w:lang w:eastAsia="lv-LV"/>
        </w:rPr>
        <w:t>Publiskas personas kapitāla daļu un kapitālsabiedrību pārvaldības likuma</w:t>
      </w:r>
      <w:r w:rsidR="0058279F">
        <w:rPr>
          <w:rFonts w:ascii="Times New Roman" w:eastAsia="Times New Roman" w:hAnsi="Times New Roman"/>
          <w:sz w:val="28"/>
          <w:szCs w:val="28"/>
          <w:lang w:eastAsia="lv-LV"/>
        </w:rPr>
        <w:t xml:space="preserve"> </w:t>
      </w:r>
      <w:r w:rsidR="0014749D">
        <w:rPr>
          <w:rFonts w:ascii="Times New Roman" w:eastAsia="Times New Roman" w:hAnsi="Times New Roman"/>
          <w:sz w:val="28"/>
          <w:szCs w:val="28"/>
          <w:lang w:eastAsia="lv-LV"/>
        </w:rPr>
        <w:t xml:space="preserve">128.pantam un </w:t>
      </w:r>
      <w:r w:rsidR="0014749D" w:rsidRPr="009D51D9">
        <w:rPr>
          <w:rFonts w:ascii="Times New Roman" w:eastAsia="Times New Roman" w:hAnsi="Times New Roman"/>
          <w:i/>
          <w:sz w:val="28"/>
          <w:szCs w:val="28"/>
          <w:lang w:eastAsia="lv-LV"/>
        </w:rPr>
        <w:t>Komerclikuma</w:t>
      </w:r>
      <w:r w:rsidR="0014749D">
        <w:rPr>
          <w:rFonts w:ascii="Times New Roman" w:eastAsia="Times New Roman" w:hAnsi="Times New Roman"/>
          <w:sz w:val="28"/>
          <w:szCs w:val="28"/>
          <w:lang w:eastAsia="lv-LV"/>
        </w:rPr>
        <w:t xml:space="preserve"> 336.pantu ir veicama SAMC sadalīš</w:t>
      </w:r>
      <w:r w:rsidR="003332B5">
        <w:rPr>
          <w:rFonts w:ascii="Times New Roman" w:eastAsia="Times New Roman" w:hAnsi="Times New Roman"/>
          <w:sz w:val="28"/>
          <w:szCs w:val="28"/>
          <w:lang w:eastAsia="lv-LV"/>
        </w:rPr>
        <w:t>ana sašķelšanās ceļā.</w:t>
      </w:r>
      <w:r w:rsidR="009D51D9">
        <w:rPr>
          <w:rFonts w:ascii="Times New Roman" w:eastAsia="Times New Roman" w:hAnsi="Times New Roman"/>
          <w:sz w:val="28"/>
          <w:szCs w:val="28"/>
          <w:lang w:eastAsia="lv-LV"/>
        </w:rPr>
        <w:t xml:space="preserve"> Šajā gadījumā SAMC manta</w:t>
      </w:r>
      <w:r w:rsidR="00BD1D88">
        <w:rPr>
          <w:rFonts w:ascii="Times New Roman" w:eastAsia="Times New Roman" w:hAnsi="Times New Roman"/>
          <w:sz w:val="28"/>
          <w:szCs w:val="28"/>
          <w:lang w:eastAsia="lv-LV"/>
        </w:rPr>
        <w:t xml:space="preserve"> tiks</w:t>
      </w:r>
      <w:r w:rsidR="009D51D9">
        <w:rPr>
          <w:rFonts w:ascii="Times New Roman" w:eastAsia="Times New Roman" w:hAnsi="Times New Roman"/>
          <w:sz w:val="28"/>
          <w:szCs w:val="28"/>
          <w:lang w:eastAsia="lv-LV"/>
        </w:rPr>
        <w:t xml:space="preserve"> nodota divām iegūstošajām sabiedrībām – </w:t>
      </w:r>
      <w:r w:rsidR="00BD1D88">
        <w:rPr>
          <w:rFonts w:ascii="Times New Roman" w:eastAsia="Times New Roman" w:hAnsi="Times New Roman"/>
          <w:sz w:val="28"/>
          <w:szCs w:val="28"/>
          <w:lang w:eastAsia="lv-LV"/>
        </w:rPr>
        <w:t>jaundibināmām</w:t>
      </w:r>
      <w:r w:rsidR="009D51D9">
        <w:rPr>
          <w:rFonts w:ascii="Times New Roman" w:eastAsia="Times New Roman" w:hAnsi="Times New Roman"/>
          <w:sz w:val="28"/>
          <w:szCs w:val="28"/>
          <w:lang w:eastAsia="lv-LV"/>
        </w:rPr>
        <w:t xml:space="preserve"> SIA “Latvijas nacionālais akreditācijas birojs” un SIA “Latvijas standarts”, savukārt SAMC beigtu pastāvēt bez likvidācijas procesa. </w:t>
      </w:r>
    </w:p>
    <w:p w14:paraId="11A96B45" w14:textId="77777777" w:rsidR="00C419AB" w:rsidRDefault="00C419AB" w:rsidP="00721327">
      <w:pPr>
        <w:spacing w:after="0" w:line="240" w:lineRule="auto"/>
        <w:jc w:val="both"/>
        <w:rPr>
          <w:rFonts w:ascii="Times New Roman" w:eastAsia="Times New Roman" w:hAnsi="Times New Roman"/>
          <w:sz w:val="28"/>
          <w:szCs w:val="28"/>
          <w:u w:val="single"/>
          <w:lang w:eastAsia="lv-LV"/>
        </w:rPr>
      </w:pPr>
      <w:r>
        <w:rPr>
          <w:rFonts w:ascii="Times New Roman" w:eastAsia="Times New Roman" w:hAnsi="Times New Roman"/>
          <w:sz w:val="28"/>
          <w:szCs w:val="28"/>
          <w:u w:val="single"/>
          <w:lang w:eastAsia="lv-LV"/>
        </w:rPr>
        <w:t>2.posms – SIA “</w:t>
      </w:r>
      <w:r w:rsidR="009D51D9">
        <w:rPr>
          <w:rFonts w:ascii="Times New Roman" w:eastAsia="Times New Roman" w:hAnsi="Times New Roman"/>
          <w:sz w:val="28"/>
          <w:szCs w:val="28"/>
          <w:u w:val="single"/>
          <w:lang w:eastAsia="lv-LV"/>
        </w:rPr>
        <w:t xml:space="preserve">Latvijas </w:t>
      </w:r>
      <w:r w:rsidR="007F6617">
        <w:rPr>
          <w:rFonts w:ascii="Times New Roman" w:eastAsia="Times New Roman" w:hAnsi="Times New Roman"/>
          <w:sz w:val="28"/>
          <w:szCs w:val="28"/>
          <w:u w:val="single"/>
          <w:lang w:eastAsia="lv-LV"/>
        </w:rPr>
        <w:t>nacionālais akreditācijas birojs</w:t>
      </w:r>
      <w:r>
        <w:rPr>
          <w:rFonts w:ascii="Times New Roman" w:eastAsia="Times New Roman" w:hAnsi="Times New Roman"/>
          <w:sz w:val="28"/>
          <w:szCs w:val="28"/>
          <w:u w:val="single"/>
          <w:lang w:eastAsia="lv-LV"/>
        </w:rPr>
        <w:t>” pārveidošana par valsts aģentūru</w:t>
      </w:r>
    </w:p>
    <w:p w14:paraId="2B850245" w14:textId="77777777" w:rsidR="00B81EDF" w:rsidRDefault="009D51D9" w:rsidP="00721327">
      <w:pPr>
        <w:spacing w:after="0" w:line="240" w:lineRule="auto"/>
        <w:jc w:val="both"/>
        <w:rPr>
          <w:rFonts w:ascii="Times New Roman" w:eastAsia="Times New Roman" w:hAnsi="Times New Roman"/>
          <w:sz w:val="28"/>
          <w:szCs w:val="28"/>
          <w:lang w:eastAsia="lv-LV"/>
        </w:rPr>
      </w:pPr>
      <w:r w:rsidRPr="009D51D9">
        <w:rPr>
          <w:rFonts w:ascii="Times New Roman" w:eastAsia="Times New Roman" w:hAnsi="Times New Roman"/>
          <w:sz w:val="28"/>
          <w:szCs w:val="28"/>
          <w:lang w:eastAsia="lv-LV"/>
        </w:rPr>
        <w:tab/>
      </w:r>
      <w:r w:rsidR="001D57B7">
        <w:rPr>
          <w:rFonts w:ascii="Times New Roman" w:eastAsia="Times New Roman" w:hAnsi="Times New Roman"/>
          <w:sz w:val="28"/>
          <w:szCs w:val="28"/>
          <w:lang w:eastAsia="lv-LV"/>
        </w:rPr>
        <w:t>Pēc SIA “Latvijas nacionālais</w:t>
      </w:r>
      <w:r w:rsidR="007F6617">
        <w:rPr>
          <w:rFonts w:ascii="Times New Roman" w:eastAsia="Times New Roman" w:hAnsi="Times New Roman"/>
          <w:sz w:val="28"/>
          <w:szCs w:val="28"/>
          <w:lang w:eastAsia="lv-LV"/>
        </w:rPr>
        <w:t xml:space="preserve"> akreditācijas birojs</w:t>
      </w:r>
      <w:r w:rsidR="001D57B7">
        <w:rPr>
          <w:rFonts w:ascii="Times New Roman" w:eastAsia="Times New Roman" w:hAnsi="Times New Roman"/>
          <w:sz w:val="28"/>
          <w:szCs w:val="28"/>
          <w:lang w:eastAsia="lv-LV"/>
        </w:rPr>
        <w:t xml:space="preserve">” izveidošanas, ievērojot </w:t>
      </w:r>
      <w:r w:rsidR="00CC294C" w:rsidRPr="009D51D9">
        <w:rPr>
          <w:rFonts w:ascii="Times New Roman" w:eastAsia="Times New Roman" w:hAnsi="Times New Roman"/>
          <w:i/>
          <w:sz w:val="28"/>
          <w:szCs w:val="28"/>
          <w:lang w:eastAsia="lv-LV"/>
        </w:rPr>
        <w:t>Publiskas personas kapitāla daļu un kapitālsabiedrību pārvaldības likuma</w:t>
      </w:r>
      <w:r w:rsidR="00BD1D88">
        <w:rPr>
          <w:rFonts w:ascii="Times New Roman" w:eastAsia="Times New Roman" w:hAnsi="Times New Roman"/>
          <w:sz w:val="28"/>
          <w:szCs w:val="28"/>
          <w:lang w:eastAsia="lv-LV"/>
        </w:rPr>
        <w:t xml:space="preserve"> </w:t>
      </w:r>
      <w:proofErr w:type="spellStart"/>
      <w:r w:rsidR="00BD1D88">
        <w:rPr>
          <w:rFonts w:ascii="Times New Roman" w:eastAsia="Times New Roman" w:hAnsi="Times New Roman"/>
          <w:sz w:val="28"/>
          <w:szCs w:val="28"/>
          <w:lang w:eastAsia="lv-LV"/>
        </w:rPr>
        <w:t>J.sadaļas</w:t>
      </w:r>
      <w:proofErr w:type="spellEnd"/>
      <w:r w:rsidR="00BD1D88">
        <w:rPr>
          <w:rFonts w:ascii="Times New Roman" w:eastAsia="Times New Roman" w:hAnsi="Times New Roman"/>
          <w:sz w:val="28"/>
          <w:szCs w:val="28"/>
          <w:lang w:eastAsia="lv-LV"/>
        </w:rPr>
        <w:t xml:space="preserve"> nosacījumus, tā tiktu pārveidota</w:t>
      </w:r>
      <w:r w:rsidR="001D57B7">
        <w:rPr>
          <w:rFonts w:ascii="Times New Roman" w:eastAsia="Times New Roman" w:hAnsi="Times New Roman"/>
          <w:sz w:val="28"/>
          <w:szCs w:val="28"/>
          <w:lang w:eastAsia="lv-LV"/>
        </w:rPr>
        <w:t xml:space="preserve"> par publisko aģentū</w:t>
      </w:r>
      <w:r w:rsidR="00B60F87">
        <w:rPr>
          <w:rFonts w:ascii="Times New Roman" w:eastAsia="Times New Roman" w:hAnsi="Times New Roman"/>
          <w:sz w:val="28"/>
          <w:szCs w:val="28"/>
          <w:lang w:eastAsia="lv-LV"/>
        </w:rPr>
        <w:t>ru, kas turpmāk pildīs nacionālās akreditācijas institūcijas funkcijas un pienākumus, sniedzot arī publiskos pakalpojumus – akreditāciju.</w:t>
      </w:r>
      <w:r w:rsidR="00B93C5B">
        <w:rPr>
          <w:rFonts w:ascii="Times New Roman" w:eastAsia="Times New Roman" w:hAnsi="Times New Roman"/>
          <w:sz w:val="28"/>
          <w:szCs w:val="28"/>
          <w:lang w:eastAsia="lv-LV"/>
        </w:rPr>
        <w:t xml:space="preserve"> Vienlaikus </w:t>
      </w:r>
      <w:r w:rsidR="00B81EDF">
        <w:rPr>
          <w:rFonts w:ascii="Times New Roman" w:eastAsia="Times New Roman" w:hAnsi="Times New Roman"/>
          <w:sz w:val="28"/>
          <w:szCs w:val="28"/>
          <w:lang w:eastAsia="lv-LV"/>
        </w:rPr>
        <w:t xml:space="preserve">EM, kā pārraugošā institūcija nodrošinās nacionālās akreditācijas institūcijas atbalsta un administratīvo funkciju izpildi, tādējādi nepalielinot slogu uz institūciju un dodot </w:t>
      </w:r>
      <w:r w:rsidR="000F4FD6">
        <w:rPr>
          <w:rFonts w:ascii="Times New Roman" w:eastAsia="Times New Roman" w:hAnsi="Times New Roman"/>
          <w:sz w:val="28"/>
          <w:szCs w:val="28"/>
          <w:lang w:eastAsia="lv-LV"/>
        </w:rPr>
        <w:t xml:space="preserve">tai </w:t>
      </w:r>
      <w:r w:rsidR="00B81EDF">
        <w:rPr>
          <w:rFonts w:ascii="Times New Roman" w:eastAsia="Times New Roman" w:hAnsi="Times New Roman"/>
          <w:sz w:val="28"/>
          <w:szCs w:val="28"/>
          <w:lang w:eastAsia="lv-LV"/>
        </w:rPr>
        <w:t xml:space="preserve">iespēju visus savus resursus koncentrēt uz tiešo pienākumu veikšanu.  </w:t>
      </w:r>
    </w:p>
    <w:p w14:paraId="3E1509EE" w14:textId="77777777" w:rsidR="00C419AB" w:rsidRDefault="00C419AB" w:rsidP="00721327">
      <w:pPr>
        <w:spacing w:after="0" w:line="240" w:lineRule="auto"/>
        <w:jc w:val="both"/>
        <w:rPr>
          <w:rFonts w:ascii="Times New Roman" w:eastAsia="Times New Roman" w:hAnsi="Times New Roman"/>
          <w:sz w:val="28"/>
          <w:szCs w:val="28"/>
          <w:u w:val="single"/>
          <w:lang w:eastAsia="lv-LV"/>
        </w:rPr>
      </w:pPr>
      <w:r>
        <w:rPr>
          <w:rFonts w:ascii="Times New Roman" w:eastAsia="Times New Roman" w:hAnsi="Times New Roman"/>
          <w:sz w:val="28"/>
          <w:szCs w:val="28"/>
          <w:u w:val="single"/>
          <w:lang w:eastAsia="lv-LV"/>
        </w:rPr>
        <w:t>3.posms – Biedrības “</w:t>
      </w:r>
      <w:r w:rsidR="009D51D9">
        <w:rPr>
          <w:rFonts w:ascii="Times New Roman" w:eastAsia="Times New Roman" w:hAnsi="Times New Roman"/>
          <w:sz w:val="28"/>
          <w:szCs w:val="28"/>
          <w:u w:val="single"/>
          <w:lang w:eastAsia="lv-LV"/>
        </w:rPr>
        <w:t>Latvijas standarts</w:t>
      </w:r>
      <w:r>
        <w:rPr>
          <w:rFonts w:ascii="Times New Roman" w:eastAsia="Times New Roman" w:hAnsi="Times New Roman"/>
          <w:sz w:val="28"/>
          <w:szCs w:val="28"/>
          <w:u w:val="single"/>
          <w:lang w:eastAsia="lv-LV"/>
        </w:rPr>
        <w:t>” izveide</w:t>
      </w:r>
    </w:p>
    <w:p w14:paraId="482AC63A" w14:textId="77777777" w:rsidR="00B60F87" w:rsidRPr="002D16E7" w:rsidRDefault="00B60F87" w:rsidP="00721327">
      <w:pPr>
        <w:spacing w:after="0" w:line="240" w:lineRule="auto"/>
        <w:jc w:val="both"/>
        <w:rPr>
          <w:rFonts w:ascii="Times New Roman" w:eastAsia="Times New Roman" w:hAnsi="Times New Roman"/>
          <w:sz w:val="28"/>
          <w:szCs w:val="28"/>
          <w:lang w:eastAsia="lv-LV"/>
        </w:rPr>
      </w:pPr>
      <w:r w:rsidRPr="00B60F87">
        <w:rPr>
          <w:rFonts w:ascii="Times New Roman" w:eastAsia="Times New Roman" w:hAnsi="Times New Roman"/>
          <w:sz w:val="28"/>
          <w:szCs w:val="28"/>
          <w:lang w:eastAsia="lv-LV"/>
        </w:rPr>
        <w:tab/>
      </w:r>
      <w:r w:rsidR="000D67EC">
        <w:rPr>
          <w:rFonts w:ascii="Times New Roman" w:eastAsia="Times New Roman" w:hAnsi="Times New Roman"/>
          <w:sz w:val="28"/>
          <w:szCs w:val="28"/>
          <w:lang w:eastAsia="lv-LV"/>
        </w:rPr>
        <w:t xml:space="preserve">Ievērojot </w:t>
      </w:r>
      <w:r w:rsidR="00BD1D88" w:rsidRPr="00603047">
        <w:rPr>
          <w:rFonts w:ascii="Times New Roman" w:eastAsia="Times New Roman" w:hAnsi="Times New Roman"/>
          <w:sz w:val="28"/>
          <w:szCs w:val="28"/>
          <w:lang w:eastAsia="lv-LV"/>
        </w:rPr>
        <w:t>2016.gada 20.septembra Ministru kabineta sēdē (</w:t>
      </w:r>
      <w:r w:rsidR="00BD1D88">
        <w:rPr>
          <w:rFonts w:ascii="Times New Roman" w:eastAsia="Times New Roman" w:hAnsi="Times New Roman"/>
          <w:sz w:val="28"/>
          <w:szCs w:val="28"/>
          <w:lang w:eastAsia="lv-LV"/>
        </w:rPr>
        <w:t>prot.Nr.46 35.§</w:t>
      </w:r>
      <w:r w:rsidR="00BD1D88" w:rsidRPr="00603047">
        <w:rPr>
          <w:rFonts w:ascii="Times New Roman" w:eastAsia="Times New Roman" w:hAnsi="Times New Roman"/>
          <w:sz w:val="28"/>
          <w:szCs w:val="28"/>
          <w:lang w:eastAsia="lv-LV"/>
        </w:rPr>
        <w:t>)</w:t>
      </w:r>
      <w:r w:rsidR="00BD1D88">
        <w:rPr>
          <w:rFonts w:ascii="Times New Roman" w:eastAsia="Times New Roman" w:hAnsi="Times New Roman"/>
          <w:sz w:val="28"/>
          <w:szCs w:val="28"/>
          <w:lang w:eastAsia="lv-LV"/>
        </w:rPr>
        <w:t xml:space="preserve"> pieņemtajā </w:t>
      </w:r>
      <w:r w:rsidR="00F95E3C">
        <w:rPr>
          <w:rFonts w:ascii="Times New Roman" w:eastAsia="Times New Roman" w:hAnsi="Times New Roman"/>
          <w:sz w:val="28"/>
          <w:szCs w:val="28"/>
          <w:lang w:eastAsia="lv-LV"/>
        </w:rPr>
        <w:t xml:space="preserve">konceptuālajā ziņojumā </w:t>
      </w:r>
      <w:r w:rsidR="00F95E3C" w:rsidRPr="00603047">
        <w:rPr>
          <w:rFonts w:ascii="Times New Roman" w:eastAsia="Times New Roman" w:hAnsi="Times New Roman"/>
          <w:i/>
          <w:sz w:val="28"/>
          <w:szCs w:val="28"/>
          <w:lang w:eastAsia="lv-LV"/>
        </w:rPr>
        <w:t>“Par Latvijas nacionālās standartizācijas sistēmas pilnveidošanu”</w:t>
      </w:r>
      <w:r w:rsidR="00F95E3C">
        <w:rPr>
          <w:rFonts w:ascii="Times New Roman" w:eastAsia="Times New Roman" w:hAnsi="Times New Roman"/>
          <w:sz w:val="28"/>
          <w:szCs w:val="28"/>
          <w:lang w:eastAsia="lv-LV"/>
        </w:rPr>
        <w:t xml:space="preserve"> ietverto informāciju</w:t>
      </w:r>
      <w:r w:rsidR="000D67EC">
        <w:rPr>
          <w:rFonts w:ascii="Times New Roman" w:eastAsia="Times New Roman" w:hAnsi="Times New Roman"/>
          <w:sz w:val="28"/>
          <w:szCs w:val="28"/>
          <w:lang w:eastAsia="lv-LV"/>
        </w:rPr>
        <w:t>, proti, standartizācijas darbību būtību, kas nav vērsta uz peļņas gūšanu, bet gan uz kopējo mērķu sasniegšanu un pretstatā akreditācijai noris privāto tiesību jomā</w:t>
      </w:r>
      <w:r w:rsidR="000447D5">
        <w:rPr>
          <w:rFonts w:ascii="Times New Roman" w:eastAsia="Times New Roman" w:hAnsi="Times New Roman"/>
          <w:sz w:val="28"/>
          <w:szCs w:val="28"/>
          <w:lang w:eastAsia="lv-LV"/>
        </w:rPr>
        <w:t>, standartizācijas darbības ir</w:t>
      </w:r>
      <w:r w:rsidR="000D67EC">
        <w:rPr>
          <w:rFonts w:ascii="Times New Roman" w:eastAsia="Times New Roman" w:hAnsi="Times New Roman"/>
          <w:sz w:val="28"/>
          <w:szCs w:val="28"/>
          <w:lang w:eastAsia="lv-LV"/>
        </w:rPr>
        <w:t xml:space="preserve"> nododamas standartizācijā ieinteresēto pušu i</w:t>
      </w:r>
      <w:r w:rsidR="000447D5">
        <w:rPr>
          <w:rFonts w:ascii="Times New Roman" w:eastAsia="Times New Roman" w:hAnsi="Times New Roman"/>
          <w:sz w:val="28"/>
          <w:szCs w:val="28"/>
          <w:lang w:eastAsia="lv-LV"/>
        </w:rPr>
        <w:t>zveidotajai biedru organizācijai</w:t>
      </w:r>
      <w:r w:rsidR="000D67EC">
        <w:rPr>
          <w:rFonts w:ascii="Times New Roman" w:eastAsia="Times New Roman" w:hAnsi="Times New Roman"/>
          <w:sz w:val="28"/>
          <w:szCs w:val="28"/>
          <w:lang w:eastAsia="lv-LV"/>
        </w:rPr>
        <w:t xml:space="preserve">, kas darbojās privāto tiesību jomā. </w:t>
      </w:r>
      <w:r w:rsidR="00852C34">
        <w:rPr>
          <w:rFonts w:ascii="Times New Roman" w:eastAsia="Times New Roman" w:hAnsi="Times New Roman"/>
          <w:sz w:val="28"/>
          <w:szCs w:val="28"/>
          <w:lang w:eastAsia="lv-LV"/>
        </w:rPr>
        <w:t>Līdz brīdim, kad tiks izveidota atbilstoša biedru organizācijas, kas tiktu atzīta no reģionālo un starptautisko standartizācijas organizāciju -  CEN, CENELEC, ISO un IEC, puses, nacionālās standartizācijas institūcijas funkcijas un pienākumus turpinātu pildīt SIA “Latvijas standarts”.</w:t>
      </w:r>
    </w:p>
    <w:p w14:paraId="2C0385F3" w14:textId="77777777" w:rsidR="00C419AB" w:rsidRPr="00C419AB" w:rsidRDefault="00C419AB" w:rsidP="00721327">
      <w:pPr>
        <w:spacing w:after="0" w:line="240" w:lineRule="auto"/>
        <w:jc w:val="both"/>
        <w:rPr>
          <w:rFonts w:ascii="Times New Roman" w:eastAsia="Times New Roman" w:hAnsi="Times New Roman"/>
          <w:sz w:val="28"/>
          <w:szCs w:val="28"/>
          <w:u w:val="single"/>
          <w:lang w:eastAsia="lv-LV"/>
        </w:rPr>
      </w:pPr>
      <w:r>
        <w:rPr>
          <w:rFonts w:ascii="Times New Roman" w:eastAsia="Times New Roman" w:hAnsi="Times New Roman"/>
          <w:sz w:val="28"/>
          <w:szCs w:val="28"/>
          <w:u w:val="single"/>
          <w:lang w:eastAsia="lv-LV"/>
        </w:rPr>
        <w:t xml:space="preserve">4.posms – SIA </w:t>
      </w:r>
      <w:r w:rsidR="009D51D9">
        <w:rPr>
          <w:rFonts w:ascii="Times New Roman" w:eastAsia="Times New Roman" w:hAnsi="Times New Roman"/>
          <w:sz w:val="28"/>
          <w:szCs w:val="28"/>
          <w:u w:val="single"/>
          <w:lang w:eastAsia="lv-LV"/>
        </w:rPr>
        <w:t>“Latvijas standarts</w:t>
      </w:r>
      <w:r>
        <w:rPr>
          <w:rFonts w:ascii="Times New Roman" w:eastAsia="Times New Roman" w:hAnsi="Times New Roman"/>
          <w:sz w:val="28"/>
          <w:szCs w:val="28"/>
          <w:u w:val="single"/>
          <w:lang w:eastAsia="lv-LV"/>
        </w:rPr>
        <w:t xml:space="preserve">” likvidēšana </w:t>
      </w:r>
    </w:p>
    <w:p w14:paraId="1E367DD1" w14:textId="0B54DC27" w:rsidR="00CE245B" w:rsidRDefault="002D16E7" w:rsidP="00721327">
      <w:p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ab/>
      </w:r>
      <w:r w:rsidR="00852C34">
        <w:rPr>
          <w:rFonts w:ascii="Times New Roman" w:eastAsia="Times New Roman" w:hAnsi="Times New Roman"/>
          <w:sz w:val="28"/>
          <w:szCs w:val="28"/>
          <w:lang w:eastAsia="lv-LV"/>
        </w:rPr>
        <w:t xml:space="preserve">Pēc atbilstošas un starptautiski atzītas biedru organizācijas izveidošanas SIA “Latvijas standarts” </w:t>
      </w:r>
      <w:r w:rsidR="0007237C">
        <w:rPr>
          <w:rFonts w:ascii="Times New Roman" w:eastAsia="Times New Roman" w:hAnsi="Times New Roman"/>
          <w:sz w:val="28"/>
          <w:szCs w:val="28"/>
          <w:lang w:eastAsia="lv-LV"/>
        </w:rPr>
        <w:t xml:space="preserve">tiek </w:t>
      </w:r>
      <w:r w:rsidR="00852C34">
        <w:rPr>
          <w:rFonts w:ascii="Times New Roman" w:eastAsia="Times New Roman" w:hAnsi="Times New Roman"/>
          <w:sz w:val="28"/>
          <w:szCs w:val="28"/>
          <w:lang w:eastAsia="lv-LV"/>
        </w:rPr>
        <w:t>likvid</w:t>
      </w:r>
      <w:r w:rsidR="0007237C">
        <w:rPr>
          <w:rFonts w:ascii="Times New Roman" w:eastAsia="Times New Roman" w:hAnsi="Times New Roman"/>
          <w:sz w:val="28"/>
          <w:szCs w:val="28"/>
          <w:lang w:eastAsia="lv-LV"/>
        </w:rPr>
        <w:t>ē</w:t>
      </w:r>
      <w:r w:rsidR="00244095">
        <w:rPr>
          <w:rFonts w:ascii="Times New Roman" w:eastAsia="Times New Roman" w:hAnsi="Times New Roman"/>
          <w:sz w:val="28"/>
          <w:szCs w:val="28"/>
          <w:lang w:eastAsia="lv-LV"/>
        </w:rPr>
        <w:t>ta un tās manta tiek pā</w:t>
      </w:r>
      <w:r w:rsidR="00A93A7C">
        <w:rPr>
          <w:rFonts w:ascii="Times New Roman" w:eastAsia="Times New Roman" w:hAnsi="Times New Roman"/>
          <w:sz w:val="28"/>
          <w:szCs w:val="28"/>
          <w:lang w:eastAsia="lv-LV"/>
        </w:rPr>
        <w:t xml:space="preserve">rņemta uz Ekonomikas </w:t>
      </w:r>
      <w:proofErr w:type="spellStart"/>
      <w:r w:rsidR="00A93A7C">
        <w:rPr>
          <w:rFonts w:ascii="Times New Roman" w:eastAsia="Times New Roman" w:hAnsi="Times New Roman"/>
          <w:sz w:val="28"/>
          <w:szCs w:val="28"/>
          <w:lang w:eastAsia="lv-LV"/>
        </w:rPr>
        <w:t>ministriju.</w:t>
      </w:r>
      <w:r w:rsidR="001A6889">
        <w:rPr>
          <w:rFonts w:ascii="Times New Roman" w:eastAsia="Times New Roman" w:hAnsi="Times New Roman"/>
          <w:sz w:val="28"/>
          <w:szCs w:val="28"/>
          <w:lang w:eastAsia="lv-LV"/>
        </w:rPr>
        <w:t>Atbilstoši</w:t>
      </w:r>
      <w:proofErr w:type="spellEnd"/>
      <w:r w:rsidR="001A6889">
        <w:rPr>
          <w:rFonts w:ascii="Times New Roman" w:eastAsia="Times New Roman" w:hAnsi="Times New Roman"/>
          <w:sz w:val="28"/>
          <w:szCs w:val="28"/>
          <w:lang w:eastAsia="lv-LV"/>
        </w:rPr>
        <w:t xml:space="preserve"> </w:t>
      </w:r>
      <w:r w:rsidR="001A6889" w:rsidRPr="00F91E86">
        <w:rPr>
          <w:rFonts w:ascii="Times New Roman" w:eastAsia="Times New Roman" w:hAnsi="Times New Roman"/>
          <w:i/>
          <w:sz w:val="28"/>
          <w:szCs w:val="28"/>
          <w:lang w:eastAsia="lv-LV"/>
        </w:rPr>
        <w:t>Publiskas personas finanšu līdzekļu un mantas izšķērdēšanas novēršanas likuma</w:t>
      </w:r>
      <w:r w:rsidR="001A6889">
        <w:rPr>
          <w:rFonts w:ascii="Times New Roman" w:eastAsia="Times New Roman" w:hAnsi="Times New Roman"/>
          <w:sz w:val="28"/>
          <w:szCs w:val="28"/>
          <w:lang w:eastAsia="lv-LV"/>
        </w:rPr>
        <w:t xml:space="preserve"> 5.panta otrās daļas 6.punkts nosaka, ka publiskas personas mantu ir atļauts nodot bezatlīdzības lietošanā privātpersonai, ja to paredz citi likumi vai Ministru kabineta noteikumi.  </w:t>
      </w:r>
      <w:r w:rsidR="00CE245B">
        <w:rPr>
          <w:rFonts w:ascii="Times New Roman" w:eastAsia="Times New Roman" w:hAnsi="Times New Roman"/>
          <w:sz w:val="28"/>
          <w:szCs w:val="28"/>
          <w:lang w:eastAsia="lv-LV"/>
        </w:rPr>
        <w:t>Izpildot konceptuālajā ziņojumā “</w:t>
      </w:r>
      <w:r w:rsidR="00CE245B" w:rsidRPr="00CE245B">
        <w:rPr>
          <w:rFonts w:ascii="Times New Roman" w:eastAsia="Times New Roman" w:hAnsi="Times New Roman"/>
          <w:sz w:val="28"/>
          <w:szCs w:val="28"/>
          <w:lang w:eastAsia="lv-LV"/>
        </w:rPr>
        <w:t>Par Latvijas nacionālās standartizācijas sistēmas pilnveidošanu"</w:t>
      </w:r>
      <w:r w:rsidR="00CE245B">
        <w:rPr>
          <w:rFonts w:ascii="Times New Roman" w:eastAsia="Times New Roman" w:hAnsi="Times New Roman"/>
          <w:sz w:val="28"/>
          <w:szCs w:val="28"/>
          <w:lang w:eastAsia="lv-LV"/>
        </w:rPr>
        <w:t xml:space="preserve"> ietverto risinājumu un protokollēmumā</w:t>
      </w:r>
      <w:r w:rsidR="00882FB5">
        <w:rPr>
          <w:rFonts w:ascii="Times New Roman" w:eastAsia="Times New Roman" w:hAnsi="Times New Roman"/>
          <w:sz w:val="28"/>
          <w:szCs w:val="28"/>
          <w:lang w:eastAsia="lv-LV"/>
        </w:rPr>
        <w:t xml:space="preserve"> doto uzdevumu, Ekonomikas ministrija izstrādā</w:t>
      </w:r>
      <w:r w:rsidR="001A6889">
        <w:rPr>
          <w:rFonts w:ascii="Times New Roman" w:eastAsia="Times New Roman" w:hAnsi="Times New Roman"/>
          <w:sz w:val="28"/>
          <w:szCs w:val="28"/>
          <w:lang w:eastAsia="lv-LV"/>
        </w:rPr>
        <w:t>s</w:t>
      </w:r>
      <w:r w:rsidR="00882FB5">
        <w:rPr>
          <w:rFonts w:ascii="Times New Roman" w:eastAsia="Times New Roman" w:hAnsi="Times New Roman"/>
          <w:sz w:val="28"/>
          <w:szCs w:val="28"/>
          <w:lang w:eastAsia="lv-LV"/>
        </w:rPr>
        <w:t xml:space="preserve"> normatīvo aktu grozījumus, </w:t>
      </w:r>
      <w:r w:rsidR="001A6889">
        <w:rPr>
          <w:rFonts w:ascii="Times New Roman" w:eastAsia="Times New Roman" w:hAnsi="Times New Roman"/>
          <w:sz w:val="28"/>
          <w:szCs w:val="28"/>
          <w:lang w:eastAsia="lv-LV"/>
        </w:rPr>
        <w:t>kuros, cita starpā, ir plānots iestrādāt gan nosacījumus par to, ka nacionālā</w:t>
      </w:r>
      <w:r w:rsidR="007F6BA7">
        <w:rPr>
          <w:rFonts w:ascii="Times New Roman" w:eastAsia="Times New Roman" w:hAnsi="Times New Roman"/>
          <w:sz w:val="28"/>
          <w:szCs w:val="28"/>
          <w:lang w:eastAsia="lv-LV"/>
        </w:rPr>
        <w:t xml:space="preserve"> standartizācijas institūcija tiek veidot</w:t>
      </w:r>
      <w:r w:rsidR="001A6889">
        <w:rPr>
          <w:rFonts w:ascii="Times New Roman" w:eastAsia="Times New Roman" w:hAnsi="Times New Roman"/>
          <w:sz w:val="28"/>
          <w:szCs w:val="28"/>
          <w:lang w:eastAsia="lv-LV"/>
        </w:rPr>
        <w:t>a kā biedru organiz</w:t>
      </w:r>
      <w:r w:rsidR="007F6BA7">
        <w:rPr>
          <w:rFonts w:ascii="Times New Roman" w:eastAsia="Times New Roman" w:hAnsi="Times New Roman"/>
          <w:sz w:val="28"/>
          <w:szCs w:val="28"/>
          <w:lang w:eastAsia="lv-LV"/>
        </w:rPr>
        <w:t>ācija</w:t>
      </w:r>
      <w:r w:rsidR="001A6889">
        <w:rPr>
          <w:rFonts w:ascii="Times New Roman" w:eastAsia="Times New Roman" w:hAnsi="Times New Roman"/>
          <w:sz w:val="28"/>
          <w:szCs w:val="28"/>
          <w:lang w:eastAsia="lv-LV"/>
        </w:rPr>
        <w:t xml:space="preserve">, gan </w:t>
      </w:r>
      <w:r w:rsidR="00332C54">
        <w:rPr>
          <w:rFonts w:ascii="Times New Roman" w:eastAsia="Times New Roman" w:hAnsi="Times New Roman"/>
          <w:sz w:val="28"/>
          <w:szCs w:val="28"/>
          <w:lang w:eastAsia="lv-LV"/>
        </w:rPr>
        <w:t xml:space="preserve">nosacījumus attiecībā </w:t>
      </w:r>
      <w:r w:rsidR="001A6889">
        <w:rPr>
          <w:rFonts w:ascii="Times New Roman" w:eastAsia="Times New Roman" w:hAnsi="Times New Roman"/>
          <w:sz w:val="28"/>
          <w:szCs w:val="28"/>
          <w:lang w:eastAsia="lv-LV"/>
        </w:rPr>
        <w:t xml:space="preserve">uz publiskas personas mantas nodošanu minētai organizācijai. </w:t>
      </w:r>
      <w:r w:rsidR="00332C54">
        <w:rPr>
          <w:rFonts w:ascii="Times New Roman" w:eastAsia="Times New Roman" w:hAnsi="Times New Roman"/>
          <w:sz w:val="28"/>
          <w:szCs w:val="28"/>
          <w:lang w:eastAsia="lv-LV"/>
        </w:rPr>
        <w:t xml:space="preserve">Pēc attiecīgas tiesiskas kārtības izveidošanas manta, kas nepieciešama nacionālās standartizācijas institūcijas darbā, tiks nodota izveidotajai biedrībai. </w:t>
      </w:r>
    </w:p>
    <w:p w14:paraId="3A9E236F" w14:textId="77777777" w:rsidR="002930DC" w:rsidRDefault="002930DC" w:rsidP="00721327">
      <w:pPr>
        <w:spacing w:after="0" w:line="240" w:lineRule="auto"/>
        <w:jc w:val="both"/>
        <w:rPr>
          <w:rFonts w:ascii="Times New Roman" w:eastAsia="Times New Roman" w:hAnsi="Times New Roman"/>
          <w:sz w:val="28"/>
          <w:szCs w:val="28"/>
          <w:lang w:eastAsia="lv-LV"/>
        </w:rPr>
      </w:pPr>
    </w:p>
    <w:p w14:paraId="331F7568" w14:textId="61EB4332" w:rsidR="00FF48D3" w:rsidRDefault="002930DC" w:rsidP="00721327">
      <w:p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ab/>
        <w:t>Vienlaikus, ievērojot apstākli, ka LATAK tiks veidota kā valsts aģentūra un to,</w:t>
      </w:r>
      <w:r w:rsidR="00B11B41">
        <w:rPr>
          <w:rFonts w:ascii="Times New Roman" w:eastAsia="Times New Roman" w:hAnsi="Times New Roman"/>
          <w:sz w:val="28"/>
          <w:szCs w:val="28"/>
          <w:lang w:eastAsia="lv-LV"/>
        </w:rPr>
        <w:t xml:space="preserve"> ka</w:t>
      </w:r>
      <w:r>
        <w:rPr>
          <w:rFonts w:ascii="Times New Roman" w:eastAsia="Times New Roman" w:hAnsi="Times New Roman"/>
          <w:sz w:val="28"/>
          <w:szCs w:val="28"/>
          <w:lang w:eastAsia="lv-LV"/>
        </w:rPr>
        <w:t xml:space="preserve"> </w:t>
      </w:r>
      <w:r w:rsidR="00E933D1">
        <w:rPr>
          <w:rFonts w:ascii="Times New Roman" w:eastAsia="Times New Roman" w:hAnsi="Times New Roman"/>
          <w:sz w:val="28"/>
          <w:szCs w:val="28"/>
          <w:lang w:eastAsia="lv-LV"/>
        </w:rPr>
        <w:t>akreditācijas procesā iesaistītajam</w:t>
      </w:r>
      <w:r w:rsidR="00B11B41">
        <w:rPr>
          <w:rFonts w:ascii="Times New Roman" w:eastAsia="Times New Roman" w:hAnsi="Times New Roman"/>
          <w:sz w:val="28"/>
          <w:szCs w:val="28"/>
          <w:lang w:eastAsia="lv-LV"/>
        </w:rPr>
        <w:t xml:space="preserve"> personālam ir jānodrošina konkurētspējīgs atalgojums, kuru </w:t>
      </w:r>
      <w:r w:rsidR="00D5197E">
        <w:rPr>
          <w:rFonts w:ascii="Times New Roman" w:eastAsia="Times New Roman" w:hAnsi="Times New Roman"/>
          <w:sz w:val="28"/>
          <w:szCs w:val="28"/>
          <w:lang w:eastAsia="lv-LV"/>
        </w:rPr>
        <w:t xml:space="preserve">galvenokārt </w:t>
      </w:r>
      <w:r w:rsidR="00B11B41">
        <w:rPr>
          <w:rFonts w:ascii="Times New Roman" w:eastAsia="Times New Roman" w:hAnsi="Times New Roman"/>
          <w:sz w:val="28"/>
          <w:szCs w:val="28"/>
          <w:lang w:eastAsia="lv-LV"/>
        </w:rPr>
        <w:t>veido LATAK pašu ieņēmumi, salīdzinājumā ar līdzvērtīgiem amatiem privātajā sektorā</w:t>
      </w:r>
      <w:r w:rsidR="00FF48D3">
        <w:rPr>
          <w:rFonts w:ascii="Times New Roman" w:eastAsia="Times New Roman" w:hAnsi="Times New Roman"/>
          <w:sz w:val="28"/>
          <w:szCs w:val="28"/>
          <w:lang w:eastAsia="lv-LV"/>
        </w:rPr>
        <w:t>.</w:t>
      </w:r>
      <w:r w:rsidR="00B11B41">
        <w:rPr>
          <w:rFonts w:ascii="Times New Roman" w:eastAsia="Times New Roman" w:hAnsi="Times New Roman"/>
          <w:sz w:val="28"/>
          <w:szCs w:val="28"/>
          <w:lang w:eastAsia="lv-LV"/>
        </w:rPr>
        <w:t xml:space="preserve"> </w:t>
      </w:r>
      <w:r w:rsidR="00D06C96">
        <w:rPr>
          <w:rFonts w:ascii="Times New Roman" w:eastAsia="Times New Roman" w:hAnsi="Times New Roman"/>
          <w:sz w:val="28"/>
          <w:szCs w:val="28"/>
          <w:lang w:eastAsia="lv-LV"/>
        </w:rPr>
        <w:t xml:space="preserve">LATAK darbinieku atalgojumu nepieciešams iekļaut valsts institūciju amatpersonu atlīdzības sistēmā, nepasliktinot </w:t>
      </w:r>
      <w:r w:rsidR="00BC4169">
        <w:rPr>
          <w:rFonts w:ascii="Times New Roman" w:eastAsia="Times New Roman" w:hAnsi="Times New Roman"/>
          <w:sz w:val="28"/>
          <w:szCs w:val="28"/>
          <w:lang w:eastAsia="lv-LV"/>
        </w:rPr>
        <w:t>darbinieku stāvokli salīdzinājumā ar šī brīža situāciju</w:t>
      </w:r>
      <w:r w:rsidR="00D06C96">
        <w:rPr>
          <w:rFonts w:ascii="Times New Roman" w:eastAsia="Times New Roman" w:hAnsi="Times New Roman"/>
          <w:sz w:val="28"/>
          <w:szCs w:val="28"/>
          <w:lang w:eastAsia="lv-LV"/>
        </w:rPr>
        <w:t>.</w:t>
      </w:r>
      <w:r w:rsidR="00BC4169">
        <w:rPr>
          <w:rFonts w:ascii="Times New Roman" w:eastAsia="Times New Roman" w:hAnsi="Times New Roman"/>
          <w:sz w:val="28"/>
          <w:szCs w:val="28"/>
          <w:lang w:eastAsia="lv-LV"/>
        </w:rPr>
        <w:t xml:space="preserve"> </w:t>
      </w:r>
      <w:r w:rsidR="00A51982">
        <w:rPr>
          <w:rFonts w:ascii="Times New Roman" w:eastAsia="Times New Roman" w:hAnsi="Times New Roman"/>
          <w:sz w:val="28"/>
          <w:szCs w:val="28"/>
          <w:lang w:eastAsia="lv-LV"/>
        </w:rPr>
        <w:t>M</w:t>
      </w:r>
      <w:r w:rsidR="00BC4169">
        <w:rPr>
          <w:rFonts w:ascii="Times New Roman" w:eastAsia="Times New Roman" w:hAnsi="Times New Roman"/>
          <w:sz w:val="28"/>
          <w:szCs w:val="28"/>
          <w:lang w:eastAsia="lv-LV"/>
        </w:rPr>
        <w:t xml:space="preserve">inēto </w:t>
      </w:r>
      <w:r w:rsidR="00A51982">
        <w:rPr>
          <w:rFonts w:ascii="Times New Roman" w:eastAsia="Times New Roman" w:hAnsi="Times New Roman"/>
          <w:sz w:val="28"/>
          <w:szCs w:val="28"/>
          <w:lang w:eastAsia="lv-LV"/>
        </w:rPr>
        <w:t>iespējams īstenot</w:t>
      </w:r>
      <w:r w:rsidR="00FF48D3">
        <w:rPr>
          <w:rFonts w:ascii="Times New Roman" w:eastAsia="Times New Roman" w:hAnsi="Times New Roman"/>
          <w:sz w:val="28"/>
          <w:szCs w:val="28"/>
          <w:lang w:eastAsia="lv-LV"/>
        </w:rPr>
        <w:t xml:space="preserve"> LATAK darbinieku amatus klasificējot atbilstoši spēkā esošajam amatu katalogam. </w:t>
      </w:r>
    </w:p>
    <w:p w14:paraId="2A1FA4B5" w14:textId="76D4456F" w:rsidR="000050AD" w:rsidRDefault="000050AD" w:rsidP="00721327">
      <w:p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ab/>
        <w:t xml:space="preserve">Ievērojot LATAK darbinieku amatu pienākumu tvērumu, </w:t>
      </w:r>
      <w:r w:rsidR="00FF48D3">
        <w:rPr>
          <w:rFonts w:ascii="Times New Roman" w:eastAsia="Times New Roman" w:hAnsi="Times New Roman"/>
          <w:sz w:val="28"/>
          <w:szCs w:val="28"/>
          <w:lang w:eastAsia="lv-LV"/>
        </w:rPr>
        <w:t xml:space="preserve">uzskatām, ka </w:t>
      </w:r>
      <w:r>
        <w:rPr>
          <w:rFonts w:ascii="Times New Roman" w:eastAsia="Times New Roman" w:hAnsi="Times New Roman"/>
          <w:sz w:val="28"/>
          <w:szCs w:val="28"/>
          <w:lang w:eastAsia="lv-LV"/>
        </w:rPr>
        <w:t xml:space="preserve">viens no iespējamajiem variantiem būtu, ka </w:t>
      </w:r>
      <w:r w:rsidR="00120974">
        <w:rPr>
          <w:rFonts w:ascii="Times New Roman" w:eastAsia="Times New Roman" w:hAnsi="Times New Roman"/>
          <w:sz w:val="28"/>
          <w:szCs w:val="28"/>
          <w:lang w:eastAsia="lv-LV"/>
        </w:rPr>
        <w:t>akreditācijas procesā iesaistītās personas – vērt</w:t>
      </w:r>
      <w:r w:rsidR="006D3957">
        <w:rPr>
          <w:rFonts w:ascii="Times New Roman" w:eastAsia="Times New Roman" w:hAnsi="Times New Roman"/>
          <w:sz w:val="28"/>
          <w:szCs w:val="28"/>
          <w:lang w:eastAsia="lv-LV"/>
        </w:rPr>
        <w:t>ētāji un vadošie vērtētā</w:t>
      </w:r>
      <w:r w:rsidR="00436AD7">
        <w:rPr>
          <w:rFonts w:ascii="Times New Roman" w:eastAsia="Times New Roman" w:hAnsi="Times New Roman"/>
          <w:sz w:val="28"/>
          <w:szCs w:val="28"/>
          <w:lang w:eastAsia="lv-LV"/>
        </w:rPr>
        <w:t>ji</w:t>
      </w:r>
      <w:r w:rsidR="00120974">
        <w:rPr>
          <w:rFonts w:ascii="Times New Roman" w:eastAsia="Times New Roman" w:hAnsi="Times New Roman"/>
          <w:sz w:val="28"/>
          <w:szCs w:val="28"/>
          <w:lang w:eastAsia="lv-LV"/>
        </w:rPr>
        <w:t xml:space="preserve">, </w:t>
      </w:r>
      <w:r w:rsidR="00FF48D3">
        <w:rPr>
          <w:rFonts w:ascii="Times New Roman" w:eastAsia="Times New Roman" w:hAnsi="Times New Roman"/>
          <w:sz w:val="28"/>
          <w:szCs w:val="28"/>
          <w:lang w:eastAsia="lv-LV"/>
        </w:rPr>
        <w:t>ir klasificējam</w:t>
      </w:r>
      <w:r w:rsidR="00120974">
        <w:rPr>
          <w:rFonts w:ascii="Times New Roman" w:eastAsia="Times New Roman" w:hAnsi="Times New Roman"/>
          <w:sz w:val="28"/>
          <w:szCs w:val="28"/>
          <w:lang w:eastAsia="lv-LV"/>
        </w:rPr>
        <w:t xml:space="preserve">i </w:t>
      </w:r>
      <w:r w:rsidR="00B52885">
        <w:rPr>
          <w:rFonts w:ascii="Times New Roman" w:eastAsia="Times New Roman" w:hAnsi="Times New Roman"/>
          <w:sz w:val="28"/>
          <w:szCs w:val="28"/>
          <w:lang w:eastAsia="lv-LV"/>
        </w:rPr>
        <w:t>10.saimē – Ekspertī</w:t>
      </w:r>
      <w:r w:rsidR="00894B6B">
        <w:rPr>
          <w:rFonts w:ascii="Times New Roman" w:eastAsia="Times New Roman" w:hAnsi="Times New Roman"/>
          <w:sz w:val="28"/>
          <w:szCs w:val="28"/>
          <w:lang w:eastAsia="lv-LV"/>
        </w:rPr>
        <w:t xml:space="preserve">ze. Konkurētspējīga atalgojuma nodrošināšanas nolūkā, ņemot vērā amata pienākumu tvērumu, vadošo vērtētāju amatus būtu nepieciešams klasificēt 10.saimes IV līmenī, savukārt nodaļu vadītāju amatus, kuru pienākumu tvērumā ietilpst gan vadošo vērtētāju, gan arī nodaļas darba organizācijas un vadīšanas pienākumi, kas aptver arī citu attiecīgās nodaļas vadošo vērtētāju darba uzraudzību un koordināciju, būtu nepieciešams klasificēt 10.saimes V līmenī. </w:t>
      </w:r>
      <w:r>
        <w:rPr>
          <w:rFonts w:ascii="Times New Roman" w:eastAsia="Times New Roman" w:hAnsi="Times New Roman"/>
          <w:sz w:val="28"/>
          <w:szCs w:val="28"/>
          <w:lang w:eastAsia="lv-LV"/>
        </w:rPr>
        <w:t xml:space="preserve"> </w:t>
      </w:r>
    </w:p>
    <w:p w14:paraId="363D7A6F" w14:textId="77777777" w:rsidR="0006384C" w:rsidRDefault="0006384C" w:rsidP="00721327">
      <w:pPr>
        <w:spacing w:after="0" w:line="240" w:lineRule="auto"/>
        <w:jc w:val="both"/>
        <w:rPr>
          <w:rFonts w:ascii="Times New Roman" w:eastAsia="Times New Roman" w:hAnsi="Times New Roman"/>
          <w:sz w:val="28"/>
          <w:szCs w:val="28"/>
          <w:lang w:eastAsia="lv-LV"/>
        </w:rPr>
      </w:pPr>
    </w:p>
    <w:p w14:paraId="6F8EC1DF" w14:textId="77777777" w:rsidR="004465AE" w:rsidRDefault="004465AE" w:rsidP="00721327">
      <w:p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Piedāvātais risinājuma modelis minimizē visus 3.nodaļā minēto riskus:</w:t>
      </w:r>
    </w:p>
    <w:p w14:paraId="52B08823" w14:textId="77777777" w:rsidR="004465AE" w:rsidRDefault="00B93C5B" w:rsidP="00F91E86">
      <w:pPr>
        <w:pStyle w:val="ListParagraph"/>
        <w:numPr>
          <w:ilvl w:val="0"/>
          <w:numId w:val="25"/>
        </w:num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LATAK darbojoties valsts aģentūras statusā nodrošina bezpeļņas principa ievērošanu;</w:t>
      </w:r>
    </w:p>
    <w:p w14:paraId="596397EE" w14:textId="77777777" w:rsidR="00B93C5B" w:rsidRDefault="00B93C5B" w:rsidP="00F91E86">
      <w:pPr>
        <w:pStyle w:val="ListParagraph"/>
        <w:numPr>
          <w:ilvl w:val="0"/>
          <w:numId w:val="25"/>
        </w:num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Tiek saglabāts LATAK un LVS starptautiskā atzīšana pilnā apmērā;</w:t>
      </w:r>
    </w:p>
    <w:p w14:paraId="5CC870E8" w14:textId="77777777" w:rsidR="00B93C5B" w:rsidRDefault="00B93C5B" w:rsidP="00F91E86">
      <w:pPr>
        <w:pStyle w:val="ListParagraph"/>
        <w:numPr>
          <w:ilvl w:val="0"/>
          <w:numId w:val="25"/>
        </w:num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LATAK darbiniekiem – vērtētājiem, vadošajiem vērtētājiem un nodaļu vadītājiem, tiek saglabāts konkurētspējīgs atalgojums;</w:t>
      </w:r>
    </w:p>
    <w:p w14:paraId="10A06042" w14:textId="77777777" w:rsidR="00B93C5B" w:rsidRPr="00F91E86" w:rsidRDefault="00B93C5B" w:rsidP="00F91E86">
      <w:pPr>
        <w:pStyle w:val="ListParagraph"/>
        <w:numPr>
          <w:ilvl w:val="0"/>
          <w:numId w:val="25"/>
        </w:num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SAMC reorganizācijas gaitā netiek palielināts administratīvais slogs uz LATAK. </w:t>
      </w:r>
    </w:p>
    <w:p w14:paraId="600FDFC1" w14:textId="64B52EAF" w:rsidR="003B0601" w:rsidRDefault="004465AE" w:rsidP="00721327">
      <w:p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   </w:t>
      </w:r>
    </w:p>
    <w:p w14:paraId="5EC48BE6" w14:textId="513EE0CD" w:rsidR="00894B6B" w:rsidRDefault="00894B6B">
      <w:pPr>
        <w:rPr>
          <w:rFonts w:ascii="Times New Roman" w:eastAsia="Times New Roman" w:hAnsi="Times New Roman"/>
          <w:b/>
          <w:sz w:val="28"/>
          <w:szCs w:val="28"/>
          <w:lang w:eastAsia="lv-LV"/>
        </w:rPr>
      </w:pPr>
      <w:r>
        <w:rPr>
          <w:rFonts w:ascii="Times New Roman" w:eastAsia="Times New Roman" w:hAnsi="Times New Roman"/>
          <w:b/>
          <w:sz w:val="28"/>
          <w:szCs w:val="28"/>
          <w:lang w:eastAsia="lv-LV"/>
        </w:rPr>
        <w:br w:type="page"/>
      </w:r>
    </w:p>
    <w:p w14:paraId="3537ED04" w14:textId="77777777" w:rsidR="00D1594B" w:rsidRPr="00876323" w:rsidRDefault="00D1594B" w:rsidP="00D1594B">
      <w:pPr>
        <w:spacing w:after="0" w:line="240" w:lineRule="auto"/>
        <w:jc w:val="center"/>
        <w:rPr>
          <w:rFonts w:ascii="Times New Roman" w:eastAsia="Times New Roman" w:hAnsi="Times New Roman"/>
          <w:b/>
          <w:sz w:val="28"/>
          <w:szCs w:val="28"/>
          <w:lang w:eastAsia="lv-LV"/>
        </w:rPr>
      </w:pPr>
      <w:r w:rsidRPr="00876323">
        <w:rPr>
          <w:rFonts w:ascii="Times New Roman" w:eastAsia="Times New Roman" w:hAnsi="Times New Roman"/>
          <w:b/>
          <w:sz w:val="28"/>
          <w:szCs w:val="28"/>
          <w:lang w:eastAsia="lv-LV"/>
        </w:rPr>
        <w:t>Grozījumi normatīvajos aktos</w:t>
      </w:r>
    </w:p>
    <w:p w14:paraId="3D8C92F6" w14:textId="77777777" w:rsidR="00276FD4" w:rsidRDefault="00276FD4" w:rsidP="00276FD4">
      <w:pPr>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ab/>
      </w:r>
    </w:p>
    <w:p w14:paraId="54EEBF68" w14:textId="77777777" w:rsidR="00276FD4" w:rsidRDefault="00276FD4" w:rsidP="00276FD4">
      <w:pPr>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ab/>
        <w:t>Lai īstenotu šajā nodaļā norādīto risinājumu, nepieciešamas šādas izmaiņas normatīvajos aktos:</w:t>
      </w:r>
    </w:p>
    <w:p w14:paraId="6631E307" w14:textId="77777777" w:rsidR="00151301" w:rsidRDefault="001D4D97" w:rsidP="00276FD4">
      <w:pPr>
        <w:pStyle w:val="ListParagraph"/>
        <w:numPr>
          <w:ilvl w:val="0"/>
          <w:numId w:val="20"/>
        </w:numPr>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Atbilstoši SAMC reorganizācijas gaitai </w:t>
      </w:r>
      <w:r w:rsidR="007F6617">
        <w:rPr>
          <w:rFonts w:ascii="Times New Roman" w:eastAsia="Times New Roman" w:hAnsi="Times New Roman"/>
          <w:sz w:val="28"/>
          <w:szCs w:val="28"/>
          <w:lang w:eastAsia="lv-LV"/>
        </w:rPr>
        <w:t>v</w:t>
      </w:r>
      <w:r w:rsidR="00151301">
        <w:rPr>
          <w:rFonts w:ascii="Times New Roman" w:eastAsia="Times New Roman" w:hAnsi="Times New Roman"/>
          <w:sz w:val="28"/>
          <w:szCs w:val="28"/>
          <w:lang w:eastAsia="lv-LV"/>
        </w:rPr>
        <w:t>eikt</w:t>
      </w:r>
      <w:r>
        <w:rPr>
          <w:rFonts w:ascii="Times New Roman" w:eastAsia="Times New Roman" w:hAnsi="Times New Roman"/>
          <w:sz w:val="28"/>
          <w:szCs w:val="28"/>
          <w:lang w:eastAsia="lv-LV"/>
        </w:rPr>
        <w:t xml:space="preserve"> nepieciešamos</w:t>
      </w:r>
      <w:r w:rsidR="00151301">
        <w:rPr>
          <w:rFonts w:ascii="Times New Roman" w:eastAsia="Times New Roman" w:hAnsi="Times New Roman"/>
          <w:sz w:val="28"/>
          <w:szCs w:val="28"/>
          <w:lang w:eastAsia="lv-LV"/>
        </w:rPr>
        <w:t xml:space="preserve"> grozījumus </w:t>
      </w:r>
      <w:r w:rsidR="007F6617">
        <w:rPr>
          <w:rFonts w:ascii="Times New Roman" w:eastAsia="Times New Roman" w:hAnsi="Times New Roman"/>
          <w:sz w:val="28"/>
          <w:szCs w:val="28"/>
          <w:lang w:eastAsia="lv-LV"/>
        </w:rPr>
        <w:t xml:space="preserve">Ministru kabineta 2010.gada 18.maijā noteikumos Nr.445 </w:t>
      </w:r>
      <w:r w:rsidR="007F6617" w:rsidRPr="007F6617">
        <w:rPr>
          <w:rFonts w:ascii="Times New Roman" w:eastAsia="Times New Roman" w:hAnsi="Times New Roman"/>
          <w:i/>
          <w:sz w:val="28"/>
          <w:szCs w:val="28"/>
          <w:lang w:eastAsia="lv-LV"/>
        </w:rPr>
        <w:t>“Noteikumi par nacionālo akreditācijas institūciju”</w:t>
      </w:r>
      <w:r w:rsidR="007F6617">
        <w:rPr>
          <w:rFonts w:ascii="Times New Roman" w:eastAsia="Times New Roman" w:hAnsi="Times New Roman"/>
          <w:sz w:val="28"/>
          <w:szCs w:val="28"/>
          <w:lang w:eastAsia="lv-LV"/>
        </w:rPr>
        <w:t>, nosakot</w:t>
      </w:r>
      <w:r>
        <w:rPr>
          <w:rFonts w:ascii="Times New Roman" w:eastAsia="Times New Roman" w:hAnsi="Times New Roman"/>
          <w:sz w:val="28"/>
          <w:szCs w:val="28"/>
          <w:lang w:eastAsia="lv-LV"/>
        </w:rPr>
        <w:t xml:space="preserve"> institūciju, kas pilda</w:t>
      </w:r>
      <w:r w:rsidR="007F6617">
        <w:rPr>
          <w:rFonts w:ascii="Times New Roman" w:eastAsia="Times New Roman" w:hAnsi="Times New Roman"/>
          <w:sz w:val="28"/>
          <w:szCs w:val="28"/>
          <w:lang w:eastAsia="lv-LV"/>
        </w:rPr>
        <w:t xml:space="preserve"> nacionālās akreditācijas institūcijas funkcijas;</w:t>
      </w:r>
    </w:p>
    <w:p w14:paraId="714FE4C4" w14:textId="77777777" w:rsidR="007F6617" w:rsidRDefault="007F6617" w:rsidP="00276FD4">
      <w:pPr>
        <w:pStyle w:val="ListParagraph"/>
        <w:numPr>
          <w:ilvl w:val="0"/>
          <w:numId w:val="20"/>
        </w:numPr>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Izstrādāt un Ministru kabinetā apstiprināt valsts aģentūras “Latvijas nacionālais akreditācijas biroja” nolikumu</w:t>
      </w:r>
      <w:r w:rsidR="00341A57">
        <w:rPr>
          <w:rFonts w:ascii="Times New Roman" w:eastAsia="Times New Roman" w:hAnsi="Times New Roman"/>
          <w:sz w:val="28"/>
          <w:szCs w:val="28"/>
          <w:lang w:eastAsia="lv-LV"/>
        </w:rPr>
        <w:t>.</w:t>
      </w:r>
    </w:p>
    <w:p w14:paraId="21082D1D" w14:textId="77777777" w:rsidR="003B0601" w:rsidRPr="00276FD4" w:rsidRDefault="003B0601" w:rsidP="00276FD4">
      <w:pPr>
        <w:pStyle w:val="ListParagraph"/>
        <w:numPr>
          <w:ilvl w:val="0"/>
          <w:numId w:val="20"/>
        </w:numPr>
        <w:jc w:val="both"/>
        <w:rPr>
          <w:rFonts w:ascii="Times New Roman" w:eastAsia="Times New Roman" w:hAnsi="Times New Roman"/>
          <w:sz w:val="28"/>
          <w:szCs w:val="28"/>
          <w:lang w:eastAsia="lv-LV"/>
        </w:rPr>
      </w:pPr>
      <w:r w:rsidRPr="00276FD4">
        <w:rPr>
          <w:rFonts w:ascii="Times New Roman" w:eastAsia="Times New Roman" w:hAnsi="Times New Roman"/>
          <w:sz w:val="28"/>
          <w:szCs w:val="28"/>
          <w:lang w:eastAsia="lv-LV"/>
        </w:rPr>
        <w:br w:type="page"/>
      </w:r>
    </w:p>
    <w:p w14:paraId="51B77964" w14:textId="77777777" w:rsidR="00C82FF3" w:rsidRDefault="00B6693D" w:rsidP="003B0601">
      <w:pPr>
        <w:pStyle w:val="Heading1"/>
        <w:rPr>
          <w:rFonts w:eastAsia="Times New Roman"/>
          <w:lang w:eastAsia="lv-LV"/>
        </w:rPr>
      </w:pPr>
      <w:r>
        <w:rPr>
          <w:rFonts w:eastAsia="Times New Roman"/>
          <w:lang w:eastAsia="lv-LV"/>
        </w:rPr>
        <w:t xml:space="preserve">  </w:t>
      </w:r>
      <w:r w:rsidR="003B0601">
        <w:rPr>
          <w:rFonts w:eastAsia="Times New Roman"/>
          <w:lang w:eastAsia="lv-LV"/>
        </w:rPr>
        <w:t xml:space="preserve">5. </w:t>
      </w:r>
      <w:r w:rsidR="00591C18">
        <w:rPr>
          <w:rFonts w:eastAsia="Times New Roman"/>
          <w:lang w:eastAsia="lv-LV"/>
        </w:rPr>
        <w:t>Ietekme uz valsts budžetu</w:t>
      </w:r>
    </w:p>
    <w:p w14:paraId="06B8D297" w14:textId="77777777" w:rsidR="00B11B41" w:rsidRDefault="006D16C7" w:rsidP="00EB1950">
      <w:pPr>
        <w:jc w:val="both"/>
        <w:rPr>
          <w:rFonts w:ascii="Times New Roman" w:hAnsi="Times New Roman" w:cs="Times New Roman"/>
          <w:sz w:val="28"/>
          <w:szCs w:val="28"/>
          <w:lang w:eastAsia="lv-LV"/>
        </w:rPr>
      </w:pPr>
      <w:r>
        <w:rPr>
          <w:rFonts w:ascii="Times New Roman" w:hAnsi="Times New Roman" w:cs="Times New Roman"/>
          <w:sz w:val="28"/>
          <w:szCs w:val="28"/>
          <w:lang w:eastAsia="lv-LV"/>
        </w:rPr>
        <w:tab/>
        <w:t>Šajā ziņojumā piedāvātā risinājuma ieviešana neradīs negatīvu ietekmi uz budžetu. Vis</w:t>
      </w:r>
      <w:r w:rsidR="007F6617">
        <w:rPr>
          <w:rFonts w:ascii="Times New Roman" w:hAnsi="Times New Roman" w:cs="Times New Roman"/>
          <w:sz w:val="28"/>
          <w:szCs w:val="28"/>
          <w:lang w:eastAsia="lv-LV"/>
        </w:rPr>
        <w:t xml:space="preserve">as SAMC reorganizācijas procesā noteiktās darbības tiks īstenotas </w:t>
      </w:r>
      <w:r w:rsidR="00EB1950">
        <w:rPr>
          <w:rFonts w:ascii="Times New Roman" w:hAnsi="Times New Roman" w:cs="Times New Roman"/>
          <w:sz w:val="28"/>
          <w:szCs w:val="28"/>
          <w:lang w:eastAsia="lv-LV"/>
        </w:rPr>
        <w:t xml:space="preserve">esošā finansējuma ietvaros un izmantojot SAMC pieejamos finanšu līdzekļus. </w:t>
      </w:r>
    </w:p>
    <w:p w14:paraId="7B73957D" w14:textId="77777777" w:rsidR="004D130D" w:rsidRDefault="004D130D" w:rsidP="004D130D">
      <w:pPr>
        <w:jc w:val="both"/>
        <w:rPr>
          <w:rFonts w:ascii="Times New Roman" w:hAnsi="Times New Roman" w:cs="Times New Roman"/>
          <w:sz w:val="28"/>
          <w:szCs w:val="28"/>
          <w:lang w:eastAsia="lv-LV"/>
        </w:rPr>
      </w:pPr>
      <w:r>
        <w:rPr>
          <w:rFonts w:ascii="Times New Roman" w:hAnsi="Times New Roman" w:cs="Times New Roman"/>
          <w:sz w:val="28"/>
          <w:szCs w:val="28"/>
          <w:lang w:eastAsia="lv-LV"/>
        </w:rPr>
        <w:tab/>
        <w:t xml:space="preserve">Nacionālās akreditācijas institūcijas un Nacionālās Standartizācijas institūcijas finansējuma avoti saglabājas esošie, proti, pašu ieņēmumi un valsts budžeta līdzfinansējums. Gan akreditācijas, gan standartizācijas funkciju īstenošanai, tāpat kā iepriekšējos gados būs nepieciešams nodrošināt valsts budžeta līdzfinansējumu likumā “Par atbilstības novērtēšanu” un Standartizācijas likumā noteikto uzdevumu pildīšanai. </w:t>
      </w:r>
    </w:p>
    <w:p w14:paraId="1C3AC3D0" w14:textId="77777777" w:rsidR="004D130D" w:rsidRPr="00EB1950" w:rsidRDefault="004D130D" w:rsidP="004D130D">
      <w:pPr>
        <w:jc w:val="both"/>
        <w:rPr>
          <w:rFonts w:ascii="Times New Roman" w:hAnsi="Times New Roman" w:cs="Times New Roman"/>
          <w:sz w:val="28"/>
          <w:szCs w:val="28"/>
          <w:lang w:eastAsia="lv-LV"/>
        </w:rPr>
      </w:pPr>
      <w:r>
        <w:rPr>
          <w:rFonts w:ascii="Times New Roman" w:hAnsi="Times New Roman" w:cs="Times New Roman"/>
          <w:sz w:val="28"/>
          <w:szCs w:val="28"/>
          <w:lang w:eastAsia="lv-LV"/>
        </w:rPr>
        <w:tab/>
        <w:t>Valsts aģentūrai, kas pildīs Nacionālās akreditācijas institūcijas funkcijas, būs iespējams gūt pašu ieņēmumus par akreditācijas pakalpojumu sniegšanu. Biedru organizācija, kas nodarbosies ar standartizācijas jautājumiem, būs tiesīga sniegt standartizācijas pakalpojumus un piesaistīt biedru līdzfinansējumu.</w:t>
      </w:r>
    </w:p>
    <w:p w14:paraId="1576CF84" w14:textId="77777777" w:rsidR="00EE6B0B" w:rsidRDefault="00EE6B0B" w:rsidP="00B03C6F">
      <w:pPr>
        <w:pStyle w:val="ListParagraph"/>
        <w:jc w:val="center"/>
        <w:rPr>
          <w:rFonts w:ascii="Times New Roman" w:eastAsia="Times New Roman" w:hAnsi="Times New Roman"/>
          <w:b/>
          <w:sz w:val="28"/>
          <w:szCs w:val="28"/>
          <w:lang w:eastAsia="lv-LV"/>
        </w:rPr>
      </w:pPr>
    </w:p>
    <w:p w14:paraId="0A03C356" w14:textId="77777777" w:rsidR="001D4DAA" w:rsidRDefault="001D4DAA" w:rsidP="00B03C6F">
      <w:pPr>
        <w:pStyle w:val="ListParagraph"/>
        <w:jc w:val="center"/>
        <w:rPr>
          <w:rFonts w:ascii="Times New Roman" w:eastAsia="Times New Roman" w:hAnsi="Times New Roman"/>
          <w:b/>
          <w:sz w:val="28"/>
          <w:szCs w:val="28"/>
          <w:lang w:eastAsia="lv-LV"/>
        </w:rPr>
      </w:pPr>
    </w:p>
    <w:p w14:paraId="634F1EBC" w14:textId="77777777" w:rsidR="004D130D" w:rsidRDefault="004D130D" w:rsidP="00B03C6F">
      <w:pPr>
        <w:pStyle w:val="ListParagraph"/>
        <w:jc w:val="center"/>
        <w:rPr>
          <w:rFonts w:ascii="Times New Roman" w:eastAsia="Times New Roman" w:hAnsi="Times New Roman"/>
          <w:b/>
          <w:sz w:val="28"/>
          <w:szCs w:val="28"/>
          <w:lang w:eastAsia="lv-LV"/>
        </w:rPr>
      </w:pPr>
    </w:p>
    <w:p w14:paraId="6D5AFC51" w14:textId="77777777" w:rsidR="004D130D" w:rsidRDefault="004D130D" w:rsidP="00B03C6F">
      <w:pPr>
        <w:pStyle w:val="ListParagraph"/>
        <w:jc w:val="center"/>
        <w:rPr>
          <w:rFonts w:ascii="Times New Roman" w:eastAsia="Times New Roman" w:hAnsi="Times New Roman"/>
          <w:b/>
          <w:sz w:val="28"/>
          <w:szCs w:val="28"/>
          <w:lang w:eastAsia="lv-LV"/>
        </w:rPr>
      </w:pPr>
    </w:p>
    <w:p w14:paraId="3596BFBC" w14:textId="77777777" w:rsidR="00FF2993" w:rsidRDefault="00FF2993" w:rsidP="00B03C6F">
      <w:pPr>
        <w:pStyle w:val="ListParagraph"/>
        <w:jc w:val="center"/>
        <w:rPr>
          <w:rFonts w:ascii="Times New Roman" w:eastAsia="Times New Roman" w:hAnsi="Times New Roman"/>
          <w:b/>
          <w:sz w:val="28"/>
          <w:szCs w:val="28"/>
          <w:lang w:eastAsia="lv-LV"/>
        </w:rPr>
      </w:pPr>
    </w:p>
    <w:p w14:paraId="73466F6D" w14:textId="77777777" w:rsidR="00FF2993" w:rsidRDefault="00FF2993" w:rsidP="00B03C6F">
      <w:pPr>
        <w:pStyle w:val="ListParagraph"/>
        <w:jc w:val="center"/>
        <w:rPr>
          <w:rFonts w:ascii="Times New Roman" w:eastAsia="Times New Roman" w:hAnsi="Times New Roman"/>
          <w:b/>
          <w:sz w:val="28"/>
          <w:szCs w:val="28"/>
          <w:lang w:eastAsia="lv-LV"/>
        </w:rPr>
      </w:pPr>
    </w:p>
    <w:p w14:paraId="702DAA85" w14:textId="77777777" w:rsidR="00FF2993" w:rsidRDefault="00FF2993" w:rsidP="00B03C6F">
      <w:pPr>
        <w:pStyle w:val="ListParagraph"/>
        <w:jc w:val="center"/>
        <w:rPr>
          <w:rFonts w:ascii="Times New Roman" w:eastAsia="Times New Roman" w:hAnsi="Times New Roman"/>
          <w:b/>
          <w:sz w:val="28"/>
          <w:szCs w:val="28"/>
          <w:lang w:eastAsia="lv-LV"/>
        </w:rPr>
      </w:pPr>
    </w:p>
    <w:p w14:paraId="22F3AF52" w14:textId="77777777" w:rsidR="00FF2993" w:rsidRDefault="00FF2993" w:rsidP="00B03C6F">
      <w:pPr>
        <w:pStyle w:val="ListParagraph"/>
        <w:jc w:val="center"/>
        <w:rPr>
          <w:rFonts w:ascii="Times New Roman" w:eastAsia="Times New Roman" w:hAnsi="Times New Roman"/>
          <w:b/>
          <w:sz w:val="28"/>
          <w:szCs w:val="28"/>
          <w:lang w:eastAsia="lv-LV"/>
        </w:rPr>
      </w:pPr>
    </w:p>
    <w:p w14:paraId="7999B221" w14:textId="77777777" w:rsidR="00FF2993" w:rsidRDefault="00FF2993" w:rsidP="00B03C6F">
      <w:pPr>
        <w:pStyle w:val="ListParagraph"/>
        <w:jc w:val="center"/>
        <w:rPr>
          <w:rFonts w:ascii="Times New Roman" w:eastAsia="Times New Roman" w:hAnsi="Times New Roman"/>
          <w:b/>
          <w:sz w:val="28"/>
          <w:szCs w:val="28"/>
          <w:lang w:eastAsia="lv-LV"/>
        </w:rPr>
      </w:pPr>
    </w:p>
    <w:p w14:paraId="185397EC" w14:textId="77777777" w:rsidR="00FF2993" w:rsidRDefault="00FF2993" w:rsidP="00B03C6F">
      <w:pPr>
        <w:pStyle w:val="ListParagraph"/>
        <w:jc w:val="center"/>
        <w:rPr>
          <w:rFonts w:ascii="Times New Roman" w:eastAsia="Times New Roman" w:hAnsi="Times New Roman"/>
          <w:b/>
          <w:sz w:val="28"/>
          <w:szCs w:val="28"/>
          <w:lang w:eastAsia="lv-LV"/>
        </w:rPr>
      </w:pPr>
    </w:p>
    <w:p w14:paraId="59F7FCFE" w14:textId="77777777" w:rsidR="00FF2993" w:rsidRDefault="00FF2993" w:rsidP="00B03C6F">
      <w:pPr>
        <w:pStyle w:val="ListParagraph"/>
        <w:jc w:val="center"/>
        <w:rPr>
          <w:rFonts w:ascii="Times New Roman" w:eastAsia="Times New Roman" w:hAnsi="Times New Roman"/>
          <w:b/>
          <w:sz w:val="28"/>
          <w:szCs w:val="28"/>
          <w:lang w:eastAsia="lv-LV"/>
        </w:rPr>
      </w:pPr>
    </w:p>
    <w:p w14:paraId="19B18853" w14:textId="77777777" w:rsidR="00FF2993" w:rsidRPr="00FF2993" w:rsidRDefault="00FF2993" w:rsidP="00FF2993">
      <w:pPr>
        <w:spacing w:after="0" w:line="240" w:lineRule="auto"/>
        <w:jc w:val="both"/>
        <w:rPr>
          <w:rFonts w:ascii="Times New Roman" w:hAnsi="Times New Roman" w:cs="Times New Roman"/>
          <w:sz w:val="28"/>
          <w:szCs w:val="28"/>
        </w:rPr>
      </w:pPr>
      <w:r w:rsidRPr="00FF2993">
        <w:rPr>
          <w:rFonts w:ascii="Times New Roman" w:hAnsi="Times New Roman" w:cs="Times New Roman"/>
          <w:sz w:val="28"/>
          <w:szCs w:val="28"/>
        </w:rPr>
        <w:t>Ministru prezidenta biedrs,</w:t>
      </w:r>
    </w:p>
    <w:p w14:paraId="4AC788C8" w14:textId="77777777" w:rsidR="00FF2993" w:rsidRPr="00FF2993" w:rsidRDefault="00FF2993" w:rsidP="00FF2993">
      <w:pPr>
        <w:spacing w:after="0" w:line="240" w:lineRule="auto"/>
        <w:jc w:val="both"/>
        <w:rPr>
          <w:rFonts w:ascii="Times New Roman" w:hAnsi="Times New Roman" w:cs="Times New Roman"/>
          <w:sz w:val="28"/>
          <w:szCs w:val="28"/>
        </w:rPr>
      </w:pPr>
      <w:r w:rsidRPr="00FF2993">
        <w:rPr>
          <w:rFonts w:ascii="Times New Roman" w:hAnsi="Times New Roman" w:cs="Times New Roman"/>
          <w:sz w:val="28"/>
          <w:szCs w:val="28"/>
        </w:rPr>
        <w:t>ekonomikas ministrs</w:t>
      </w:r>
      <w:r w:rsidRPr="00FF2993">
        <w:rPr>
          <w:rFonts w:ascii="Times New Roman" w:hAnsi="Times New Roman" w:cs="Times New Roman"/>
          <w:sz w:val="28"/>
          <w:szCs w:val="28"/>
        </w:rPr>
        <w:tab/>
      </w:r>
      <w:r w:rsidRPr="00FF2993">
        <w:rPr>
          <w:rFonts w:ascii="Times New Roman" w:hAnsi="Times New Roman" w:cs="Times New Roman"/>
          <w:sz w:val="28"/>
          <w:szCs w:val="28"/>
        </w:rPr>
        <w:tab/>
      </w:r>
      <w:r w:rsidRPr="00FF2993">
        <w:rPr>
          <w:rFonts w:ascii="Times New Roman" w:hAnsi="Times New Roman" w:cs="Times New Roman"/>
          <w:sz w:val="28"/>
          <w:szCs w:val="28"/>
        </w:rPr>
        <w:tab/>
      </w:r>
      <w:r w:rsidRPr="00FF2993">
        <w:rPr>
          <w:rFonts w:ascii="Times New Roman" w:hAnsi="Times New Roman" w:cs="Times New Roman"/>
          <w:sz w:val="28"/>
          <w:szCs w:val="28"/>
        </w:rPr>
        <w:tab/>
      </w:r>
      <w:r w:rsidRPr="00FF2993">
        <w:rPr>
          <w:rFonts w:ascii="Times New Roman" w:hAnsi="Times New Roman" w:cs="Times New Roman"/>
          <w:sz w:val="28"/>
          <w:szCs w:val="28"/>
        </w:rPr>
        <w:tab/>
      </w:r>
      <w:r w:rsidRPr="00FF2993">
        <w:rPr>
          <w:rFonts w:ascii="Times New Roman" w:hAnsi="Times New Roman" w:cs="Times New Roman"/>
          <w:sz w:val="28"/>
          <w:szCs w:val="28"/>
        </w:rPr>
        <w:tab/>
      </w:r>
      <w:r w:rsidRPr="00FF2993">
        <w:rPr>
          <w:rFonts w:ascii="Times New Roman" w:hAnsi="Times New Roman" w:cs="Times New Roman"/>
          <w:sz w:val="28"/>
          <w:szCs w:val="28"/>
        </w:rPr>
        <w:tab/>
      </w:r>
      <w:proofErr w:type="spellStart"/>
      <w:r w:rsidRPr="00FF2993">
        <w:rPr>
          <w:rFonts w:ascii="Times New Roman" w:hAnsi="Times New Roman" w:cs="Times New Roman"/>
          <w:sz w:val="28"/>
          <w:szCs w:val="28"/>
        </w:rPr>
        <w:t>A.Ašeradens</w:t>
      </w:r>
      <w:proofErr w:type="spellEnd"/>
    </w:p>
    <w:p w14:paraId="63D73613" w14:textId="77777777" w:rsidR="00FF2993" w:rsidRPr="00FF2993" w:rsidRDefault="00FF2993" w:rsidP="00FF2993">
      <w:pPr>
        <w:spacing w:after="0" w:line="240" w:lineRule="auto"/>
        <w:jc w:val="both"/>
        <w:rPr>
          <w:rFonts w:ascii="Times New Roman" w:hAnsi="Times New Roman" w:cs="Times New Roman"/>
          <w:sz w:val="28"/>
          <w:szCs w:val="28"/>
        </w:rPr>
      </w:pPr>
    </w:p>
    <w:p w14:paraId="52425370" w14:textId="77777777" w:rsidR="00FF2993" w:rsidRDefault="00FF2993" w:rsidP="00FF2993">
      <w:pPr>
        <w:spacing w:after="0" w:line="240" w:lineRule="auto"/>
        <w:jc w:val="both"/>
        <w:rPr>
          <w:rFonts w:ascii="Times New Roman" w:hAnsi="Times New Roman" w:cs="Times New Roman"/>
          <w:sz w:val="28"/>
          <w:szCs w:val="28"/>
        </w:rPr>
      </w:pPr>
    </w:p>
    <w:p w14:paraId="5587D60A" w14:textId="77777777" w:rsidR="00FF2993" w:rsidRDefault="00FF2993" w:rsidP="00FF2993">
      <w:pPr>
        <w:spacing w:after="0" w:line="240" w:lineRule="auto"/>
        <w:jc w:val="both"/>
        <w:rPr>
          <w:rFonts w:ascii="Times New Roman" w:hAnsi="Times New Roman" w:cs="Times New Roman"/>
          <w:sz w:val="28"/>
          <w:szCs w:val="28"/>
        </w:rPr>
      </w:pPr>
    </w:p>
    <w:p w14:paraId="572B1C1E" w14:textId="77777777" w:rsidR="00FF2993" w:rsidRPr="00FF2993" w:rsidRDefault="00FF2993" w:rsidP="00FF2993">
      <w:pPr>
        <w:spacing w:after="0" w:line="240" w:lineRule="auto"/>
        <w:jc w:val="both"/>
        <w:rPr>
          <w:rFonts w:ascii="Times New Roman" w:hAnsi="Times New Roman" w:cs="Times New Roman"/>
          <w:sz w:val="28"/>
          <w:szCs w:val="28"/>
        </w:rPr>
      </w:pPr>
      <w:r w:rsidRPr="00FF2993">
        <w:rPr>
          <w:rFonts w:ascii="Times New Roman" w:hAnsi="Times New Roman" w:cs="Times New Roman"/>
          <w:sz w:val="28"/>
          <w:szCs w:val="28"/>
        </w:rPr>
        <w:t>Vīza:</w:t>
      </w:r>
    </w:p>
    <w:p w14:paraId="2BE2869D" w14:textId="77777777" w:rsidR="00FF2993" w:rsidRPr="00FF2993" w:rsidRDefault="00FF2993" w:rsidP="00FF2993">
      <w:pPr>
        <w:spacing w:after="0" w:line="240" w:lineRule="auto"/>
        <w:jc w:val="both"/>
        <w:rPr>
          <w:rFonts w:ascii="Times New Roman" w:hAnsi="Times New Roman" w:cs="Times New Roman"/>
          <w:sz w:val="28"/>
          <w:szCs w:val="28"/>
        </w:rPr>
      </w:pPr>
      <w:r w:rsidRPr="00FF2993">
        <w:rPr>
          <w:rFonts w:ascii="Times New Roman" w:hAnsi="Times New Roman" w:cs="Times New Roman"/>
          <w:sz w:val="28"/>
          <w:szCs w:val="28"/>
        </w:rPr>
        <w:t>Valsts sekretārs</w:t>
      </w:r>
      <w:r w:rsidRPr="00FF2993">
        <w:rPr>
          <w:rFonts w:ascii="Times New Roman" w:hAnsi="Times New Roman" w:cs="Times New Roman"/>
          <w:sz w:val="28"/>
          <w:szCs w:val="28"/>
        </w:rPr>
        <w:tab/>
      </w:r>
      <w:r w:rsidRPr="00FF2993">
        <w:rPr>
          <w:rFonts w:ascii="Times New Roman" w:hAnsi="Times New Roman" w:cs="Times New Roman"/>
          <w:sz w:val="28"/>
          <w:szCs w:val="28"/>
        </w:rPr>
        <w:tab/>
      </w:r>
      <w:r w:rsidRPr="00FF2993">
        <w:rPr>
          <w:rFonts w:ascii="Times New Roman" w:hAnsi="Times New Roman" w:cs="Times New Roman"/>
          <w:sz w:val="28"/>
          <w:szCs w:val="28"/>
        </w:rPr>
        <w:tab/>
      </w:r>
      <w:r w:rsidRPr="00FF2993">
        <w:rPr>
          <w:rFonts w:ascii="Times New Roman" w:hAnsi="Times New Roman" w:cs="Times New Roman"/>
          <w:sz w:val="28"/>
          <w:szCs w:val="28"/>
        </w:rPr>
        <w:tab/>
      </w:r>
      <w:r w:rsidRPr="00FF2993">
        <w:rPr>
          <w:rFonts w:ascii="Times New Roman" w:hAnsi="Times New Roman" w:cs="Times New Roman"/>
          <w:sz w:val="28"/>
          <w:szCs w:val="28"/>
        </w:rPr>
        <w:tab/>
      </w:r>
      <w:r w:rsidRPr="00FF2993">
        <w:rPr>
          <w:rFonts w:ascii="Times New Roman" w:hAnsi="Times New Roman" w:cs="Times New Roman"/>
          <w:sz w:val="28"/>
          <w:szCs w:val="28"/>
        </w:rPr>
        <w:tab/>
      </w:r>
      <w:r w:rsidRPr="00FF2993">
        <w:rPr>
          <w:rFonts w:ascii="Times New Roman" w:hAnsi="Times New Roman" w:cs="Times New Roman"/>
          <w:sz w:val="28"/>
          <w:szCs w:val="28"/>
        </w:rPr>
        <w:tab/>
      </w:r>
      <w:r w:rsidRPr="00FF2993">
        <w:rPr>
          <w:rFonts w:ascii="Times New Roman" w:hAnsi="Times New Roman" w:cs="Times New Roman"/>
          <w:sz w:val="28"/>
          <w:szCs w:val="28"/>
        </w:rPr>
        <w:tab/>
      </w:r>
      <w:proofErr w:type="spellStart"/>
      <w:r w:rsidRPr="00FF2993">
        <w:rPr>
          <w:rFonts w:ascii="Times New Roman" w:hAnsi="Times New Roman" w:cs="Times New Roman"/>
          <w:sz w:val="28"/>
          <w:szCs w:val="28"/>
        </w:rPr>
        <w:t>J.Stinka</w:t>
      </w:r>
      <w:proofErr w:type="spellEnd"/>
    </w:p>
    <w:p w14:paraId="2C52F51A" w14:textId="77777777" w:rsidR="00FF2993" w:rsidRPr="00FF2993" w:rsidRDefault="00FF2993" w:rsidP="00FF2993">
      <w:pPr>
        <w:spacing w:after="0" w:line="240" w:lineRule="auto"/>
        <w:jc w:val="both"/>
        <w:rPr>
          <w:rFonts w:ascii="Times New Roman" w:hAnsi="Times New Roman" w:cs="Times New Roman"/>
          <w:sz w:val="28"/>
          <w:szCs w:val="28"/>
        </w:rPr>
      </w:pPr>
    </w:p>
    <w:p w14:paraId="0591A58A" w14:textId="77777777" w:rsidR="00FF2993" w:rsidRDefault="00FF2993" w:rsidP="00FF2993">
      <w:pPr>
        <w:spacing w:after="0" w:line="240" w:lineRule="auto"/>
        <w:jc w:val="both"/>
        <w:rPr>
          <w:rFonts w:ascii="Times New Roman" w:hAnsi="Times New Roman" w:cs="Times New Roman"/>
          <w:sz w:val="28"/>
          <w:szCs w:val="28"/>
        </w:rPr>
      </w:pPr>
    </w:p>
    <w:p w14:paraId="3F88505C" w14:textId="77777777" w:rsidR="00FF2993" w:rsidRDefault="00FF2993" w:rsidP="00FF2993">
      <w:pPr>
        <w:spacing w:after="0" w:line="240" w:lineRule="auto"/>
        <w:jc w:val="both"/>
        <w:rPr>
          <w:rFonts w:ascii="Times New Roman" w:hAnsi="Times New Roman" w:cs="Times New Roman"/>
          <w:sz w:val="28"/>
          <w:szCs w:val="28"/>
        </w:rPr>
      </w:pPr>
    </w:p>
    <w:p w14:paraId="6B7FC039" w14:textId="77777777" w:rsidR="00FF2993" w:rsidRPr="00FF2993" w:rsidRDefault="00FF2993" w:rsidP="00FF2993">
      <w:pPr>
        <w:spacing w:after="0" w:line="240" w:lineRule="auto"/>
        <w:jc w:val="both"/>
        <w:rPr>
          <w:rFonts w:ascii="Times New Roman" w:hAnsi="Times New Roman" w:cs="Times New Roman"/>
          <w:sz w:val="28"/>
          <w:szCs w:val="28"/>
        </w:rPr>
      </w:pPr>
    </w:p>
    <w:p w14:paraId="1EFE2CA4" w14:textId="678F76F0" w:rsidR="00FF2993" w:rsidRPr="00FF2993" w:rsidRDefault="00B72F2D" w:rsidP="00FF299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16</w:t>
      </w:r>
      <w:r w:rsidR="00FF2993" w:rsidRPr="00FF2993">
        <w:rPr>
          <w:rFonts w:ascii="Times New Roman" w:hAnsi="Times New Roman" w:cs="Times New Roman"/>
          <w:sz w:val="16"/>
          <w:szCs w:val="16"/>
        </w:rPr>
        <w:t>.</w:t>
      </w:r>
      <w:r>
        <w:rPr>
          <w:rFonts w:ascii="Times New Roman" w:hAnsi="Times New Roman" w:cs="Times New Roman"/>
          <w:sz w:val="16"/>
          <w:szCs w:val="16"/>
        </w:rPr>
        <w:t>03</w:t>
      </w:r>
      <w:r w:rsidR="00FF2993" w:rsidRPr="00FF2993">
        <w:rPr>
          <w:rFonts w:ascii="Times New Roman" w:hAnsi="Times New Roman" w:cs="Times New Roman"/>
          <w:sz w:val="16"/>
          <w:szCs w:val="16"/>
        </w:rPr>
        <w:t>.201</w:t>
      </w:r>
      <w:r w:rsidR="00F3601A">
        <w:rPr>
          <w:rFonts w:ascii="Times New Roman" w:hAnsi="Times New Roman" w:cs="Times New Roman"/>
          <w:sz w:val="16"/>
          <w:szCs w:val="16"/>
        </w:rPr>
        <w:t>7</w:t>
      </w:r>
      <w:r w:rsidR="00FF2993" w:rsidRPr="00FF2993">
        <w:rPr>
          <w:rFonts w:ascii="Times New Roman" w:hAnsi="Times New Roman" w:cs="Times New Roman"/>
          <w:sz w:val="16"/>
          <w:szCs w:val="16"/>
        </w:rPr>
        <w:t>. 14:21</w:t>
      </w:r>
    </w:p>
    <w:p w14:paraId="180352A4" w14:textId="4EFBF5AF" w:rsidR="00FF2993" w:rsidRPr="00FF2993" w:rsidRDefault="00FF2993" w:rsidP="00FF2993">
      <w:pPr>
        <w:spacing w:after="0" w:line="240" w:lineRule="auto"/>
        <w:jc w:val="both"/>
        <w:rPr>
          <w:rFonts w:ascii="Times New Roman" w:eastAsia="Times New Roman" w:hAnsi="Times New Roman" w:cs="Times New Roman"/>
          <w:sz w:val="16"/>
          <w:szCs w:val="16"/>
          <w:lang w:eastAsia="lv-LV"/>
        </w:rPr>
      </w:pPr>
      <w:r w:rsidRPr="000F5E51">
        <w:rPr>
          <w:rFonts w:ascii="Times New Roman" w:eastAsia="Times New Roman" w:hAnsi="Times New Roman" w:cs="Times New Roman"/>
          <w:sz w:val="16"/>
          <w:szCs w:val="16"/>
          <w:lang w:eastAsia="lv-LV"/>
        </w:rPr>
        <w:fldChar w:fldCharType="begin"/>
      </w:r>
      <w:r w:rsidRPr="000F5E51">
        <w:rPr>
          <w:rFonts w:ascii="Times New Roman" w:eastAsia="Times New Roman" w:hAnsi="Times New Roman" w:cs="Times New Roman"/>
          <w:sz w:val="16"/>
          <w:szCs w:val="16"/>
          <w:lang w:eastAsia="lv-LV"/>
        </w:rPr>
        <w:instrText xml:space="preserve"> NUMWORDS  \* Arabic  \* MERGEFORMAT </w:instrText>
      </w:r>
      <w:r w:rsidRPr="000F5E51">
        <w:rPr>
          <w:rFonts w:ascii="Times New Roman" w:eastAsia="Times New Roman" w:hAnsi="Times New Roman" w:cs="Times New Roman"/>
          <w:sz w:val="16"/>
          <w:szCs w:val="16"/>
          <w:lang w:eastAsia="lv-LV"/>
        </w:rPr>
        <w:fldChar w:fldCharType="separate"/>
      </w:r>
      <w:r w:rsidR="00AD4B79">
        <w:rPr>
          <w:rFonts w:ascii="Times New Roman" w:eastAsia="Times New Roman" w:hAnsi="Times New Roman" w:cs="Times New Roman"/>
          <w:noProof/>
          <w:sz w:val="16"/>
          <w:szCs w:val="16"/>
          <w:lang w:eastAsia="lv-LV"/>
        </w:rPr>
        <w:t>5300</w:t>
      </w:r>
      <w:r w:rsidRPr="000F5E51">
        <w:rPr>
          <w:rFonts w:ascii="Times New Roman" w:eastAsia="Times New Roman" w:hAnsi="Times New Roman" w:cs="Times New Roman"/>
          <w:sz w:val="16"/>
          <w:szCs w:val="16"/>
          <w:lang w:eastAsia="lv-LV"/>
        </w:rPr>
        <w:fldChar w:fldCharType="end"/>
      </w:r>
      <w:bookmarkStart w:id="0" w:name="_GoBack"/>
      <w:bookmarkEnd w:id="0"/>
    </w:p>
    <w:p w14:paraId="528626DB" w14:textId="77777777" w:rsidR="00FF2993" w:rsidRPr="00FF2993" w:rsidRDefault="00FF2993" w:rsidP="00FF2993">
      <w:pPr>
        <w:spacing w:after="0" w:line="240" w:lineRule="auto"/>
        <w:jc w:val="both"/>
        <w:rPr>
          <w:rFonts w:ascii="Times New Roman" w:eastAsia="Times New Roman" w:hAnsi="Times New Roman" w:cs="Times New Roman"/>
          <w:sz w:val="16"/>
          <w:szCs w:val="16"/>
          <w:lang w:eastAsia="lv-LV"/>
        </w:rPr>
      </w:pPr>
      <w:r w:rsidRPr="00FF2993">
        <w:rPr>
          <w:rFonts w:ascii="Times New Roman" w:eastAsia="Times New Roman" w:hAnsi="Times New Roman" w:cs="Times New Roman"/>
          <w:sz w:val="16"/>
          <w:szCs w:val="16"/>
          <w:lang w:eastAsia="lv-LV"/>
        </w:rPr>
        <w:t>E.Šaicāns</w:t>
      </w:r>
    </w:p>
    <w:p w14:paraId="7F8D921F" w14:textId="77777777" w:rsidR="00FF2993" w:rsidRPr="00FF2993" w:rsidRDefault="00FF2993" w:rsidP="00FF2993">
      <w:pPr>
        <w:spacing w:after="0" w:line="240" w:lineRule="auto"/>
        <w:jc w:val="both"/>
        <w:rPr>
          <w:rFonts w:ascii="Times New Roman" w:eastAsia="Times New Roman" w:hAnsi="Times New Roman" w:cs="Times New Roman"/>
          <w:sz w:val="16"/>
          <w:szCs w:val="16"/>
          <w:lang w:eastAsia="lv-LV"/>
        </w:rPr>
      </w:pPr>
      <w:r w:rsidRPr="00FF2993">
        <w:rPr>
          <w:rFonts w:ascii="Times New Roman" w:eastAsia="Times New Roman" w:hAnsi="Times New Roman" w:cs="Times New Roman"/>
          <w:sz w:val="16"/>
          <w:szCs w:val="16"/>
          <w:lang w:eastAsia="lv-LV"/>
        </w:rPr>
        <w:t xml:space="preserve">67013143, </w:t>
      </w:r>
      <w:hyperlink r:id="rId20" w:history="1">
        <w:r w:rsidRPr="00FF2993">
          <w:rPr>
            <w:rStyle w:val="Hyperlink"/>
            <w:rFonts w:ascii="Times New Roman" w:eastAsia="Times New Roman" w:hAnsi="Times New Roman" w:cs="Times New Roman"/>
            <w:sz w:val="16"/>
            <w:szCs w:val="16"/>
            <w:lang w:eastAsia="lv-LV"/>
          </w:rPr>
          <w:t>Edijs.Saicans@em.gov.lv</w:t>
        </w:r>
      </w:hyperlink>
    </w:p>
    <w:p w14:paraId="752BA50C" w14:textId="77777777" w:rsidR="008F382F" w:rsidRPr="005770A6" w:rsidRDefault="008F382F" w:rsidP="008F382F">
      <w:pPr>
        <w:jc w:val="both"/>
        <w:rPr>
          <w:rFonts w:ascii="Times New Roman" w:eastAsia="Times New Roman" w:hAnsi="Times New Roman"/>
          <w:sz w:val="28"/>
          <w:szCs w:val="28"/>
          <w:lang w:eastAsia="lv-LV"/>
        </w:rPr>
      </w:pPr>
    </w:p>
    <w:sectPr w:rsidR="008F382F" w:rsidRPr="005770A6" w:rsidSect="0090146B">
      <w:pgSz w:w="11906" w:h="16838"/>
      <w:pgMar w:top="1440" w:right="1034" w:bottom="1185"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56679" w14:textId="77777777" w:rsidR="00CE4E71" w:rsidRDefault="00CE4E71" w:rsidP="00F67B5A">
      <w:pPr>
        <w:spacing w:after="0" w:line="240" w:lineRule="auto"/>
      </w:pPr>
      <w:r>
        <w:separator/>
      </w:r>
    </w:p>
  </w:endnote>
  <w:endnote w:type="continuationSeparator" w:id="0">
    <w:p w14:paraId="21CDB313" w14:textId="77777777" w:rsidR="00CE4E71" w:rsidRDefault="00CE4E71" w:rsidP="00F67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54762" w14:textId="77777777" w:rsidR="00CE4E71" w:rsidRDefault="00CE4E71" w:rsidP="00F67B5A">
      <w:pPr>
        <w:spacing w:after="0" w:line="240" w:lineRule="auto"/>
      </w:pPr>
      <w:r>
        <w:separator/>
      </w:r>
    </w:p>
  </w:footnote>
  <w:footnote w:type="continuationSeparator" w:id="0">
    <w:p w14:paraId="2796D9E1" w14:textId="77777777" w:rsidR="00CE4E71" w:rsidRDefault="00CE4E71" w:rsidP="00F67B5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1CC4F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412AB7"/>
    <w:multiLevelType w:val="hybridMultilevel"/>
    <w:tmpl w:val="E06E807C"/>
    <w:lvl w:ilvl="0" w:tplc="08090001">
      <w:start w:val="1"/>
      <w:numFmt w:val="bullet"/>
      <w:lvlText w:val=""/>
      <w:lvlJc w:val="left"/>
      <w:pPr>
        <w:ind w:left="1577" w:hanging="360"/>
      </w:pPr>
      <w:rPr>
        <w:rFonts w:ascii="Symbol" w:hAnsi="Symbol" w:hint="default"/>
      </w:rPr>
    </w:lvl>
    <w:lvl w:ilvl="1" w:tplc="08090003" w:tentative="1">
      <w:start w:val="1"/>
      <w:numFmt w:val="bullet"/>
      <w:lvlText w:val="o"/>
      <w:lvlJc w:val="left"/>
      <w:pPr>
        <w:ind w:left="2297" w:hanging="360"/>
      </w:pPr>
      <w:rPr>
        <w:rFonts w:ascii="Courier New" w:hAnsi="Courier New" w:cs="Courier New" w:hint="default"/>
      </w:rPr>
    </w:lvl>
    <w:lvl w:ilvl="2" w:tplc="08090005" w:tentative="1">
      <w:start w:val="1"/>
      <w:numFmt w:val="bullet"/>
      <w:lvlText w:val=""/>
      <w:lvlJc w:val="left"/>
      <w:pPr>
        <w:ind w:left="3017" w:hanging="360"/>
      </w:pPr>
      <w:rPr>
        <w:rFonts w:ascii="Wingdings" w:hAnsi="Wingdings" w:hint="default"/>
      </w:rPr>
    </w:lvl>
    <w:lvl w:ilvl="3" w:tplc="08090001" w:tentative="1">
      <w:start w:val="1"/>
      <w:numFmt w:val="bullet"/>
      <w:lvlText w:val=""/>
      <w:lvlJc w:val="left"/>
      <w:pPr>
        <w:ind w:left="3737" w:hanging="360"/>
      </w:pPr>
      <w:rPr>
        <w:rFonts w:ascii="Symbol" w:hAnsi="Symbol" w:hint="default"/>
      </w:rPr>
    </w:lvl>
    <w:lvl w:ilvl="4" w:tplc="08090003" w:tentative="1">
      <w:start w:val="1"/>
      <w:numFmt w:val="bullet"/>
      <w:lvlText w:val="o"/>
      <w:lvlJc w:val="left"/>
      <w:pPr>
        <w:ind w:left="4457" w:hanging="360"/>
      </w:pPr>
      <w:rPr>
        <w:rFonts w:ascii="Courier New" w:hAnsi="Courier New" w:cs="Courier New" w:hint="default"/>
      </w:rPr>
    </w:lvl>
    <w:lvl w:ilvl="5" w:tplc="08090005" w:tentative="1">
      <w:start w:val="1"/>
      <w:numFmt w:val="bullet"/>
      <w:lvlText w:val=""/>
      <w:lvlJc w:val="left"/>
      <w:pPr>
        <w:ind w:left="5177" w:hanging="360"/>
      </w:pPr>
      <w:rPr>
        <w:rFonts w:ascii="Wingdings" w:hAnsi="Wingdings" w:hint="default"/>
      </w:rPr>
    </w:lvl>
    <w:lvl w:ilvl="6" w:tplc="08090001" w:tentative="1">
      <w:start w:val="1"/>
      <w:numFmt w:val="bullet"/>
      <w:lvlText w:val=""/>
      <w:lvlJc w:val="left"/>
      <w:pPr>
        <w:ind w:left="5897" w:hanging="360"/>
      </w:pPr>
      <w:rPr>
        <w:rFonts w:ascii="Symbol" w:hAnsi="Symbol" w:hint="default"/>
      </w:rPr>
    </w:lvl>
    <w:lvl w:ilvl="7" w:tplc="08090003" w:tentative="1">
      <w:start w:val="1"/>
      <w:numFmt w:val="bullet"/>
      <w:lvlText w:val="o"/>
      <w:lvlJc w:val="left"/>
      <w:pPr>
        <w:ind w:left="6617" w:hanging="360"/>
      </w:pPr>
      <w:rPr>
        <w:rFonts w:ascii="Courier New" w:hAnsi="Courier New" w:cs="Courier New" w:hint="default"/>
      </w:rPr>
    </w:lvl>
    <w:lvl w:ilvl="8" w:tplc="08090005" w:tentative="1">
      <w:start w:val="1"/>
      <w:numFmt w:val="bullet"/>
      <w:lvlText w:val=""/>
      <w:lvlJc w:val="left"/>
      <w:pPr>
        <w:ind w:left="7337" w:hanging="360"/>
      </w:pPr>
      <w:rPr>
        <w:rFonts w:ascii="Wingdings" w:hAnsi="Wingdings" w:hint="default"/>
      </w:rPr>
    </w:lvl>
  </w:abstractNum>
  <w:abstractNum w:abstractNumId="2">
    <w:nsid w:val="0F4A2D86"/>
    <w:multiLevelType w:val="hybridMultilevel"/>
    <w:tmpl w:val="5EC8B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655B3A"/>
    <w:multiLevelType w:val="hybridMultilevel"/>
    <w:tmpl w:val="04D4BCF2"/>
    <w:lvl w:ilvl="0" w:tplc="98BE1848">
      <w:start w:val="2"/>
      <w:numFmt w:val="bullet"/>
      <w:lvlText w:val="-"/>
      <w:lvlJc w:val="left"/>
      <w:pPr>
        <w:ind w:left="791" w:hanging="360"/>
      </w:pPr>
      <w:rPr>
        <w:rFonts w:ascii="Times New Roman" w:eastAsia="Times New Roman" w:hAnsi="Times New Roman" w:cs="Times New Roman"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4">
    <w:nsid w:val="187B6B30"/>
    <w:multiLevelType w:val="hybridMultilevel"/>
    <w:tmpl w:val="D53C125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75D61EF"/>
    <w:multiLevelType w:val="hybridMultilevel"/>
    <w:tmpl w:val="B00EA522"/>
    <w:lvl w:ilvl="0" w:tplc="0809000F">
      <w:start w:val="1"/>
      <w:numFmt w:val="decimal"/>
      <w:lvlText w:val="%1."/>
      <w:lvlJc w:val="left"/>
      <w:pPr>
        <w:ind w:left="791" w:hanging="360"/>
      </w:pPr>
    </w:lvl>
    <w:lvl w:ilvl="1" w:tplc="08090019" w:tentative="1">
      <w:start w:val="1"/>
      <w:numFmt w:val="lowerLetter"/>
      <w:lvlText w:val="%2."/>
      <w:lvlJc w:val="left"/>
      <w:pPr>
        <w:ind w:left="1511" w:hanging="360"/>
      </w:pPr>
    </w:lvl>
    <w:lvl w:ilvl="2" w:tplc="0809001B" w:tentative="1">
      <w:start w:val="1"/>
      <w:numFmt w:val="lowerRoman"/>
      <w:lvlText w:val="%3."/>
      <w:lvlJc w:val="right"/>
      <w:pPr>
        <w:ind w:left="2231" w:hanging="180"/>
      </w:pPr>
    </w:lvl>
    <w:lvl w:ilvl="3" w:tplc="0809000F" w:tentative="1">
      <w:start w:val="1"/>
      <w:numFmt w:val="decimal"/>
      <w:lvlText w:val="%4."/>
      <w:lvlJc w:val="left"/>
      <w:pPr>
        <w:ind w:left="2951" w:hanging="360"/>
      </w:pPr>
    </w:lvl>
    <w:lvl w:ilvl="4" w:tplc="08090019" w:tentative="1">
      <w:start w:val="1"/>
      <w:numFmt w:val="lowerLetter"/>
      <w:lvlText w:val="%5."/>
      <w:lvlJc w:val="left"/>
      <w:pPr>
        <w:ind w:left="3671" w:hanging="360"/>
      </w:pPr>
    </w:lvl>
    <w:lvl w:ilvl="5" w:tplc="0809001B" w:tentative="1">
      <w:start w:val="1"/>
      <w:numFmt w:val="lowerRoman"/>
      <w:lvlText w:val="%6."/>
      <w:lvlJc w:val="right"/>
      <w:pPr>
        <w:ind w:left="4391" w:hanging="180"/>
      </w:pPr>
    </w:lvl>
    <w:lvl w:ilvl="6" w:tplc="0809000F" w:tentative="1">
      <w:start w:val="1"/>
      <w:numFmt w:val="decimal"/>
      <w:lvlText w:val="%7."/>
      <w:lvlJc w:val="left"/>
      <w:pPr>
        <w:ind w:left="5111" w:hanging="360"/>
      </w:pPr>
    </w:lvl>
    <w:lvl w:ilvl="7" w:tplc="08090019" w:tentative="1">
      <w:start w:val="1"/>
      <w:numFmt w:val="lowerLetter"/>
      <w:lvlText w:val="%8."/>
      <w:lvlJc w:val="left"/>
      <w:pPr>
        <w:ind w:left="5831" w:hanging="360"/>
      </w:pPr>
    </w:lvl>
    <w:lvl w:ilvl="8" w:tplc="0809001B" w:tentative="1">
      <w:start w:val="1"/>
      <w:numFmt w:val="lowerRoman"/>
      <w:lvlText w:val="%9."/>
      <w:lvlJc w:val="right"/>
      <w:pPr>
        <w:ind w:left="6551" w:hanging="180"/>
      </w:pPr>
    </w:lvl>
  </w:abstractNum>
  <w:abstractNum w:abstractNumId="6">
    <w:nsid w:val="2C2F3D58"/>
    <w:multiLevelType w:val="hybridMultilevel"/>
    <w:tmpl w:val="28186EB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E176BD6"/>
    <w:multiLevelType w:val="hybridMultilevel"/>
    <w:tmpl w:val="A4524568"/>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nsid w:val="30C775FA"/>
    <w:multiLevelType w:val="hybridMultilevel"/>
    <w:tmpl w:val="9FA05C4A"/>
    <w:lvl w:ilvl="0" w:tplc="77FED98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16534F7"/>
    <w:multiLevelType w:val="hybridMultilevel"/>
    <w:tmpl w:val="2F74C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F26B71"/>
    <w:multiLevelType w:val="hybridMultilevel"/>
    <w:tmpl w:val="27E285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9121DD3"/>
    <w:multiLevelType w:val="hybridMultilevel"/>
    <w:tmpl w:val="CE0072E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40153285"/>
    <w:multiLevelType w:val="multilevel"/>
    <w:tmpl w:val="0809001F"/>
    <w:lvl w:ilvl="0">
      <w:start w:val="1"/>
      <w:numFmt w:val="decimal"/>
      <w:lvlText w:val="%1."/>
      <w:lvlJc w:val="left"/>
      <w:pPr>
        <w:ind w:left="360" w:hanging="360"/>
      </w:pPr>
      <w:rPr>
        <w:b/>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07A4D18"/>
    <w:multiLevelType w:val="hybridMultilevel"/>
    <w:tmpl w:val="A6CA2AD6"/>
    <w:lvl w:ilvl="0" w:tplc="98BE184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865E38"/>
    <w:multiLevelType w:val="hybridMultilevel"/>
    <w:tmpl w:val="A176CCF4"/>
    <w:lvl w:ilvl="0" w:tplc="0809000F">
      <w:start w:val="1"/>
      <w:numFmt w:val="decimal"/>
      <w:lvlText w:val="%1."/>
      <w:lvlJc w:val="left"/>
      <w:pPr>
        <w:ind w:left="787" w:hanging="360"/>
      </w:p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15">
    <w:nsid w:val="567467AC"/>
    <w:multiLevelType w:val="hybridMultilevel"/>
    <w:tmpl w:val="F28ED0D4"/>
    <w:lvl w:ilvl="0" w:tplc="98BE184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4387" w:hanging="360"/>
      </w:pPr>
      <w:rPr>
        <w:rFonts w:ascii="Courier New" w:hAnsi="Courier New" w:cs="Courier New" w:hint="default"/>
      </w:rPr>
    </w:lvl>
    <w:lvl w:ilvl="2" w:tplc="08090005" w:tentative="1">
      <w:start w:val="1"/>
      <w:numFmt w:val="bullet"/>
      <w:lvlText w:val=""/>
      <w:lvlJc w:val="left"/>
      <w:pPr>
        <w:ind w:left="5107" w:hanging="360"/>
      </w:pPr>
      <w:rPr>
        <w:rFonts w:ascii="Wingdings" w:hAnsi="Wingdings" w:hint="default"/>
      </w:rPr>
    </w:lvl>
    <w:lvl w:ilvl="3" w:tplc="08090001" w:tentative="1">
      <w:start w:val="1"/>
      <w:numFmt w:val="bullet"/>
      <w:lvlText w:val=""/>
      <w:lvlJc w:val="left"/>
      <w:pPr>
        <w:ind w:left="5827" w:hanging="360"/>
      </w:pPr>
      <w:rPr>
        <w:rFonts w:ascii="Symbol" w:hAnsi="Symbol" w:hint="default"/>
      </w:rPr>
    </w:lvl>
    <w:lvl w:ilvl="4" w:tplc="08090003" w:tentative="1">
      <w:start w:val="1"/>
      <w:numFmt w:val="bullet"/>
      <w:lvlText w:val="o"/>
      <w:lvlJc w:val="left"/>
      <w:pPr>
        <w:ind w:left="6547" w:hanging="360"/>
      </w:pPr>
      <w:rPr>
        <w:rFonts w:ascii="Courier New" w:hAnsi="Courier New" w:cs="Courier New" w:hint="default"/>
      </w:rPr>
    </w:lvl>
    <w:lvl w:ilvl="5" w:tplc="08090005" w:tentative="1">
      <w:start w:val="1"/>
      <w:numFmt w:val="bullet"/>
      <w:lvlText w:val=""/>
      <w:lvlJc w:val="left"/>
      <w:pPr>
        <w:ind w:left="7267" w:hanging="360"/>
      </w:pPr>
      <w:rPr>
        <w:rFonts w:ascii="Wingdings" w:hAnsi="Wingdings" w:hint="default"/>
      </w:rPr>
    </w:lvl>
    <w:lvl w:ilvl="6" w:tplc="08090001" w:tentative="1">
      <w:start w:val="1"/>
      <w:numFmt w:val="bullet"/>
      <w:lvlText w:val=""/>
      <w:lvlJc w:val="left"/>
      <w:pPr>
        <w:ind w:left="7987" w:hanging="360"/>
      </w:pPr>
      <w:rPr>
        <w:rFonts w:ascii="Symbol" w:hAnsi="Symbol" w:hint="default"/>
      </w:rPr>
    </w:lvl>
    <w:lvl w:ilvl="7" w:tplc="08090003" w:tentative="1">
      <w:start w:val="1"/>
      <w:numFmt w:val="bullet"/>
      <w:lvlText w:val="o"/>
      <w:lvlJc w:val="left"/>
      <w:pPr>
        <w:ind w:left="8707" w:hanging="360"/>
      </w:pPr>
      <w:rPr>
        <w:rFonts w:ascii="Courier New" w:hAnsi="Courier New" w:cs="Courier New" w:hint="default"/>
      </w:rPr>
    </w:lvl>
    <w:lvl w:ilvl="8" w:tplc="08090005" w:tentative="1">
      <w:start w:val="1"/>
      <w:numFmt w:val="bullet"/>
      <w:lvlText w:val=""/>
      <w:lvlJc w:val="left"/>
      <w:pPr>
        <w:ind w:left="9427" w:hanging="360"/>
      </w:pPr>
      <w:rPr>
        <w:rFonts w:ascii="Wingdings" w:hAnsi="Wingdings" w:hint="default"/>
      </w:rPr>
    </w:lvl>
  </w:abstractNum>
  <w:abstractNum w:abstractNumId="16">
    <w:nsid w:val="5DE02071"/>
    <w:multiLevelType w:val="hybridMultilevel"/>
    <w:tmpl w:val="7D548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45E2CB8"/>
    <w:multiLevelType w:val="hybridMultilevel"/>
    <w:tmpl w:val="A4A6EF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5D8694B"/>
    <w:multiLevelType w:val="hybridMultilevel"/>
    <w:tmpl w:val="68CE3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7BB4CD0"/>
    <w:multiLevelType w:val="hybridMultilevel"/>
    <w:tmpl w:val="123608A6"/>
    <w:lvl w:ilvl="0" w:tplc="77FED98C">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0">
    <w:nsid w:val="69953D00"/>
    <w:multiLevelType w:val="hybridMultilevel"/>
    <w:tmpl w:val="EF36A84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6C6125D5"/>
    <w:multiLevelType w:val="hybridMultilevel"/>
    <w:tmpl w:val="10F0299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6CEC7886"/>
    <w:multiLevelType w:val="hybridMultilevel"/>
    <w:tmpl w:val="06926794"/>
    <w:lvl w:ilvl="0" w:tplc="98BE1848">
      <w:start w:val="2"/>
      <w:numFmt w:val="bullet"/>
      <w:lvlText w:val="-"/>
      <w:lvlJc w:val="left"/>
      <w:pPr>
        <w:ind w:left="791" w:hanging="360"/>
      </w:pPr>
      <w:rPr>
        <w:rFonts w:ascii="Times New Roman" w:eastAsia="Times New Roman" w:hAnsi="Times New Roman" w:cs="Times New Roman"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23">
    <w:nsid w:val="701D5E50"/>
    <w:multiLevelType w:val="hybridMultilevel"/>
    <w:tmpl w:val="BD6EDA40"/>
    <w:lvl w:ilvl="0" w:tplc="0809000F">
      <w:start w:val="1"/>
      <w:numFmt w:val="decimal"/>
      <w:lvlText w:val="%1."/>
      <w:lvlJc w:val="left"/>
      <w:pPr>
        <w:ind w:left="854" w:hanging="360"/>
      </w:pPr>
    </w:lvl>
    <w:lvl w:ilvl="1" w:tplc="08090019" w:tentative="1">
      <w:start w:val="1"/>
      <w:numFmt w:val="lowerLetter"/>
      <w:lvlText w:val="%2."/>
      <w:lvlJc w:val="left"/>
      <w:pPr>
        <w:ind w:left="1574" w:hanging="360"/>
      </w:pPr>
    </w:lvl>
    <w:lvl w:ilvl="2" w:tplc="0809001B" w:tentative="1">
      <w:start w:val="1"/>
      <w:numFmt w:val="lowerRoman"/>
      <w:lvlText w:val="%3."/>
      <w:lvlJc w:val="right"/>
      <w:pPr>
        <w:ind w:left="2294" w:hanging="180"/>
      </w:pPr>
    </w:lvl>
    <w:lvl w:ilvl="3" w:tplc="0809000F" w:tentative="1">
      <w:start w:val="1"/>
      <w:numFmt w:val="decimal"/>
      <w:lvlText w:val="%4."/>
      <w:lvlJc w:val="left"/>
      <w:pPr>
        <w:ind w:left="3014" w:hanging="360"/>
      </w:pPr>
    </w:lvl>
    <w:lvl w:ilvl="4" w:tplc="08090019" w:tentative="1">
      <w:start w:val="1"/>
      <w:numFmt w:val="lowerLetter"/>
      <w:lvlText w:val="%5."/>
      <w:lvlJc w:val="left"/>
      <w:pPr>
        <w:ind w:left="3734" w:hanging="360"/>
      </w:pPr>
    </w:lvl>
    <w:lvl w:ilvl="5" w:tplc="0809001B" w:tentative="1">
      <w:start w:val="1"/>
      <w:numFmt w:val="lowerRoman"/>
      <w:lvlText w:val="%6."/>
      <w:lvlJc w:val="right"/>
      <w:pPr>
        <w:ind w:left="4454" w:hanging="180"/>
      </w:pPr>
    </w:lvl>
    <w:lvl w:ilvl="6" w:tplc="0809000F" w:tentative="1">
      <w:start w:val="1"/>
      <w:numFmt w:val="decimal"/>
      <w:lvlText w:val="%7."/>
      <w:lvlJc w:val="left"/>
      <w:pPr>
        <w:ind w:left="5174" w:hanging="360"/>
      </w:pPr>
    </w:lvl>
    <w:lvl w:ilvl="7" w:tplc="08090019" w:tentative="1">
      <w:start w:val="1"/>
      <w:numFmt w:val="lowerLetter"/>
      <w:lvlText w:val="%8."/>
      <w:lvlJc w:val="left"/>
      <w:pPr>
        <w:ind w:left="5894" w:hanging="360"/>
      </w:pPr>
    </w:lvl>
    <w:lvl w:ilvl="8" w:tplc="0809001B" w:tentative="1">
      <w:start w:val="1"/>
      <w:numFmt w:val="lowerRoman"/>
      <w:lvlText w:val="%9."/>
      <w:lvlJc w:val="right"/>
      <w:pPr>
        <w:ind w:left="6614" w:hanging="180"/>
      </w:pPr>
    </w:lvl>
  </w:abstractNum>
  <w:abstractNum w:abstractNumId="24">
    <w:nsid w:val="71BA3B45"/>
    <w:multiLevelType w:val="hybridMultilevel"/>
    <w:tmpl w:val="216C9144"/>
    <w:lvl w:ilvl="0" w:tplc="98BE184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2E34CA3"/>
    <w:multiLevelType w:val="hybridMultilevel"/>
    <w:tmpl w:val="D67877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21"/>
  </w:num>
  <w:num w:numId="3">
    <w:abstractNumId w:val="6"/>
  </w:num>
  <w:num w:numId="4">
    <w:abstractNumId w:val="11"/>
  </w:num>
  <w:num w:numId="5">
    <w:abstractNumId w:val="4"/>
  </w:num>
  <w:num w:numId="6">
    <w:abstractNumId w:val="7"/>
  </w:num>
  <w:num w:numId="7">
    <w:abstractNumId w:val="12"/>
  </w:num>
  <w:num w:numId="8">
    <w:abstractNumId w:val="1"/>
  </w:num>
  <w:num w:numId="9">
    <w:abstractNumId w:val="18"/>
  </w:num>
  <w:num w:numId="10">
    <w:abstractNumId w:val="0"/>
  </w:num>
  <w:num w:numId="11">
    <w:abstractNumId w:val="25"/>
  </w:num>
  <w:num w:numId="12">
    <w:abstractNumId w:val="17"/>
  </w:num>
  <w:num w:numId="13">
    <w:abstractNumId w:val="19"/>
  </w:num>
  <w:num w:numId="14">
    <w:abstractNumId w:val="8"/>
  </w:num>
  <w:num w:numId="15">
    <w:abstractNumId w:val="2"/>
  </w:num>
  <w:num w:numId="16">
    <w:abstractNumId w:val="23"/>
  </w:num>
  <w:num w:numId="17">
    <w:abstractNumId w:val="24"/>
  </w:num>
  <w:num w:numId="18">
    <w:abstractNumId w:val="14"/>
  </w:num>
  <w:num w:numId="19">
    <w:abstractNumId w:val="13"/>
  </w:num>
  <w:num w:numId="20">
    <w:abstractNumId w:val="15"/>
  </w:num>
  <w:num w:numId="21">
    <w:abstractNumId w:val="9"/>
  </w:num>
  <w:num w:numId="22">
    <w:abstractNumId w:val="22"/>
  </w:num>
  <w:num w:numId="23">
    <w:abstractNumId w:val="3"/>
  </w:num>
  <w:num w:numId="24">
    <w:abstractNumId w:val="5"/>
  </w:num>
  <w:num w:numId="25">
    <w:abstractNumId w:val="16"/>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43A"/>
    <w:rsid w:val="00002714"/>
    <w:rsid w:val="0000389B"/>
    <w:rsid w:val="000050AD"/>
    <w:rsid w:val="0000773C"/>
    <w:rsid w:val="00014621"/>
    <w:rsid w:val="00022873"/>
    <w:rsid w:val="000265E9"/>
    <w:rsid w:val="0003118D"/>
    <w:rsid w:val="000447D5"/>
    <w:rsid w:val="00044C56"/>
    <w:rsid w:val="00046347"/>
    <w:rsid w:val="00055CFD"/>
    <w:rsid w:val="0006384C"/>
    <w:rsid w:val="00067F44"/>
    <w:rsid w:val="0007237C"/>
    <w:rsid w:val="0007401C"/>
    <w:rsid w:val="0008186D"/>
    <w:rsid w:val="00087455"/>
    <w:rsid w:val="00095472"/>
    <w:rsid w:val="000A342B"/>
    <w:rsid w:val="000A47C2"/>
    <w:rsid w:val="000C0CEF"/>
    <w:rsid w:val="000C2CE5"/>
    <w:rsid w:val="000C4E07"/>
    <w:rsid w:val="000C75F3"/>
    <w:rsid w:val="000D67EC"/>
    <w:rsid w:val="000D6FA5"/>
    <w:rsid w:val="000E43BD"/>
    <w:rsid w:val="000F4FD6"/>
    <w:rsid w:val="0010193C"/>
    <w:rsid w:val="00102B41"/>
    <w:rsid w:val="00104517"/>
    <w:rsid w:val="00113F8F"/>
    <w:rsid w:val="0011543A"/>
    <w:rsid w:val="00120974"/>
    <w:rsid w:val="00123AEA"/>
    <w:rsid w:val="00125A23"/>
    <w:rsid w:val="00125F25"/>
    <w:rsid w:val="0012724F"/>
    <w:rsid w:val="00140D40"/>
    <w:rsid w:val="0014749D"/>
    <w:rsid w:val="00150171"/>
    <w:rsid w:val="00151301"/>
    <w:rsid w:val="00153D52"/>
    <w:rsid w:val="00166009"/>
    <w:rsid w:val="001718F0"/>
    <w:rsid w:val="001876E2"/>
    <w:rsid w:val="0019366D"/>
    <w:rsid w:val="00194255"/>
    <w:rsid w:val="00197D31"/>
    <w:rsid w:val="001A4D12"/>
    <w:rsid w:val="001A6889"/>
    <w:rsid w:val="001C2B2D"/>
    <w:rsid w:val="001D4545"/>
    <w:rsid w:val="001D45DB"/>
    <w:rsid w:val="001D4D97"/>
    <w:rsid w:val="001D4DAA"/>
    <w:rsid w:val="001D57B7"/>
    <w:rsid w:val="001F28BC"/>
    <w:rsid w:val="001F5FD2"/>
    <w:rsid w:val="001F76F9"/>
    <w:rsid w:val="002140B0"/>
    <w:rsid w:val="00216560"/>
    <w:rsid w:val="00220465"/>
    <w:rsid w:val="0023399E"/>
    <w:rsid w:val="00240694"/>
    <w:rsid w:val="00244095"/>
    <w:rsid w:val="0025277A"/>
    <w:rsid w:val="00255145"/>
    <w:rsid w:val="00257286"/>
    <w:rsid w:val="00273FB0"/>
    <w:rsid w:val="00275ECA"/>
    <w:rsid w:val="00276FD4"/>
    <w:rsid w:val="0028008E"/>
    <w:rsid w:val="002802A2"/>
    <w:rsid w:val="002831F7"/>
    <w:rsid w:val="002903B2"/>
    <w:rsid w:val="002930DC"/>
    <w:rsid w:val="00297E9B"/>
    <w:rsid w:val="002B49A0"/>
    <w:rsid w:val="002B7EE7"/>
    <w:rsid w:val="002C2626"/>
    <w:rsid w:val="002D16E7"/>
    <w:rsid w:val="002D22B5"/>
    <w:rsid w:val="002D6096"/>
    <w:rsid w:val="002D784D"/>
    <w:rsid w:val="002E1D9D"/>
    <w:rsid w:val="002E3019"/>
    <w:rsid w:val="002F28EC"/>
    <w:rsid w:val="002F3690"/>
    <w:rsid w:val="00311A14"/>
    <w:rsid w:val="00322CD7"/>
    <w:rsid w:val="00332C54"/>
    <w:rsid w:val="003332B5"/>
    <w:rsid w:val="00341A57"/>
    <w:rsid w:val="00347360"/>
    <w:rsid w:val="00350609"/>
    <w:rsid w:val="00353342"/>
    <w:rsid w:val="00394AFF"/>
    <w:rsid w:val="00395A7E"/>
    <w:rsid w:val="003B0601"/>
    <w:rsid w:val="003B5D12"/>
    <w:rsid w:val="003C73CA"/>
    <w:rsid w:val="003C7D15"/>
    <w:rsid w:val="003D02CC"/>
    <w:rsid w:val="003E758F"/>
    <w:rsid w:val="003F4E4C"/>
    <w:rsid w:val="003F4EDB"/>
    <w:rsid w:val="003F5530"/>
    <w:rsid w:val="00402E86"/>
    <w:rsid w:val="004034A8"/>
    <w:rsid w:val="004125F8"/>
    <w:rsid w:val="004130A5"/>
    <w:rsid w:val="00416F33"/>
    <w:rsid w:val="00420984"/>
    <w:rsid w:val="00427D0C"/>
    <w:rsid w:val="0043525A"/>
    <w:rsid w:val="00436AD7"/>
    <w:rsid w:val="004465AE"/>
    <w:rsid w:val="00451D4B"/>
    <w:rsid w:val="00452CCA"/>
    <w:rsid w:val="00454EC5"/>
    <w:rsid w:val="00461665"/>
    <w:rsid w:val="00462FED"/>
    <w:rsid w:val="00463350"/>
    <w:rsid w:val="00465487"/>
    <w:rsid w:val="00466E1E"/>
    <w:rsid w:val="004828AB"/>
    <w:rsid w:val="0048320A"/>
    <w:rsid w:val="00490A23"/>
    <w:rsid w:val="0049336E"/>
    <w:rsid w:val="0049498D"/>
    <w:rsid w:val="00494AB5"/>
    <w:rsid w:val="004B5447"/>
    <w:rsid w:val="004B634C"/>
    <w:rsid w:val="004C248C"/>
    <w:rsid w:val="004C2611"/>
    <w:rsid w:val="004C289E"/>
    <w:rsid w:val="004D130D"/>
    <w:rsid w:val="004E2B7B"/>
    <w:rsid w:val="004F3C90"/>
    <w:rsid w:val="00501536"/>
    <w:rsid w:val="00504B81"/>
    <w:rsid w:val="00507678"/>
    <w:rsid w:val="005108A3"/>
    <w:rsid w:val="005200AF"/>
    <w:rsid w:val="00526C84"/>
    <w:rsid w:val="0054103D"/>
    <w:rsid w:val="0054202D"/>
    <w:rsid w:val="00542A26"/>
    <w:rsid w:val="005447BF"/>
    <w:rsid w:val="00545B00"/>
    <w:rsid w:val="0055031C"/>
    <w:rsid w:val="00553D20"/>
    <w:rsid w:val="005622C0"/>
    <w:rsid w:val="00563194"/>
    <w:rsid w:val="00567522"/>
    <w:rsid w:val="005770A6"/>
    <w:rsid w:val="005801E5"/>
    <w:rsid w:val="00581859"/>
    <w:rsid w:val="00581B48"/>
    <w:rsid w:val="00581FEF"/>
    <w:rsid w:val="0058279F"/>
    <w:rsid w:val="00583D2C"/>
    <w:rsid w:val="00591C18"/>
    <w:rsid w:val="005B5B94"/>
    <w:rsid w:val="005C174F"/>
    <w:rsid w:val="005C7CF2"/>
    <w:rsid w:val="005D5F4D"/>
    <w:rsid w:val="00600507"/>
    <w:rsid w:val="00603047"/>
    <w:rsid w:val="006032D7"/>
    <w:rsid w:val="00604846"/>
    <w:rsid w:val="00604889"/>
    <w:rsid w:val="00605306"/>
    <w:rsid w:val="00625573"/>
    <w:rsid w:val="00631EE1"/>
    <w:rsid w:val="00636673"/>
    <w:rsid w:val="00637E2C"/>
    <w:rsid w:val="00640160"/>
    <w:rsid w:val="006415A4"/>
    <w:rsid w:val="00653676"/>
    <w:rsid w:val="006548A0"/>
    <w:rsid w:val="00656371"/>
    <w:rsid w:val="00664151"/>
    <w:rsid w:val="00670884"/>
    <w:rsid w:val="0067626F"/>
    <w:rsid w:val="006776CC"/>
    <w:rsid w:val="00686CFC"/>
    <w:rsid w:val="00687343"/>
    <w:rsid w:val="006924E1"/>
    <w:rsid w:val="006B5B02"/>
    <w:rsid w:val="006B6383"/>
    <w:rsid w:val="006C2C62"/>
    <w:rsid w:val="006D0936"/>
    <w:rsid w:val="006D16C7"/>
    <w:rsid w:val="006D3957"/>
    <w:rsid w:val="006D45B3"/>
    <w:rsid w:val="006D62C7"/>
    <w:rsid w:val="006D6E6A"/>
    <w:rsid w:val="006E5B49"/>
    <w:rsid w:val="006F6CE3"/>
    <w:rsid w:val="00705FB1"/>
    <w:rsid w:val="00706E35"/>
    <w:rsid w:val="00710466"/>
    <w:rsid w:val="007112B7"/>
    <w:rsid w:val="00712223"/>
    <w:rsid w:val="00716C6E"/>
    <w:rsid w:val="00721327"/>
    <w:rsid w:val="00721353"/>
    <w:rsid w:val="0073642D"/>
    <w:rsid w:val="007561C2"/>
    <w:rsid w:val="00777C8A"/>
    <w:rsid w:val="007803DF"/>
    <w:rsid w:val="0078300A"/>
    <w:rsid w:val="007835F2"/>
    <w:rsid w:val="00787ED8"/>
    <w:rsid w:val="0079536F"/>
    <w:rsid w:val="00796F93"/>
    <w:rsid w:val="007C7445"/>
    <w:rsid w:val="007D52A7"/>
    <w:rsid w:val="007D7EAC"/>
    <w:rsid w:val="007E069F"/>
    <w:rsid w:val="007E1B46"/>
    <w:rsid w:val="007F6617"/>
    <w:rsid w:val="007F6BA7"/>
    <w:rsid w:val="00806615"/>
    <w:rsid w:val="00806685"/>
    <w:rsid w:val="008076F8"/>
    <w:rsid w:val="008325C3"/>
    <w:rsid w:val="00840D8F"/>
    <w:rsid w:val="00842B66"/>
    <w:rsid w:val="00843340"/>
    <w:rsid w:val="00852C34"/>
    <w:rsid w:val="00853128"/>
    <w:rsid w:val="008538D0"/>
    <w:rsid w:val="0086432A"/>
    <w:rsid w:val="00866E6E"/>
    <w:rsid w:val="00876323"/>
    <w:rsid w:val="0087693E"/>
    <w:rsid w:val="00882FB5"/>
    <w:rsid w:val="00886776"/>
    <w:rsid w:val="00890011"/>
    <w:rsid w:val="008913B3"/>
    <w:rsid w:val="008941ED"/>
    <w:rsid w:val="00894B6B"/>
    <w:rsid w:val="008A3705"/>
    <w:rsid w:val="008A5EFA"/>
    <w:rsid w:val="008B7410"/>
    <w:rsid w:val="008C21CA"/>
    <w:rsid w:val="008D14C1"/>
    <w:rsid w:val="008D5CE6"/>
    <w:rsid w:val="008D7C49"/>
    <w:rsid w:val="008E59A5"/>
    <w:rsid w:val="008F382F"/>
    <w:rsid w:val="008F6FC1"/>
    <w:rsid w:val="009011C5"/>
    <w:rsid w:val="0090146B"/>
    <w:rsid w:val="0090254F"/>
    <w:rsid w:val="009069F9"/>
    <w:rsid w:val="00914686"/>
    <w:rsid w:val="00916076"/>
    <w:rsid w:val="009262E6"/>
    <w:rsid w:val="00931B41"/>
    <w:rsid w:val="00944892"/>
    <w:rsid w:val="0095085B"/>
    <w:rsid w:val="009545C5"/>
    <w:rsid w:val="009623E8"/>
    <w:rsid w:val="0096355C"/>
    <w:rsid w:val="00965F08"/>
    <w:rsid w:val="0096721F"/>
    <w:rsid w:val="00991D10"/>
    <w:rsid w:val="0099652C"/>
    <w:rsid w:val="009A0EF0"/>
    <w:rsid w:val="009B2FEC"/>
    <w:rsid w:val="009B5A67"/>
    <w:rsid w:val="009C339D"/>
    <w:rsid w:val="009C5A5F"/>
    <w:rsid w:val="009D37DD"/>
    <w:rsid w:val="009D51D9"/>
    <w:rsid w:val="009E6CE1"/>
    <w:rsid w:val="009F1ABA"/>
    <w:rsid w:val="00A04154"/>
    <w:rsid w:val="00A10CA8"/>
    <w:rsid w:val="00A1396D"/>
    <w:rsid w:val="00A319CB"/>
    <w:rsid w:val="00A31A04"/>
    <w:rsid w:val="00A410B9"/>
    <w:rsid w:val="00A47671"/>
    <w:rsid w:val="00A51982"/>
    <w:rsid w:val="00A572EE"/>
    <w:rsid w:val="00A613D5"/>
    <w:rsid w:val="00A713DE"/>
    <w:rsid w:val="00A73803"/>
    <w:rsid w:val="00A86DAA"/>
    <w:rsid w:val="00A87D05"/>
    <w:rsid w:val="00A93A7C"/>
    <w:rsid w:val="00A97D30"/>
    <w:rsid w:val="00AA1CD8"/>
    <w:rsid w:val="00AA7203"/>
    <w:rsid w:val="00AB20C7"/>
    <w:rsid w:val="00AD4B79"/>
    <w:rsid w:val="00AE3DF8"/>
    <w:rsid w:val="00AE5E08"/>
    <w:rsid w:val="00AE76BE"/>
    <w:rsid w:val="00AF0085"/>
    <w:rsid w:val="00AF5FB0"/>
    <w:rsid w:val="00AF72E4"/>
    <w:rsid w:val="00B02CFE"/>
    <w:rsid w:val="00B03C6F"/>
    <w:rsid w:val="00B0768F"/>
    <w:rsid w:val="00B11B41"/>
    <w:rsid w:val="00B4526D"/>
    <w:rsid w:val="00B4704C"/>
    <w:rsid w:val="00B5097D"/>
    <w:rsid w:val="00B52885"/>
    <w:rsid w:val="00B60F87"/>
    <w:rsid w:val="00B6693D"/>
    <w:rsid w:val="00B72F2D"/>
    <w:rsid w:val="00B732AA"/>
    <w:rsid w:val="00B73C96"/>
    <w:rsid w:val="00B80BB7"/>
    <w:rsid w:val="00B818AB"/>
    <w:rsid w:val="00B81EDF"/>
    <w:rsid w:val="00B92CF7"/>
    <w:rsid w:val="00B93C5B"/>
    <w:rsid w:val="00BA0C94"/>
    <w:rsid w:val="00BA320A"/>
    <w:rsid w:val="00BB41F4"/>
    <w:rsid w:val="00BC4169"/>
    <w:rsid w:val="00BC7846"/>
    <w:rsid w:val="00BD1D88"/>
    <w:rsid w:val="00BE3542"/>
    <w:rsid w:val="00BE52AA"/>
    <w:rsid w:val="00BF0D3A"/>
    <w:rsid w:val="00C334E2"/>
    <w:rsid w:val="00C419AB"/>
    <w:rsid w:val="00C41E1B"/>
    <w:rsid w:val="00C43FCC"/>
    <w:rsid w:val="00C4522C"/>
    <w:rsid w:val="00C501A1"/>
    <w:rsid w:val="00C613E7"/>
    <w:rsid w:val="00C66E44"/>
    <w:rsid w:val="00C67602"/>
    <w:rsid w:val="00C721B4"/>
    <w:rsid w:val="00C804DB"/>
    <w:rsid w:val="00C82FF3"/>
    <w:rsid w:val="00C93F6D"/>
    <w:rsid w:val="00C94C9C"/>
    <w:rsid w:val="00C95320"/>
    <w:rsid w:val="00CA752C"/>
    <w:rsid w:val="00CB10C5"/>
    <w:rsid w:val="00CC1209"/>
    <w:rsid w:val="00CC294C"/>
    <w:rsid w:val="00CC52BF"/>
    <w:rsid w:val="00CC7DB2"/>
    <w:rsid w:val="00CE0692"/>
    <w:rsid w:val="00CE1AD7"/>
    <w:rsid w:val="00CE245B"/>
    <w:rsid w:val="00CE4E71"/>
    <w:rsid w:val="00CF0BCD"/>
    <w:rsid w:val="00CF404F"/>
    <w:rsid w:val="00CF6A2A"/>
    <w:rsid w:val="00D00748"/>
    <w:rsid w:val="00D007A9"/>
    <w:rsid w:val="00D02230"/>
    <w:rsid w:val="00D029B9"/>
    <w:rsid w:val="00D06995"/>
    <w:rsid w:val="00D06C96"/>
    <w:rsid w:val="00D06F64"/>
    <w:rsid w:val="00D1594B"/>
    <w:rsid w:val="00D22EF6"/>
    <w:rsid w:val="00D309F9"/>
    <w:rsid w:val="00D42BEF"/>
    <w:rsid w:val="00D43CFC"/>
    <w:rsid w:val="00D47696"/>
    <w:rsid w:val="00D508A2"/>
    <w:rsid w:val="00D5197E"/>
    <w:rsid w:val="00D56D15"/>
    <w:rsid w:val="00D61E48"/>
    <w:rsid w:val="00D67018"/>
    <w:rsid w:val="00D708E5"/>
    <w:rsid w:val="00D728B1"/>
    <w:rsid w:val="00D72E6E"/>
    <w:rsid w:val="00D82920"/>
    <w:rsid w:val="00D9099F"/>
    <w:rsid w:val="00DA2039"/>
    <w:rsid w:val="00DA688E"/>
    <w:rsid w:val="00DB1F94"/>
    <w:rsid w:val="00DB6389"/>
    <w:rsid w:val="00DE169A"/>
    <w:rsid w:val="00DE21CA"/>
    <w:rsid w:val="00DF0441"/>
    <w:rsid w:val="00DF150D"/>
    <w:rsid w:val="00DF641D"/>
    <w:rsid w:val="00E063CF"/>
    <w:rsid w:val="00E06C98"/>
    <w:rsid w:val="00E113DC"/>
    <w:rsid w:val="00E26453"/>
    <w:rsid w:val="00E327A7"/>
    <w:rsid w:val="00E370A2"/>
    <w:rsid w:val="00E538E2"/>
    <w:rsid w:val="00E566C0"/>
    <w:rsid w:val="00E626DA"/>
    <w:rsid w:val="00E62C53"/>
    <w:rsid w:val="00E80B4A"/>
    <w:rsid w:val="00E90343"/>
    <w:rsid w:val="00E933D1"/>
    <w:rsid w:val="00E953E2"/>
    <w:rsid w:val="00EB1950"/>
    <w:rsid w:val="00EB477F"/>
    <w:rsid w:val="00EB5162"/>
    <w:rsid w:val="00EB6702"/>
    <w:rsid w:val="00EC2601"/>
    <w:rsid w:val="00ED3920"/>
    <w:rsid w:val="00ED4794"/>
    <w:rsid w:val="00ED5ED7"/>
    <w:rsid w:val="00EE032C"/>
    <w:rsid w:val="00EE2CF4"/>
    <w:rsid w:val="00EE3D2C"/>
    <w:rsid w:val="00EE6B0B"/>
    <w:rsid w:val="00EF03A8"/>
    <w:rsid w:val="00EF181D"/>
    <w:rsid w:val="00EF54AA"/>
    <w:rsid w:val="00F13B68"/>
    <w:rsid w:val="00F1738D"/>
    <w:rsid w:val="00F17C81"/>
    <w:rsid w:val="00F30BFB"/>
    <w:rsid w:val="00F3471D"/>
    <w:rsid w:val="00F35126"/>
    <w:rsid w:val="00F3601A"/>
    <w:rsid w:val="00F40E2E"/>
    <w:rsid w:val="00F45A14"/>
    <w:rsid w:val="00F5088B"/>
    <w:rsid w:val="00F50EDA"/>
    <w:rsid w:val="00F54802"/>
    <w:rsid w:val="00F57C66"/>
    <w:rsid w:val="00F60C62"/>
    <w:rsid w:val="00F61169"/>
    <w:rsid w:val="00F63EDE"/>
    <w:rsid w:val="00F6406A"/>
    <w:rsid w:val="00F67B5A"/>
    <w:rsid w:val="00F80B3B"/>
    <w:rsid w:val="00F87728"/>
    <w:rsid w:val="00F91197"/>
    <w:rsid w:val="00F91E86"/>
    <w:rsid w:val="00F94A66"/>
    <w:rsid w:val="00F95E3C"/>
    <w:rsid w:val="00FA7DA9"/>
    <w:rsid w:val="00FD3AD9"/>
    <w:rsid w:val="00FD7574"/>
    <w:rsid w:val="00FF0F54"/>
    <w:rsid w:val="00FF2993"/>
    <w:rsid w:val="00FF48D3"/>
    <w:rsid w:val="00FF62D8"/>
  </w:rsids>
  <m:mathPr>
    <m:mathFont m:val="Cambria Math"/>
    <m:brkBin m:val="before"/>
    <m:brkBinSub m:val="--"/>
    <m:smallFrac m:val="0"/>
    <m:dispDef/>
    <m:lMargin m:val="0"/>
    <m:rMargin m:val="0"/>
    <m:defJc m:val="centerGroup"/>
    <m:wrapIndent m:val="1440"/>
    <m:intLim m:val="subSup"/>
    <m:naryLim m:val="undOvr"/>
  </m:mathPr>
  <w:themeFontLang w:val="lv-LV"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212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7696"/>
    <w:pPr>
      <w:keepNext/>
      <w:keepLines/>
      <w:spacing w:before="360" w:after="120"/>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D47696"/>
    <w:pPr>
      <w:keepNext/>
      <w:keepLines/>
      <w:spacing w:before="160" w:after="120"/>
      <w:jc w:val="center"/>
      <w:outlineLvl w:val="1"/>
    </w:pPr>
    <w:rPr>
      <w:rFonts w:ascii="Times New Roman" w:eastAsia="Times New Roman" w:hAnsi="Times New Roman" w:cs="Times New Roman"/>
      <w:b/>
      <w:sz w:val="28"/>
      <w:szCs w:val="28"/>
      <w:lang w:eastAsia="lv-LV"/>
    </w:rPr>
  </w:style>
  <w:style w:type="paragraph" w:styleId="Heading3">
    <w:name w:val="heading 3"/>
    <w:basedOn w:val="Normal"/>
    <w:next w:val="Normal"/>
    <w:link w:val="Heading3Char"/>
    <w:uiPriority w:val="9"/>
    <w:unhideWhenUsed/>
    <w:qFormat/>
    <w:rsid w:val="00D47696"/>
    <w:pPr>
      <w:keepNext/>
      <w:keepLines/>
      <w:spacing w:before="160" w:after="120"/>
      <w:jc w:val="center"/>
      <w:outlineLvl w:val="2"/>
    </w:pPr>
    <w:rPr>
      <w:rFonts w:ascii="Times New Roman" w:eastAsia="Times New Roman" w:hAnsi="Times New Roman" w:cstheme="majorBidi"/>
      <w:b/>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D3920"/>
    <w:pPr>
      <w:tabs>
        <w:tab w:val="center" w:pos="4153"/>
        <w:tab w:val="right" w:pos="8306"/>
      </w:tabs>
      <w:spacing w:after="0" w:line="240" w:lineRule="auto"/>
    </w:pPr>
    <w:rPr>
      <w:rFonts w:ascii="Times New Roman" w:eastAsia="Times New Roman" w:hAnsi="Times New Roman" w:cs="Times New Roman"/>
      <w:sz w:val="24"/>
      <w:szCs w:val="24"/>
      <w:lang w:eastAsia="zh-CN"/>
    </w:rPr>
  </w:style>
  <w:style w:type="character" w:customStyle="1" w:styleId="FooterChar">
    <w:name w:val="Footer Char"/>
    <w:basedOn w:val="DefaultParagraphFont"/>
    <w:link w:val="Footer"/>
    <w:uiPriority w:val="99"/>
    <w:rsid w:val="00ED3920"/>
    <w:rPr>
      <w:rFonts w:ascii="Times New Roman" w:eastAsia="Times New Roman" w:hAnsi="Times New Roman" w:cs="Times New Roman"/>
      <w:sz w:val="24"/>
      <w:szCs w:val="24"/>
      <w:lang w:eastAsia="zh-CN"/>
    </w:rPr>
  </w:style>
  <w:style w:type="paragraph" w:styleId="ListParagraph">
    <w:name w:val="List Paragraph"/>
    <w:basedOn w:val="Normal"/>
    <w:uiPriority w:val="34"/>
    <w:qFormat/>
    <w:rsid w:val="009B2FEC"/>
    <w:pPr>
      <w:ind w:left="720"/>
      <w:contextualSpacing/>
    </w:pPr>
  </w:style>
  <w:style w:type="character" w:styleId="Hyperlink">
    <w:name w:val="Hyperlink"/>
    <w:basedOn w:val="DefaultParagraphFont"/>
    <w:uiPriority w:val="99"/>
    <w:unhideWhenUsed/>
    <w:rsid w:val="009B2FEC"/>
    <w:rPr>
      <w:color w:val="0563C1" w:themeColor="hyperlink"/>
      <w:u w:val="single"/>
    </w:rPr>
  </w:style>
  <w:style w:type="character" w:customStyle="1" w:styleId="Heading1Char">
    <w:name w:val="Heading 1 Char"/>
    <w:basedOn w:val="DefaultParagraphFont"/>
    <w:link w:val="Heading1"/>
    <w:uiPriority w:val="9"/>
    <w:rsid w:val="00D47696"/>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D47696"/>
    <w:rPr>
      <w:rFonts w:ascii="Times New Roman" w:eastAsia="Times New Roman" w:hAnsi="Times New Roman" w:cs="Times New Roman"/>
      <w:b/>
      <w:sz w:val="28"/>
      <w:szCs w:val="28"/>
      <w:lang w:eastAsia="lv-LV"/>
    </w:rPr>
  </w:style>
  <w:style w:type="character" w:customStyle="1" w:styleId="Heading3Char">
    <w:name w:val="Heading 3 Char"/>
    <w:basedOn w:val="DefaultParagraphFont"/>
    <w:link w:val="Heading3"/>
    <w:uiPriority w:val="9"/>
    <w:rsid w:val="00D47696"/>
    <w:rPr>
      <w:rFonts w:ascii="Times New Roman" w:eastAsia="Times New Roman" w:hAnsi="Times New Roman" w:cstheme="majorBidi"/>
      <w:b/>
      <w:sz w:val="28"/>
      <w:szCs w:val="28"/>
      <w:lang w:eastAsia="lv-LV"/>
    </w:rPr>
  </w:style>
  <w:style w:type="paragraph" w:styleId="Header">
    <w:name w:val="header"/>
    <w:basedOn w:val="Normal"/>
    <w:link w:val="HeaderChar"/>
    <w:uiPriority w:val="99"/>
    <w:unhideWhenUsed/>
    <w:rsid w:val="00F67B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7B5A"/>
  </w:style>
  <w:style w:type="paragraph" w:styleId="BalloonText">
    <w:name w:val="Balloon Text"/>
    <w:basedOn w:val="Normal"/>
    <w:link w:val="BalloonTextChar"/>
    <w:uiPriority w:val="99"/>
    <w:semiHidden/>
    <w:unhideWhenUsed/>
    <w:rsid w:val="00BA0C9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0C94"/>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4D13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130D"/>
    <w:rPr>
      <w:sz w:val="20"/>
      <w:szCs w:val="20"/>
    </w:rPr>
  </w:style>
  <w:style w:type="character" w:styleId="FootnoteReference">
    <w:name w:val="footnote reference"/>
    <w:basedOn w:val="DefaultParagraphFont"/>
    <w:uiPriority w:val="99"/>
    <w:semiHidden/>
    <w:unhideWhenUsed/>
    <w:rsid w:val="004D130D"/>
    <w:rPr>
      <w:vertAlign w:val="superscript"/>
    </w:rPr>
  </w:style>
  <w:style w:type="character" w:styleId="CommentReference">
    <w:name w:val="annotation reference"/>
    <w:basedOn w:val="DefaultParagraphFont"/>
    <w:uiPriority w:val="99"/>
    <w:semiHidden/>
    <w:unhideWhenUsed/>
    <w:rsid w:val="00A47671"/>
    <w:rPr>
      <w:sz w:val="16"/>
      <w:szCs w:val="16"/>
    </w:rPr>
  </w:style>
  <w:style w:type="paragraph" w:styleId="CommentText">
    <w:name w:val="annotation text"/>
    <w:basedOn w:val="Normal"/>
    <w:link w:val="CommentTextChar"/>
    <w:uiPriority w:val="99"/>
    <w:semiHidden/>
    <w:unhideWhenUsed/>
    <w:rsid w:val="00A47671"/>
    <w:pPr>
      <w:spacing w:line="240" w:lineRule="auto"/>
    </w:pPr>
    <w:rPr>
      <w:sz w:val="20"/>
      <w:szCs w:val="20"/>
    </w:rPr>
  </w:style>
  <w:style w:type="character" w:customStyle="1" w:styleId="CommentTextChar">
    <w:name w:val="Comment Text Char"/>
    <w:basedOn w:val="DefaultParagraphFont"/>
    <w:link w:val="CommentText"/>
    <w:uiPriority w:val="99"/>
    <w:semiHidden/>
    <w:rsid w:val="00A47671"/>
    <w:rPr>
      <w:sz w:val="20"/>
      <w:szCs w:val="20"/>
    </w:rPr>
  </w:style>
  <w:style w:type="paragraph" w:styleId="CommentSubject">
    <w:name w:val="annotation subject"/>
    <w:basedOn w:val="CommentText"/>
    <w:next w:val="CommentText"/>
    <w:link w:val="CommentSubjectChar"/>
    <w:uiPriority w:val="99"/>
    <w:semiHidden/>
    <w:unhideWhenUsed/>
    <w:rsid w:val="00A47671"/>
    <w:rPr>
      <w:b/>
      <w:bCs/>
    </w:rPr>
  </w:style>
  <w:style w:type="character" w:customStyle="1" w:styleId="CommentSubjectChar">
    <w:name w:val="Comment Subject Char"/>
    <w:basedOn w:val="CommentTextChar"/>
    <w:link w:val="CommentSubject"/>
    <w:uiPriority w:val="99"/>
    <w:semiHidden/>
    <w:rsid w:val="00A476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67849">
      <w:bodyDiv w:val="1"/>
      <w:marLeft w:val="0"/>
      <w:marRight w:val="0"/>
      <w:marTop w:val="0"/>
      <w:marBottom w:val="0"/>
      <w:divBdr>
        <w:top w:val="none" w:sz="0" w:space="0" w:color="auto"/>
        <w:left w:val="none" w:sz="0" w:space="0" w:color="auto"/>
        <w:bottom w:val="none" w:sz="0" w:space="0" w:color="auto"/>
        <w:right w:val="none" w:sz="0" w:space="0" w:color="auto"/>
      </w:divBdr>
    </w:div>
    <w:div w:id="759907315">
      <w:bodyDiv w:val="1"/>
      <w:marLeft w:val="0"/>
      <w:marRight w:val="0"/>
      <w:marTop w:val="0"/>
      <w:marBottom w:val="0"/>
      <w:divBdr>
        <w:top w:val="none" w:sz="0" w:space="0" w:color="auto"/>
        <w:left w:val="none" w:sz="0" w:space="0" w:color="auto"/>
        <w:bottom w:val="none" w:sz="0" w:space="0" w:color="auto"/>
        <w:right w:val="none" w:sz="0" w:space="0" w:color="auto"/>
      </w:divBdr>
    </w:div>
    <w:div w:id="1204945846">
      <w:bodyDiv w:val="1"/>
      <w:marLeft w:val="0"/>
      <w:marRight w:val="0"/>
      <w:marTop w:val="0"/>
      <w:marBottom w:val="0"/>
      <w:divBdr>
        <w:top w:val="none" w:sz="0" w:space="0" w:color="auto"/>
        <w:left w:val="none" w:sz="0" w:space="0" w:color="auto"/>
        <w:bottom w:val="none" w:sz="0" w:space="0" w:color="auto"/>
        <w:right w:val="none" w:sz="0" w:space="0" w:color="auto"/>
      </w:divBdr>
    </w:div>
    <w:div w:id="1223909260">
      <w:bodyDiv w:val="1"/>
      <w:marLeft w:val="0"/>
      <w:marRight w:val="0"/>
      <w:marTop w:val="0"/>
      <w:marBottom w:val="0"/>
      <w:divBdr>
        <w:top w:val="none" w:sz="0" w:space="0" w:color="auto"/>
        <w:left w:val="none" w:sz="0" w:space="0" w:color="auto"/>
        <w:bottom w:val="none" w:sz="0" w:space="0" w:color="auto"/>
        <w:right w:val="none" w:sz="0" w:space="0" w:color="auto"/>
      </w:divBdr>
      <w:divsChild>
        <w:div w:id="1318419186">
          <w:marLeft w:val="734"/>
          <w:marRight w:val="0"/>
          <w:marTop w:val="82"/>
          <w:marBottom w:val="0"/>
          <w:divBdr>
            <w:top w:val="none" w:sz="0" w:space="0" w:color="auto"/>
            <w:left w:val="none" w:sz="0" w:space="0" w:color="auto"/>
            <w:bottom w:val="none" w:sz="0" w:space="0" w:color="auto"/>
            <w:right w:val="none" w:sz="0" w:space="0" w:color="auto"/>
          </w:divBdr>
        </w:div>
      </w:divsChild>
    </w:div>
    <w:div w:id="1324161916">
      <w:bodyDiv w:val="1"/>
      <w:marLeft w:val="0"/>
      <w:marRight w:val="0"/>
      <w:marTop w:val="0"/>
      <w:marBottom w:val="0"/>
      <w:divBdr>
        <w:top w:val="none" w:sz="0" w:space="0" w:color="auto"/>
        <w:left w:val="none" w:sz="0" w:space="0" w:color="auto"/>
        <w:bottom w:val="none" w:sz="0" w:space="0" w:color="auto"/>
        <w:right w:val="none" w:sz="0" w:space="0" w:color="auto"/>
      </w:divBdr>
    </w:div>
    <w:div w:id="1437023120">
      <w:bodyDiv w:val="1"/>
      <w:marLeft w:val="0"/>
      <w:marRight w:val="0"/>
      <w:marTop w:val="0"/>
      <w:marBottom w:val="0"/>
      <w:divBdr>
        <w:top w:val="none" w:sz="0" w:space="0" w:color="auto"/>
        <w:left w:val="none" w:sz="0" w:space="0" w:color="auto"/>
        <w:bottom w:val="none" w:sz="0" w:space="0" w:color="auto"/>
        <w:right w:val="none" w:sz="0" w:space="0" w:color="auto"/>
      </w:divBdr>
      <w:divsChild>
        <w:div w:id="1137382974">
          <w:marLeft w:val="0"/>
          <w:marRight w:val="0"/>
          <w:marTop w:val="0"/>
          <w:marBottom w:val="0"/>
          <w:divBdr>
            <w:top w:val="none" w:sz="0" w:space="0" w:color="auto"/>
            <w:left w:val="none" w:sz="0" w:space="0" w:color="auto"/>
            <w:bottom w:val="none" w:sz="0" w:space="0" w:color="auto"/>
            <w:right w:val="none" w:sz="0" w:space="0" w:color="auto"/>
          </w:divBdr>
          <w:divsChild>
            <w:div w:id="608899425">
              <w:marLeft w:val="0"/>
              <w:marRight w:val="0"/>
              <w:marTop w:val="0"/>
              <w:marBottom w:val="0"/>
              <w:divBdr>
                <w:top w:val="none" w:sz="0" w:space="0" w:color="auto"/>
                <w:left w:val="none" w:sz="0" w:space="0" w:color="auto"/>
                <w:bottom w:val="none" w:sz="0" w:space="0" w:color="auto"/>
                <w:right w:val="none" w:sz="0" w:space="0" w:color="auto"/>
              </w:divBdr>
              <w:divsChild>
                <w:div w:id="140294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latak.lv" TargetMode="External"/><Relationship Id="rId20" Type="http://schemas.openxmlformats.org/officeDocument/2006/relationships/hyperlink" Target="mailto:Edijs.Saicans@em.gov.lv"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chart" Target="charts/chart2.xml"/><Relationship Id="rId11" Type="http://schemas.openxmlformats.org/officeDocument/2006/relationships/chart" Target="charts/chart3.xml"/><Relationship Id="rId12" Type="http://schemas.openxmlformats.org/officeDocument/2006/relationships/chart" Target="charts/chart4.xml"/><Relationship Id="rId13" Type="http://schemas.openxmlformats.org/officeDocument/2006/relationships/diagramData" Target="diagrams/data1.xml"/><Relationship Id="rId14" Type="http://schemas.openxmlformats.org/officeDocument/2006/relationships/diagramLayout" Target="diagrams/layout1.xml"/><Relationship Id="rId15" Type="http://schemas.openxmlformats.org/officeDocument/2006/relationships/diagramQuickStyle" Target="diagrams/quickStyle1.xml"/><Relationship Id="rId16" Type="http://schemas.openxmlformats.org/officeDocument/2006/relationships/diagramColors" Target="diagrams/colors1.xml"/><Relationship Id="rId17" Type="http://schemas.microsoft.com/office/2007/relationships/diagramDrawing" Target="diagrams/drawing1.xml"/><Relationship Id="rId18" Type="http://schemas.openxmlformats.org/officeDocument/2006/relationships/chart" Target="charts/chart5.xml"/><Relationship Id="rId19" Type="http://schemas.openxmlformats.org/officeDocument/2006/relationships/image" Target="media/image1.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Users\Edijs\Desktop\Flash%20backup_20160922\EM\My%20documents\Informati&#772;vie%20zin&#807;ojumu\20160921_SAMC%20reorganiza&#772;cija\Ienjeemumi_pa_gadiem.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sers\Edijs\Library\Containers\com.apple.mail\Data\Library\Mail%20Downloads\5A31ADCE-1F09-4E0E-B730-94CB3A1E9439\Ienjeemumi_pa_gadiem.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Users\Edijs\Desktop\Flash%20backup_20160922\EM\My%20documents\LATAK\20160314_Naciona&#772;la&#772;s%20akredita&#772;cijas%20institu&#772;cijas_status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Users\Edijs\Desktop\Flash%20backup_20160922\EM\My%20documents\Informati&#772;vie%20zin&#807;ojumu\20160921_SAMC%20reorganiza&#772;cija\Ienjeemumi_pa_gadiem.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Users\Edijs\Desktop\Flash%20backup_20160922\EM\My%20documents\Informati&#772;vie%20zin&#807;ojumu\20160921_SAMC%20reorganiza&#772;cija\20161018_CEN_BIEDRI.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cked"/>
        <c:varyColors val="0"/>
        <c:ser>
          <c:idx val="0"/>
          <c:order val="0"/>
          <c:tx>
            <c:strRef>
              <c:f>Sheet1!$G$15</c:f>
              <c:strCache>
                <c:ptCount val="1"/>
                <c:pt idx="0">
                  <c:v>Ieņēmumi</c:v>
                </c:pt>
              </c:strCache>
            </c:strRef>
          </c:tx>
          <c:spPr>
            <a:solidFill>
              <a:schemeClr val="accent1">
                <a:alpha val="74000"/>
              </a:schemeClr>
            </a:solidFill>
            <a:ln>
              <a:noFill/>
            </a:ln>
            <a:effectLst>
              <a:innerShdw blurRad="114300">
                <a:schemeClr val="accent1">
                  <a:lumMod val="75000"/>
                </a:schemeClr>
              </a:innerShdw>
            </a:effectLst>
          </c:spPr>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1">
                        <a:lumMod val="50000"/>
                      </a:schemeClr>
                    </a:solidFill>
                    <a:latin typeface="+mn-lt"/>
                    <a:ea typeface="+mn-ea"/>
                    <a:cs typeface="+mn-cs"/>
                  </a:defRPr>
                </a:pPr>
                <a:endParaRPr lang="en-GB"/>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Sheet1!$F$16:$F$21</c:f>
              <c:numCache>
                <c:formatCode>General</c:formatCode>
                <c:ptCount val="6"/>
                <c:pt idx="0">
                  <c:v>2010.0</c:v>
                </c:pt>
                <c:pt idx="1">
                  <c:v>2011.0</c:v>
                </c:pt>
                <c:pt idx="2">
                  <c:v>2012.0</c:v>
                </c:pt>
                <c:pt idx="3">
                  <c:v>2013.0</c:v>
                </c:pt>
                <c:pt idx="4">
                  <c:v>2014.0</c:v>
                </c:pt>
                <c:pt idx="5">
                  <c:v>2015.0</c:v>
                </c:pt>
              </c:numCache>
            </c:numRef>
          </c:cat>
          <c:val>
            <c:numRef>
              <c:f>Sheet1!$G$16:$G$21</c:f>
              <c:numCache>
                <c:formatCode>General</c:formatCode>
                <c:ptCount val="6"/>
                <c:pt idx="0">
                  <c:v>396830.0</c:v>
                </c:pt>
                <c:pt idx="1">
                  <c:v>439409.0</c:v>
                </c:pt>
                <c:pt idx="2">
                  <c:v>497662.0</c:v>
                </c:pt>
                <c:pt idx="3">
                  <c:v>509219.0</c:v>
                </c:pt>
                <c:pt idx="4">
                  <c:v>727947.0</c:v>
                </c:pt>
                <c:pt idx="5">
                  <c:v>798042.0</c:v>
                </c:pt>
              </c:numCache>
            </c:numRef>
          </c:val>
        </c:ser>
        <c:ser>
          <c:idx val="1"/>
          <c:order val="1"/>
          <c:tx>
            <c:strRef>
              <c:f>Sheet1!$H$15</c:f>
              <c:strCache>
                <c:ptCount val="1"/>
                <c:pt idx="0">
                  <c:v>Dotācija</c:v>
                </c:pt>
              </c:strCache>
            </c:strRef>
          </c:tx>
          <c:spPr>
            <a:solidFill>
              <a:schemeClr val="accent2">
                <a:alpha val="74000"/>
              </a:schemeClr>
            </a:solidFill>
            <a:ln>
              <a:noFill/>
            </a:ln>
            <a:effectLst>
              <a:innerShdw blurRad="114300">
                <a:schemeClr val="accent2">
                  <a:lumMod val="75000"/>
                </a:schemeClr>
              </a:innerShdw>
            </a:effectLst>
          </c:spPr>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2">
                        <a:lumMod val="50000"/>
                      </a:schemeClr>
                    </a:solidFill>
                    <a:latin typeface="+mn-lt"/>
                    <a:ea typeface="+mn-ea"/>
                    <a:cs typeface="+mn-cs"/>
                  </a:defRPr>
                </a:pPr>
                <a:endParaRPr lang="en-GB"/>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Sheet1!$F$16:$F$21</c:f>
              <c:numCache>
                <c:formatCode>General</c:formatCode>
                <c:ptCount val="6"/>
                <c:pt idx="0">
                  <c:v>2010.0</c:v>
                </c:pt>
                <c:pt idx="1">
                  <c:v>2011.0</c:v>
                </c:pt>
                <c:pt idx="2">
                  <c:v>2012.0</c:v>
                </c:pt>
                <c:pt idx="3">
                  <c:v>2013.0</c:v>
                </c:pt>
                <c:pt idx="4">
                  <c:v>2014.0</c:v>
                </c:pt>
                <c:pt idx="5">
                  <c:v>2015.0</c:v>
                </c:pt>
              </c:numCache>
            </c:numRef>
          </c:cat>
          <c:val>
            <c:numRef>
              <c:f>Sheet1!$H$16:$H$21</c:f>
              <c:numCache>
                <c:formatCode>General</c:formatCode>
                <c:ptCount val="6"/>
                <c:pt idx="0">
                  <c:v>359935.0</c:v>
                </c:pt>
                <c:pt idx="1">
                  <c:v>336870.0</c:v>
                </c:pt>
                <c:pt idx="2">
                  <c:v>376142.0</c:v>
                </c:pt>
                <c:pt idx="3">
                  <c:v>380884.0</c:v>
                </c:pt>
                <c:pt idx="4">
                  <c:v>596089.0</c:v>
                </c:pt>
                <c:pt idx="5">
                  <c:v>442487.0</c:v>
                </c:pt>
              </c:numCache>
            </c:numRef>
          </c:val>
        </c:ser>
        <c:dLbls>
          <c:showLegendKey val="0"/>
          <c:showVal val="1"/>
          <c:showCatName val="0"/>
          <c:showSerName val="0"/>
          <c:showPercent val="0"/>
          <c:showBubbleSize val="0"/>
        </c:dLbls>
        <c:axId val="498209936"/>
        <c:axId val="498211712"/>
      </c:areaChart>
      <c:catAx>
        <c:axId val="498209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300" b="0" i="0" u="none" strike="noStrike" kern="1200" cap="none" spc="20" normalizeH="0" baseline="0">
                <a:solidFill>
                  <a:schemeClr val="tx1">
                    <a:lumMod val="65000"/>
                    <a:lumOff val="35000"/>
                  </a:schemeClr>
                </a:solidFill>
                <a:latin typeface="+mn-lt"/>
                <a:ea typeface="+mn-ea"/>
                <a:cs typeface="+mn-cs"/>
              </a:defRPr>
            </a:pPr>
            <a:endParaRPr lang="en-GB"/>
          </a:p>
        </c:txPr>
        <c:crossAx val="498211712"/>
        <c:crosses val="autoZero"/>
        <c:auto val="1"/>
        <c:lblAlgn val="ctr"/>
        <c:lblOffset val="100"/>
        <c:noMultiLvlLbl val="0"/>
      </c:catAx>
      <c:valAx>
        <c:axId val="498211712"/>
        <c:scaling>
          <c:orientation val="minMax"/>
        </c:scaling>
        <c:delete val="1"/>
        <c:axPos val="l"/>
        <c:majorGridlines>
          <c:spPr>
            <a:ln w="9525" cap="flat" cmpd="sng" algn="ctr">
              <a:solidFill>
                <a:schemeClr val="tx1">
                  <a:lumMod val="5000"/>
                  <a:lumOff val="95000"/>
                </a:schemeClr>
              </a:solidFill>
              <a:round/>
            </a:ln>
            <a:effectLst/>
          </c:spPr>
        </c:majorGridlines>
        <c:numFmt formatCode="General" sourceLinked="0"/>
        <c:majorTickMark val="none"/>
        <c:minorTickMark val="none"/>
        <c:tickLblPos val="nextTo"/>
        <c:crossAx val="498209936"/>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GB"/>
        </a:p>
      </c:txPr>
    </c:legend>
    <c:plotVisOnly val="1"/>
    <c:dispBlanksAs val="zero"/>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GB"/>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Sheet1!$B$16</c:f>
              <c:strCache>
                <c:ptCount val="1"/>
                <c:pt idx="0">
                  <c:v>Ieņēmumi</c:v>
                </c:pt>
              </c:strCache>
            </c:strRef>
          </c:tx>
          <c:spPr>
            <a:ln w="25400" cap="rnd">
              <a:solidFill>
                <a:schemeClr val="lt1"/>
              </a:solidFill>
              <a:round/>
            </a:ln>
            <a:effectLst>
              <a:outerShdw dist="25400" dir="2700000" algn="tl" rotWithShape="0">
                <a:schemeClr val="accent1"/>
              </a:outerShdw>
            </a:effectLst>
          </c:spPr>
          <c:marker>
            <c:symbol val="none"/>
          </c:marker>
          <c:dLbls>
            <c:spPr>
              <a:solidFill>
                <a:srgbClr val="5B9BD5"/>
              </a:solid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lt1"/>
                    </a:solidFill>
                    <a:latin typeface="+mn-lt"/>
                    <a:ea typeface="+mn-ea"/>
                    <a:cs typeface="+mn-cs"/>
                  </a:defRPr>
                </a:pPr>
                <a:endParaRPr lang="en-GB"/>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accent1">
                          <a:lumMod val="60000"/>
                          <a:lumOff val="40000"/>
                        </a:schemeClr>
                      </a:solidFill>
                    </a:ln>
                    <a:effectLst/>
                  </c:spPr>
                </c15:leaderLines>
              </c:ext>
            </c:extLst>
          </c:dLbls>
          <c:cat>
            <c:numRef>
              <c:f>Sheet1!$A$17:$A$21</c:f>
              <c:numCache>
                <c:formatCode>General</c:formatCode>
                <c:ptCount val="5"/>
                <c:pt idx="0">
                  <c:v>2011.0</c:v>
                </c:pt>
                <c:pt idx="1">
                  <c:v>2012.0</c:v>
                </c:pt>
                <c:pt idx="2">
                  <c:v>2013.0</c:v>
                </c:pt>
                <c:pt idx="3">
                  <c:v>2014.0</c:v>
                </c:pt>
                <c:pt idx="4">
                  <c:v>2015.0</c:v>
                </c:pt>
              </c:numCache>
            </c:numRef>
          </c:cat>
          <c:val>
            <c:numRef>
              <c:f>Sheet1!$B$17:$B$21</c:f>
              <c:numCache>
                <c:formatCode>General</c:formatCode>
                <c:ptCount val="5"/>
                <c:pt idx="0">
                  <c:v>285237.0</c:v>
                </c:pt>
                <c:pt idx="1">
                  <c:v>402024.0</c:v>
                </c:pt>
                <c:pt idx="2">
                  <c:v>402024.0</c:v>
                </c:pt>
                <c:pt idx="3">
                  <c:v>602386.0</c:v>
                </c:pt>
                <c:pt idx="4">
                  <c:v>627977.0</c:v>
                </c:pt>
              </c:numCache>
            </c:numRef>
          </c:val>
          <c:smooth val="0"/>
        </c:ser>
        <c:dLbls>
          <c:dLblPos val="ctr"/>
          <c:showLegendKey val="0"/>
          <c:showVal val="1"/>
          <c:showCatName val="0"/>
          <c:showSerName val="0"/>
          <c:showPercent val="0"/>
          <c:showBubbleSize val="0"/>
        </c:dLbls>
        <c:dropLines>
          <c:spPr>
            <a:ln w="9525" cap="flat" cmpd="sng" algn="ctr">
              <a:gradFill>
                <a:gsLst>
                  <a:gs pos="0">
                    <a:schemeClr val="lt1"/>
                  </a:gs>
                  <a:gs pos="100000">
                    <a:schemeClr val="lt1">
                      <a:alpha val="0"/>
                    </a:schemeClr>
                  </a:gs>
                </a:gsLst>
                <a:lin ang="5400000" scaled="0"/>
              </a:gradFill>
              <a:round/>
            </a:ln>
            <a:effectLst/>
          </c:spPr>
        </c:dropLines>
        <c:smooth val="0"/>
        <c:axId val="498657504"/>
        <c:axId val="498659280"/>
      </c:lineChart>
      <c:catAx>
        <c:axId val="4986575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300" b="0" i="0" u="none" strike="noStrike" kern="1200" spc="30" baseline="0">
                <a:solidFill>
                  <a:schemeClr val="lt1"/>
                </a:solidFill>
                <a:latin typeface="+mn-lt"/>
                <a:ea typeface="+mn-ea"/>
                <a:cs typeface="+mn-cs"/>
              </a:defRPr>
            </a:pPr>
            <a:endParaRPr lang="en-GB"/>
          </a:p>
        </c:txPr>
        <c:crossAx val="498659280"/>
        <c:crosses val="autoZero"/>
        <c:auto val="1"/>
        <c:lblAlgn val="ctr"/>
        <c:lblOffset val="100"/>
        <c:noMultiLvlLbl val="0"/>
      </c:catAx>
      <c:valAx>
        <c:axId val="498659280"/>
        <c:scaling>
          <c:orientation val="minMax"/>
        </c:scaling>
        <c:delete val="1"/>
        <c:axPos val="l"/>
        <c:numFmt formatCode="General" sourceLinked="0"/>
        <c:majorTickMark val="none"/>
        <c:minorTickMark val="none"/>
        <c:tickLblPos val="nextTo"/>
        <c:crossAx val="498657504"/>
        <c:crosses val="autoZero"/>
        <c:crossBetween val="between"/>
      </c:valAx>
      <c:spPr>
        <a:noFill/>
        <a:ln>
          <a:noFill/>
        </a:ln>
        <a:effectLst/>
      </c:spPr>
    </c:plotArea>
    <c:plotVisOnly val="1"/>
    <c:dispBlanksAs val="gap"/>
    <c:showDLblsOverMax val="0"/>
  </c:chart>
  <c:spPr>
    <a:solidFill>
      <a:schemeClr val="accent1"/>
    </a:solidFill>
    <a:ln w="9525" cap="flat" cmpd="sng" algn="ctr">
      <a:solidFill>
        <a:schemeClr val="lt1">
          <a:lumMod val="85000"/>
        </a:schemeClr>
      </a:solidFill>
      <a:round/>
    </a:ln>
    <a:effectLst/>
  </c:spPr>
  <c:txPr>
    <a:bodyPr/>
    <a:lstStyle/>
    <a:p>
      <a:pPr>
        <a:defRPr/>
      </a:pPr>
      <a:endParaRPr lang="en-GB"/>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800" b="1" i="0" u="none" strike="noStrike" kern="1200" baseline="0">
                <a:solidFill>
                  <a:schemeClr val="dk1">
                    <a:lumMod val="75000"/>
                    <a:lumOff val="25000"/>
                  </a:schemeClr>
                </a:solidFill>
                <a:latin typeface="+mn-lt"/>
                <a:ea typeface="+mn-ea"/>
                <a:cs typeface="+mn-cs"/>
              </a:defRPr>
            </a:pPr>
            <a:r>
              <a:rPr lang="en-US" sz="1800"/>
              <a:t>Nacionālās akreditācijas institūcijas</a:t>
            </a:r>
          </a:p>
        </c:rich>
      </c:tx>
      <c:layout>
        <c:manualLayout>
          <c:xMode val="edge"/>
          <c:yMode val="edge"/>
          <c:x val="0.0995787126657326"/>
          <c:y val="0.0397111431851418"/>
        </c:manualLayout>
      </c:layout>
      <c:overlay val="0"/>
      <c:spPr>
        <a:noFill/>
        <a:ln>
          <a:noFill/>
        </a:ln>
        <a:effectLst/>
      </c:sp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lt1"/>
                    </a:solidFill>
                    <a:latin typeface="+mn-lt"/>
                    <a:ea typeface="+mn-ea"/>
                    <a:cs typeface="+mn-cs"/>
                  </a:defRPr>
                </a:pPr>
                <a:endParaRPr lang="en-GB"/>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Sheet2!$B$38:$B$39</c:f>
              <c:strCache>
                <c:ptCount val="2"/>
                <c:pt idx="0">
                  <c:v>Publiskās pārvaldes institūcijas</c:v>
                </c:pt>
                <c:pt idx="1">
                  <c:v>Privātās organizācijas</c:v>
                </c:pt>
              </c:strCache>
            </c:strRef>
          </c:cat>
          <c:val>
            <c:numRef>
              <c:f>Sheet2!$C$38:$C$39</c:f>
              <c:numCache>
                <c:formatCode>General</c:formatCode>
                <c:ptCount val="2"/>
                <c:pt idx="0">
                  <c:v>28.0</c:v>
                </c:pt>
                <c:pt idx="1">
                  <c:v>7.0</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32697528256903"/>
          <c:y val="0.406203308071065"/>
          <c:w val="0.318925807765409"/>
          <c:h val="0.367329372637085"/>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200" b="0" i="0" u="none" strike="noStrike" kern="1200" baseline="0">
              <a:solidFill>
                <a:schemeClr val="dk1">
                  <a:lumMod val="75000"/>
                  <a:lumOff val="25000"/>
                </a:schemeClr>
              </a:solidFill>
              <a:latin typeface="+mn-lt"/>
              <a:ea typeface="+mn-ea"/>
              <a:cs typeface="+mn-cs"/>
            </a:defRPr>
          </a:pPr>
          <a:endParaRPr lang="en-GB"/>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GB"/>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Sheet1!$M$2</c:f>
              <c:strCache>
                <c:ptCount val="1"/>
                <c:pt idx="0">
                  <c:v>Ieņēmumi</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1300" b="1" i="0" u="none" strike="noStrike" kern="1200" baseline="0">
                    <a:solidFill>
                      <a:schemeClr val="tx1"/>
                    </a:solidFill>
                    <a:latin typeface="+mn-lt"/>
                    <a:ea typeface="+mn-ea"/>
                    <a:cs typeface="+mn-cs"/>
                  </a:defRPr>
                </a:pPr>
                <a:endParaRPr lang="en-GB"/>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Sheet1!$L$3:$L$6</c:f>
              <c:numCache>
                <c:formatCode>General</c:formatCode>
                <c:ptCount val="4"/>
                <c:pt idx="0">
                  <c:v>2012.0</c:v>
                </c:pt>
                <c:pt idx="1">
                  <c:v>2013.0</c:v>
                </c:pt>
                <c:pt idx="2">
                  <c:v>2014.0</c:v>
                </c:pt>
                <c:pt idx="3">
                  <c:v>2015.0</c:v>
                </c:pt>
              </c:numCache>
            </c:numRef>
          </c:cat>
          <c:val>
            <c:numRef>
              <c:f>Sheet1!$M$3:$M$6</c:f>
              <c:numCache>
                <c:formatCode>General</c:formatCode>
                <c:ptCount val="4"/>
                <c:pt idx="0">
                  <c:v>95638.0</c:v>
                </c:pt>
                <c:pt idx="1">
                  <c:v>107195.0</c:v>
                </c:pt>
                <c:pt idx="2">
                  <c:v>125561.0</c:v>
                </c:pt>
                <c:pt idx="3">
                  <c:v>170065.0</c:v>
                </c:pt>
              </c:numCache>
            </c:numRef>
          </c:val>
          <c:smooth val="0"/>
        </c:ser>
        <c:dLbls>
          <c:dLblPos val="ctr"/>
          <c:showLegendKey val="0"/>
          <c:showVal val="1"/>
          <c:showCatName val="0"/>
          <c:showSerName val="0"/>
          <c:showPercent val="0"/>
          <c:showBubbleSize val="0"/>
        </c:dLbls>
        <c:marker val="1"/>
        <c:smooth val="0"/>
        <c:axId val="477669808"/>
        <c:axId val="477672128"/>
      </c:lineChart>
      <c:catAx>
        <c:axId val="47766980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400" b="0" i="0" u="none" strike="noStrike" kern="1200" cap="all" baseline="0">
                <a:solidFill>
                  <a:schemeClr val="dk1">
                    <a:lumMod val="75000"/>
                    <a:lumOff val="25000"/>
                  </a:schemeClr>
                </a:solidFill>
                <a:latin typeface="+mn-lt"/>
                <a:ea typeface="+mn-ea"/>
                <a:cs typeface="+mn-cs"/>
              </a:defRPr>
            </a:pPr>
            <a:endParaRPr lang="en-GB"/>
          </a:p>
        </c:txPr>
        <c:crossAx val="477672128"/>
        <c:crosses val="autoZero"/>
        <c:auto val="1"/>
        <c:lblAlgn val="ctr"/>
        <c:lblOffset val="100"/>
        <c:noMultiLvlLbl val="0"/>
      </c:catAx>
      <c:valAx>
        <c:axId val="47767212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0"/>
        <c:majorTickMark val="none"/>
        <c:minorTickMark val="none"/>
        <c:tickLblPos val="nextTo"/>
        <c:crossAx val="477669808"/>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GB"/>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Nacionālās standartizācijas institūcijas</a:t>
            </a:r>
          </a:p>
        </c:rich>
      </c:tx>
      <c:layout>
        <c:manualLayout>
          <c:xMode val="edge"/>
          <c:yMode val="edge"/>
          <c:x val="0.158569335083115"/>
          <c:y val="0.0185185185185185"/>
        </c:manualLayout>
      </c:layout>
      <c:overlay val="0"/>
      <c:spPr>
        <a:noFill/>
        <a:ln>
          <a:noFill/>
        </a:ln>
        <a:effectLst/>
      </c:spPr>
    </c:title>
    <c:autoTitleDeleted val="0"/>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Lbls>
            <c:dLbl>
              <c:idx val="0"/>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a:t>Valsts institūcijas</a:t>
                    </a:r>
                    <a:r>
                      <a:rPr lang="en-US" baseline="0"/>
                      <a:t>
</a:t>
                    </a:r>
                    <a:fld id="{7473530A-B158-A04C-9F9E-46F6C673B7EC}" type="PERCENTAGE">
                      <a:rPr lang="en-US" baseline="0"/>
                      <a:pPr>
                        <a:defRPr sz="1000" b="1" i="0" u="none" strike="noStrike" kern="1200" spc="0" baseline="0">
                          <a:solidFill>
                            <a:schemeClr val="accent1"/>
                          </a:solidFill>
                          <a:latin typeface="+mn-lt"/>
                          <a:ea typeface="+mn-ea"/>
                          <a:cs typeface="+mn-cs"/>
                        </a:defRPr>
                      </a:pPr>
                      <a:t>[PERCENTAGE]</a:t>
                    </a:fld>
                    <a:endParaRPr lang="en-US" baseline="0"/>
                  </a:p>
                </c:rich>
              </c:tx>
              <c:spPr>
                <a:noFill/>
                <a:ln>
                  <a:noFill/>
                </a:ln>
                <a:effectLst/>
              </c:sp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GB"/>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'National Committee List'!$A$38:$A$39</c:f>
              <c:strCache>
                <c:ptCount val="2"/>
                <c:pt idx="0">
                  <c:v>Publiskās pārvaldes institūcijas</c:v>
                </c:pt>
                <c:pt idx="1">
                  <c:v>Privātās bezpeļņas organizācijas</c:v>
                </c:pt>
              </c:strCache>
            </c:strRef>
          </c:cat>
          <c:val>
            <c:numRef>
              <c:f>'National Committee List'!$B$38:$B$39</c:f>
              <c:numCache>
                <c:formatCode>General</c:formatCode>
                <c:ptCount val="2"/>
                <c:pt idx="0">
                  <c:v>10.0</c:v>
                </c:pt>
                <c:pt idx="1">
                  <c:v>22.0</c:v>
                </c:pt>
              </c:numCache>
            </c:numRef>
          </c:val>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GB"/>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CC58E8B-F50C-C245-8DD7-9B2F61F7183F}" type="doc">
      <dgm:prSet loTypeId="urn:microsoft.com/office/officeart/2005/8/layout/pyramid3" loCatId="" qsTypeId="urn:microsoft.com/office/officeart/2005/8/quickstyle/simple2" qsCatId="simple" csTypeId="urn:microsoft.com/office/officeart/2005/8/colors/colorful5" csCatId="colorful" phldr="1"/>
      <dgm:spPr/>
    </dgm:pt>
    <dgm:pt modelId="{4BB3B423-9F32-6F41-9A1E-8CCFB4428733}">
      <dgm:prSet phldrT="[Text]"/>
      <dgm:spPr/>
      <dgm:t>
        <a:bodyPr/>
        <a:lstStyle/>
        <a:p>
          <a:r>
            <a:rPr lang="en-GB"/>
            <a:t>Starptautiskā (ISO, IEC)</a:t>
          </a:r>
        </a:p>
      </dgm:t>
    </dgm:pt>
    <dgm:pt modelId="{60C46008-2A07-A147-A1CF-27723517BDBD}" type="parTrans" cxnId="{D64559AE-C2F2-2A41-B4F9-95C0A5969408}">
      <dgm:prSet/>
      <dgm:spPr/>
      <dgm:t>
        <a:bodyPr/>
        <a:lstStyle/>
        <a:p>
          <a:endParaRPr lang="en-GB"/>
        </a:p>
      </dgm:t>
    </dgm:pt>
    <dgm:pt modelId="{646131BB-B0E8-1D4B-80A5-E48574A043B2}" type="sibTrans" cxnId="{D64559AE-C2F2-2A41-B4F9-95C0A5969408}">
      <dgm:prSet/>
      <dgm:spPr/>
      <dgm:t>
        <a:bodyPr/>
        <a:lstStyle/>
        <a:p>
          <a:endParaRPr lang="en-GB"/>
        </a:p>
      </dgm:t>
    </dgm:pt>
    <dgm:pt modelId="{FEA9551F-E1ED-784D-A61F-B103173AC46C}">
      <dgm:prSet phldrT="[Text]"/>
      <dgm:spPr/>
      <dgm:t>
        <a:bodyPr/>
        <a:lstStyle/>
        <a:p>
          <a:r>
            <a:rPr lang="en-GB"/>
            <a:t>Nacionālā (LVS)</a:t>
          </a:r>
        </a:p>
      </dgm:t>
    </dgm:pt>
    <dgm:pt modelId="{7153708D-0E48-4742-9E1B-9C8C9DCAD6BC}" type="parTrans" cxnId="{A380F099-0783-8D4A-B7C9-C1C8F7F6722C}">
      <dgm:prSet/>
      <dgm:spPr/>
      <dgm:t>
        <a:bodyPr/>
        <a:lstStyle/>
        <a:p>
          <a:endParaRPr lang="en-GB"/>
        </a:p>
      </dgm:t>
    </dgm:pt>
    <dgm:pt modelId="{14923A71-9032-B54B-ADE4-9C46149D6438}" type="sibTrans" cxnId="{A380F099-0783-8D4A-B7C9-C1C8F7F6722C}">
      <dgm:prSet/>
      <dgm:spPr/>
      <dgm:t>
        <a:bodyPr/>
        <a:lstStyle/>
        <a:p>
          <a:endParaRPr lang="en-GB"/>
        </a:p>
      </dgm:t>
    </dgm:pt>
    <dgm:pt modelId="{3D9E56C2-FCB8-4347-9181-E3D3AC347F91}">
      <dgm:prSet/>
      <dgm:spPr/>
      <dgm:t>
        <a:bodyPr/>
        <a:lstStyle/>
        <a:p>
          <a:r>
            <a:rPr lang="en-GB"/>
            <a:t>Reģionālā (CEN, CENELEC, ETSI)</a:t>
          </a:r>
        </a:p>
      </dgm:t>
    </dgm:pt>
    <dgm:pt modelId="{BDD8A30E-BDB3-204E-8B57-4CDF264300CB}" type="parTrans" cxnId="{965063F5-6FD4-4240-84B0-A484CF121716}">
      <dgm:prSet/>
      <dgm:spPr/>
      <dgm:t>
        <a:bodyPr/>
        <a:lstStyle/>
        <a:p>
          <a:endParaRPr lang="en-GB"/>
        </a:p>
      </dgm:t>
    </dgm:pt>
    <dgm:pt modelId="{E06B91D4-D979-F341-947F-F00D6DCC3B63}" type="sibTrans" cxnId="{965063F5-6FD4-4240-84B0-A484CF121716}">
      <dgm:prSet/>
      <dgm:spPr/>
      <dgm:t>
        <a:bodyPr/>
        <a:lstStyle/>
        <a:p>
          <a:endParaRPr lang="en-GB"/>
        </a:p>
      </dgm:t>
    </dgm:pt>
    <dgm:pt modelId="{0187057C-B8EF-AB4F-BB3B-B57B93B628CC}" type="pres">
      <dgm:prSet presAssocID="{BCC58E8B-F50C-C245-8DD7-9B2F61F7183F}" presName="Name0" presStyleCnt="0">
        <dgm:presLayoutVars>
          <dgm:dir/>
          <dgm:animLvl val="lvl"/>
          <dgm:resizeHandles val="exact"/>
        </dgm:presLayoutVars>
      </dgm:prSet>
      <dgm:spPr/>
    </dgm:pt>
    <dgm:pt modelId="{237B21F2-84EB-0446-B332-6292917D38AC}" type="pres">
      <dgm:prSet presAssocID="{4BB3B423-9F32-6F41-9A1E-8CCFB4428733}" presName="Name8" presStyleCnt="0"/>
      <dgm:spPr/>
    </dgm:pt>
    <dgm:pt modelId="{B9C4DF80-F38C-F64C-9AD7-38427A9E4720}" type="pres">
      <dgm:prSet presAssocID="{4BB3B423-9F32-6F41-9A1E-8CCFB4428733}" presName="level" presStyleLbl="node1" presStyleIdx="0" presStyleCnt="3">
        <dgm:presLayoutVars>
          <dgm:chMax val="1"/>
          <dgm:bulletEnabled val="1"/>
        </dgm:presLayoutVars>
      </dgm:prSet>
      <dgm:spPr/>
      <dgm:t>
        <a:bodyPr/>
        <a:lstStyle/>
        <a:p>
          <a:endParaRPr lang="en-GB"/>
        </a:p>
      </dgm:t>
    </dgm:pt>
    <dgm:pt modelId="{CFDF16B6-ED88-8645-9374-F1DC2CB33295}" type="pres">
      <dgm:prSet presAssocID="{4BB3B423-9F32-6F41-9A1E-8CCFB4428733}" presName="levelTx" presStyleLbl="revTx" presStyleIdx="0" presStyleCnt="0">
        <dgm:presLayoutVars>
          <dgm:chMax val="1"/>
          <dgm:bulletEnabled val="1"/>
        </dgm:presLayoutVars>
      </dgm:prSet>
      <dgm:spPr/>
      <dgm:t>
        <a:bodyPr/>
        <a:lstStyle/>
        <a:p>
          <a:endParaRPr lang="en-GB"/>
        </a:p>
      </dgm:t>
    </dgm:pt>
    <dgm:pt modelId="{F467F3D4-3894-2C43-BFBE-1B35F601BDA8}" type="pres">
      <dgm:prSet presAssocID="{3D9E56C2-FCB8-4347-9181-E3D3AC347F91}" presName="Name8" presStyleCnt="0"/>
      <dgm:spPr/>
    </dgm:pt>
    <dgm:pt modelId="{236988D6-05D2-BB42-BBBB-FB5D09189D3A}" type="pres">
      <dgm:prSet presAssocID="{3D9E56C2-FCB8-4347-9181-E3D3AC347F91}" presName="level" presStyleLbl="node1" presStyleIdx="1" presStyleCnt="3">
        <dgm:presLayoutVars>
          <dgm:chMax val="1"/>
          <dgm:bulletEnabled val="1"/>
        </dgm:presLayoutVars>
      </dgm:prSet>
      <dgm:spPr/>
      <dgm:t>
        <a:bodyPr/>
        <a:lstStyle/>
        <a:p>
          <a:endParaRPr lang="en-GB"/>
        </a:p>
      </dgm:t>
    </dgm:pt>
    <dgm:pt modelId="{27305902-15B1-8646-B937-C360127B652E}" type="pres">
      <dgm:prSet presAssocID="{3D9E56C2-FCB8-4347-9181-E3D3AC347F91}" presName="levelTx" presStyleLbl="revTx" presStyleIdx="0" presStyleCnt="0">
        <dgm:presLayoutVars>
          <dgm:chMax val="1"/>
          <dgm:bulletEnabled val="1"/>
        </dgm:presLayoutVars>
      </dgm:prSet>
      <dgm:spPr/>
      <dgm:t>
        <a:bodyPr/>
        <a:lstStyle/>
        <a:p>
          <a:endParaRPr lang="en-GB"/>
        </a:p>
      </dgm:t>
    </dgm:pt>
    <dgm:pt modelId="{2DE3F918-B1CC-0B4D-9595-3ABDDE1846D0}" type="pres">
      <dgm:prSet presAssocID="{FEA9551F-E1ED-784D-A61F-B103173AC46C}" presName="Name8" presStyleCnt="0"/>
      <dgm:spPr/>
    </dgm:pt>
    <dgm:pt modelId="{E558E285-4834-CF4B-9C1C-FE9C911FDE02}" type="pres">
      <dgm:prSet presAssocID="{FEA9551F-E1ED-784D-A61F-B103173AC46C}" presName="level" presStyleLbl="node1" presStyleIdx="2" presStyleCnt="3">
        <dgm:presLayoutVars>
          <dgm:chMax val="1"/>
          <dgm:bulletEnabled val="1"/>
        </dgm:presLayoutVars>
      </dgm:prSet>
      <dgm:spPr/>
      <dgm:t>
        <a:bodyPr/>
        <a:lstStyle/>
        <a:p>
          <a:endParaRPr lang="en-GB"/>
        </a:p>
      </dgm:t>
    </dgm:pt>
    <dgm:pt modelId="{1C3E7528-B7CE-7D41-BABA-E50650E2E9E2}" type="pres">
      <dgm:prSet presAssocID="{FEA9551F-E1ED-784D-A61F-B103173AC46C}" presName="levelTx" presStyleLbl="revTx" presStyleIdx="0" presStyleCnt="0">
        <dgm:presLayoutVars>
          <dgm:chMax val="1"/>
          <dgm:bulletEnabled val="1"/>
        </dgm:presLayoutVars>
      </dgm:prSet>
      <dgm:spPr/>
      <dgm:t>
        <a:bodyPr/>
        <a:lstStyle/>
        <a:p>
          <a:endParaRPr lang="en-GB"/>
        </a:p>
      </dgm:t>
    </dgm:pt>
  </dgm:ptLst>
  <dgm:cxnLst>
    <dgm:cxn modelId="{C3294500-E93D-834C-8A61-52597384EDE7}" type="presOf" srcId="{FEA9551F-E1ED-784D-A61F-B103173AC46C}" destId="{E558E285-4834-CF4B-9C1C-FE9C911FDE02}" srcOrd="0" destOrd="0" presId="urn:microsoft.com/office/officeart/2005/8/layout/pyramid3"/>
    <dgm:cxn modelId="{DE3CDB0D-200F-5F4E-8EB9-4EE401214B53}" type="presOf" srcId="{3D9E56C2-FCB8-4347-9181-E3D3AC347F91}" destId="{236988D6-05D2-BB42-BBBB-FB5D09189D3A}" srcOrd="0" destOrd="0" presId="urn:microsoft.com/office/officeart/2005/8/layout/pyramid3"/>
    <dgm:cxn modelId="{1DBE7543-C906-9E43-96C0-7FA3DDC08E3E}" type="presOf" srcId="{4BB3B423-9F32-6F41-9A1E-8CCFB4428733}" destId="{B9C4DF80-F38C-F64C-9AD7-38427A9E4720}" srcOrd="0" destOrd="0" presId="urn:microsoft.com/office/officeart/2005/8/layout/pyramid3"/>
    <dgm:cxn modelId="{9E79D413-E10F-174A-BE13-19934A1BAC69}" type="presOf" srcId="{4BB3B423-9F32-6F41-9A1E-8CCFB4428733}" destId="{CFDF16B6-ED88-8645-9374-F1DC2CB33295}" srcOrd="1" destOrd="0" presId="urn:microsoft.com/office/officeart/2005/8/layout/pyramid3"/>
    <dgm:cxn modelId="{C283B67C-A769-0342-BABE-B0DFF66C2825}" type="presOf" srcId="{3D9E56C2-FCB8-4347-9181-E3D3AC347F91}" destId="{27305902-15B1-8646-B937-C360127B652E}" srcOrd="1" destOrd="0" presId="urn:microsoft.com/office/officeart/2005/8/layout/pyramid3"/>
    <dgm:cxn modelId="{D64559AE-C2F2-2A41-B4F9-95C0A5969408}" srcId="{BCC58E8B-F50C-C245-8DD7-9B2F61F7183F}" destId="{4BB3B423-9F32-6F41-9A1E-8CCFB4428733}" srcOrd="0" destOrd="0" parTransId="{60C46008-2A07-A147-A1CF-27723517BDBD}" sibTransId="{646131BB-B0E8-1D4B-80A5-E48574A043B2}"/>
    <dgm:cxn modelId="{7DE53020-8705-AD40-8AD6-DCE1873B7B62}" type="presOf" srcId="{BCC58E8B-F50C-C245-8DD7-9B2F61F7183F}" destId="{0187057C-B8EF-AB4F-BB3B-B57B93B628CC}" srcOrd="0" destOrd="0" presId="urn:microsoft.com/office/officeart/2005/8/layout/pyramid3"/>
    <dgm:cxn modelId="{965063F5-6FD4-4240-84B0-A484CF121716}" srcId="{BCC58E8B-F50C-C245-8DD7-9B2F61F7183F}" destId="{3D9E56C2-FCB8-4347-9181-E3D3AC347F91}" srcOrd="1" destOrd="0" parTransId="{BDD8A30E-BDB3-204E-8B57-4CDF264300CB}" sibTransId="{E06B91D4-D979-F341-947F-F00D6DCC3B63}"/>
    <dgm:cxn modelId="{A0592556-84E1-2948-93FC-84E8BF0E29A7}" type="presOf" srcId="{FEA9551F-E1ED-784D-A61F-B103173AC46C}" destId="{1C3E7528-B7CE-7D41-BABA-E50650E2E9E2}" srcOrd="1" destOrd="0" presId="urn:microsoft.com/office/officeart/2005/8/layout/pyramid3"/>
    <dgm:cxn modelId="{A380F099-0783-8D4A-B7C9-C1C8F7F6722C}" srcId="{BCC58E8B-F50C-C245-8DD7-9B2F61F7183F}" destId="{FEA9551F-E1ED-784D-A61F-B103173AC46C}" srcOrd="2" destOrd="0" parTransId="{7153708D-0E48-4742-9E1B-9C8C9DCAD6BC}" sibTransId="{14923A71-9032-B54B-ADE4-9C46149D6438}"/>
    <dgm:cxn modelId="{8035F7C7-0001-1044-98D1-DC273C41F8BC}" type="presParOf" srcId="{0187057C-B8EF-AB4F-BB3B-B57B93B628CC}" destId="{237B21F2-84EB-0446-B332-6292917D38AC}" srcOrd="0" destOrd="0" presId="urn:microsoft.com/office/officeart/2005/8/layout/pyramid3"/>
    <dgm:cxn modelId="{D198498B-BD06-2F4F-89DE-C0F5DDDB33DF}" type="presParOf" srcId="{237B21F2-84EB-0446-B332-6292917D38AC}" destId="{B9C4DF80-F38C-F64C-9AD7-38427A9E4720}" srcOrd="0" destOrd="0" presId="urn:microsoft.com/office/officeart/2005/8/layout/pyramid3"/>
    <dgm:cxn modelId="{1A37E710-EA66-A94F-B222-FC3AEBC13DCB}" type="presParOf" srcId="{237B21F2-84EB-0446-B332-6292917D38AC}" destId="{CFDF16B6-ED88-8645-9374-F1DC2CB33295}" srcOrd="1" destOrd="0" presId="urn:microsoft.com/office/officeart/2005/8/layout/pyramid3"/>
    <dgm:cxn modelId="{7359C5FE-126E-C140-81E0-68AE29F9DB12}" type="presParOf" srcId="{0187057C-B8EF-AB4F-BB3B-B57B93B628CC}" destId="{F467F3D4-3894-2C43-BFBE-1B35F601BDA8}" srcOrd="1" destOrd="0" presId="urn:microsoft.com/office/officeart/2005/8/layout/pyramid3"/>
    <dgm:cxn modelId="{635D2FC6-7FAB-9B41-80B0-2737E1DAEE19}" type="presParOf" srcId="{F467F3D4-3894-2C43-BFBE-1B35F601BDA8}" destId="{236988D6-05D2-BB42-BBBB-FB5D09189D3A}" srcOrd="0" destOrd="0" presId="urn:microsoft.com/office/officeart/2005/8/layout/pyramid3"/>
    <dgm:cxn modelId="{E3B2838E-749C-754B-A5DA-0B65766CC3A0}" type="presParOf" srcId="{F467F3D4-3894-2C43-BFBE-1B35F601BDA8}" destId="{27305902-15B1-8646-B937-C360127B652E}" srcOrd="1" destOrd="0" presId="urn:microsoft.com/office/officeart/2005/8/layout/pyramid3"/>
    <dgm:cxn modelId="{9BD23767-B39F-9B46-A73D-ADB7BE8BF409}" type="presParOf" srcId="{0187057C-B8EF-AB4F-BB3B-B57B93B628CC}" destId="{2DE3F918-B1CC-0B4D-9595-3ABDDE1846D0}" srcOrd="2" destOrd="0" presId="urn:microsoft.com/office/officeart/2005/8/layout/pyramid3"/>
    <dgm:cxn modelId="{06742FE7-5E5B-2149-9FA1-42BFCBB64C54}" type="presParOf" srcId="{2DE3F918-B1CC-0B4D-9595-3ABDDE1846D0}" destId="{E558E285-4834-CF4B-9C1C-FE9C911FDE02}" srcOrd="0" destOrd="0" presId="urn:microsoft.com/office/officeart/2005/8/layout/pyramid3"/>
    <dgm:cxn modelId="{01ACDC56-5387-0741-B874-53DAB16C59C2}" type="presParOf" srcId="{2DE3F918-B1CC-0B4D-9595-3ABDDE1846D0}" destId="{1C3E7528-B7CE-7D41-BABA-E50650E2E9E2}" srcOrd="1" destOrd="0" presId="urn:microsoft.com/office/officeart/2005/8/layout/pyramid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C4DF80-F38C-F64C-9AD7-38427A9E4720}">
      <dsp:nvSpPr>
        <dsp:cNvPr id="0" name=""/>
        <dsp:cNvSpPr/>
      </dsp:nvSpPr>
      <dsp:spPr>
        <a:xfrm rot="10800000">
          <a:off x="0" y="0"/>
          <a:ext cx="5274310" cy="924107"/>
        </a:xfrm>
        <a:prstGeom prst="trapezoid">
          <a:avLst>
            <a:gd name="adj" fmla="val 95124"/>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1200150">
            <a:lnSpc>
              <a:spcPct val="90000"/>
            </a:lnSpc>
            <a:spcBef>
              <a:spcPct val="0"/>
            </a:spcBef>
            <a:spcAft>
              <a:spcPct val="35000"/>
            </a:spcAft>
          </a:pPr>
          <a:r>
            <a:rPr lang="en-GB" sz="2700" kern="1200"/>
            <a:t>Starptautiskā (ISO, IEC)</a:t>
          </a:r>
        </a:p>
      </dsp:txBody>
      <dsp:txXfrm rot="-10800000">
        <a:off x="923004" y="0"/>
        <a:ext cx="3428301" cy="924107"/>
      </dsp:txXfrm>
    </dsp:sp>
    <dsp:sp modelId="{236988D6-05D2-BB42-BBBB-FB5D09189D3A}">
      <dsp:nvSpPr>
        <dsp:cNvPr id="0" name=""/>
        <dsp:cNvSpPr/>
      </dsp:nvSpPr>
      <dsp:spPr>
        <a:xfrm rot="10800000">
          <a:off x="879051" y="924107"/>
          <a:ext cx="3516206" cy="924107"/>
        </a:xfrm>
        <a:prstGeom prst="trapezoid">
          <a:avLst>
            <a:gd name="adj" fmla="val 95124"/>
          </a:avLst>
        </a:prstGeom>
        <a:solidFill>
          <a:schemeClr val="accent5">
            <a:hueOff val="-3676672"/>
            <a:satOff val="-5114"/>
            <a:lumOff val="-1961"/>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1200150">
            <a:lnSpc>
              <a:spcPct val="90000"/>
            </a:lnSpc>
            <a:spcBef>
              <a:spcPct val="0"/>
            </a:spcBef>
            <a:spcAft>
              <a:spcPct val="35000"/>
            </a:spcAft>
          </a:pPr>
          <a:r>
            <a:rPr lang="en-GB" sz="2700" kern="1200"/>
            <a:t>Reģionālā (CEN, CENELEC, ETSI)</a:t>
          </a:r>
        </a:p>
      </dsp:txBody>
      <dsp:txXfrm rot="-10800000">
        <a:off x="1494387" y="924107"/>
        <a:ext cx="2285534" cy="924107"/>
      </dsp:txXfrm>
    </dsp:sp>
    <dsp:sp modelId="{E558E285-4834-CF4B-9C1C-FE9C911FDE02}">
      <dsp:nvSpPr>
        <dsp:cNvPr id="0" name=""/>
        <dsp:cNvSpPr/>
      </dsp:nvSpPr>
      <dsp:spPr>
        <a:xfrm rot="10800000">
          <a:off x="1758103" y="1848214"/>
          <a:ext cx="1758103" cy="924107"/>
        </a:xfrm>
        <a:prstGeom prst="trapezoid">
          <a:avLst>
            <a:gd name="adj" fmla="val 95124"/>
          </a:avLst>
        </a:prstGeom>
        <a:solidFill>
          <a:schemeClr val="accent5">
            <a:hueOff val="-7353344"/>
            <a:satOff val="-10228"/>
            <a:lumOff val="-3922"/>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1200150">
            <a:lnSpc>
              <a:spcPct val="90000"/>
            </a:lnSpc>
            <a:spcBef>
              <a:spcPct val="0"/>
            </a:spcBef>
            <a:spcAft>
              <a:spcPct val="35000"/>
            </a:spcAft>
          </a:pPr>
          <a:r>
            <a:rPr lang="en-GB" sz="2700" kern="1200"/>
            <a:t>Nacionālā (LVS)</a:t>
          </a:r>
        </a:p>
      </dsp:txBody>
      <dsp:txXfrm rot="-10800000">
        <a:off x="1758103" y="1848214"/>
        <a:ext cx="1758103" cy="924107"/>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7F5FDFC-9C1A-194B-A974-F1EBCF01D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5328</Words>
  <Characters>39535</Characters>
  <Application>Microsoft Macintosh Word</Application>
  <DocSecurity>0</DocSecurity>
  <Lines>760</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Valdis Lipskis</dc:creator>
  <cp:lastModifiedBy>Edijs Šaicāns</cp:lastModifiedBy>
  <cp:revision>3</cp:revision>
  <dcterms:created xsi:type="dcterms:W3CDTF">2017-03-21T09:12:00Z</dcterms:created>
  <dcterms:modified xsi:type="dcterms:W3CDTF">2017-03-21T09:17:00Z</dcterms:modified>
</cp:coreProperties>
</file>