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9983" w14:textId="77777777" w:rsidR="00953126" w:rsidRPr="008D2F8B" w:rsidRDefault="00D14598" w:rsidP="00953126">
      <w:pPr>
        <w:ind w:firstLine="720"/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8D2F8B">
        <w:rPr>
          <w:b/>
          <w:sz w:val="28"/>
          <w:szCs w:val="28"/>
          <w:lang w:val="lv-LV"/>
        </w:rPr>
        <w:t>M</w:t>
      </w:r>
      <w:r w:rsidR="00953126" w:rsidRPr="008D2F8B">
        <w:rPr>
          <w:b/>
          <w:sz w:val="28"/>
          <w:szCs w:val="28"/>
          <w:lang w:val="lv-LV"/>
        </w:rPr>
        <w:t>inistru kabineta noteikum</w:t>
      </w:r>
      <w:r w:rsidR="00877C4B" w:rsidRPr="008D2F8B">
        <w:rPr>
          <w:b/>
          <w:sz w:val="28"/>
          <w:szCs w:val="28"/>
          <w:lang w:val="lv-LV"/>
        </w:rPr>
        <w:t>u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5358E8" w:rsidRPr="008D2F8B">
        <w:rPr>
          <w:b/>
          <w:sz w:val="28"/>
          <w:szCs w:val="28"/>
          <w:lang w:val="lv-LV"/>
        </w:rPr>
        <w:t>projekta</w:t>
      </w:r>
      <w:r w:rsidR="00953126" w:rsidRPr="008D2F8B">
        <w:rPr>
          <w:b/>
          <w:sz w:val="28"/>
          <w:szCs w:val="28"/>
          <w:lang w:val="lv-LV"/>
        </w:rPr>
        <w:t xml:space="preserve"> </w:t>
      </w:r>
    </w:p>
    <w:p w14:paraId="6041EB7D" w14:textId="1DCEAD4F" w:rsidR="00CB1045" w:rsidRPr="008D2F8B" w:rsidRDefault="00FA347E" w:rsidP="00953126">
      <w:pPr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“Grozījumi Ministru kabineta 2015.gada 30.jūnija noteikumos Nr.333 “</w:t>
      </w:r>
      <w:r w:rsidR="00C506A5" w:rsidRPr="008D2F8B">
        <w:rPr>
          <w:b/>
          <w:sz w:val="28"/>
          <w:szCs w:val="28"/>
          <w:lang w:val="lv-LV"/>
        </w:rPr>
        <w:t>Noteikumi p</w:t>
      </w:r>
      <w:r w:rsidR="00C656F8" w:rsidRPr="008D2F8B">
        <w:rPr>
          <w:b/>
          <w:sz w:val="28"/>
          <w:szCs w:val="28"/>
          <w:lang w:val="lv-LV"/>
        </w:rPr>
        <w:t>ar Latvijas būvnormatīvu LBN </w:t>
      </w:r>
      <w:r w:rsidR="000715F6">
        <w:rPr>
          <w:b/>
          <w:sz w:val="28"/>
          <w:szCs w:val="28"/>
          <w:lang w:val="lv-LV"/>
        </w:rPr>
        <w:t>2</w:t>
      </w:r>
      <w:r w:rsidR="00E27FA5">
        <w:rPr>
          <w:b/>
          <w:sz w:val="28"/>
          <w:szCs w:val="28"/>
          <w:lang w:val="lv-LV"/>
        </w:rPr>
        <w:t>0</w:t>
      </w:r>
      <w:r w:rsidR="00A71C5B">
        <w:rPr>
          <w:b/>
          <w:sz w:val="28"/>
          <w:szCs w:val="28"/>
          <w:lang w:val="lv-LV"/>
        </w:rPr>
        <w:t>1</w:t>
      </w:r>
      <w:r w:rsidR="00953126" w:rsidRPr="008D2F8B">
        <w:rPr>
          <w:b/>
          <w:sz w:val="28"/>
          <w:szCs w:val="28"/>
          <w:lang w:val="lv-LV"/>
        </w:rPr>
        <w:t>-</w:t>
      </w:r>
      <w:r w:rsidR="00EC00BF" w:rsidRPr="008D2F8B">
        <w:rPr>
          <w:b/>
          <w:sz w:val="28"/>
          <w:szCs w:val="28"/>
          <w:lang w:val="lv-LV"/>
        </w:rPr>
        <w:t>1</w:t>
      </w:r>
      <w:r w:rsidR="000C0C4F" w:rsidRPr="008D2F8B">
        <w:rPr>
          <w:b/>
          <w:sz w:val="28"/>
          <w:szCs w:val="28"/>
          <w:lang w:val="lv-LV"/>
        </w:rPr>
        <w:t>5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“</w:t>
      </w:r>
      <w:r w:rsidR="00A71C5B">
        <w:rPr>
          <w:b/>
          <w:sz w:val="28"/>
          <w:szCs w:val="28"/>
          <w:lang w:val="lv-LV"/>
        </w:rPr>
        <w:t>Būvju ugunsdrošība</w:t>
      </w:r>
      <w:r w:rsidR="000C0C4F" w:rsidRPr="008D2F8B">
        <w:rPr>
          <w:b/>
          <w:sz w:val="28"/>
          <w:szCs w:val="28"/>
          <w:lang w:val="lv-LV"/>
        </w:rPr>
        <w:t>”</w:t>
      </w:r>
      <w:r w:rsidR="00877C4B" w:rsidRPr="008D2F8B">
        <w:rPr>
          <w:b/>
          <w:sz w:val="28"/>
          <w:szCs w:val="28"/>
          <w:lang w:val="lv-LV"/>
        </w:rPr>
        <w:t>”</w:t>
      </w:r>
      <w:r>
        <w:rPr>
          <w:b/>
          <w:sz w:val="28"/>
          <w:szCs w:val="28"/>
          <w:lang w:val="lv-LV"/>
        </w:rPr>
        <w:t>”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CB1045" w:rsidRPr="008D2F8B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CB1045" w:rsidRPr="008D2F8B">
          <w:rPr>
            <w:b/>
            <w:sz w:val="28"/>
            <w:szCs w:val="28"/>
            <w:lang w:val="lv-LV"/>
          </w:rPr>
          <w:t>ziņojums</w:t>
        </w:r>
      </w:smartTag>
      <w:r w:rsidR="00CB1045" w:rsidRPr="008D2F8B">
        <w:rPr>
          <w:b/>
          <w:sz w:val="28"/>
          <w:szCs w:val="28"/>
          <w:lang w:val="lv-LV"/>
        </w:rPr>
        <w:t xml:space="preserve"> (</w:t>
      </w:r>
      <w:r w:rsidR="00CB1045" w:rsidRPr="008D2F8B">
        <w:rPr>
          <w:b/>
          <w:bCs/>
          <w:sz w:val="28"/>
          <w:szCs w:val="28"/>
          <w:lang w:val="lv-LV"/>
        </w:rPr>
        <w:t>anotācija)</w:t>
      </w:r>
      <w:bookmarkEnd w:id="0"/>
      <w:bookmarkEnd w:id="1"/>
      <w:bookmarkEnd w:id="2"/>
      <w:bookmarkEnd w:id="3"/>
      <w:bookmarkEnd w:id="4"/>
    </w:p>
    <w:p w14:paraId="5BF3FD64" w14:textId="77777777" w:rsidR="00CB1045" w:rsidRPr="008D2F8B" w:rsidRDefault="00CB1045" w:rsidP="00CB1045">
      <w:pPr>
        <w:tabs>
          <w:tab w:val="left" w:pos="7230"/>
        </w:tabs>
        <w:rPr>
          <w:sz w:val="28"/>
          <w:szCs w:val="28"/>
          <w:lang w:val="lv-LV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52"/>
        <w:gridCol w:w="25"/>
        <w:gridCol w:w="5361"/>
      </w:tblGrid>
      <w:tr w:rsidR="00CB1045" w:rsidRPr="008D2F8B" w14:paraId="2D0109C9" w14:textId="77777777" w:rsidTr="00B96DF3">
        <w:tc>
          <w:tcPr>
            <w:tcW w:w="9062" w:type="dxa"/>
            <w:gridSpan w:val="4"/>
            <w:vAlign w:val="center"/>
          </w:tcPr>
          <w:p w14:paraId="3A4CBD25" w14:textId="3D5FB90B" w:rsidR="00CB1045" w:rsidRPr="008D2F8B" w:rsidRDefault="00CB1045" w:rsidP="006046DF">
            <w:pPr>
              <w:jc w:val="center"/>
              <w:rPr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I.</w:t>
            </w:r>
            <w:r w:rsidR="006046DF">
              <w:rPr>
                <w:b/>
                <w:sz w:val="28"/>
                <w:szCs w:val="28"/>
                <w:lang w:val="lv-LV"/>
              </w:rPr>
              <w:t> </w:t>
            </w:r>
            <w:r w:rsidRPr="008D2F8B">
              <w:rPr>
                <w:b/>
                <w:sz w:val="28"/>
                <w:szCs w:val="28"/>
                <w:lang w:val="lv-LV"/>
              </w:rPr>
              <w:t>Tiesību akta projekta izstrādes nepieciešamība</w:t>
            </w:r>
          </w:p>
        </w:tc>
      </w:tr>
      <w:tr w:rsidR="00CB1045" w:rsidRPr="008D2F8B" w14:paraId="6A3D7556" w14:textId="77777777" w:rsidTr="00B96DF3">
        <w:trPr>
          <w:trHeight w:val="439"/>
        </w:trPr>
        <w:tc>
          <w:tcPr>
            <w:tcW w:w="524" w:type="dxa"/>
          </w:tcPr>
          <w:p w14:paraId="1BE13997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77" w:type="dxa"/>
            <w:gridSpan w:val="2"/>
          </w:tcPr>
          <w:p w14:paraId="2A6B19F8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361" w:type="dxa"/>
          </w:tcPr>
          <w:p w14:paraId="69CFF6D7" w14:textId="6DC106BC" w:rsidR="00CB1045" w:rsidRPr="008D2F8B" w:rsidRDefault="00877C4B" w:rsidP="00E943FB">
            <w:pPr>
              <w:ind w:left="66" w:right="140"/>
              <w:jc w:val="both"/>
              <w:rPr>
                <w:sz w:val="28"/>
                <w:szCs w:val="28"/>
              </w:rPr>
            </w:pP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Ministru kabineta </w:t>
            </w:r>
            <w:r w:rsidR="00665D97" w:rsidRPr="008D2F8B">
              <w:rPr>
                <w:rFonts w:eastAsia="SimSun"/>
                <w:sz w:val="28"/>
                <w:szCs w:val="28"/>
                <w:lang w:val="lv-LV" w:eastAsia="zh-CN"/>
              </w:rPr>
              <w:t>noteikumu</w:t>
            </w:r>
            <w:r w:rsidR="00FA347E">
              <w:rPr>
                <w:rFonts w:eastAsia="SimSun"/>
                <w:sz w:val="28"/>
                <w:szCs w:val="28"/>
                <w:lang w:val="lv-LV" w:eastAsia="zh-CN"/>
              </w:rPr>
              <w:t xml:space="preserve"> projekts “Grozījumi Ministru kabineta 2015.gada 30.jūnija noteikumos Nr.333 “</w:t>
            </w:r>
            <w:r w:rsidR="00C506A5" w:rsidRPr="008D2F8B">
              <w:rPr>
                <w:rFonts w:eastAsia="SimSun"/>
                <w:sz w:val="28"/>
                <w:szCs w:val="28"/>
                <w:lang w:val="lv-LV" w:eastAsia="zh-CN"/>
              </w:rPr>
              <w:t>Noteikumi p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>ar Latvijas būvnormatīvu LBN </w:t>
            </w:r>
            <w:r w:rsidR="005255DB">
              <w:rPr>
                <w:rFonts w:eastAsia="SimSun"/>
                <w:sz w:val="28"/>
                <w:szCs w:val="28"/>
                <w:lang w:val="lv-LV" w:eastAsia="zh-CN"/>
              </w:rPr>
              <w:t>20</w:t>
            </w:r>
            <w:r w:rsidR="003C502B">
              <w:rPr>
                <w:rFonts w:eastAsia="SimSun"/>
                <w:sz w:val="28"/>
                <w:szCs w:val="28"/>
                <w:lang w:val="lv-LV" w:eastAsia="zh-CN"/>
              </w:rPr>
              <w:t>1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-1</w:t>
            </w:r>
            <w:r w:rsidR="000C0C4F" w:rsidRPr="008D2F8B">
              <w:rPr>
                <w:rFonts w:eastAsia="SimSun"/>
                <w:sz w:val="28"/>
                <w:szCs w:val="28"/>
                <w:lang w:val="lv-LV" w:eastAsia="zh-CN"/>
              </w:rPr>
              <w:t>5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FA347E">
              <w:rPr>
                <w:rFonts w:eastAsia="SimSun"/>
                <w:sz w:val="28"/>
                <w:szCs w:val="28"/>
                <w:lang w:val="lv-LV" w:eastAsia="zh-CN"/>
              </w:rPr>
              <w:t>“</w:t>
            </w:r>
            <w:r w:rsidR="003C502B">
              <w:rPr>
                <w:rFonts w:eastAsia="SimSun"/>
                <w:sz w:val="28"/>
                <w:szCs w:val="28"/>
                <w:lang w:val="lv-LV" w:eastAsia="zh-CN"/>
              </w:rPr>
              <w:t>Būvju ugunsdrošība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”” (turpmāk 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– 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noteikumu projekts) tiek izdots saskaņā ar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Būvniecības likuma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5.panta pirmās daļas 3.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p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unkt</w:t>
            </w:r>
            <w:r w:rsidR="00E943FB">
              <w:rPr>
                <w:rFonts w:eastAsia="SimSun"/>
                <w:sz w:val="28"/>
                <w:szCs w:val="28"/>
                <w:lang w:val="lv-LV" w:eastAsia="zh-CN"/>
              </w:rPr>
              <w:t>u.</w:t>
            </w:r>
          </w:p>
        </w:tc>
      </w:tr>
      <w:tr w:rsidR="00CB1045" w:rsidRPr="008D2F8B" w14:paraId="2BB14D45" w14:textId="77777777" w:rsidTr="00495332">
        <w:trPr>
          <w:trHeight w:val="410"/>
        </w:trPr>
        <w:tc>
          <w:tcPr>
            <w:tcW w:w="524" w:type="dxa"/>
          </w:tcPr>
          <w:p w14:paraId="52CB5F46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3152" w:type="dxa"/>
          </w:tcPr>
          <w:p w14:paraId="5F12E402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Pašreizējā situācija un problēmas</w:t>
            </w:r>
            <w:r w:rsidR="003444A9" w:rsidRPr="008D2F8B">
              <w:rPr>
                <w:sz w:val="28"/>
                <w:szCs w:val="28"/>
                <w:lang w:val="lv-LV"/>
              </w:rPr>
              <w:t xml:space="preserve"> kuru risināšanai tiesību akta projekts izstrādāts, tiesiskā regulējuma mērķis un būtība</w:t>
            </w:r>
          </w:p>
        </w:tc>
        <w:tc>
          <w:tcPr>
            <w:tcW w:w="5386" w:type="dxa"/>
            <w:gridSpan w:val="2"/>
          </w:tcPr>
          <w:p w14:paraId="35A11704" w14:textId="4E0394D7" w:rsidR="007C5402" w:rsidRDefault="007C5402" w:rsidP="007C540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7865FA">
              <w:rPr>
                <w:sz w:val="28"/>
                <w:szCs w:val="28"/>
              </w:rPr>
              <w:t xml:space="preserve">Pašreiz </w:t>
            </w:r>
            <w:r w:rsidR="007865FA" w:rsidRPr="007865FA">
              <w:rPr>
                <w:sz w:val="28"/>
                <w:szCs w:val="28"/>
              </w:rPr>
              <w:t>Ministru kabineta 2015.gada 30.jūnija noteikumi Nr.333 “Noteikumi par Latvijas būvnormatīvu LBN 201-15 “Būvju ugunsdrošība”” atļauj</w:t>
            </w:r>
            <w:r w:rsidRPr="007865FA">
              <w:rPr>
                <w:sz w:val="28"/>
                <w:szCs w:val="28"/>
              </w:rPr>
              <w:t xml:space="preserve"> projektēt</w:t>
            </w:r>
            <w:r w:rsidR="007865FA" w:rsidRPr="007865FA">
              <w:rPr>
                <w:sz w:val="28"/>
                <w:szCs w:val="28"/>
              </w:rPr>
              <w:t xml:space="preserve"> (būvēt)</w:t>
            </w:r>
            <w:r w:rsidRPr="007865FA">
              <w:rPr>
                <w:sz w:val="28"/>
                <w:szCs w:val="28"/>
              </w:rPr>
              <w:t xml:space="preserve"> koka nesošas ēku konstrukcijas un karkasa kolonnas līdz 8 metriem (3 stāvu augstumam). Savukārt</w:t>
            </w:r>
            <w:r w:rsidR="007865FA" w:rsidRPr="007865FA">
              <w:rPr>
                <w:sz w:val="28"/>
                <w:szCs w:val="28"/>
              </w:rPr>
              <w:t xml:space="preserve"> V</w:t>
            </w:r>
            <w:r w:rsidR="004B28F2">
              <w:rPr>
                <w:sz w:val="28"/>
                <w:szCs w:val="28"/>
              </w:rPr>
              <w:t> </w:t>
            </w:r>
            <w:r w:rsidR="007865FA" w:rsidRPr="007865FA">
              <w:rPr>
                <w:sz w:val="28"/>
                <w:szCs w:val="28"/>
              </w:rPr>
              <w:t>lietošanas veida būvēs (piemēram,</w:t>
            </w:r>
            <w:r w:rsidRPr="007865FA">
              <w:rPr>
                <w:sz w:val="28"/>
                <w:szCs w:val="28"/>
              </w:rPr>
              <w:t xml:space="preserve"> </w:t>
            </w:r>
            <w:r w:rsidR="007865FA" w:rsidRPr="007865FA">
              <w:rPr>
                <w:sz w:val="28"/>
                <w:szCs w:val="28"/>
              </w:rPr>
              <w:t>administratīvās ēka</w:t>
            </w:r>
            <w:r w:rsidRPr="007865FA">
              <w:rPr>
                <w:sz w:val="28"/>
                <w:szCs w:val="28"/>
              </w:rPr>
              <w:t>s, arhīvus, bankas, biroju ēkas, glābšanas dienestu būves, universitāšu un augstskolu mācību ēkas, zinātnes un pētniecības iestāžu ēkas</w:t>
            </w:r>
            <w:r w:rsidR="007865FA" w:rsidRPr="007865FA">
              <w:rPr>
                <w:sz w:val="28"/>
                <w:szCs w:val="28"/>
              </w:rPr>
              <w:t>),</w:t>
            </w:r>
            <w:r w:rsidRPr="007865FA">
              <w:rPr>
                <w:sz w:val="28"/>
                <w:szCs w:val="28"/>
              </w:rPr>
              <w:t xml:space="preserve"> </w:t>
            </w:r>
            <w:r w:rsidR="007865FA" w:rsidRPr="007865FA">
              <w:rPr>
                <w:sz w:val="28"/>
                <w:szCs w:val="28"/>
              </w:rPr>
              <w:t xml:space="preserve">kuru augstākā stāva grīdas līmenis ir no </w:t>
            </w:r>
            <w:r w:rsidRPr="007865FA">
              <w:rPr>
                <w:sz w:val="28"/>
                <w:szCs w:val="28"/>
              </w:rPr>
              <w:t>8 līdz 14 metriem</w:t>
            </w:r>
            <w:r w:rsidR="007865FA" w:rsidRPr="007865FA">
              <w:rPr>
                <w:sz w:val="28"/>
                <w:szCs w:val="28"/>
              </w:rPr>
              <w:t xml:space="preserve"> (5 stāvu augstumam)</w:t>
            </w:r>
            <w:r w:rsidRPr="007865FA">
              <w:rPr>
                <w:sz w:val="28"/>
                <w:szCs w:val="28"/>
              </w:rPr>
              <w:t xml:space="preserve">, atļauts samazināt nesošo sienu un karkasa kolonnu </w:t>
            </w:r>
            <w:proofErr w:type="spellStart"/>
            <w:r w:rsidRPr="007865FA">
              <w:rPr>
                <w:sz w:val="28"/>
                <w:szCs w:val="28"/>
              </w:rPr>
              <w:t>ugunsre</w:t>
            </w:r>
            <w:r w:rsidR="00FE5DC7">
              <w:rPr>
                <w:sz w:val="28"/>
                <w:szCs w:val="28"/>
              </w:rPr>
              <w:t>akcijas</w:t>
            </w:r>
            <w:proofErr w:type="spellEnd"/>
            <w:r w:rsidR="00FE5DC7">
              <w:rPr>
                <w:sz w:val="28"/>
                <w:szCs w:val="28"/>
              </w:rPr>
              <w:t xml:space="preserve"> klasi līdz B-s1, d0, ja ir nodrošināti papildus kompensējoši pasākumi, piemēram, ir vismaz divas evakuācijas izejas, </w:t>
            </w:r>
            <w:r w:rsidRPr="007865FA">
              <w:rPr>
                <w:sz w:val="28"/>
                <w:szCs w:val="28"/>
              </w:rPr>
              <w:t>katrā telpā, kurā pastāvīgi var uzturēties cilvēki, ir paredzēta atverama aila, kura sasniedzama ar ugunsdzēsības</w:t>
            </w:r>
            <w:r w:rsidR="00FE5DC7">
              <w:rPr>
                <w:sz w:val="28"/>
                <w:szCs w:val="28"/>
              </w:rPr>
              <w:t xml:space="preserve"> glābšanas tehniku (</w:t>
            </w:r>
            <w:proofErr w:type="spellStart"/>
            <w:r w:rsidR="00FE5DC7">
              <w:rPr>
                <w:sz w:val="28"/>
                <w:szCs w:val="28"/>
              </w:rPr>
              <w:t>autokāpnēm</w:t>
            </w:r>
            <w:proofErr w:type="spellEnd"/>
            <w:r w:rsidR="00FE5DC7">
              <w:rPr>
                <w:sz w:val="28"/>
                <w:szCs w:val="28"/>
              </w:rPr>
              <w:t xml:space="preserve">), kā arī </w:t>
            </w:r>
            <w:r w:rsidRPr="00FE5DC7">
              <w:rPr>
                <w:sz w:val="28"/>
                <w:szCs w:val="28"/>
              </w:rPr>
              <w:t>visas telpas aprīko</w:t>
            </w:r>
            <w:r w:rsidR="00FE5DC7">
              <w:rPr>
                <w:sz w:val="28"/>
                <w:szCs w:val="28"/>
              </w:rPr>
              <w:t>tas</w:t>
            </w:r>
            <w:r w:rsidRPr="00FE5DC7">
              <w:rPr>
                <w:sz w:val="28"/>
                <w:szCs w:val="28"/>
              </w:rPr>
              <w:t xml:space="preserve"> ar automātiskām ugunsdzēsības sistēmām (</w:t>
            </w:r>
            <w:proofErr w:type="spellStart"/>
            <w:r w:rsidRPr="00FE5DC7">
              <w:rPr>
                <w:sz w:val="28"/>
                <w:szCs w:val="28"/>
              </w:rPr>
              <w:t>sprinkleriem</w:t>
            </w:r>
            <w:proofErr w:type="spellEnd"/>
            <w:r w:rsidRPr="00FE5DC7">
              <w:rPr>
                <w:sz w:val="28"/>
                <w:szCs w:val="28"/>
              </w:rPr>
              <w:t>).</w:t>
            </w:r>
          </w:p>
          <w:p w14:paraId="0E7AA8F0" w14:textId="5674EC76" w:rsidR="00D86BD1" w:rsidRDefault="00D86BD1" w:rsidP="007C540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Pieņemot šādu tiesisko regulējumu tika panākta vienošanās</w:t>
            </w:r>
            <w:r w:rsidR="004B28F2">
              <w:rPr>
                <w:sz w:val="28"/>
                <w:szCs w:val="28"/>
              </w:rPr>
              <w:t xml:space="preserve"> starp koksnes būvizstrādājumu</w:t>
            </w:r>
            <w:r>
              <w:rPr>
                <w:sz w:val="28"/>
                <w:szCs w:val="28"/>
              </w:rPr>
              <w:t xml:space="preserve"> ražotājiem un Valsts ugunsdzēsības un glābšanas dienestu, ka pēcāk tiks pārskatītas attiecīgās normas un</w:t>
            </w:r>
            <w:r w:rsidR="004B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iespējams</w:t>
            </w:r>
            <w:r w:rsidR="004B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paplašināts tiesiskais regulējums, paredzot koksnes</w:t>
            </w:r>
            <w:r w:rsidR="004B28F2">
              <w:rPr>
                <w:sz w:val="28"/>
                <w:szCs w:val="28"/>
              </w:rPr>
              <w:t xml:space="preserve"> būvizstrādājumu</w:t>
            </w:r>
            <w:r>
              <w:rPr>
                <w:sz w:val="28"/>
                <w:szCs w:val="28"/>
              </w:rPr>
              <w:t xml:space="preserve"> izmantošanu arī dzīvojamo ēku nesošajās konstrukcijās augstākām par 8 metriem.</w:t>
            </w:r>
          </w:p>
          <w:p w14:paraId="190F30DA" w14:textId="66B98E69" w:rsidR="00242803" w:rsidRDefault="00342858" w:rsidP="005C54D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Ievērojot, ka</w:t>
            </w:r>
            <w:r w:rsidR="00242803">
              <w:rPr>
                <w:sz w:val="28"/>
                <w:szCs w:val="28"/>
              </w:rPr>
              <w:t xml:space="preserve"> citās Eiropas valstīs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ēku būvniecībā </w:t>
            </w:r>
            <w:r w:rsidR="00242803">
              <w:rPr>
                <w:sz w:val="28"/>
                <w:szCs w:val="28"/>
              </w:rPr>
              <w:t>arvien vairāk tiek izmantot</w:t>
            </w:r>
            <w:r>
              <w:rPr>
                <w:sz w:val="28"/>
                <w:szCs w:val="28"/>
              </w:rPr>
              <w:t>s</w:t>
            </w:r>
            <w:r w:rsidR="00242803">
              <w:rPr>
                <w:sz w:val="28"/>
                <w:szCs w:val="28"/>
              </w:rPr>
              <w:t xml:space="preserve"> koks un koksnes būvizstrādājumi, ko arī parāda statistika – </w:t>
            </w:r>
            <w:r w:rsidR="005C54D9" w:rsidRPr="005C54D9">
              <w:rPr>
                <w:sz w:val="28"/>
                <w:szCs w:val="28"/>
              </w:rPr>
              <w:t xml:space="preserve">kokapstrādē ražošanas apjomi pēdējos gados turpina stabili augt (2016.gada </w:t>
            </w:r>
            <w:proofErr w:type="spellStart"/>
            <w:r w:rsidR="005C54D9" w:rsidRPr="005C54D9">
              <w:rPr>
                <w:sz w:val="28"/>
                <w:szCs w:val="28"/>
              </w:rPr>
              <w:t>astoņosmēnešos</w:t>
            </w:r>
            <w:proofErr w:type="spellEnd"/>
            <w:r w:rsidR="005C54D9" w:rsidRPr="005C54D9">
              <w:rPr>
                <w:sz w:val="28"/>
                <w:szCs w:val="28"/>
              </w:rPr>
              <w:t xml:space="preserve"> saražotās produkcijas apjomi bija pa</w:t>
            </w:r>
            <w:r w:rsidR="00B80354">
              <w:rPr>
                <w:sz w:val="28"/>
                <w:szCs w:val="28"/>
              </w:rPr>
              <w:t xml:space="preserve">r 7,8% lielāki nekā pirms gada), </w:t>
            </w:r>
            <w:r w:rsidR="00D90A43">
              <w:rPr>
                <w:sz w:val="28"/>
                <w:szCs w:val="28"/>
              </w:rPr>
              <w:t>nepieciešams</w:t>
            </w:r>
            <w:r w:rsidR="00B80354">
              <w:rPr>
                <w:sz w:val="28"/>
                <w:szCs w:val="28"/>
              </w:rPr>
              <w:t xml:space="preserve"> </w:t>
            </w:r>
            <w:r w:rsidR="007865FA" w:rsidRPr="005C54D9">
              <w:rPr>
                <w:sz w:val="28"/>
                <w:szCs w:val="28"/>
              </w:rPr>
              <w:t xml:space="preserve">pārskatīt </w:t>
            </w:r>
            <w:r>
              <w:rPr>
                <w:sz w:val="28"/>
                <w:szCs w:val="28"/>
              </w:rPr>
              <w:t>šo</w:t>
            </w:r>
            <w:r w:rsidR="004B28F2">
              <w:rPr>
                <w:sz w:val="28"/>
                <w:szCs w:val="28"/>
              </w:rPr>
              <w:t xml:space="preserve"> būvizstrādājumu</w:t>
            </w:r>
            <w:r w:rsidR="00B80354">
              <w:rPr>
                <w:sz w:val="28"/>
                <w:szCs w:val="28"/>
              </w:rPr>
              <w:t xml:space="preserve"> pielietojum</w:t>
            </w:r>
            <w:r>
              <w:rPr>
                <w:sz w:val="28"/>
                <w:szCs w:val="28"/>
              </w:rPr>
              <w:t>u</w:t>
            </w:r>
            <w:r w:rsidR="005C54D9" w:rsidRPr="005C54D9">
              <w:rPr>
                <w:sz w:val="28"/>
                <w:szCs w:val="28"/>
              </w:rPr>
              <w:t xml:space="preserve"> ēku</w:t>
            </w:r>
            <w:r w:rsidR="00B80354">
              <w:rPr>
                <w:sz w:val="28"/>
                <w:szCs w:val="28"/>
              </w:rPr>
              <w:t xml:space="preserve"> būvniecībā Latvijā.</w:t>
            </w:r>
          </w:p>
          <w:p w14:paraId="0AC9263D" w14:textId="2D10F8F0" w:rsidR="00242803" w:rsidRPr="00242803" w:rsidRDefault="00342858" w:rsidP="00B80354">
            <w:pPr>
              <w:pStyle w:val="naiskr"/>
              <w:spacing w:before="0" w:after="0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Ņemot vērā</w:t>
            </w:r>
            <w:r w:rsidR="00B80354">
              <w:rPr>
                <w:sz w:val="28"/>
                <w:szCs w:val="28"/>
              </w:rPr>
              <w:t xml:space="preserve"> </w:t>
            </w:r>
            <w:r w:rsidR="00B80354">
              <w:rPr>
                <w:sz w:val="28"/>
                <w:szCs w:val="28"/>
              </w:rPr>
              <w:t>citu valstu pieredzi</w:t>
            </w:r>
            <w:r w:rsidR="00B8035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piemēram, </w:t>
            </w:r>
            <w:r w:rsidR="00B80354">
              <w:rPr>
                <w:sz w:val="28"/>
                <w:szCs w:val="28"/>
              </w:rPr>
              <w:t>Vācija</w:t>
            </w:r>
            <w:r>
              <w:rPr>
                <w:sz w:val="28"/>
                <w:szCs w:val="28"/>
              </w:rPr>
              <w:t>s</w:t>
            </w:r>
            <w:r w:rsidR="00B80354">
              <w:rPr>
                <w:sz w:val="28"/>
                <w:szCs w:val="28"/>
              </w:rPr>
              <w:t>, Zviedrija</w:t>
            </w:r>
            <w:r>
              <w:rPr>
                <w:sz w:val="28"/>
                <w:szCs w:val="28"/>
              </w:rPr>
              <w:t>s</w:t>
            </w:r>
            <w:r w:rsidR="00B803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Somijas) </w:t>
            </w:r>
            <w:r w:rsidR="00B80354">
              <w:rPr>
                <w:sz w:val="28"/>
                <w:szCs w:val="28"/>
              </w:rPr>
              <w:t>šādu ēku būvniecībā</w:t>
            </w:r>
            <w:r>
              <w:rPr>
                <w:sz w:val="28"/>
                <w:szCs w:val="28"/>
              </w:rPr>
              <w:t>,</w:t>
            </w:r>
            <w:r w:rsidR="00B80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kurās koka ēkas </w:t>
            </w:r>
            <w:r w:rsidR="00513399">
              <w:rPr>
                <w:sz w:val="28"/>
                <w:szCs w:val="28"/>
              </w:rPr>
              <w:t xml:space="preserve">gan publiskas, gan dzīvojamās, </w:t>
            </w:r>
            <w:r>
              <w:rPr>
                <w:sz w:val="28"/>
                <w:szCs w:val="28"/>
              </w:rPr>
              <w:t>tiek būvētas augstākas par 8 </w:t>
            </w:r>
            <w:r w:rsidR="00E85846">
              <w:rPr>
                <w:sz w:val="28"/>
                <w:szCs w:val="28"/>
              </w:rPr>
              <w:t xml:space="preserve">metriem, </w:t>
            </w:r>
            <w:r w:rsidR="00251841">
              <w:rPr>
                <w:sz w:val="28"/>
                <w:szCs w:val="28"/>
              </w:rPr>
              <w:t>neierobežojot ēkas augstumu, bet nosakot citus risinājumus, kas nepieļauj</w:t>
            </w:r>
            <w:r w:rsidR="00E85846">
              <w:rPr>
                <w:sz w:val="28"/>
                <w:szCs w:val="28"/>
              </w:rPr>
              <w:t>, piemēram,</w:t>
            </w:r>
            <w:r w:rsidR="00251841">
              <w:rPr>
                <w:sz w:val="28"/>
                <w:szCs w:val="28"/>
              </w:rPr>
              <w:t xml:space="preserve"> </w:t>
            </w:r>
            <w:r w:rsidR="00E85846">
              <w:rPr>
                <w:sz w:val="28"/>
                <w:szCs w:val="28"/>
              </w:rPr>
              <w:t xml:space="preserve">koka </w:t>
            </w:r>
            <w:r w:rsidR="00251841">
              <w:rPr>
                <w:sz w:val="28"/>
                <w:szCs w:val="28"/>
              </w:rPr>
              <w:t>nesošās konstrukcijas aizdeg</w:t>
            </w:r>
            <w:r w:rsidR="00E85846">
              <w:rPr>
                <w:sz w:val="28"/>
                <w:szCs w:val="28"/>
              </w:rPr>
              <w:t>šanos</w:t>
            </w:r>
            <w:r w:rsidR="00251841">
              <w:rPr>
                <w:sz w:val="28"/>
                <w:szCs w:val="28"/>
              </w:rPr>
              <w:t xml:space="preserve"> un nodrošina savlaicīgu un drošu evakuāciju</w:t>
            </w:r>
            <w:r>
              <w:rPr>
                <w:sz w:val="28"/>
                <w:szCs w:val="28"/>
              </w:rPr>
              <w:t>,</w:t>
            </w:r>
            <w:r w:rsidR="009F0C76">
              <w:rPr>
                <w:sz w:val="28"/>
                <w:szCs w:val="28"/>
              </w:rPr>
              <w:t xml:space="preserve"> </w:t>
            </w:r>
            <w:r w:rsidR="00513399">
              <w:rPr>
                <w:sz w:val="28"/>
                <w:szCs w:val="28"/>
              </w:rPr>
              <w:t>kurās</w:t>
            </w:r>
            <w:r w:rsidR="009F0C76">
              <w:rPr>
                <w:sz w:val="28"/>
                <w:szCs w:val="28"/>
              </w:rPr>
              <w:t xml:space="preserve"> </w:t>
            </w:r>
            <w:r w:rsidR="00251841">
              <w:rPr>
                <w:sz w:val="28"/>
                <w:szCs w:val="28"/>
              </w:rPr>
              <w:t xml:space="preserve">arī </w:t>
            </w:r>
            <w:r w:rsidR="009F0C76">
              <w:rPr>
                <w:sz w:val="28"/>
                <w:szCs w:val="28"/>
              </w:rPr>
              <w:t xml:space="preserve">plaši </w:t>
            </w:r>
            <w:r w:rsidR="0052447E">
              <w:rPr>
                <w:sz w:val="28"/>
                <w:szCs w:val="28"/>
              </w:rPr>
              <w:t>tiek izmantots</w:t>
            </w:r>
            <w:r w:rsidR="009F0C76">
              <w:rPr>
                <w:sz w:val="28"/>
                <w:szCs w:val="28"/>
              </w:rPr>
              <w:t xml:space="preserve"> </w:t>
            </w:r>
            <w:proofErr w:type="spellStart"/>
            <w:r w:rsidR="009F0C76" w:rsidRPr="009F0C76">
              <w:rPr>
                <w:sz w:val="28"/>
                <w:szCs w:val="28"/>
              </w:rPr>
              <w:t>kapsulācijas</w:t>
            </w:r>
            <w:proofErr w:type="spellEnd"/>
            <w:r w:rsidR="009F0C76" w:rsidRPr="009F0C76">
              <w:rPr>
                <w:sz w:val="28"/>
                <w:szCs w:val="28"/>
              </w:rPr>
              <w:t xml:space="preserve"> princip</w:t>
            </w:r>
            <w:r w:rsidR="0052447E">
              <w:rPr>
                <w:sz w:val="28"/>
                <w:szCs w:val="28"/>
              </w:rPr>
              <w:t>s</w:t>
            </w:r>
            <w:r w:rsidR="009F0C76" w:rsidRPr="009F0C76">
              <w:rPr>
                <w:sz w:val="28"/>
                <w:szCs w:val="28"/>
              </w:rPr>
              <w:t xml:space="preserve">, kas nozīmē, ka koka nesošā konstrukcija </w:t>
            </w:r>
            <w:r w:rsidR="009F0C76" w:rsidRPr="009F0C76">
              <w:rPr>
                <w:sz w:val="28"/>
                <w:szCs w:val="28"/>
              </w:rPr>
              <w:t xml:space="preserve">noteiktu laiku </w:t>
            </w:r>
            <w:r w:rsidR="009F0C76" w:rsidRPr="009F0C76">
              <w:rPr>
                <w:sz w:val="28"/>
                <w:szCs w:val="28"/>
              </w:rPr>
              <w:t xml:space="preserve">ir aizsargāta pret aizdegšanos un pārogļošanos </w:t>
            </w:r>
            <w:r w:rsidR="009F0C76" w:rsidRPr="009F0C76">
              <w:rPr>
                <w:sz w:val="28"/>
                <w:szCs w:val="28"/>
              </w:rPr>
              <w:t>(</w:t>
            </w:r>
            <w:r w:rsidR="009F0C76" w:rsidRPr="009F0C76">
              <w:rPr>
                <w:bCs/>
                <w:sz w:val="28"/>
                <w:szCs w:val="28"/>
              </w:rPr>
              <w:t>u</w:t>
            </w:r>
            <w:r w:rsidR="009F0C76" w:rsidRPr="009F0C76">
              <w:rPr>
                <w:bCs/>
                <w:sz w:val="28"/>
                <w:szCs w:val="28"/>
              </w:rPr>
              <w:t>gunsaizsardzības spēja</w:t>
            </w:r>
            <w:r w:rsidR="009F0C76" w:rsidRPr="009F0C76">
              <w:rPr>
                <w:sz w:val="28"/>
                <w:szCs w:val="28"/>
              </w:rPr>
              <w:t xml:space="preserve"> „K”)</w:t>
            </w:r>
            <w:r w:rsidR="00513399">
              <w:rPr>
                <w:sz w:val="28"/>
                <w:szCs w:val="28"/>
              </w:rPr>
              <w:t>, n</w:t>
            </w:r>
            <w:r w:rsidR="00E943FB" w:rsidRPr="005C54D9">
              <w:rPr>
                <w:sz w:val="28"/>
                <w:szCs w:val="28"/>
              </w:rPr>
              <w:t xml:space="preserve">oteikumu projektā precizētas prasības, </w:t>
            </w:r>
            <w:r w:rsidR="007865FA" w:rsidRPr="005C54D9">
              <w:rPr>
                <w:sz w:val="28"/>
                <w:szCs w:val="28"/>
              </w:rPr>
              <w:t>paredzot, j</w:t>
            </w:r>
            <w:r w:rsidR="007865FA" w:rsidRPr="005C54D9">
              <w:rPr>
                <w:rFonts w:eastAsia="Calibri"/>
                <w:sz w:val="28"/>
                <w:szCs w:val="28"/>
                <w:lang w:eastAsia="en-US"/>
              </w:rPr>
              <w:t>a U3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spellStart"/>
            <w:r w:rsidR="007865FA" w:rsidRPr="005C54D9">
              <w:rPr>
                <w:rFonts w:eastAsia="Calibri"/>
                <w:sz w:val="28"/>
                <w:szCs w:val="28"/>
                <w:lang w:eastAsia="en-US"/>
              </w:rPr>
              <w:t>ugunsnoturības</w:t>
            </w:r>
            <w:proofErr w:type="spellEnd"/>
            <w:r w:rsidR="007865FA" w:rsidRPr="00FE5DC7">
              <w:rPr>
                <w:rFonts w:eastAsia="Calibri"/>
                <w:sz w:val="28"/>
                <w:szCs w:val="28"/>
                <w:lang w:eastAsia="en-US"/>
              </w:rPr>
              <w:t xml:space="preserve"> pakāpes 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dzīvojamo ēku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 (I lietošanas veids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viesnī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cu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, dienesta viesnīc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, hosteļ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u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, moteļ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u, viesu māju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, p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atversmju, sanatoriju, kempingu, atpūtas bāžu, atpūtas nometņu, citu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 xml:space="preserve"> atpūtas būv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ju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, kaz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armu, citas izmitināšanas būvju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 (II lietošanas veids</w:t>
            </w:r>
            <w:r w:rsidR="00FE5DC7" w:rsidRPr="00FE5DC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865FA" w:rsidRPr="00FE5DC7">
              <w:rPr>
                <w:rFonts w:eastAsia="Calibri"/>
                <w:sz w:val="28"/>
                <w:szCs w:val="28"/>
                <w:lang w:eastAsia="en-US"/>
              </w:rPr>
              <w:t xml:space="preserve"> un 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administratīvo ēku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, arhīv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u</w:t>
            </w:r>
            <w:r w:rsidR="009A2E1F" w:rsidRPr="009A2E1F">
              <w:rPr>
                <w:rFonts w:eastAsia="Calibri"/>
                <w:sz w:val="28"/>
                <w:szCs w:val="28"/>
                <w:lang w:eastAsia="en-US"/>
              </w:rPr>
              <w:t>, bank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u, biroju ēku</w:t>
            </w:r>
            <w:r w:rsidR="009A2E1F" w:rsidRPr="009A2E1F">
              <w:rPr>
                <w:rFonts w:eastAsia="Calibri"/>
                <w:sz w:val="28"/>
                <w:szCs w:val="28"/>
                <w:lang w:eastAsia="en-US"/>
              </w:rPr>
              <w:t>, glābšanas dienestu būves, univer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>sitāšu un augstskolu mācību ēku</w:t>
            </w:r>
            <w:r w:rsidR="009A2E1F" w:rsidRPr="009A2E1F">
              <w:rPr>
                <w:rFonts w:eastAsia="Calibri"/>
                <w:sz w:val="28"/>
                <w:szCs w:val="28"/>
                <w:lang w:eastAsia="en-US"/>
              </w:rPr>
              <w:t>, zin</w:t>
            </w:r>
            <w:r w:rsidR="00181A7F">
              <w:rPr>
                <w:rFonts w:eastAsia="Calibri"/>
                <w:sz w:val="28"/>
                <w:szCs w:val="28"/>
                <w:lang w:eastAsia="en-US"/>
              </w:rPr>
              <w:t xml:space="preserve">ātnes un pētniecības </w:t>
            </w:r>
            <w:r w:rsidR="00181A7F" w:rsidRPr="00181A7F">
              <w:rPr>
                <w:rFonts w:eastAsia="Calibri"/>
                <w:sz w:val="28"/>
                <w:szCs w:val="28"/>
                <w:lang w:eastAsia="en-US"/>
              </w:rPr>
              <w:t>iestāžu ēku</w:t>
            </w:r>
            <w:r w:rsidR="0052447E" w:rsidRPr="00181A7F">
              <w:rPr>
                <w:rFonts w:eastAsia="Calibri"/>
                <w:sz w:val="28"/>
                <w:szCs w:val="28"/>
                <w:lang w:eastAsia="en-US"/>
              </w:rPr>
              <w:t xml:space="preserve"> (V lietošanas veids</w:t>
            </w:r>
            <w:r w:rsidR="009A2E1F" w:rsidRPr="00181A7F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7865FA" w:rsidRPr="00181A7F">
              <w:rPr>
                <w:rFonts w:eastAsia="Calibri"/>
                <w:sz w:val="28"/>
                <w:szCs w:val="28"/>
                <w:lang w:eastAsia="en-US"/>
              </w:rPr>
              <w:t>būvkonstrukciju</w:t>
            </w:r>
            <w:r w:rsidR="00242803" w:rsidRPr="00181A7F">
              <w:rPr>
                <w:rFonts w:eastAsia="Calibri"/>
                <w:sz w:val="28"/>
                <w:szCs w:val="28"/>
                <w:lang w:eastAsia="en-US"/>
              </w:rPr>
              <w:t xml:space="preserve"> (tai skaitā ugunsdrošās)</w:t>
            </w:r>
            <w:r w:rsidR="007865FA" w:rsidRPr="00181A7F">
              <w:rPr>
                <w:rFonts w:eastAsia="Calibri"/>
                <w:sz w:val="28"/>
                <w:szCs w:val="28"/>
                <w:lang w:eastAsia="en-US"/>
              </w:rPr>
              <w:t xml:space="preserve"> minimālā ugunsizturība atbilst U2a</w:t>
            </w:r>
            <w:r w:rsidR="0052447E" w:rsidRPr="00181A7F"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spellStart"/>
            <w:r w:rsidR="007865FA" w:rsidRPr="00181A7F">
              <w:rPr>
                <w:rFonts w:eastAsia="Calibri"/>
                <w:sz w:val="28"/>
                <w:szCs w:val="28"/>
                <w:lang w:eastAsia="en-US"/>
              </w:rPr>
              <w:t>ugunsnoturības</w:t>
            </w:r>
            <w:proofErr w:type="spellEnd"/>
            <w:r w:rsidR="007865FA" w:rsidRPr="00181A7F">
              <w:rPr>
                <w:rFonts w:eastAsia="Calibri"/>
                <w:sz w:val="28"/>
                <w:szCs w:val="28"/>
                <w:lang w:eastAsia="en-US"/>
              </w:rPr>
              <w:t xml:space="preserve"> pakāpei</w:t>
            </w:r>
            <w:r w:rsidR="00242803" w:rsidRPr="00181A7F">
              <w:rPr>
                <w:rFonts w:eastAsia="Calibri"/>
                <w:sz w:val="28"/>
                <w:szCs w:val="28"/>
                <w:lang w:eastAsia="en-US"/>
              </w:rPr>
              <w:t xml:space="preserve"> (REI</w:t>
            </w:r>
            <w:r w:rsidR="0052447E" w:rsidRPr="00181A7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42803" w:rsidRPr="00181A7F">
              <w:rPr>
                <w:rFonts w:eastAsia="Calibri"/>
                <w:sz w:val="28"/>
                <w:szCs w:val="28"/>
                <w:lang w:eastAsia="en-US"/>
              </w:rPr>
              <w:t>60)</w:t>
            </w:r>
            <w:r w:rsidR="007865FA" w:rsidRPr="00181A7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42803" w:rsidRPr="00181A7F">
              <w:rPr>
                <w:rFonts w:eastAsia="Calibri"/>
                <w:sz w:val="28"/>
                <w:szCs w:val="28"/>
                <w:lang w:eastAsia="en-US"/>
              </w:rPr>
              <w:t>ir atļauts palielināt būves augstākā</w:t>
            </w:r>
            <w:r w:rsidR="00242803" w:rsidRPr="00242803">
              <w:rPr>
                <w:rFonts w:eastAsia="Calibri"/>
                <w:sz w:val="28"/>
                <w:szCs w:val="28"/>
                <w:lang w:eastAsia="en-US"/>
              </w:rPr>
              <w:t xml:space="preserve"> stāva grīdas līmeņa atzīmi līdz 18 m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 (no 8 metriem)</w:t>
            </w:r>
            <w:r w:rsidR="00242803" w:rsidRPr="00242803">
              <w:rPr>
                <w:rFonts w:eastAsia="Calibri"/>
                <w:sz w:val="28"/>
                <w:szCs w:val="28"/>
                <w:lang w:eastAsia="en-US"/>
              </w:rPr>
              <w:t xml:space="preserve"> un stāvu skaitu līdz 6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 (no 3 stāviem)</w:t>
            </w:r>
            <w:r w:rsidR="00242803" w:rsidRPr="00242803">
              <w:rPr>
                <w:rFonts w:eastAsia="Calibri"/>
                <w:sz w:val="28"/>
                <w:szCs w:val="28"/>
                <w:lang w:eastAsia="en-US"/>
              </w:rPr>
              <w:t xml:space="preserve"> ar šādām pa</w:t>
            </w:r>
            <w:r w:rsidR="00902247">
              <w:rPr>
                <w:rFonts w:eastAsia="Calibri"/>
                <w:sz w:val="28"/>
                <w:szCs w:val="28"/>
                <w:lang w:eastAsia="en-US"/>
              </w:rPr>
              <w:t>pildus prasībām (nosacījumiem):</w:t>
            </w:r>
          </w:p>
          <w:p w14:paraId="61CCAEC7" w14:textId="375B01A8" w:rsidR="00242803" w:rsidRPr="00242803" w:rsidRDefault="00242803" w:rsidP="00242803">
            <w:pPr>
              <w:pStyle w:val="naiskr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1) ir nodrošināta iespēja būves lietotājiem evakuēties caur </w:t>
            </w:r>
            <w:proofErr w:type="spellStart"/>
            <w:r w:rsidRPr="00242803">
              <w:rPr>
                <w:rFonts w:eastAsia="Calibri"/>
                <w:sz w:val="28"/>
                <w:szCs w:val="28"/>
                <w:lang w:eastAsia="en-US"/>
              </w:rPr>
              <w:t>dūmaizsargātu</w:t>
            </w:r>
            <w:proofErr w:type="spellEnd"/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 kāpņu telpu bez </w:t>
            </w:r>
            <w:proofErr w:type="spellStart"/>
            <w:r w:rsidRPr="00242803">
              <w:rPr>
                <w:rFonts w:eastAsia="Calibri"/>
                <w:sz w:val="28"/>
                <w:szCs w:val="28"/>
                <w:lang w:eastAsia="en-US"/>
              </w:rPr>
              <w:t>ugunsslodzes</w:t>
            </w:r>
            <w:proofErr w:type="spellEnd"/>
            <w:r w:rsidRPr="00242803">
              <w:rPr>
                <w:rFonts w:eastAsia="Calibri"/>
                <w:sz w:val="28"/>
                <w:szCs w:val="28"/>
                <w:lang w:eastAsia="en-US"/>
              </w:rPr>
              <w:t>, kuras būvizstrādājumu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 konstrukciju elementu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 xml:space="preserve"> un</w:t>
            </w:r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447E" w:rsidRPr="00242803">
              <w:rPr>
                <w:rFonts w:eastAsia="Calibri"/>
                <w:sz w:val="28"/>
                <w:szCs w:val="28"/>
                <w:lang w:eastAsia="en-US"/>
              </w:rPr>
              <w:t>apdares</w:t>
            </w:r>
            <w:r w:rsidR="0052447E" w:rsidRPr="002428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2803">
              <w:rPr>
                <w:rFonts w:eastAsia="Calibri"/>
                <w:sz w:val="28"/>
                <w:szCs w:val="28"/>
                <w:lang w:eastAsia="en-US"/>
              </w:rPr>
              <w:lastRenderedPageBreak/>
              <w:t>ugunsreakcijas</w:t>
            </w:r>
            <w:proofErr w:type="spellEnd"/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 klase ir A1, vai pa divām atsevišķām un dažādās vietā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s izvietotām evakuācijas izejām;</w:t>
            </w:r>
          </w:p>
          <w:p w14:paraId="0459E01D" w14:textId="00C2E2D2" w:rsidR="00242803" w:rsidRPr="00242803" w:rsidRDefault="00242803" w:rsidP="00242803">
            <w:pPr>
              <w:pStyle w:val="naiskr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03">
              <w:rPr>
                <w:rFonts w:eastAsia="Calibri"/>
                <w:sz w:val="28"/>
                <w:szCs w:val="28"/>
                <w:lang w:eastAsia="en-US"/>
              </w:rPr>
              <w:t>2) katrā telpā, kurā pastāvīgi var uzturēties cilvēki, ir paredzēta atverama aila (būvnormatīva 3.3.apakšnodaļa), kura sasniedzama ar ugunsdzēsības un glābšanas tehniku (</w:t>
            </w:r>
            <w:proofErr w:type="spellStart"/>
            <w:r w:rsidRPr="00242803">
              <w:rPr>
                <w:rFonts w:eastAsia="Calibri"/>
                <w:sz w:val="28"/>
                <w:szCs w:val="28"/>
                <w:lang w:eastAsia="en-US"/>
              </w:rPr>
              <w:t>autokāpnēm</w:t>
            </w:r>
            <w:proofErr w:type="spellEnd"/>
            <w:r w:rsidRPr="0024280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42803">
              <w:rPr>
                <w:rFonts w:eastAsia="Calibri"/>
                <w:sz w:val="28"/>
                <w:szCs w:val="28"/>
                <w:lang w:eastAsia="en-US"/>
              </w:rPr>
              <w:t>autopacēlāju</w:t>
            </w:r>
            <w:proofErr w:type="spellEnd"/>
            <w:r w:rsidR="0052447E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06F76785" w14:textId="1DE8BF3C" w:rsidR="00242803" w:rsidRPr="00242803" w:rsidRDefault="00242803" w:rsidP="00242803">
            <w:pPr>
              <w:pStyle w:val="naiskr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03">
              <w:rPr>
                <w:rFonts w:eastAsia="Calibri"/>
                <w:sz w:val="28"/>
                <w:szCs w:val="28"/>
                <w:lang w:eastAsia="en-US"/>
              </w:rPr>
              <w:t>3) būves telpas aprīkotas ar automātisko ugunsgrēka atklāšanas un trauksmes signalizācijas sistēmu (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>izņemot dzīvokļus ugunsdroši atdalīto telpu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 robežās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, jo tajos izvieto autonomu ugunsgrēka detektoru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6C7B1672" w14:textId="7FDC669C" w:rsidR="007865FA" w:rsidRPr="00C23BDC" w:rsidRDefault="00242803" w:rsidP="0024280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4) nesošās un ugunsdrošās būvkonstrukcijas, kā arī to savienojumu vietas (izņemot </w:t>
            </w:r>
            <w:proofErr w:type="spellStart"/>
            <w:r w:rsidRPr="00C23BDC">
              <w:rPr>
                <w:rFonts w:eastAsia="Calibri"/>
                <w:sz w:val="28"/>
                <w:szCs w:val="28"/>
                <w:lang w:eastAsia="en-US"/>
              </w:rPr>
              <w:t>dūmaizsargātu</w:t>
            </w:r>
            <w:proofErr w:type="spellEnd"/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 kāpņu telpu) ir aizsargātas ar ugunsdrošo </w:t>
            </w:r>
            <w:proofErr w:type="spellStart"/>
            <w:r w:rsidRPr="00C23BDC">
              <w:rPr>
                <w:rFonts w:eastAsia="Calibri"/>
                <w:sz w:val="28"/>
                <w:szCs w:val="28"/>
                <w:lang w:eastAsia="en-US"/>
              </w:rPr>
              <w:t>aizsargsegumu</w:t>
            </w:r>
            <w:proofErr w:type="spellEnd"/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 K</w:t>
            </w:r>
            <w:r w:rsidRPr="00C23BD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, kas ir 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testēta būvkonstrukcija atbilstoši piemērojamam standartam </w:t>
            </w:r>
            <w:r w:rsidR="00B80354" w:rsidRPr="00C23BDC">
              <w:rPr>
                <w:rFonts w:eastAsia="Calibri"/>
                <w:iCs/>
                <w:sz w:val="28"/>
                <w:szCs w:val="28"/>
                <w:lang w:eastAsia="en-US"/>
              </w:rPr>
              <w:t>LVS EN 13501-2:2016 “Būvizstrādājumu un būvelementu klasifikācija pēc to ugunsizturības. 2.daļa: Klasifikācija, lietojot ugunsizturības testu datus, izņemot ventilācijas sistēmām paredzētos izstrādājumus”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 vai 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arī, neveicot koka nesoš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o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 konstrukciju </w:t>
            </w:r>
            <w:proofErr w:type="spellStart"/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kapsulāciju</w:t>
            </w:r>
            <w:proofErr w:type="spellEnd"/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>ēkas telpas aprīkotas ar automātisko ugu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nsdzēsības (</w:t>
            </w:r>
            <w:proofErr w:type="spellStart"/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sprinkleru</w:t>
            </w:r>
            <w:proofErr w:type="spellEnd"/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) sistēmu, lai aizkavētu to aizdegšanos.</w:t>
            </w:r>
          </w:p>
          <w:p w14:paraId="12101F0A" w14:textId="5A89F8A3" w:rsidR="00242803" w:rsidRPr="00C23BDC" w:rsidRDefault="00FE5DC7" w:rsidP="00862F0A">
            <w:pPr>
              <w:pStyle w:val="naiskr"/>
              <w:spacing w:before="0" w:after="0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3BDC">
              <w:rPr>
                <w:sz w:val="28"/>
                <w:szCs w:val="28"/>
              </w:rPr>
              <w:t xml:space="preserve">Šādām būvēm 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būvizstrādājumu </w:t>
            </w:r>
            <w:proofErr w:type="spellStart"/>
            <w:r w:rsidRPr="00C23BDC">
              <w:rPr>
                <w:rFonts w:eastAsia="Calibri"/>
                <w:sz w:val="28"/>
                <w:szCs w:val="28"/>
                <w:lang w:eastAsia="en-US"/>
              </w:rPr>
              <w:t>ugunsreakcijas</w:t>
            </w:r>
            <w:proofErr w:type="spellEnd"/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 klase ir vismaz D-s2, d0</w:t>
            </w:r>
            <w:r w:rsidR="009A2E1F" w:rsidRPr="00C23BDC">
              <w:rPr>
                <w:rFonts w:eastAsia="Calibri"/>
                <w:sz w:val="28"/>
                <w:szCs w:val="28"/>
                <w:lang w:eastAsia="en-US"/>
              </w:rPr>
              <w:t xml:space="preserve"> (neapstrādāt</w:t>
            </w:r>
            <w:r w:rsidR="00F979B5" w:rsidRPr="00C23BDC">
              <w:rPr>
                <w:rFonts w:eastAsia="Calibri"/>
                <w:sz w:val="28"/>
                <w:szCs w:val="28"/>
                <w:lang w:eastAsia="en-US"/>
              </w:rPr>
              <w:t>a</w:t>
            </w:r>
            <w:r w:rsidR="009A2E1F" w:rsidRPr="00C23BDC">
              <w:rPr>
                <w:rFonts w:eastAsia="Calibri"/>
                <w:sz w:val="28"/>
                <w:szCs w:val="28"/>
                <w:lang w:eastAsia="en-US"/>
              </w:rPr>
              <w:t xml:space="preserve"> koks</w:t>
            </w:r>
            <w:r w:rsidR="00F979B5" w:rsidRPr="00C23BDC">
              <w:rPr>
                <w:rFonts w:eastAsia="Calibri"/>
                <w:sz w:val="28"/>
                <w:szCs w:val="28"/>
                <w:lang w:eastAsia="en-US"/>
              </w:rPr>
              <w:t>ne</w:t>
            </w:r>
            <w:r w:rsidR="009A2E1F" w:rsidRPr="00C23BDC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23B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ārsienu siltumizolācijas būvizstrādājumu 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un 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ugunsdrošā </w:t>
            </w:r>
            <w:proofErr w:type="spellStart"/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aizsargseguma</w:t>
            </w:r>
            <w:proofErr w:type="spellEnd"/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 K</w:t>
            </w:r>
            <w:r w:rsidR="00C23BDC" w:rsidRPr="00C23BD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ugunsreakcijas</w:t>
            </w:r>
            <w:proofErr w:type="spellEnd"/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 klase </w:t>
            </w:r>
            <w:r w:rsidR="0052447E" w:rsidRPr="00C23BDC">
              <w:rPr>
                <w:rFonts w:eastAsia="Calibri"/>
                <w:sz w:val="28"/>
                <w:szCs w:val="28"/>
                <w:lang w:eastAsia="en-US"/>
              </w:rPr>
              <w:t>vienmēr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 ir vismaz A2-s1,d0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, bet ārsienu apdare – 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pa būves perimetru 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4 m 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augstumā no zemes virsmas līmeņa 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vie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n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>mēr ir vismaz A2-s1,d0 un a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ugstāk </w:t>
            </w:r>
            <w:r w:rsidR="00513399" w:rsidRPr="00C23BDC">
              <w:rPr>
                <w:rFonts w:eastAsia="Calibri"/>
                <w:sz w:val="28"/>
                <w:szCs w:val="28"/>
                <w:lang w:eastAsia="en-US"/>
              </w:rPr>
              <w:t xml:space="preserve">var 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>lietot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 arī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 Bs1,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d0 </w:t>
            </w:r>
            <w:proofErr w:type="spellStart"/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>ugunsreakcija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s</w:t>
            </w:r>
            <w:proofErr w:type="spellEnd"/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 xml:space="preserve"> klases būvizstrādājumus, kuru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 uguns izplatības novēršanai starpstāvu pārsegumu līmeņos horizontāli šķērso ugunsdrošas atdalošās joslas/barjeras no vismaz A2-sl,</w:t>
            </w:r>
            <w:r w:rsidR="0052447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d0 </w:t>
            </w:r>
            <w:proofErr w:type="spellStart"/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>ugunsreakcijas</w:t>
            </w:r>
            <w:proofErr w:type="spellEnd"/>
            <w:r w:rsidR="00242803" w:rsidRPr="00C23BDC">
              <w:rPr>
                <w:rFonts w:eastAsia="Calibri"/>
                <w:sz w:val="28"/>
                <w:szCs w:val="28"/>
                <w:lang w:eastAsia="en-US"/>
              </w:rPr>
              <w:t xml:space="preserve"> klases būvizstrādājumiem</w:t>
            </w:r>
            <w:r w:rsidR="00C23BDC" w:rsidRPr="00C23B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7E423EEE" w14:textId="188F1744" w:rsidR="00D24971" w:rsidRPr="00F979B5" w:rsidRDefault="009A2E1F" w:rsidP="00862F0A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F979B5">
              <w:rPr>
                <w:sz w:val="28"/>
                <w:szCs w:val="28"/>
              </w:rPr>
              <w:lastRenderedPageBreak/>
              <w:t>Apstrādātajām koka konstrukcijām</w:t>
            </w:r>
            <w:r w:rsidR="00F979B5" w:rsidRPr="00F979B5">
              <w:rPr>
                <w:sz w:val="28"/>
                <w:szCs w:val="28"/>
              </w:rPr>
              <w:t>, nodrošinoties pret koksnes aizdegšanos,</w:t>
            </w:r>
            <w:r w:rsidRPr="00F979B5">
              <w:rPr>
                <w:sz w:val="28"/>
                <w:szCs w:val="28"/>
              </w:rPr>
              <w:t xml:space="preserve"> var iegūt </w:t>
            </w:r>
            <w:proofErr w:type="spellStart"/>
            <w:r w:rsidRPr="00F979B5">
              <w:rPr>
                <w:sz w:val="28"/>
                <w:szCs w:val="28"/>
              </w:rPr>
              <w:t>ugunsreakcijas</w:t>
            </w:r>
            <w:proofErr w:type="spellEnd"/>
            <w:r w:rsidRPr="00F979B5">
              <w:rPr>
                <w:sz w:val="28"/>
                <w:szCs w:val="28"/>
              </w:rPr>
              <w:t xml:space="preserve"> klasi B-s1,d0  vai C-s1,d0.</w:t>
            </w:r>
          </w:p>
          <w:p w14:paraId="4C35169C" w14:textId="54B7834B" w:rsidR="009A2E1F" w:rsidRPr="008D2F8B" w:rsidRDefault="00E943FB" w:rsidP="00F979B5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Tāpat noteikumu projektā precizētas normas, </w:t>
            </w:r>
            <w:r w:rsidR="00FA347E">
              <w:rPr>
                <w:sz w:val="28"/>
                <w:szCs w:val="28"/>
              </w:rPr>
              <w:t xml:space="preserve">novēršot </w:t>
            </w:r>
            <w:r>
              <w:rPr>
                <w:sz w:val="28"/>
                <w:szCs w:val="28"/>
              </w:rPr>
              <w:t>praksē</w:t>
            </w:r>
            <w:r w:rsidR="003C502B" w:rsidRPr="003C502B">
              <w:rPr>
                <w:sz w:val="28"/>
                <w:szCs w:val="28"/>
              </w:rPr>
              <w:t xml:space="preserve"> </w:t>
            </w:r>
            <w:r w:rsidR="00FA347E">
              <w:rPr>
                <w:sz w:val="28"/>
                <w:szCs w:val="28"/>
              </w:rPr>
              <w:t>konstatētās nepilnības un daž</w:t>
            </w:r>
            <w:r w:rsidR="009A2E1F">
              <w:rPr>
                <w:sz w:val="28"/>
                <w:szCs w:val="28"/>
              </w:rPr>
              <w:t>ādas</w:t>
            </w:r>
            <w:r w:rsidR="00FA347E">
              <w:rPr>
                <w:sz w:val="28"/>
                <w:szCs w:val="28"/>
              </w:rPr>
              <w:t xml:space="preserve"> interpretācij</w:t>
            </w:r>
            <w:r w:rsidR="009A2E1F">
              <w:rPr>
                <w:sz w:val="28"/>
                <w:szCs w:val="28"/>
              </w:rPr>
              <w:t>as</w:t>
            </w:r>
            <w:r w:rsidR="00FA347E">
              <w:rPr>
                <w:sz w:val="28"/>
                <w:szCs w:val="28"/>
              </w:rPr>
              <w:t>.</w:t>
            </w:r>
          </w:p>
        </w:tc>
      </w:tr>
      <w:tr w:rsidR="00CB1045" w:rsidRPr="008D2F8B" w14:paraId="5FA92FDB" w14:textId="77777777" w:rsidTr="00907CCE">
        <w:trPr>
          <w:trHeight w:val="706"/>
        </w:trPr>
        <w:tc>
          <w:tcPr>
            <w:tcW w:w="524" w:type="dxa"/>
          </w:tcPr>
          <w:p w14:paraId="4BEE0770" w14:textId="0C151365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> 3.</w:t>
            </w:r>
          </w:p>
        </w:tc>
        <w:tc>
          <w:tcPr>
            <w:tcW w:w="3177" w:type="dxa"/>
            <w:gridSpan w:val="2"/>
          </w:tcPr>
          <w:p w14:paraId="05A0367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5361" w:type="dxa"/>
          </w:tcPr>
          <w:p w14:paraId="6E557653" w14:textId="5AA24900" w:rsidR="00CB1045" w:rsidRPr="008D2F8B" w:rsidRDefault="00E943FB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Latvijas Koka būvniecības klasteris, </w:t>
            </w:r>
            <w:r w:rsidR="00F0633C">
              <w:rPr>
                <w:sz w:val="28"/>
                <w:szCs w:val="28"/>
                <w:lang w:val="lv-LV"/>
              </w:rPr>
              <w:t xml:space="preserve">Latvijas Arhitektu savienība, </w:t>
            </w:r>
            <w:r>
              <w:rPr>
                <w:sz w:val="28"/>
                <w:szCs w:val="28"/>
                <w:lang w:val="lv-LV"/>
              </w:rPr>
              <w:t>Latvijas Būvinženieru savienība, Būvmateriālu Ražotāju asociācija, Valsts ugunsdzēsības un glābšanas dienests, Būvniecības valsts kontroles birojs</w:t>
            </w:r>
            <w:r w:rsidR="001B5B02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4F433C8D" w14:textId="77777777" w:rsidTr="00B96DF3">
        <w:trPr>
          <w:trHeight w:val="384"/>
        </w:trPr>
        <w:tc>
          <w:tcPr>
            <w:tcW w:w="524" w:type="dxa"/>
          </w:tcPr>
          <w:p w14:paraId="789DDF5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4.</w:t>
            </w:r>
          </w:p>
        </w:tc>
        <w:tc>
          <w:tcPr>
            <w:tcW w:w="3177" w:type="dxa"/>
            <w:gridSpan w:val="2"/>
          </w:tcPr>
          <w:p w14:paraId="5B8EE7D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361" w:type="dxa"/>
          </w:tcPr>
          <w:p w14:paraId="14605901" w14:textId="5E21BB8B" w:rsidR="00AF343B" w:rsidRPr="008D2F8B" w:rsidRDefault="00324521" w:rsidP="00AF343B">
            <w:pPr>
              <w:pStyle w:val="naiskr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14:paraId="6176C81C" w14:textId="77777777" w:rsidR="00CB1045" w:rsidRPr="008D2F8B" w:rsidRDefault="00CB1045" w:rsidP="00CB1045">
      <w:pPr>
        <w:ind w:left="57" w:right="57"/>
        <w:rPr>
          <w:sz w:val="28"/>
          <w:szCs w:val="28"/>
          <w:lang w:val="lv-LV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CB1045" w:rsidRPr="008D2F8B" w14:paraId="69D772E7" w14:textId="77777777" w:rsidTr="00B96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C0AD" w14:textId="7A5E5805" w:rsidR="00CB1045" w:rsidRPr="008D2F8B" w:rsidRDefault="00CB1045" w:rsidP="006046DF">
            <w:pPr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II.</w:t>
            </w:r>
            <w:r w:rsidR="006046DF">
              <w:rPr>
                <w:b/>
                <w:sz w:val="28"/>
                <w:szCs w:val="28"/>
                <w:lang w:val="lv-LV"/>
              </w:rPr>
              <w:t> </w:t>
            </w:r>
            <w:r w:rsidRPr="008D2F8B">
              <w:rPr>
                <w:b/>
                <w:sz w:val="28"/>
                <w:szCs w:val="28"/>
                <w:lang w:val="lv-LV"/>
              </w:rPr>
              <w:t>Tiesību akta projekta ietekme uz sabiedrību</w:t>
            </w:r>
            <w:r w:rsidR="005761CE" w:rsidRPr="008D2F8B">
              <w:rPr>
                <w:b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CB1045" w:rsidRPr="008D2F8B" w14:paraId="189BFAF9" w14:textId="77777777" w:rsidTr="00915E1B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1C1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9E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 xml:space="preserve"> Sabiedrības </w:t>
            </w:r>
            <w:proofErr w:type="spellStart"/>
            <w:r w:rsidRPr="008D2F8B">
              <w:rPr>
                <w:sz w:val="28"/>
                <w:szCs w:val="28"/>
                <w:lang w:val="lv-LV"/>
              </w:rPr>
              <w:t>mērķgrupa</w:t>
            </w:r>
            <w:r w:rsidR="005761CE" w:rsidRPr="008D2F8B">
              <w:rPr>
                <w:sz w:val="28"/>
                <w:szCs w:val="28"/>
                <w:lang w:val="lv-LV"/>
              </w:rPr>
              <w:t>s</w:t>
            </w:r>
            <w:proofErr w:type="spellEnd"/>
            <w:r w:rsidR="005761CE" w:rsidRPr="008D2F8B">
              <w:rPr>
                <w:sz w:val="28"/>
                <w:szCs w:val="28"/>
                <w:lang w:val="lv-LV"/>
              </w:rPr>
              <w:t>, kuras tiesiskais regulējums  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782" w14:textId="68398D8D" w:rsidR="00CB1045" w:rsidRPr="00324521" w:rsidRDefault="00665D97" w:rsidP="004B28F2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324521">
              <w:rPr>
                <w:iCs/>
                <w:sz w:val="28"/>
                <w:szCs w:val="28"/>
                <w:lang w:val="lv-LV"/>
              </w:rPr>
              <w:t>Noteikumu projekta r</w:t>
            </w:r>
            <w:r w:rsidR="009C7702" w:rsidRPr="00324521">
              <w:rPr>
                <w:iCs/>
                <w:sz w:val="28"/>
                <w:szCs w:val="28"/>
                <w:lang w:val="lv-LV"/>
              </w:rPr>
              <w:t xml:space="preserve">egulējums </w:t>
            </w:r>
            <w:r w:rsidRPr="00324521">
              <w:rPr>
                <w:iCs/>
                <w:sz w:val="28"/>
                <w:szCs w:val="28"/>
                <w:lang w:val="lv-LV"/>
              </w:rPr>
              <w:t>var ietekmēt jebkuru personu, kura ierosinā</w:t>
            </w:r>
            <w:r w:rsidR="00E01FE8" w:rsidRPr="00324521">
              <w:rPr>
                <w:iCs/>
                <w:sz w:val="28"/>
                <w:szCs w:val="28"/>
                <w:lang w:val="lv-LV"/>
              </w:rPr>
              <w:t xml:space="preserve">s un veiks </w:t>
            </w:r>
            <w:r w:rsidR="006046DF" w:rsidRPr="00324521">
              <w:rPr>
                <w:iCs/>
                <w:sz w:val="28"/>
                <w:szCs w:val="28"/>
                <w:lang w:val="lv-LV"/>
              </w:rPr>
              <w:t xml:space="preserve">jaunu </w:t>
            </w:r>
            <w:r w:rsidR="003C502B" w:rsidRPr="00324521">
              <w:rPr>
                <w:iCs/>
                <w:sz w:val="28"/>
                <w:szCs w:val="28"/>
                <w:lang w:val="lv-LV"/>
              </w:rPr>
              <w:t>būvju</w:t>
            </w:r>
            <w:r w:rsidR="006046DF" w:rsidRPr="00324521">
              <w:rPr>
                <w:iCs/>
                <w:sz w:val="28"/>
                <w:szCs w:val="28"/>
                <w:lang w:val="lv-LV"/>
              </w:rPr>
              <w:t xml:space="preserve"> </w:t>
            </w:r>
            <w:r w:rsidR="00E01FE8" w:rsidRPr="00324521">
              <w:rPr>
                <w:iCs/>
                <w:sz w:val="28"/>
                <w:szCs w:val="28"/>
                <w:lang w:val="lv-LV"/>
              </w:rPr>
              <w:t>būvniecību</w:t>
            </w:r>
            <w:r w:rsidR="006046DF" w:rsidRPr="00324521">
              <w:rPr>
                <w:iCs/>
                <w:sz w:val="28"/>
                <w:szCs w:val="28"/>
                <w:lang w:val="lv-LV"/>
              </w:rPr>
              <w:t xml:space="preserve">, esošas </w:t>
            </w:r>
            <w:r w:rsidR="003C502B" w:rsidRPr="00324521">
              <w:rPr>
                <w:iCs/>
                <w:sz w:val="28"/>
                <w:szCs w:val="28"/>
                <w:lang w:val="lv-LV"/>
              </w:rPr>
              <w:t>būvju</w:t>
            </w:r>
            <w:r w:rsidR="006046DF" w:rsidRPr="00324521">
              <w:rPr>
                <w:iCs/>
                <w:sz w:val="28"/>
                <w:szCs w:val="28"/>
                <w:lang w:val="lv-LV"/>
              </w:rPr>
              <w:t xml:space="preserve"> atjaunošanu vai pārbūvi, kā arī institūcijas, kuras iesaistītas būvniecības procesā</w:t>
            </w:r>
            <w:r w:rsidR="003C502B" w:rsidRPr="00324521">
              <w:rPr>
                <w:iCs/>
                <w:sz w:val="28"/>
                <w:szCs w:val="28"/>
                <w:lang w:val="lv-LV"/>
              </w:rPr>
              <w:t xml:space="preserve"> un Valsts ugunsdzēsības un glābšanas dienestu</w:t>
            </w:r>
            <w:r w:rsidR="006046DF" w:rsidRPr="00324521">
              <w:rPr>
                <w:iCs/>
                <w:sz w:val="28"/>
                <w:szCs w:val="28"/>
                <w:lang w:val="lv-LV"/>
              </w:rPr>
              <w:t>.</w:t>
            </w:r>
            <w:r w:rsidRPr="00324521">
              <w:rPr>
                <w:iCs/>
                <w:sz w:val="28"/>
                <w:szCs w:val="28"/>
                <w:lang w:val="lv-LV"/>
              </w:rPr>
              <w:t xml:space="preserve"> Tāpat arī ietekmēs </w:t>
            </w:r>
            <w:r w:rsidR="00BB0512" w:rsidRPr="00324521">
              <w:rPr>
                <w:iCs/>
                <w:sz w:val="28"/>
                <w:szCs w:val="28"/>
                <w:lang w:val="lv-LV"/>
              </w:rPr>
              <w:t>būvniecības nozarē strādājoš</w:t>
            </w:r>
            <w:r w:rsidRPr="00324521">
              <w:rPr>
                <w:iCs/>
                <w:sz w:val="28"/>
                <w:szCs w:val="28"/>
                <w:lang w:val="lv-LV"/>
              </w:rPr>
              <w:t>os</w:t>
            </w:r>
            <w:r w:rsidR="00BB0512" w:rsidRPr="00324521">
              <w:rPr>
                <w:iCs/>
                <w:sz w:val="28"/>
                <w:szCs w:val="28"/>
                <w:lang w:val="lv-LV"/>
              </w:rPr>
              <w:t xml:space="preserve"> </w:t>
            </w:r>
            <w:r w:rsidR="00E47AE8" w:rsidRPr="00324521">
              <w:rPr>
                <w:iCs/>
                <w:sz w:val="28"/>
                <w:szCs w:val="28"/>
                <w:lang w:val="lv-LV"/>
              </w:rPr>
              <w:t>būvprojekta izstrādātājus</w:t>
            </w:r>
            <w:r w:rsidR="00CA3818">
              <w:rPr>
                <w:iCs/>
                <w:sz w:val="28"/>
                <w:szCs w:val="28"/>
                <w:lang w:val="lv-LV"/>
              </w:rPr>
              <w:t xml:space="preserve"> un </w:t>
            </w:r>
            <w:r w:rsidR="00D86BD1">
              <w:rPr>
                <w:iCs/>
                <w:sz w:val="28"/>
                <w:szCs w:val="28"/>
                <w:lang w:val="lv-LV"/>
              </w:rPr>
              <w:t xml:space="preserve">koksnes </w:t>
            </w:r>
            <w:r w:rsidR="004B28F2">
              <w:rPr>
                <w:iCs/>
                <w:sz w:val="28"/>
                <w:szCs w:val="28"/>
                <w:lang w:val="lv-LV"/>
              </w:rPr>
              <w:t>būvizstrādājumu</w:t>
            </w:r>
            <w:r w:rsidR="00CA3818">
              <w:rPr>
                <w:iCs/>
                <w:sz w:val="28"/>
                <w:szCs w:val="28"/>
                <w:lang w:val="lv-LV"/>
              </w:rPr>
              <w:t xml:space="preserve"> ražotājus.</w:t>
            </w:r>
          </w:p>
        </w:tc>
      </w:tr>
      <w:tr w:rsidR="00CB1045" w:rsidRPr="008D2F8B" w14:paraId="5B9DFE7C" w14:textId="77777777" w:rsidTr="00915E1B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6A5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6A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Tiesiskā regulējuma</w:t>
            </w:r>
            <w:r w:rsidR="00CB1045" w:rsidRPr="008D2F8B">
              <w:rPr>
                <w:sz w:val="28"/>
                <w:szCs w:val="28"/>
                <w:lang w:val="lv-LV"/>
              </w:rPr>
              <w:t xml:space="preserve"> </w:t>
            </w:r>
            <w:r w:rsidRPr="008D2F8B">
              <w:rPr>
                <w:sz w:val="28"/>
                <w:szCs w:val="28"/>
                <w:lang w:val="lv-LV"/>
              </w:rPr>
              <w:t>ietekme uz tautsaimniecību un administratīvo slogu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42C2" w14:textId="15C42C96" w:rsidR="00CA3818" w:rsidRPr="00CA3818" w:rsidRDefault="00823F99" w:rsidP="00CA3818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CA3818">
              <w:rPr>
                <w:sz w:val="28"/>
                <w:szCs w:val="28"/>
                <w:lang w:val="lv-LV"/>
              </w:rPr>
              <w:t xml:space="preserve">Šīs sadaļas 1.punktā minētajām sabiedrības </w:t>
            </w:r>
            <w:proofErr w:type="spellStart"/>
            <w:r w:rsidRPr="00CA3818">
              <w:rPr>
                <w:sz w:val="28"/>
                <w:szCs w:val="28"/>
                <w:lang w:val="lv-LV"/>
              </w:rPr>
              <w:t>mērķgrupām</w:t>
            </w:r>
            <w:proofErr w:type="spellEnd"/>
            <w:r w:rsidRPr="00CA3818">
              <w:rPr>
                <w:sz w:val="28"/>
                <w:szCs w:val="28"/>
                <w:lang w:val="lv-LV"/>
              </w:rPr>
              <w:t xml:space="preserve"> </w:t>
            </w:r>
            <w:r w:rsidR="001B5B02" w:rsidRPr="00CA3818">
              <w:rPr>
                <w:sz w:val="28"/>
                <w:szCs w:val="28"/>
                <w:lang w:val="lv-LV"/>
              </w:rPr>
              <w:t xml:space="preserve">projekta tiesiskais regulējums </w:t>
            </w:r>
            <w:r w:rsidR="00CE7373">
              <w:rPr>
                <w:sz w:val="28"/>
                <w:szCs w:val="28"/>
                <w:lang w:val="lv-LV"/>
              </w:rPr>
              <w:t xml:space="preserve">pamatā </w:t>
            </w:r>
            <w:r w:rsidR="001B5B02" w:rsidRPr="00CA3818">
              <w:rPr>
                <w:sz w:val="28"/>
                <w:szCs w:val="28"/>
                <w:lang w:val="lv-LV"/>
              </w:rPr>
              <w:t xml:space="preserve">nemaina tiesības </w:t>
            </w:r>
            <w:r w:rsidR="00CA3818" w:rsidRPr="00CA3818">
              <w:rPr>
                <w:sz w:val="28"/>
                <w:szCs w:val="28"/>
                <w:lang w:val="lv-LV"/>
              </w:rPr>
              <w:t>un pienākumus.</w:t>
            </w:r>
          </w:p>
          <w:p w14:paraId="44B02C14" w14:textId="7B5282BC" w:rsidR="00CA3818" w:rsidRPr="00CA3818" w:rsidRDefault="00CA3818" w:rsidP="00CA3818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Tiesiskais regulējums labvēlīgi ietekmēs</w:t>
            </w:r>
            <w:r w:rsidR="00CE7373">
              <w:rPr>
                <w:sz w:val="28"/>
                <w:szCs w:val="28"/>
                <w:lang w:val="lv-LV"/>
              </w:rPr>
              <w:t xml:space="preserve"> </w:t>
            </w:r>
            <w:r w:rsidR="00D51D71">
              <w:rPr>
                <w:sz w:val="28"/>
                <w:szCs w:val="28"/>
                <w:lang w:val="lv-LV"/>
              </w:rPr>
              <w:t xml:space="preserve">Latvijas </w:t>
            </w:r>
            <w:r>
              <w:rPr>
                <w:sz w:val="28"/>
                <w:szCs w:val="28"/>
                <w:lang w:val="lv-LV"/>
              </w:rPr>
              <w:t xml:space="preserve">tautsaimniecību, veicinot koksnes </w:t>
            </w:r>
            <w:r w:rsidR="004B28F2">
              <w:rPr>
                <w:sz w:val="28"/>
                <w:szCs w:val="28"/>
                <w:lang w:val="lv-LV"/>
              </w:rPr>
              <w:t>būvizstrādājumu</w:t>
            </w:r>
            <w:r w:rsidR="00D86BD1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ražotāju lielāku pieprasījumu tirgū</w:t>
            </w:r>
            <w:r w:rsidR="00CE7373">
              <w:rPr>
                <w:sz w:val="28"/>
                <w:szCs w:val="28"/>
                <w:lang w:val="lv-LV"/>
              </w:rPr>
              <w:t xml:space="preserve"> un to pielietošanu jaunu ēku būvniecībā</w:t>
            </w:r>
            <w:r>
              <w:rPr>
                <w:sz w:val="28"/>
                <w:szCs w:val="28"/>
                <w:lang w:val="lv-LV"/>
              </w:rPr>
              <w:t>.</w:t>
            </w:r>
          </w:p>
          <w:p w14:paraId="2B043625" w14:textId="65F98F4B" w:rsidR="00CB1045" w:rsidRPr="008D2F8B" w:rsidRDefault="00CA3818" w:rsidP="00CA3818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CA3818">
              <w:rPr>
                <w:sz w:val="28"/>
                <w:szCs w:val="28"/>
                <w:lang w:val="lv-LV"/>
              </w:rPr>
              <w:t xml:space="preserve">Novēršot normu interpretāciju administratīvais slogs samazināsies, jo nebūs jāskaņo iespējamās atkāpes būvprojektā gan </w:t>
            </w:r>
            <w:r w:rsidR="00CE7373">
              <w:rPr>
                <w:sz w:val="28"/>
                <w:szCs w:val="28"/>
                <w:lang w:val="lv-LV"/>
              </w:rPr>
              <w:t>būv</w:t>
            </w:r>
            <w:r w:rsidRPr="00CA3818">
              <w:rPr>
                <w:sz w:val="28"/>
                <w:szCs w:val="28"/>
                <w:lang w:val="lv-LV"/>
              </w:rPr>
              <w:t>projekta izstrādātājam, gan institūcijai, kas to pārbauda un saskaņo.</w:t>
            </w:r>
          </w:p>
        </w:tc>
      </w:tr>
      <w:tr w:rsidR="00CB1045" w:rsidRPr="008D2F8B" w14:paraId="24711CDE" w14:textId="77777777" w:rsidTr="00915E1B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BB1B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F6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F07" w14:textId="77777777" w:rsidR="00CB1045" w:rsidRPr="008D2F8B" w:rsidRDefault="00823F99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Noteikumu p</w:t>
            </w:r>
            <w:r w:rsidR="00993D12" w:rsidRPr="008D2F8B">
              <w:rPr>
                <w:sz w:val="28"/>
                <w:szCs w:val="28"/>
                <w:lang w:val="lv-LV"/>
              </w:rPr>
              <w:t>rojekts šo jomu neskar</w:t>
            </w:r>
          </w:p>
        </w:tc>
      </w:tr>
      <w:tr w:rsidR="00CB1045" w:rsidRPr="008D2F8B" w14:paraId="23FE21A6" w14:textId="77777777" w:rsidTr="00915E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4A7" w14:textId="77777777" w:rsidR="00CB1045" w:rsidRPr="008D2F8B" w:rsidRDefault="00CB1045" w:rsidP="00134A1B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</w:t>
            </w:r>
            <w:r w:rsidR="00134A1B" w:rsidRPr="008D2F8B">
              <w:rPr>
                <w:sz w:val="28"/>
                <w:szCs w:val="28"/>
                <w:lang w:val="lv-LV"/>
              </w:rPr>
              <w:t>4</w:t>
            </w:r>
            <w:r w:rsidRPr="008D2F8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064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F3D" w14:textId="77777777" w:rsidR="00CB1045" w:rsidRPr="008D2F8B" w:rsidRDefault="00823F99" w:rsidP="00B96DF3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</w:t>
            </w:r>
            <w:r w:rsidR="00915E1B" w:rsidRPr="008D2F8B">
              <w:rPr>
                <w:sz w:val="28"/>
                <w:szCs w:val="28"/>
                <w:lang w:val="lv-LV"/>
              </w:rPr>
              <w:t>av</w:t>
            </w:r>
          </w:p>
        </w:tc>
      </w:tr>
    </w:tbl>
    <w:p w14:paraId="675D9067" w14:textId="77777777" w:rsidR="00CB1045" w:rsidRDefault="00CB1045" w:rsidP="00CB1045">
      <w:pPr>
        <w:ind w:left="57" w:right="57"/>
        <w:rPr>
          <w:sz w:val="28"/>
          <w:szCs w:val="28"/>
          <w:lang w:val="lv-LV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91"/>
        <w:gridCol w:w="5457"/>
      </w:tblGrid>
      <w:tr w:rsidR="00CB1045" w:rsidRPr="008D2F8B" w14:paraId="5806D073" w14:textId="77777777" w:rsidTr="00B96DF3">
        <w:trPr>
          <w:jc w:val="center"/>
        </w:trPr>
        <w:tc>
          <w:tcPr>
            <w:tcW w:w="9215" w:type="dxa"/>
            <w:gridSpan w:val="3"/>
          </w:tcPr>
          <w:p w14:paraId="0B79BAFA" w14:textId="5DC53BE8" w:rsidR="00CB1045" w:rsidRPr="008D2F8B" w:rsidRDefault="00CB1045" w:rsidP="006046DF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VI.</w:t>
            </w:r>
            <w:r w:rsidR="006046DF">
              <w:rPr>
                <w:sz w:val="28"/>
                <w:szCs w:val="28"/>
              </w:rPr>
              <w:t> </w:t>
            </w:r>
            <w:r w:rsidRPr="008D2F8B">
              <w:rPr>
                <w:sz w:val="28"/>
                <w:szCs w:val="28"/>
              </w:rPr>
              <w:t xml:space="preserve">Sabiedrības līdzdalība un </w:t>
            </w:r>
            <w:r w:rsidR="005761CE" w:rsidRPr="008D2F8B">
              <w:rPr>
                <w:sz w:val="28"/>
                <w:szCs w:val="28"/>
              </w:rPr>
              <w:t>komunikācijas aktivitātes</w:t>
            </w:r>
          </w:p>
        </w:tc>
      </w:tr>
      <w:tr w:rsidR="00CB1045" w:rsidRPr="008D2F8B" w14:paraId="7A18EB00" w14:textId="77777777" w:rsidTr="003C37CA">
        <w:trPr>
          <w:trHeight w:val="553"/>
          <w:jc w:val="center"/>
        </w:trPr>
        <w:tc>
          <w:tcPr>
            <w:tcW w:w="567" w:type="dxa"/>
          </w:tcPr>
          <w:p w14:paraId="1877BE7F" w14:textId="7A4A796C" w:rsidR="00CB1045" w:rsidRPr="008D2F8B" w:rsidRDefault="003C37CA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 w:rsidR="00CB1045" w:rsidRPr="008D2F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14:paraId="44D3C522" w14:textId="3D910660" w:rsidR="00CB1045" w:rsidRPr="008D2F8B" w:rsidRDefault="002C424E" w:rsidP="002C424E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Plānotās s</w:t>
            </w:r>
            <w:r w:rsidR="00CB1045" w:rsidRPr="008D2F8B">
              <w:rPr>
                <w:sz w:val="28"/>
                <w:szCs w:val="28"/>
              </w:rPr>
              <w:t xml:space="preserve">abiedrības </w:t>
            </w:r>
            <w:r w:rsidRPr="008D2F8B">
              <w:rPr>
                <w:sz w:val="28"/>
                <w:szCs w:val="28"/>
              </w:rPr>
              <w:t xml:space="preserve">līdzdalības un </w:t>
            </w:r>
            <w:r w:rsidRPr="008D2F8B">
              <w:rPr>
                <w:sz w:val="28"/>
                <w:szCs w:val="28"/>
              </w:rPr>
              <w:lastRenderedPageBreak/>
              <w:t xml:space="preserve">komunikācijas aktivitātes saistībā ar projektu </w:t>
            </w:r>
          </w:p>
        </w:tc>
        <w:tc>
          <w:tcPr>
            <w:tcW w:w="5457" w:type="dxa"/>
          </w:tcPr>
          <w:p w14:paraId="4DDDA7DA" w14:textId="29A2531B" w:rsidR="00CB1045" w:rsidRPr="008D2F8B" w:rsidRDefault="00E01FE8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lastRenderedPageBreak/>
              <w:t>Noteikumu projekts sabiedrībai publiski ir pieejams Ekonomikas</w:t>
            </w:r>
            <w:r w:rsidR="008D2F8B" w:rsidRPr="008D2F8B">
              <w:rPr>
                <w:iCs/>
                <w:sz w:val="28"/>
                <w:szCs w:val="28"/>
              </w:rPr>
              <w:t xml:space="preserve"> ministrijas mājās lapā</w:t>
            </w:r>
            <w:r w:rsidRPr="008D2F8B">
              <w:rPr>
                <w:iCs/>
                <w:sz w:val="28"/>
                <w:szCs w:val="28"/>
              </w:rPr>
              <w:t xml:space="preserve"> </w:t>
            </w:r>
            <w:r w:rsidRPr="008D2F8B">
              <w:rPr>
                <w:iCs/>
                <w:sz w:val="28"/>
                <w:szCs w:val="28"/>
              </w:rPr>
              <w:lastRenderedPageBreak/>
              <w:t>internetā, kā arī pēc izsludināšanas Valsts sekretāra sanāksmē</w:t>
            </w:r>
            <w:r w:rsidR="001E2063" w:rsidRPr="008D2F8B">
              <w:rPr>
                <w:iCs/>
                <w:sz w:val="28"/>
                <w:szCs w:val="28"/>
              </w:rPr>
              <w:t xml:space="preserve"> būs pieejams</w:t>
            </w:r>
            <w:r w:rsidRPr="008D2F8B">
              <w:rPr>
                <w:iCs/>
                <w:sz w:val="28"/>
                <w:szCs w:val="28"/>
              </w:rPr>
              <w:t xml:space="preserve"> Ministru kabineta </w:t>
            </w:r>
            <w:r w:rsidR="008D2F8B" w:rsidRPr="008D2F8B">
              <w:rPr>
                <w:iCs/>
                <w:sz w:val="28"/>
                <w:szCs w:val="28"/>
              </w:rPr>
              <w:t>mājās lapā</w:t>
            </w:r>
            <w:r w:rsidRPr="008D2F8B">
              <w:rPr>
                <w:iCs/>
                <w:sz w:val="28"/>
                <w:szCs w:val="28"/>
              </w:rPr>
              <w:t xml:space="preserve"> internetā.</w:t>
            </w:r>
          </w:p>
          <w:p w14:paraId="0B3E8FA2" w14:textId="6055401C" w:rsidR="008D2F8B" w:rsidRPr="008D2F8B" w:rsidRDefault="008D2F8B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t xml:space="preserve">Ministru kabineta 2009.gada 25.augusta noteikumu Nr.970 </w:t>
            </w:r>
            <w:r>
              <w:rPr>
                <w:iCs/>
                <w:sz w:val="28"/>
                <w:szCs w:val="28"/>
              </w:rPr>
              <w:t>„</w:t>
            </w:r>
            <w:r w:rsidRPr="008D2F8B">
              <w:rPr>
                <w:iCs/>
                <w:sz w:val="28"/>
                <w:szCs w:val="28"/>
              </w:rPr>
              <w:t>Sabiedrības līdzdalības kārtīb</w:t>
            </w:r>
            <w:r>
              <w:rPr>
                <w:iCs/>
                <w:sz w:val="28"/>
                <w:szCs w:val="28"/>
              </w:rPr>
              <w:t>a attīstības plānošanas procesā”</w:t>
            </w:r>
            <w:r w:rsidRPr="008D2F8B">
              <w:rPr>
                <w:iCs/>
                <w:sz w:val="28"/>
                <w:szCs w:val="28"/>
              </w:rPr>
              <w:t xml:space="preserve"> </w:t>
            </w:r>
            <w:r w:rsidRPr="004B28F2">
              <w:rPr>
                <w:iCs/>
                <w:sz w:val="28"/>
                <w:szCs w:val="28"/>
              </w:rPr>
              <w:t xml:space="preserve">13.punktā minētās darbības nav jāveic, jo noteikumu projektā paredzētais tiesiskais regulējums </w:t>
            </w:r>
            <w:r w:rsidR="00307723" w:rsidRPr="004B28F2">
              <w:rPr>
                <w:iCs/>
                <w:sz w:val="28"/>
                <w:szCs w:val="28"/>
              </w:rPr>
              <w:t xml:space="preserve">pēc būtības </w:t>
            </w:r>
            <w:r w:rsidRPr="004B28F2">
              <w:rPr>
                <w:iCs/>
                <w:sz w:val="28"/>
                <w:szCs w:val="28"/>
              </w:rPr>
              <w:t>nemaina līdzšinējo spēkā esošo regulējumu.</w:t>
            </w:r>
          </w:p>
        </w:tc>
      </w:tr>
      <w:tr w:rsidR="00CB1045" w:rsidRPr="008D2F8B" w14:paraId="2B7731E1" w14:textId="77777777" w:rsidTr="003C37CA">
        <w:trPr>
          <w:trHeight w:val="339"/>
          <w:jc w:val="center"/>
        </w:trPr>
        <w:tc>
          <w:tcPr>
            <w:tcW w:w="567" w:type="dxa"/>
          </w:tcPr>
          <w:p w14:paraId="28FC6533" w14:textId="16212843" w:rsidR="00CB1045" w:rsidRPr="008D2F8B" w:rsidRDefault="003C37CA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 </w:t>
            </w:r>
            <w:r w:rsidR="00CB1045" w:rsidRPr="008D2F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14:paraId="75C3154A" w14:textId="3CAD33DF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Sabiedrīb</w:t>
            </w:r>
            <w:r w:rsidR="00E01FE8" w:rsidRPr="008D2F8B">
              <w:rPr>
                <w:sz w:val="28"/>
                <w:szCs w:val="28"/>
              </w:rPr>
              <w:t>as līdzdalība projekta izstrādē</w:t>
            </w:r>
          </w:p>
        </w:tc>
        <w:tc>
          <w:tcPr>
            <w:tcW w:w="5457" w:type="dxa"/>
          </w:tcPr>
          <w:p w14:paraId="5814A7D3" w14:textId="51A6A33A" w:rsidR="00CB1045" w:rsidRPr="008D2F8B" w:rsidRDefault="001E2063" w:rsidP="00823F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Sabiedrības priekšlikumi vai iebildumi nav saņemti.</w:t>
            </w:r>
          </w:p>
        </w:tc>
      </w:tr>
      <w:tr w:rsidR="00CB1045" w:rsidRPr="008D2F8B" w14:paraId="0341816B" w14:textId="77777777" w:rsidTr="003C37CA">
        <w:trPr>
          <w:trHeight w:val="375"/>
          <w:jc w:val="center"/>
        </w:trPr>
        <w:tc>
          <w:tcPr>
            <w:tcW w:w="567" w:type="dxa"/>
          </w:tcPr>
          <w:p w14:paraId="16C1519E" w14:textId="111247EB" w:rsidR="00CB1045" w:rsidRPr="008D2F8B" w:rsidRDefault="003C37CA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 w:rsidR="00CB1045" w:rsidRPr="008D2F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14:paraId="1164DBD0" w14:textId="65FADB6C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</w:t>
            </w:r>
            <w:r w:rsidR="00E01FE8" w:rsidRPr="008D2F8B">
              <w:rPr>
                <w:sz w:val="28"/>
                <w:szCs w:val="28"/>
              </w:rPr>
              <w:t>biedrības līdzdalības rezultāti</w:t>
            </w:r>
          </w:p>
        </w:tc>
        <w:tc>
          <w:tcPr>
            <w:tcW w:w="5457" w:type="dxa"/>
          </w:tcPr>
          <w:p w14:paraId="655183FE" w14:textId="5BDC0406" w:rsidR="00CB1045" w:rsidRPr="008D2F8B" w:rsidRDefault="0024363B" w:rsidP="00823F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Sadaļa tiks precizēta</w:t>
            </w:r>
            <w:r w:rsidR="00E01FE8" w:rsidRPr="008D2F8B">
              <w:rPr>
                <w:sz w:val="28"/>
                <w:szCs w:val="28"/>
              </w:rPr>
              <w:t xml:space="preserve"> atbilstoši saņemtajiem atzinumiem.</w:t>
            </w:r>
          </w:p>
        </w:tc>
      </w:tr>
      <w:tr w:rsidR="00CB1045" w:rsidRPr="008D2F8B" w14:paraId="2BD70A24" w14:textId="77777777" w:rsidTr="003C37CA">
        <w:trPr>
          <w:trHeight w:val="476"/>
          <w:jc w:val="center"/>
        </w:trPr>
        <w:tc>
          <w:tcPr>
            <w:tcW w:w="567" w:type="dxa"/>
          </w:tcPr>
          <w:p w14:paraId="030E86B2" w14:textId="055DB0FB" w:rsidR="00CB1045" w:rsidRPr="008D2F8B" w:rsidRDefault="003C37CA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 w:rsidR="00134A1B" w:rsidRPr="008D2F8B">
              <w:rPr>
                <w:bCs/>
                <w:sz w:val="28"/>
                <w:szCs w:val="28"/>
              </w:rPr>
              <w:t>4</w:t>
            </w:r>
            <w:r w:rsidR="00CB1045" w:rsidRPr="008D2F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5F51FD35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Cita informācija</w:t>
            </w:r>
          </w:p>
        </w:tc>
        <w:tc>
          <w:tcPr>
            <w:tcW w:w="5457" w:type="dxa"/>
          </w:tcPr>
          <w:p w14:paraId="676BC0F9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Nav</w:t>
            </w:r>
          </w:p>
        </w:tc>
      </w:tr>
    </w:tbl>
    <w:p w14:paraId="7E496CD0" w14:textId="77777777" w:rsidR="006046DF" w:rsidRDefault="006046DF" w:rsidP="006046DF">
      <w:pPr>
        <w:pStyle w:val="naisf"/>
        <w:tabs>
          <w:tab w:val="left" w:pos="6710"/>
        </w:tabs>
        <w:spacing w:before="0" w:after="0"/>
        <w:ind w:left="57" w:right="57"/>
        <w:rPr>
          <w:sz w:val="28"/>
          <w:szCs w:val="28"/>
        </w:rPr>
      </w:pP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172"/>
        <w:gridCol w:w="5386"/>
      </w:tblGrid>
      <w:tr w:rsidR="006046DF" w:rsidRPr="006046DF" w14:paraId="71454722" w14:textId="77777777" w:rsidTr="003C37CA">
        <w:trPr>
          <w:trHeight w:val="65"/>
        </w:trPr>
        <w:tc>
          <w:tcPr>
            <w:tcW w:w="9072" w:type="dxa"/>
            <w:gridSpan w:val="3"/>
          </w:tcPr>
          <w:p w14:paraId="35D61736" w14:textId="524FA0FD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6046DF">
              <w:rPr>
                <w:b/>
                <w:sz w:val="28"/>
                <w:szCs w:val="28"/>
              </w:rPr>
              <w:t>VII.</w:t>
            </w:r>
            <w:r>
              <w:rPr>
                <w:b/>
                <w:sz w:val="28"/>
                <w:szCs w:val="28"/>
              </w:rPr>
              <w:t> </w:t>
            </w:r>
            <w:r w:rsidRPr="006046DF">
              <w:rPr>
                <w:b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6046DF" w:rsidRPr="006046DF" w14:paraId="3A1F6B2B" w14:textId="77777777" w:rsidTr="003C37CA">
        <w:trPr>
          <w:trHeight w:val="427"/>
        </w:trPr>
        <w:tc>
          <w:tcPr>
            <w:tcW w:w="514" w:type="dxa"/>
          </w:tcPr>
          <w:p w14:paraId="09C6DF5D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1.</w:t>
            </w:r>
          </w:p>
        </w:tc>
        <w:tc>
          <w:tcPr>
            <w:tcW w:w="3172" w:type="dxa"/>
          </w:tcPr>
          <w:p w14:paraId="2D739794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5386" w:type="dxa"/>
          </w:tcPr>
          <w:p w14:paraId="54757BE9" w14:textId="7CCD3CAD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Pašvaldības b</w:t>
            </w:r>
            <w:r w:rsidRPr="006046DF">
              <w:rPr>
                <w:bCs/>
                <w:sz w:val="28"/>
                <w:szCs w:val="28"/>
              </w:rPr>
              <w:t>ūvvaldes un institūcijas, kas kontrolē būvniecības</w:t>
            </w:r>
            <w:r w:rsidR="00BF43E7">
              <w:rPr>
                <w:bCs/>
                <w:sz w:val="28"/>
                <w:szCs w:val="28"/>
              </w:rPr>
              <w:t xml:space="preserve"> procesu, </w:t>
            </w:r>
            <w:r w:rsidR="00BF43E7" w:rsidRPr="00BF43E7">
              <w:rPr>
                <w:bCs/>
                <w:sz w:val="28"/>
                <w:szCs w:val="28"/>
              </w:rPr>
              <w:t>Valsts ugu</w:t>
            </w:r>
            <w:r w:rsidR="00BF43E7">
              <w:rPr>
                <w:bCs/>
                <w:sz w:val="28"/>
                <w:szCs w:val="28"/>
              </w:rPr>
              <w:t>nsdzēsības un glābšanas dienests.</w:t>
            </w:r>
          </w:p>
        </w:tc>
      </w:tr>
      <w:tr w:rsidR="006046DF" w:rsidRPr="006046DF" w14:paraId="293B190D" w14:textId="77777777" w:rsidTr="003C37CA">
        <w:trPr>
          <w:trHeight w:val="463"/>
        </w:trPr>
        <w:tc>
          <w:tcPr>
            <w:tcW w:w="514" w:type="dxa"/>
          </w:tcPr>
          <w:p w14:paraId="625F1C12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2.</w:t>
            </w:r>
          </w:p>
        </w:tc>
        <w:tc>
          <w:tcPr>
            <w:tcW w:w="3172" w:type="dxa"/>
          </w:tcPr>
          <w:p w14:paraId="76219793" w14:textId="77777777" w:rsid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Projekta izpildes ietekme uz pārvaldes funkcijām un institucionālo struktūru</w:t>
            </w:r>
            <w:r>
              <w:rPr>
                <w:sz w:val="28"/>
                <w:szCs w:val="28"/>
              </w:rPr>
              <w:t>.</w:t>
            </w:r>
          </w:p>
          <w:p w14:paraId="75C4DB5E" w14:textId="5D5B01BB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86" w:type="dxa"/>
          </w:tcPr>
          <w:p w14:paraId="1C209684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6046DF">
              <w:rPr>
                <w:bCs/>
                <w:sz w:val="28"/>
                <w:szCs w:val="28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</w:tc>
      </w:tr>
      <w:tr w:rsidR="006046DF" w:rsidRPr="006046DF" w14:paraId="25B83938" w14:textId="77777777" w:rsidTr="003C37CA">
        <w:trPr>
          <w:trHeight w:val="476"/>
        </w:trPr>
        <w:tc>
          <w:tcPr>
            <w:tcW w:w="514" w:type="dxa"/>
          </w:tcPr>
          <w:p w14:paraId="5B3CCC0E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3.</w:t>
            </w:r>
          </w:p>
        </w:tc>
        <w:tc>
          <w:tcPr>
            <w:tcW w:w="3172" w:type="dxa"/>
          </w:tcPr>
          <w:p w14:paraId="466D281A" w14:textId="77777777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6046DF">
              <w:rPr>
                <w:sz w:val="28"/>
                <w:szCs w:val="28"/>
              </w:rPr>
              <w:t> Cita informācija</w:t>
            </w:r>
          </w:p>
        </w:tc>
        <w:tc>
          <w:tcPr>
            <w:tcW w:w="5386" w:type="dxa"/>
          </w:tcPr>
          <w:p w14:paraId="64A84050" w14:textId="308EECDD" w:rsidR="006046DF" w:rsidRPr="006046DF" w:rsidRDefault="006046DF" w:rsidP="006046DF">
            <w:pPr>
              <w:pStyle w:val="naisf"/>
              <w:tabs>
                <w:tab w:val="left" w:pos="671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14:paraId="1228ADE1" w14:textId="1563B834" w:rsidR="00CB1045" w:rsidRPr="008D2F8B" w:rsidRDefault="00823F99" w:rsidP="00D56F0B">
      <w:pPr>
        <w:pStyle w:val="naisf"/>
        <w:tabs>
          <w:tab w:val="left" w:pos="6710"/>
        </w:tabs>
        <w:spacing w:before="120" w:after="240"/>
        <w:rPr>
          <w:sz w:val="28"/>
          <w:szCs w:val="28"/>
        </w:rPr>
      </w:pPr>
      <w:r w:rsidRPr="008D2F8B">
        <w:rPr>
          <w:sz w:val="28"/>
          <w:szCs w:val="28"/>
        </w:rPr>
        <w:t>Anotācijas III,</w:t>
      </w:r>
      <w:r w:rsidR="00405F26" w:rsidRPr="008D2F8B">
        <w:rPr>
          <w:sz w:val="28"/>
          <w:szCs w:val="28"/>
        </w:rPr>
        <w:t xml:space="preserve"> </w:t>
      </w:r>
      <w:r w:rsidR="00CB1045" w:rsidRPr="008D2F8B">
        <w:rPr>
          <w:sz w:val="28"/>
          <w:szCs w:val="28"/>
        </w:rPr>
        <w:t>IV</w:t>
      </w:r>
      <w:r w:rsidRPr="008D2F8B">
        <w:rPr>
          <w:sz w:val="28"/>
          <w:szCs w:val="28"/>
        </w:rPr>
        <w:t xml:space="preserve"> </w:t>
      </w:r>
      <w:r w:rsidR="006046DF" w:rsidRPr="008D2F8B">
        <w:rPr>
          <w:sz w:val="28"/>
          <w:szCs w:val="28"/>
        </w:rPr>
        <w:t xml:space="preserve">un </w:t>
      </w:r>
      <w:r w:rsidRPr="008D2F8B">
        <w:rPr>
          <w:sz w:val="28"/>
          <w:szCs w:val="28"/>
        </w:rPr>
        <w:t>V</w:t>
      </w:r>
      <w:r w:rsidR="002C5E42" w:rsidRPr="008D2F8B">
        <w:rPr>
          <w:sz w:val="28"/>
          <w:szCs w:val="28"/>
        </w:rPr>
        <w:t xml:space="preserve"> </w:t>
      </w:r>
      <w:r w:rsidR="00CB1045" w:rsidRPr="008D2F8B">
        <w:rPr>
          <w:sz w:val="28"/>
          <w:szCs w:val="28"/>
        </w:rPr>
        <w:t>sadaļa - projekts šīs jomas neskar.</w:t>
      </w:r>
    </w:p>
    <w:p w14:paraId="45A1BBB9" w14:textId="77777777" w:rsidR="00E943FB" w:rsidRPr="00E943FB" w:rsidRDefault="00E943FB" w:rsidP="00EE7504">
      <w:pPr>
        <w:spacing w:before="600"/>
        <w:jc w:val="both"/>
        <w:rPr>
          <w:sz w:val="28"/>
          <w:szCs w:val="28"/>
          <w:lang w:val="lv-LV"/>
        </w:rPr>
      </w:pPr>
      <w:r w:rsidRPr="00E943FB">
        <w:rPr>
          <w:sz w:val="28"/>
          <w:szCs w:val="28"/>
          <w:lang w:val="lv-LV"/>
        </w:rPr>
        <w:t xml:space="preserve">Ministru prezidenta biedrs, </w:t>
      </w:r>
    </w:p>
    <w:p w14:paraId="3DA35AC5" w14:textId="2C4E282C" w:rsidR="001D2BC9" w:rsidRPr="008D2F8B" w:rsidRDefault="00E943FB" w:rsidP="00E943FB">
      <w:pPr>
        <w:tabs>
          <w:tab w:val="left" w:pos="6804"/>
        </w:tabs>
        <w:jc w:val="both"/>
        <w:rPr>
          <w:bCs/>
          <w:sz w:val="28"/>
          <w:szCs w:val="28"/>
          <w:lang w:val="lv-LV"/>
        </w:rPr>
      </w:pPr>
      <w:r w:rsidRPr="00E943FB">
        <w:rPr>
          <w:sz w:val="28"/>
          <w:szCs w:val="28"/>
          <w:lang w:val="lv-LV"/>
        </w:rPr>
        <w:t>ekonomikas ministrs</w:t>
      </w:r>
      <w:r w:rsidR="001D2BC9" w:rsidRPr="008D2F8B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</w:t>
      </w:r>
      <w:r w:rsidRPr="00E943FB">
        <w:rPr>
          <w:sz w:val="28"/>
          <w:szCs w:val="28"/>
          <w:lang w:val="lv-LV"/>
        </w:rPr>
        <w:t>Ašeradens</w:t>
      </w:r>
      <w:proofErr w:type="spellEnd"/>
    </w:p>
    <w:p w14:paraId="3EDDFCBA" w14:textId="77777777" w:rsidR="00BB0512" w:rsidRDefault="00BB0512" w:rsidP="009801D3">
      <w:pPr>
        <w:pStyle w:val="Heading1"/>
        <w:ind w:left="0" w:right="-1" w:firstLine="0"/>
        <w:rPr>
          <w:szCs w:val="28"/>
        </w:rPr>
      </w:pPr>
    </w:p>
    <w:p w14:paraId="65353825" w14:textId="1992B59E" w:rsidR="00CB1045" w:rsidRPr="008D2F8B" w:rsidRDefault="00915E1B" w:rsidP="009801D3">
      <w:pPr>
        <w:pStyle w:val="Heading1"/>
        <w:ind w:left="0" w:right="-1" w:firstLine="0"/>
        <w:rPr>
          <w:szCs w:val="28"/>
        </w:rPr>
      </w:pPr>
      <w:r w:rsidRPr="008D2F8B">
        <w:rPr>
          <w:szCs w:val="28"/>
        </w:rPr>
        <w:t>V</w:t>
      </w:r>
      <w:r w:rsidR="00CB1045" w:rsidRPr="008D2F8B">
        <w:rPr>
          <w:szCs w:val="28"/>
        </w:rPr>
        <w:t>īza: Valsts sekretār</w:t>
      </w:r>
      <w:r w:rsidR="00E943FB">
        <w:rPr>
          <w:szCs w:val="28"/>
        </w:rPr>
        <w:t>s</w:t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657F7A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E943FB">
        <w:rPr>
          <w:szCs w:val="28"/>
        </w:rPr>
        <w:tab/>
      </w:r>
      <w:proofErr w:type="spellStart"/>
      <w:r w:rsidR="00A529BE" w:rsidRPr="008D2F8B">
        <w:rPr>
          <w:szCs w:val="28"/>
        </w:rPr>
        <w:t>J</w:t>
      </w:r>
      <w:r w:rsidR="00EC00BF" w:rsidRPr="008D2F8B">
        <w:rPr>
          <w:szCs w:val="28"/>
        </w:rPr>
        <w:t>.</w:t>
      </w:r>
      <w:r w:rsidR="00E943FB">
        <w:rPr>
          <w:szCs w:val="28"/>
        </w:rPr>
        <w:t>Stinka</w:t>
      </w:r>
      <w:proofErr w:type="spellEnd"/>
    </w:p>
    <w:p w14:paraId="45B7D5B5" w14:textId="77777777" w:rsidR="00BB0512" w:rsidRDefault="00BB0512" w:rsidP="009801D3">
      <w:pPr>
        <w:rPr>
          <w:sz w:val="20"/>
          <w:lang w:val="lv-LV"/>
        </w:rPr>
      </w:pPr>
    </w:p>
    <w:p w14:paraId="1D8D2BA4" w14:textId="77777777" w:rsidR="00E01FE8" w:rsidRPr="00C506A5" w:rsidRDefault="00E01FE8" w:rsidP="009801D3">
      <w:pPr>
        <w:rPr>
          <w:sz w:val="20"/>
          <w:lang w:val="lv-LV"/>
        </w:rPr>
      </w:pPr>
    </w:p>
    <w:p w14:paraId="48392AC3" w14:textId="0EF57162" w:rsidR="00CA1EEC" w:rsidRDefault="00251841" w:rsidP="009801D3">
      <w:pPr>
        <w:rPr>
          <w:sz w:val="20"/>
          <w:lang w:val="lv-LV"/>
        </w:rPr>
      </w:pPr>
      <w:r>
        <w:rPr>
          <w:sz w:val="20"/>
          <w:lang w:val="lv-LV"/>
        </w:rPr>
        <w:t>03</w:t>
      </w:r>
      <w:r w:rsidR="00E943FB">
        <w:rPr>
          <w:sz w:val="20"/>
          <w:lang w:val="lv-LV"/>
        </w:rPr>
        <w:t>.</w:t>
      </w:r>
      <w:r>
        <w:rPr>
          <w:sz w:val="20"/>
          <w:lang w:val="lv-LV"/>
        </w:rPr>
        <w:t>03</w:t>
      </w:r>
      <w:r w:rsidR="00EC00BF" w:rsidRPr="00CA1EEC">
        <w:rPr>
          <w:sz w:val="20"/>
          <w:lang w:val="lv-LV"/>
        </w:rPr>
        <w:t>.201</w:t>
      </w:r>
      <w:r>
        <w:rPr>
          <w:sz w:val="20"/>
          <w:lang w:val="lv-LV"/>
        </w:rPr>
        <w:t>7</w:t>
      </w:r>
      <w:r w:rsidR="00E943FB">
        <w:rPr>
          <w:sz w:val="20"/>
          <w:lang w:val="lv-LV"/>
        </w:rPr>
        <w:t>.</w:t>
      </w:r>
    </w:p>
    <w:p w14:paraId="542A501B" w14:textId="77777777" w:rsidR="00CA1EEC" w:rsidRDefault="00CA1EEC" w:rsidP="009801D3">
      <w:pPr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181A7F">
        <w:rPr>
          <w:noProof/>
          <w:sz w:val="20"/>
          <w:lang w:val="lv-LV"/>
        </w:rPr>
        <w:t>1077</w:t>
      </w:r>
      <w:r>
        <w:rPr>
          <w:sz w:val="20"/>
          <w:lang w:val="lv-LV"/>
        </w:rPr>
        <w:fldChar w:fldCharType="end"/>
      </w:r>
      <w:bookmarkStart w:id="5" w:name="_GoBack"/>
      <w:bookmarkEnd w:id="5"/>
    </w:p>
    <w:p w14:paraId="765010C5" w14:textId="77777777" w:rsidR="00CB1045" w:rsidRPr="00D56F0B" w:rsidRDefault="001D2BC9" w:rsidP="009801D3">
      <w:pPr>
        <w:rPr>
          <w:sz w:val="20"/>
          <w:lang w:val="lv-LV"/>
        </w:rPr>
      </w:pPr>
      <w:r>
        <w:rPr>
          <w:sz w:val="20"/>
          <w:lang w:val="lv-LV"/>
        </w:rPr>
        <w:t>E.</w:t>
      </w:r>
      <w:r w:rsidR="00665D97">
        <w:rPr>
          <w:sz w:val="20"/>
          <w:lang w:val="lv-LV"/>
        </w:rPr>
        <w:t>Avota</w:t>
      </w:r>
    </w:p>
    <w:p w14:paraId="78A04428" w14:textId="77777777" w:rsidR="00405F26" w:rsidRPr="00CA1EEC" w:rsidRDefault="00405F26" w:rsidP="00CB1045">
      <w:pPr>
        <w:rPr>
          <w:sz w:val="20"/>
          <w:lang w:val="lv-LV"/>
        </w:rPr>
      </w:pPr>
      <w:r w:rsidRPr="00D56F0B">
        <w:rPr>
          <w:sz w:val="20"/>
          <w:lang w:val="lv-LV"/>
        </w:rPr>
        <w:t>67013</w:t>
      </w:r>
      <w:r w:rsidR="00665D97">
        <w:rPr>
          <w:sz w:val="20"/>
          <w:lang w:val="lv-LV"/>
        </w:rPr>
        <w:t>262</w:t>
      </w:r>
      <w:r w:rsidR="00CB1045" w:rsidRPr="00D56F0B">
        <w:rPr>
          <w:sz w:val="20"/>
          <w:lang w:val="lv-LV"/>
        </w:rPr>
        <w:t>,</w:t>
      </w:r>
      <w:r w:rsidR="00CA1EEC">
        <w:rPr>
          <w:sz w:val="20"/>
          <w:lang w:val="lv-LV"/>
        </w:rPr>
        <w:t xml:space="preserve"> </w:t>
      </w:r>
      <w:hyperlink r:id="rId8" w:history="1">
        <w:r w:rsidR="00665D97" w:rsidRPr="005A476E">
          <w:rPr>
            <w:rStyle w:val="Hyperlink"/>
            <w:sz w:val="20"/>
            <w:lang w:val="lv-LV"/>
          </w:rPr>
          <w:t>Evija.Avota@em.gov.</w:t>
        </w:r>
      </w:hyperlink>
      <w:r w:rsidR="00EC00BF" w:rsidRPr="00CA1EEC">
        <w:rPr>
          <w:rStyle w:val="Hyperlink"/>
          <w:sz w:val="20"/>
          <w:lang w:val="lv-LV"/>
        </w:rPr>
        <w:t>lv</w:t>
      </w:r>
    </w:p>
    <w:sectPr w:rsidR="00405F26" w:rsidRPr="00CA1EEC" w:rsidSect="00FD2D5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4A2B" w14:textId="77777777" w:rsidR="007638BF" w:rsidRDefault="007638BF" w:rsidP="00D67C5B">
      <w:r>
        <w:separator/>
      </w:r>
    </w:p>
  </w:endnote>
  <w:endnote w:type="continuationSeparator" w:id="0">
    <w:p w14:paraId="10CAED33" w14:textId="77777777" w:rsidR="007638BF" w:rsidRDefault="007638BF" w:rsidP="00D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EA90" w14:textId="0C4076A8" w:rsidR="00727BC6" w:rsidRPr="00554C82" w:rsidRDefault="00554C82" w:rsidP="00CD5814">
    <w:pPr>
      <w:jc w:val="both"/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E85846" w:rsidRPr="00E85846">
      <w:rPr>
        <w:noProof/>
        <w:sz w:val="20"/>
        <w:lang w:val="lv-LV"/>
      </w:rPr>
      <w:t>EManot_030317_groz</w:t>
    </w:r>
    <w:r w:rsidR="00E85846">
      <w:rPr>
        <w:noProof/>
        <w:sz w:val="20"/>
        <w:lang w:val="de-DE"/>
      </w:rPr>
      <w:t xml:space="preserve"> LBN 201-15.docx</w:t>
    </w:r>
    <w:r w:rsidRPr="00554C82">
      <w:rPr>
        <w:noProof/>
        <w:sz w:val="20"/>
      </w:rPr>
      <w:fldChar w:fldCharType="end"/>
    </w:r>
    <w:r w:rsidRPr="00554C82">
      <w:rPr>
        <w:sz w:val="20"/>
        <w:lang w:val="lv-LV"/>
      </w:rPr>
      <w:t xml:space="preserve">; Ministru kabineta noteikumu projekta </w:t>
    </w:r>
    <w:r w:rsidR="00FA347E">
      <w:rPr>
        <w:sz w:val="20"/>
        <w:lang w:val="lv-LV"/>
      </w:rPr>
      <w:t>“Grozījumi Ministru kabineta 2015.gada 30.jūnija noteikumos Nr.333 “</w:t>
    </w:r>
    <w:r w:rsidRPr="00554C82">
      <w:rPr>
        <w:sz w:val="20"/>
        <w:lang w:val="lv-LV"/>
      </w:rPr>
      <w:t>Noteikumi par La</w:t>
    </w:r>
    <w:r w:rsidR="000715F6">
      <w:rPr>
        <w:sz w:val="20"/>
        <w:lang w:val="lv-LV"/>
      </w:rPr>
      <w:t>tvijas būvnormatīvu LBN 2</w:t>
    </w:r>
    <w:r w:rsidR="006046DF">
      <w:rPr>
        <w:sz w:val="20"/>
        <w:lang w:val="lv-LV"/>
      </w:rPr>
      <w:t>0</w:t>
    </w:r>
    <w:r w:rsidR="00BF43E7">
      <w:rPr>
        <w:sz w:val="20"/>
        <w:lang w:val="lv-LV"/>
      </w:rPr>
      <w:t>1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FA347E">
      <w:rPr>
        <w:sz w:val="20"/>
        <w:lang w:val="lv-LV"/>
      </w:rPr>
      <w:t xml:space="preserve"> “</w:t>
    </w:r>
    <w:r w:rsidR="00BF43E7">
      <w:rPr>
        <w:sz w:val="20"/>
        <w:lang w:val="lv-LV"/>
      </w:rPr>
      <w:t>Būvju ugunsdrošība</w:t>
    </w:r>
    <w:r w:rsidR="00CD5814">
      <w:rPr>
        <w:sz w:val="20"/>
        <w:lang w:val="lv-LV"/>
      </w:rPr>
      <w:t>”</w:t>
    </w:r>
    <w:r w:rsidRPr="00554C82">
      <w:rPr>
        <w:sz w:val="20"/>
        <w:lang w:val="lv-LV"/>
      </w:rPr>
      <w:t>”</w:t>
    </w:r>
    <w:r w:rsidR="00FA347E">
      <w:rPr>
        <w:sz w:val="20"/>
        <w:lang w:val="lv-LV"/>
      </w:rPr>
      <w:t>”</w:t>
    </w:r>
    <w:r w:rsidRPr="00554C82">
      <w:rPr>
        <w:sz w:val="20"/>
        <w:lang w:val="lv-LV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54C82">
        <w:rPr>
          <w:sz w:val="20"/>
          <w:lang w:val="lv-LV"/>
        </w:rPr>
        <w:t>ziņojums</w:t>
      </w:r>
    </w:smartTag>
    <w:r w:rsidRPr="00554C82">
      <w:rPr>
        <w:sz w:val="20"/>
        <w:lang w:val="lv-LV"/>
      </w:rPr>
      <w:t xml:space="preserve"> (</w:t>
    </w:r>
    <w:r w:rsidRPr="00554C82">
      <w:rPr>
        <w:bCs/>
        <w:sz w:val="20"/>
        <w:lang w:val="lv-LV"/>
      </w:rPr>
      <w:t>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CEFB" w14:textId="4F36A88B" w:rsidR="00727BC6" w:rsidRPr="00EE3404" w:rsidRDefault="00C506A5" w:rsidP="00EE3404">
    <w:pPr>
      <w:jc w:val="both"/>
      <w:rPr>
        <w:sz w:val="20"/>
        <w:lang w:val="lv-LV"/>
      </w:rPr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E85846" w:rsidRPr="00E85846">
      <w:rPr>
        <w:noProof/>
        <w:sz w:val="20"/>
        <w:lang w:val="lv-LV"/>
      </w:rPr>
      <w:t>EManot_030317_groz</w:t>
    </w:r>
    <w:r w:rsidR="00E85846">
      <w:rPr>
        <w:noProof/>
        <w:sz w:val="20"/>
        <w:lang w:val="de-DE"/>
      </w:rPr>
      <w:t xml:space="preserve"> LBN 201-15.docx</w:t>
    </w:r>
    <w:r w:rsidRPr="00554C82">
      <w:rPr>
        <w:noProof/>
        <w:sz w:val="20"/>
      </w:rPr>
      <w:fldChar w:fldCharType="end"/>
    </w:r>
    <w:r w:rsidR="00397953" w:rsidRPr="00554C82">
      <w:rPr>
        <w:sz w:val="20"/>
        <w:lang w:val="lv-LV"/>
      </w:rPr>
      <w:t xml:space="preserve">; </w:t>
    </w:r>
    <w:r w:rsidR="00554C82" w:rsidRPr="00554C82">
      <w:rPr>
        <w:sz w:val="20"/>
        <w:lang w:val="lv-LV"/>
      </w:rPr>
      <w:t>Ministru kabineta noteikumu projekta</w:t>
    </w:r>
    <w:r w:rsidR="00FA347E">
      <w:rPr>
        <w:sz w:val="20"/>
        <w:lang w:val="lv-LV"/>
      </w:rPr>
      <w:t xml:space="preserve"> “Grozījumi Ministru kabineta 2015.gada 30.jūnija noteikumos Nr.333 “</w:t>
    </w:r>
    <w:r w:rsidR="00554C82" w:rsidRPr="00554C82">
      <w:rPr>
        <w:sz w:val="20"/>
        <w:lang w:val="lv-LV"/>
      </w:rPr>
      <w:t>Noteikumi par La</w:t>
    </w:r>
    <w:r w:rsidR="000715F6">
      <w:rPr>
        <w:sz w:val="20"/>
        <w:lang w:val="lv-LV"/>
      </w:rPr>
      <w:t>tvijas būvnormatīvu LBN 2</w:t>
    </w:r>
    <w:r w:rsidR="006046DF">
      <w:rPr>
        <w:sz w:val="20"/>
        <w:lang w:val="lv-LV"/>
      </w:rPr>
      <w:t>0</w:t>
    </w:r>
    <w:r w:rsidR="00BF43E7">
      <w:rPr>
        <w:sz w:val="20"/>
        <w:lang w:val="lv-LV"/>
      </w:rPr>
      <w:t>1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FA347E">
      <w:rPr>
        <w:sz w:val="20"/>
        <w:lang w:val="lv-LV"/>
      </w:rPr>
      <w:t xml:space="preserve"> “</w:t>
    </w:r>
    <w:r w:rsidR="00BF43E7">
      <w:rPr>
        <w:sz w:val="20"/>
        <w:lang w:val="lv-LV"/>
      </w:rPr>
      <w:t>Būvju ugunsdrošība</w:t>
    </w:r>
    <w:r w:rsidR="00CD5814">
      <w:rPr>
        <w:sz w:val="20"/>
        <w:lang w:val="lv-LV"/>
      </w:rPr>
      <w:t>”</w:t>
    </w:r>
    <w:r w:rsidR="00554C82" w:rsidRPr="00554C82">
      <w:rPr>
        <w:sz w:val="20"/>
        <w:lang w:val="lv-LV"/>
      </w:rPr>
      <w:t>”</w:t>
    </w:r>
    <w:r w:rsidR="00FA347E">
      <w:rPr>
        <w:sz w:val="20"/>
        <w:lang w:val="lv-LV"/>
      </w:rPr>
      <w:t>”</w:t>
    </w:r>
    <w:r w:rsidR="00554C82" w:rsidRPr="00554C82">
      <w:rPr>
        <w:sz w:val="20"/>
        <w:lang w:val="lv-LV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554C82" w:rsidRPr="00554C82">
        <w:rPr>
          <w:sz w:val="20"/>
          <w:lang w:val="lv-LV"/>
        </w:rPr>
        <w:t>ziņojums</w:t>
      </w:r>
    </w:smartTag>
    <w:r w:rsidR="00554C82" w:rsidRPr="00554C82">
      <w:rPr>
        <w:sz w:val="20"/>
        <w:lang w:val="lv-LV"/>
      </w:rPr>
      <w:t xml:space="preserve"> (</w:t>
    </w:r>
    <w:r w:rsidR="00554C82" w:rsidRPr="00554C82">
      <w:rPr>
        <w:bCs/>
        <w:sz w:val="20"/>
        <w:lang w:val="lv-LV"/>
      </w:rPr>
      <w:t>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4F0B" w14:textId="77777777" w:rsidR="007638BF" w:rsidRDefault="007638BF" w:rsidP="00D67C5B">
      <w:r>
        <w:separator/>
      </w:r>
    </w:p>
  </w:footnote>
  <w:footnote w:type="continuationSeparator" w:id="0">
    <w:p w14:paraId="6323B75F" w14:textId="77777777" w:rsidR="007638BF" w:rsidRDefault="007638BF" w:rsidP="00D6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0C1D" w14:textId="77777777" w:rsidR="00727BC6" w:rsidRDefault="00880A00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39795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81A7F">
      <w:rPr>
        <w:noProof/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1A4"/>
    <w:multiLevelType w:val="hybridMultilevel"/>
    <w:tmpl w:val="A36E48EE"/>
    <w:lvl w:ilvl="0" w:tplc="CE00661E">
      <w:start w:val="1"/>
      <w:numFmt w:val="decimal"/>
      <w:lvlText w:val="%1)"/>
      <w:lvlJc w:val="left"/>
      <w:pPr>
        <w:ind w:left="777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B1A0CE4"/>
    <w:multiLevelType w:val="hybridMultilevel"/>
    <w:tmpl w:val="BECC3EE0"/>
    <w:lvl w:ilvl="0" w:tplc="23DAD2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29D63F3"/>
    <w:multiLevelType w:val="hybridMultilevel"/>
    <w:tmpl w:val="8AAEB8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BCF"/>
    <w:multiLevelType w:val="hybridMultilevel"/>
    <w:tmpl w:val="8832611A"/>
    <w:lvl w:ilvl="0" w:tplc="CE00661E">
      <w:start w:val="1"/>
      <w:numFmt w:val="decimal"/>
      <w:lvlText w:val="%1)"/>
      <w:lvlJc w:val="left"/>
      <w:pPr>
        <w:ind w:left="417" w:hanging="360"/>
      </w:pPr>
      <w:rPr>
        <w:rFonts w:hint="default"/>
        <w:color w:val="2A2A2A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45"/>
    <w:rsid w:val="0001693A"/>
    <w:rsid w:val="00045666"/>
    <w:rsid w:val="00054EDC"/>
    <w:rsid w:val="00056108"/>
    <w:rsid w:val="00067B4A"/>
    <w:rsid w:val="000715F6"/>
    <w:rsid w:val="0008323A"/>
    <w:rsid w:val="00090F9E"/>
    <w:rsid w:val="000A2718"/>
    <w:rsid w:val="000C0C4F"/>
    <w:rsid w:val="000E2F9B"/>
    <w:rsid w:val="000E4A1A"/>
    <w:rsid w:val="000F7F88"/>
    <w:rsid w:val="00102A75"/>
    <w:rsid w:val="00116151"/>
    <w:rsid w:val="001214CA"/>
    <w:rsid w:val="0012507F"/>
    <w:rsid w:val="00134A1B"/>
    <w:rsid w:val="001502AC"/>
    <w:rsid w:val="00152866"/>
    <w:rsid w:val="0015505C"/>
    <w:rsid w:val="00181A7F"/>
    <w:rsid w:val="00185112"/>
    <w:rsid w:val="001B00AD"/>
    <w:rsid w:val="001B1B2C"/>
    <w:rsid w:val="001B51FA"/>
    <w:rsid w:val="001B5B02"/>
    <w:rsid w:val="001D2BC9"/>
    <w:rsid w:val="001E2063"/>
    <w:rsid w:val="001E35CC"/>
    <w:rsid w:val="001F6ABB"/>
    <w:rsid w:val="00202544"/>
    <w:rsid w:val="00210435"/>
    <w:rsid w:val="00222F62"/>
    <w:rsid w:val="00242803"/>
    <w:rsid w:val="0024363B"/>
    <w:rsid w:val="00251841"/>
    <w:rsid w:val="00281AA6"/>
    <w:rsid w:val="002A508F"/>
    <w:rsid w:val="002B3183"/>
    <w:rsid w:val="002C424E"/>
    <w:rsid w:val="002C5E42"/>
    <w:rsid w:val="002D1F25"/>
    <w:rsid w:val="002E22DD"/>
    <w:rsid w:val="00307723"/>
    <w:rsid w:val="00323013"/>
    <w:rsid w:val="00324521"/>
    <w:rsid w:val="00340ECD"/>
    <w:rsid w:val="00342858"/>
    <w:rsid w:val="00344148"/>
    <w:rsid w:val="003444A9"/>
    <w:rsid w:val="003451F8"/>
    <w:rsid w:val="00345397"/>
    <w:rsid w:val="00352FFE"/>
    <w:rsid w:val="00357877"/>
    <w:rsid w:val="00366A5B"/>
    <w:rsid w:val="00377A60"/>
    <w:rsid w:val="00377AB1"/>
    <w:rsid w:val="00397953"/>
    <w:rsid w:val="003B18F8"/>
    <w:rsid w:val="003C37CA"/>
    <w:rsid w:val="003C502B"/>
    <w:rsid w:val="003E0046"/>
    <w:rsid w:val="003E75E0"/>
    <w:rsid w:val="003F010D"/>
    <w:rsid w:val="003F68E1"/>
    <w:rsid w:val="00405F26"/>
    <w:rsid w:val="0043104F"/>
    <w:rsid w:val="004579C9"/>
    <w:rsid w:val="00462559"/>
    <w:rsid w:val="004658B2"/>
    <w:rsid w:val="00473394"/>
    <w:rsid w:val="00474D14"/>
    <w:rsid w:val="00477AED"/>
    <w:rsid w:val="00495332"/>
    <w:rsid w:val="00496B5D"/>
    <w:rsid w:val="004A01F9"/>
    <w:rsid w:val="004A56A5"/>
    <w:rsid w:val="004B28F2"/>
    <w:rsid w:val="004B3BE3"/>
    <w:rsid w:val="004D0634"/>
    <w:rsid w:val="004E05C0"/>
    <w:rsid w:val="004E393B"/>
    <w:rsid w:val="004F2222"/>
    <w:rsid w:val="005026B9"/>
    <w:rsid w:val="00513399"/>
    <w:rsid w:val="00520001"/>
    <w:rsid w:val="0052447E"/>
    <w:rsid w:val="005255DB"/>
    <w:rsid w:val="00531B44"/>
    <w:rsid w:val="00531D87"/>
    <w:rsid w:val="005358E8"/>
    <w:rsid w:val="00542A68"/>
    <w:rsid w:val="00554C82"/>
    <w:rsid w:val="005636C2"/>
    <w:rsid w:val="005761CE"/>
    <w:rsid w:val="00591052"/>
    <w:rsid w:val="005B28FA"/>
    <w:rsid w:val="005C54D9"/>
    <w:rsid w:val="005D785F"/>
    <w:rsid w:val="005E79AF"/>
    <w:rsid w:val="005E7AA7"/>
    <w:rsid w:val="006046DF"/>
    <w:rsid w:val="0060490E"/>
    <w:rsid w:val="00605028"/>
    <w:rsid w:val="006109A9"/>
    <w:rsid w:val="00613159"/>
    <w:rsid w:val="00613F05"/>
    <w:rsid w:val="00637163"/>
    <w:rsid w:val="006478FC"/>
    <w:rsid w:val="00657F7A"/>
    <w:rsid w:val="00665D97"/>
    <w:rsid w:val="00674C8C"/>
    <w:rsid w:val="0069333F"/>
    <w:rsid w:val="006A757C"/>
    <w:rsid w:val="006A7FBC"/>
    <w:rsid w:val="006B5945"/>
    <w:rsid w:val="006C364B"/>
    <w:rsid w:val="006E1C3A"/>
    <w:rsid w:val="00711831"/>
    <w:rsid w:val="00727AA6"/>
    <w:rsid w:val="007425DC"/>
    <w:rsid w:val="0075550C"/>
    <w:rsid w:val="00761BAC"/>
    <w:rsid w:val="007638BF"/>
    <w:rsid w:val="007645CF"/>
    <w:rsid w:val="00777868"/>
    <w:rsid w:val="007865FA"/>
    <w:rsid w:val="007A10B8"/>
    <w:rsid w:val="007C5402"/>
    <w:rsid w:val="007E099F"/>
    <w:rsid w:val="007E1684"/>
    <w:rsid w:val="007E25C6"/>
    <w:rsid w:val="007F450D"/>
    <w:rsid w:val="0080745A"/>
    <w:rsid w:val="00823F99"/>
    <w:rsid w:val="0084637B"/>
    <w:rsid w:val="008468DE"/>
    <w:rsid w:val="00857553"/>
    <w:rsid w:val="00862F0A"/>
    <w:rsid w:val="00872023"/>
    <w:rsid w:val="00877A41"/>
    <w:rsid w:val="00877C4B"/>
    <w:rsid w:val="00880A00"/>
    <w:rsid w:val="00882A82"/>
    <w:rsid w:val="00897CDA"/>
    <w:rsid w:val="008B05C1"/>
    <w:rsid w:val="008C682C"/>
    <w:rsid w:val="008D2F8B"/>
    <w:rsid w:val="008D61B1"/>
    <w:rsid w:val="008E15AC"/>
    <w:rsid w:val="008F29B8"/>
    <w:rsid w:val="00901EB2"/>
    <w:rsid w:val="00902247"/>
    <w:rsid w:val="00902439"/>
    <w:rsid w:val="00903340"/>
    <w:rsid w:val="00907CCE"/>
    <w:rsid w:val="00915E1B"/>
    <w:rsid w:val="009229F0"/>
    <w:rsid w:val="00945A39"/>
    <w:rsid w:val="00950C53"/>
    <w:rsid w:val="00951309"/>
    <w:rsid w:val="00953126"/>
    <w:rsid w:val="009539AC"/>
    <w:rsid w:val="00963803"/>
    <w:rsid w:val="009711E6"/>
    <w:rsid w:val="009801D3"/>
    <w:rsid w:val="009801F3"/>
    <w:rsid w:val="00993D12"/>
    <w:rsid w:val="009A2E1F"/>
    <w:rsid w:val="009C7702"/>
    <w:rsid w:val="009D6DB6"/>
    <w:rsid w:val="009E3F40"/>
    <w:rsid w:val="009F0C76"/>
    <w:rsid w:val="00A529BE"/>
    <w:rsid w:val="00A71C5B"/>
    <w:rsid w:val="00A74945"/>
    <w:rsid w:val="00AA3398"/>
    <w:rsid w:val="00AD255A"/>
    <w:rsid w:val="00AD410A"/>
    <w:rsid w:val="00AD4DF6"/>
    <w:rsid w:val="00AE6B99"/>
    <w:rsid w:val="00AE7900"/>
    <w:rsid w:val="00AF343B"/>
    <w:rsid w:val="00AF38AB"/>
    <w:rsid w:val="00B01BBA"/>
    <w:rsid w:val="00B5774C"/>
    <w:rsid w:val="00B64592"/>
    <w:rsid w:val="00B64A88"/>
    <w:rsid w:val="00B72B5E"/>
    <w:rsid w:val="00B80354"/>
    <w:rsid w:val="00BB0512"/>
    <w:rsid w:val="00BB54DB"/>
    <w:rsid w:val="00BC5094"/>
    <w:rsid w:val="00BD68E8"/>
    <w:rsid w:val="00BF0F20"/>
    <w:rsid w:val="00BF43E7"/>
    <w:rsid w:val="00BF6C40"/>
    <w:rsid w:val="00C033BA"/>
    <w:rsid w:val="00C23BDC"/>
    <w:rsid w:val="00C24793"/>
    <w:rsid w:val="00C2565A"/>
    <w:rsid w:val="00C30F02"/>
    <w:rsid w:val="00C506A5"/>
    <w:rsid w:val="00C5525E"/>
    <w:rsid w:val="00C653BF"/>
    <w:rsid w:val="00C656F8"/>
    <w:rsid w:val="00C75EC4"/>
    <w:rsid w:val="00C7634D"/>
    <w:rsid w:val="00C87CF6"/>
    <w:rsid w:val="00CA1EEC"/>
    <w:rsid w:val="00CA3818"/>
    <w:rsid w:val="00CA6A8D"/>
    <w:rsid w:val="00CB1045"/>
    <w:rsid w:val="00CB2247"/>
    <w:rsid w:val="00CD248D"/>
    <w:rsid w:val="00CD5814"/>
    <w:rsid w:val="00CE7373"/>
    <w:rsid w:val="00D11810"/>
    <w:rsid w:val="00D14598"/>
    <w:rsid w:val="00D24971"/>
    <w:rsid w:val="00D51D71"/>
    <w:rsid w:val="00D56F0B"/>
    <w:rsid w:val="00D67C5B"/>
    <w:rsid w:val="00D74381"/>
    <w:rsid w:val="00D813D1"/>
    <w:rsid w:val="00D86BD1"/>
    <w:rsid w:val="00D90A43"/>
    <w:rsid w:val="00DC7450"/>
    <w:rsid w:val="00DF1280"/>
    <w:rsid w:val="00E01FE8"/>
    <w:rsid w:val="00E26431"/>
    <w:rsid w:val="00E27FA5"/>
    <w:rsid w:val="00E47AE8"/>
    <w:rsid w:val="00E67A92"/>
    <w:rsid w:val="00E846F7"/>
    <w:rsid w:val="00E85757"/>
    <w:rsid w:val="00E85846"/>
    <w:rsid w:val="00E943FB"/>
    <w:rsid w:val="00EA151E"/>
    <w:rsid w:val="00EB0FC7"/>
    <w:rsid w:val="00EC00BF"/>
    <w:rsid w:val="00EC0767"/>
    <w:rsid w:val="00ED7DC3"/>
    <w:rsid w:val="00EE7504"/>
    <w:rsid w:val="00EF36D4"/>
    <w:rsid w:val="00F04374"/>
    <w:rsid w:val="00F04C47"/>
    <w:rsid w:val="00F0633C"/>
    <w:rsid w:val="00F2402A"/>
    <w:rsid w:val="00F3792B"/>
    <w:rsid w:val="00F45266"/>
    <w:rsid w:val="00F45B83"/>
    <w:rsid w:val="00F47D5A"/>
    <w:rsid w:val="00F83F05"/>
    <w:rsid w:val="00F87A29"/>
    <w:rsid w:val="00F979B5"/>
    <w:rsid w:val="00FA347E"/>
    <w:rsid w:val="00FA3AC8"/>
    <w:rsid w:val="00FA7F58"/>
    <w:rsid w:val="00FC08D1"/>
    <w:rsid w:val="00FE5DC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3B6140"/>
  <w15:docId w15:val="{DE421E69-F4A7-4104-A5A7-79718942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5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5C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7865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DB24-8EE3-4B7D-9F02-174AEFE2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1093</Words>
  <Characters>7950</Characters>
  <Application>Microsoft Office Word</Application>
  <DocSecurity>0</DocSecurity>
  <Lines>274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201-15</vt:lpstr>
    </vt:vector>
  </TitlesOfParts>
  <Company>EM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201-15</dc:title>
  <dc:subject>Anotācija</dc:subject>
  <dc:creator>Avota</dc:creator>
  <dc:description>67013262, Evija.Avota@em.gov.lv</dc:description>
  <cp:lastModifiedBy>Evija Avota</cp:lastModifiedBy>
  <cp:revision>4</cp:revision>
  <cp:lastPrinted>2016-12-19T09:35:00Z</cp:lastPrinted>
  <dcterms:created xsi:type="dcterms:W3CDTF">2017-03-03T10:31:00Z</dcterms:created>
  <dcterms:modified xsi:type="dcterms:W3CDTF">2017-03-03T13:44:00Z</dcterms:modified>
</cp:coreProperties>
</file>