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FB" w:rsidRPr="00E547C1" w:rsidRDefault="00F031FB" w:rsidP="00F031FB">
      <w:pPr>
        <w:jc w:val="center"/>
        <w:rPr>
          <w:bCs/>
          <w:sz w:val="28"/>
        </w:rPr>
      </w:pPr>
      <w:bookmarkStart w:id="0" w:name="_GoBack"/>
      <w:bookmarkEnd w:id="0"/>
      <w:r w:rsidRPr="00E547C1">
        <w:rPr>
          <w:b/>
          <w:sz w:val="28"/>
        </w:rPr>
        <w:t xml:space="preserve">Likumprojekta </w:t>
      </w:r>
      <w:r w:rsidR="00D73EB0" w:rsidRPr="00E547C1">
        <w:rPr>
          <w:b/>
          <w:sz w:val="28"/>
        </w:rPr>
        <w:t>"</w:t>
      </w:r>
      <w:r w:rsidR="009B42E5" w:rsidRPr="00E547C1">
        <w:rPr>
          <w:b/>
          <w:sz w:val="28"/>
        </w:rPr>
        <w:t>Grozījum</w:t>
      </w:r>
      <w:r w:rsidR="00887A21" w:rsidRPr="00E547C1">
        <w:rPr>
          <w:b/>
          <w:sz w:val="28"/>
        </w:rPr>
        <w:t>i</w:t>
      </w:r>
      <w:r w:rsidR="009B42E5" w:rsidRPr="00E547C1">
        <w:rPr>
          <w:b/>
          <w:sz w:val="28"/>
        </w:rPr>
        <w:t xml:space="preserve"> </w:t>
      </w:r>
      <w:r w:rsidR="00E866EA" w:rsidRPr="00E547C1">
        <w:rPr>
          <w:b/>
          <w:sz w:val="28"/>
        </w:rPr>
        <w:t>Kredītu reģistra likumā</w:t>
      </w:r>
      <w:r w:rsidR="009B42E5" w:rsidRPr="00E547C1">
        <w:rPr>
          <w:b/>
          <w:sz w:val="28"/>
        </w:rPr>
        <w:t>"</w:t>
      </w:r>
      <w:r w:rsidRPr="00E547C1">
        <w:rPr>
          <w:b/>
          <w:sz w:val="28"/>
        </w:rPr>
        <w:t xml:space="preserve"> </w:t>
      </w:r>
      <w:r w:rsidRPr="00E547C1">
        <w:rPr>
          <w:b/>
          <w:bCs/>
          <w:sz w:val="28"/>
        </w:rPr>
        <w:t>sākotnējās ietekmes novērtējuma ziņojums (anotācija)</w:t>
      </w:r>
    </w:p>
    <w:p w:rsidR="001B71CD" w:rsidRPr="00E547C1" w:rsidRDefault="001B71CD" w:rsidP="001B71CD">
      <w:pPr>
        <w:jc w:val="center"/>
        <w:rPr>
          <w:b/>
        </w:rPr>
      </w:pP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1440"/>
        <w:gridCol w:w="7371"/>
      </w:tblGrid>
      <w:tr w:rsidR="00E547C1" w:rsidRPr="00E547C1" w:rsidTr="00E03666">
        <w:tc>
          <w:tcPr>
            <w:tcW w:w="9498" w:type="dxa"/>
            <w:gridSpan w:val="3"/>
            <w:vAlign w:val="center"/>
          </w:tcPr>
          <w:p w:rsidR="00852042" w:rsidRPr="00E547C1" w:rsidRDefault="00852042" w:rsidP="006C4607">
            <w:pPr>
              <w:pStyle w:val="naisnod"/>
              <w:spacing w:before="0" w:after="0"/>
            </w:pPr>
            <w:r w:rsidRPr="00E547C1">
              <w:t>I</w:t>
            </w:r>
            <w:r w:rsidR="000941C5" w:rsidRPr="00E547C1">
              <w:t>.</w:t>
            </w:r>
            <w:r w:rsidRPr="00E547C1">
              <w:t xml:space="preserve"> Tiesību akta </w:t>
            </w:r>
            <w:r w:rsidR="002E3FF4" w:rsidRPr="00E547C1">
              <w:t xml:space="preserve">projekta </w:t>
            </w:r>
            <w:r w:rsidRPr="00E547C1">
              <w:t>izstrādes nepieciešamība</w:t>
            </w:r>
          </w:p>
        </w:tc>
      </w:tr>
      <w:tr w:rsidR="00E547C1" w:rsidRPr="00E547C1" w:rsidTr="00E03666">
        <w:trPr>
          <w:trHeight w:val="630"/>
        </w:trPr>
        <w:tc>
          <w:tcPr>
            <w:tcW w:w="687" w:type="dxa"/>
          </w:tcPr>
          <w:p w:rsidR="00262E2B" w:rsidRPr="00E547C1" w:rsidRDefault="00262E2B" w:rsidP="0047074D">
            <w:pPr>
              <w:pStyle w:val="naiskr"/>
              <w:spacing w:before="0" w:after="0"/>
            </w:pPr>
            <w:r w:rsidRPr="00E547C1">
              <w:t>1.</w:t>
            </w:r>
          </w:p>
        </w:tc>
        <w:tc>
          <w:tcPr>
            <w:tcW w:w="1440" w:type="dxa"/>
          </w:tcPr>
          <w:p w:rsidR="00262E2B" w:rsidRPr="00E547C1" w:rsidRDefault="002D7F54" w:rsidP="0047074D">
            <w:pPr>
              <w:pStyle w:val="naiskr"/>
              <w:spacing w:before="0" w:after="0"/>
              <w:ind w:hanging="10"/>
            </w:pPr>
            <w:r w:rsidRPr="00E547C1">
              <w:t>Pamatojums</w:t>
            </w:r>
          </w:p>
        </w:tc>
        <w:tc>
          <w:tcPr>
            <w:tcW w:w="7371" w:type="dxa"/>
          </w:tcPr>
          <w:p w:rsidR="00EF6A9B" w:rsidRPr="005F79EF" w:rsidRDefault="00EF6A9B" w:rsidP="00D401F8">
            <w:pPr>
              <w:spacing w:before="120" w:after="120"/>
              <w:jc w:val="both"/>
            </w:pPr>
            <w:r w:rsidRPr="005F79EF">
              <w:t>Likumprojekts "Grozījumi Kredītu reģistra likumā" (turpmāk – likumprojekts) izstrādāts, lai:</w:t>
            </w:r>
            <w:r w:rsidR="00827D03">
              <w:t xml:space="preserve"> </w:t>
            </w:r>
          </w:p>
          <w:p w:rsidR="00445988" w:rsidRPr="005F79EF" w:rsidRDefault="00BC369D" w:rsidP="00255591">
            <w:pPr>
              <w:pStyle w:val="ListParagraph"/>
              <w:numPr>
                <w:ilvl w:val="0"/>
                <w:numId w:val="27"/>
              </w:numPr>
              <w:spacing w:before="120" w:after="120" w:line="240" w:lineRule="auto"/>
              <w:jc w:val="both"/>
              <w:rPr>
                <w:rFonts w:ascii="Times New Roman" w:hAnsi="Times New Roman"/>
                <w:sz w:val="24"/>
                <w:szCs w:val="24"/>
              </w:rPr>
            </w:pPr>
            <w:r w:rsidRPr="005F79EF">
              <w:rPr>
                <w:rFonts w:ascii="Times New Roman" w:hAnsi="Times New Roman"/>
                <w:sz w:val="24"/>
                <w:szCs w:val="24"/>
              </w:rPr>
              <w:t>nodrošināt</w:t>
            </w:r>
            <w:r w:rsidR="0031105D" w:rsidRPr="005F79EF">
              <w:rPr>
                <w:rFonts w:ascii="Times New Roman" w:hAnsi="Times New Roman"/>
                <w:sz w:val="24"/>
                <w:szCs w:val="24"/>
              </w:rPr>
              <w:t>u</w:t>
            </w:r>
            <w:r w:rsidRPr="005F79EF">
              <w:rPr>
                <w:rFonts w:ascii="Times New Roman" w:hAnsi="Times New Roman"/>
                <w:sz w:val="24"/>
                <w:szCs w:val="24"/>
              </w:rPr>
              <w:t xml:space="preserve"> Eiropas Centrālās bankas 2016.gada 18.maija regulas </w:t>
            </w:r>
            <w:r w:rsidR="000D4847" w:rsidRPr="005F79EF">
              <w:rPr>
                <w:rFonts w:ascii="Times New Roman" w:hAnsi="Times New Roman"/>
                <w:sz w:val="24"/>
                <w:szCs w:val="24"/>
              </w:rPr>
              <w:t>(</w:t>
            </w:r>
            <w:r w:rsidRPr="005F79EF">
              <w:rPr>
                <w:rFonts w:ascii="Times New Roman" w:hAnsi="Times New Roman"/>
                <w:sz w:val="24"/>
                <w:szCs w:val="24"/>
              </w:rPr>
              <w:t>E</w:t>
            </w:r>
            <w:r w:rsidR="000D4847" w:rsidRPr="005F79EF">
              <w:rPr>
                <w:rFonts w:ascii="Times New Roman" w:hAnsi="Times New Roman"/>
                <w:sz w:val="24"/>
                <w:szCs w:val="24"/>
              </w:rPr>
              <w:t xml:space="preserve">S) </w:t>
            </w:r>
            <w:r w:rsidRPr="005F79EF">
              <w:rPr>
                <w:rFonts w:ascii="Times New Roman" w:hAnsi="Times New Roman"/>
                <w:sz w:val="24"/>
                <w:szCs w:val="24"/>
              </w:rPr>
              <w:t>2016/</w:t>
            </w:r>
            <w:r w:rsidR="000D4847" w:rsidRPr="005F79EF">
              <w:rPr>
                <w:rFonts w:ascii="Times New Roman" w:hAnsi="Times New Roman"/>
                <w:sz w:val="24"/>
                <w:szCs w:val="24"/>
              </w:rPr>
              <w:t>867</w:t>
            </w:r>
            <w:r w:rsidRPr="005F79EF">
              <w:rPr>
                <w:rFonts w:ascii="Times New Roman" w:hAnsi="Times New Roman"/>
                <w:sz w:val="24"/>
                <w:szCs w:val="24"/>
              </w:rPr>
              <w:t xml:space="preserve"> par kredītu un kredītriska mikrodatu vākšanu (ECB/2016/13; t</w:t>
            </w:r>
            <w:r w:rsidR="00E83A97" w:rsidRPr="005F79EF">
              <w:rPr>
                <w:rFonts w:ascii="Times New Roman" w:hAnsi="Times New Roman"/>
                <w:sz w:val="24"/>
                <w:szCs w:val="24"/>
              </w:rPr>
              <w:t>urpmāk</w:t>
            </w:r>
            <w:r w:rsidRPr="005F79EF">
              <w:rPr>
                <w:rFonts w:ascii="Times New Roman" w:hAnsi="Times New Roman"/>
                <w:sz w:val="24"/>
                <w:szCs w:val="24"/>
              </w:rPr>
              <w:t xml:space="preserve"> – Regula) prasību izpildi</w:t>
            </w:r>
            <w:r w:rsidR="00445988" w:rsidRPr="005F79EF">
              <w:rPr>
                <w:rFonts w:ascii="Times New Roman" w:hAnsi="Times New Roman"/>
                <w:sz w:val="24"/>
                <w:szCs w:val="24"/>
              </w:rPr>
              <w:t xml:space="preserve"> un</w:t>
            </w:r>
            <w:r w:rsidR="008E54D9">
              <w:rPr>
                <w:rFonts w:ascii="Times New Roman" w:hAnsi="Times New Roman"/>
                <w:sz w:val="24"/>
                <w:szCs w:val="24"/>
              </w:rPr>
              <w:t xml:space="preserve"> </w:t>
            </w:r>
          </w:p>
          <w:p w:rsidR="00445988" w:rsidRPr="005F79EF" w:rsidRDefault="00445988" w:rsidP="00255591">
            <w:pPr>
              <w:pStyle w:val="ListParagraph"/>
              <w:numPr>
                <w:ilvl w:val="0"/>
                <w:numId w:val="27"/>
              </w:numPr>
              <w:spacing w:before="120" w:after="120" w:line="240" w:lineRule="auto"/>
              <w:jc w:val="both"/>
              <w:rPr>
                <w:rFonts w:ascii="Times New Roman" w:hAnsi="Times New Roman"/>
                <w:sz w:val="24"/>
                <w:szCs w:val="24"/>
              </w:rPr>
            </w:pPr>
            <w:r w:rsidRPr="005F79EF">
              <w:rPr>
                <w:rFonts w:ascii="Times New Roman" w:hAnsi="Times New Roman"/>
                <w:sz w:val="24"/>
                <w:szCs w:val="24"/>
              </w:rPr>
              <w:t>pilnveidotu Kredītu reģistru kā</w:t>
            </w:r>
            <w:r w:rsidR="00CB075A">
              <w:rPr>
                <w:rFonts w:ascii="Times New Roman" w:hAnsi="Times New Roman"/>
                <w:sz w:val="24"/>
                <w:szCs w:val="24"/>
              </w:rPr>
              <w:t xml:space="preserve"> </w:t>
            </w:r>
            <w:r w:rsidR="00E114F5">
              <w:rPr>
                <w:rFonts w:ascii="Times New Roman" w:hAnsi="Times New Roman"/>
                <w:sz w:val="24"/>
                <w:szCs w:val="24"/>
              </w:rPr>
              <w:t>informācijas avotu</w:t>
            </w:r>
            <w:r w:rsidR="00E114F5" w:rsidRPr="005F79EF">
              <w:rPr>
                <w:rFonts w:ascii="Times New Roman" w:hAnsi="Times New Roman"/>
                <w:sz w:val="24"/>
                <w:szCs w:val="24"/>
              </w:rPr>
              <w:t xml:space="preserve"> </w:t>
            </w:r>
            <w:r w:rsidRPr="005F79EF">
              <w:rPr>
                <w:rFonts w:ascii="Times New Roman" w:hAnsi="Times New Roman"/>
                <w:sz w:val="24"/>
                <w:szCs w:val="24"/>
              </w:rPr>
              <w:t>personu kredītspējas vērtēšan</w:t>
            </w:r>
            <w:r w:rsidR="00056AA4">
              <w:rPr>
                <w:rFonts w:ascii="Times New Roman" w:hAnsi="Times New Roman"/>
                <w:sz w:val="24"/>
                <w:szCs w:val="24"/>
              </w:rPr>
              <w:t>a</w:t>
            </w:r>
            <w:r w:rsidR="00E114F5">
              <w:rPr>
                <w:rFonts w:ascii="Times New Roman" w:hAnsi="Times New Roman"/>
                <w:sz w:val="24"/>
                <w:szCs w:val="24"/>
              </w:rPr>
              <w:t>i</w:t>
            </w:r>
            <w:r w:rsidRPr="005F79EF">
              <w:rPr>
                <w:rFonts w:ascii="Times New Roman" w:hAnsi="Times New Roman"/>
                <w:sz w:val="24"/>
                <w:szCs w:val="24"/>
              </w:rPr>
              <w:t>.</w:t>
            </w:r>
          </w:p>
          <w:p w:rsidR="00220F23" w:rsidRDefault="00445988" w:rsidP="00D401F8">
            <w:pPr>
              <w:spacing w:before="120" w:after="120"/>
              <w:jc w:val="both"/>
            </w:pPr>
            <w:r w:rsidRPr="00925FBC">
              <w:t xml:space="preserve">Minēto mērķu sasniegšanai </w:t>
            </w:r>
            <w:r w:rsidRPr="005F79EF">
              <w:t xml:space="preserve">paredzēts paplašināt Kredītu reģistrā iekļaujamo ziņu apjomu </w:t>
            </w:r>
            <w:r w:rsidR="00645B07" w:rsidRPr="005F79EF">
              <w:t>un</w:t>
            </w:r>
            <w:r w:rsidRPr="005F79EF">
              <w:t xml:space="preserve"> Kredītu reģistrā iekļauto ziņu izmantošanas apjomu</w:t>
            </w:r>
            <w:r w:rsidR="00220F23">
              <w:t>.</w:t>
            </w:r>
          </w:p>
          <w:p w:rsidR="000C7199" w:rsidRPr="00E547C1" w:rsidRDefault="00220F23" w:rsidP="00D401F8">
            <w:pPr>
              <w:spacing w:before="120" w:after="120"/>
              <w:jc w:val="both"/>
            </w:pPr>
            <w:r>
              <w:t>Papildus</w:t>
            </w:r>
            <w:r w:rsidR="00645B07" w:rsidRPr="005F79EF">
              <w:t xml:space="preserve"> </w:t>
            </w:r>
            <w:r>
              <w:t xml:space="preserve">paredzēts </w:t>
            </w:r>
            <w:r w:rsidR="00645B07" w:rsidRPr="005F79EF">
              <w:t>samazin</w:t>
            </w:r>
            <w:r>
              <w:t>ā</w:t>
            </w:r>
            <w:r w:rsidR="00645B07" w:rsidRPr="005F79EF">
              <w:t>t Kredītu reģistrā iekļauto ziņu glabāšanas termiņu</w:t>
            </w:r>
            <w:r w:rsidR="00645B07">
              <w:t xml:space="preserve">. </w:t>
            </w:r>
          </w:p>
        </w:tc>
      </w:tr>
      <w:tr w:rsidR="00E547C1" w:rsidRPr="00E547C1" w:rsidTr="00E03666">
        <w:trPr>
          <w:trHeight w:val="472"/>
        </w:trPr>
        <w:tc>
          <w:tcPr>
            <w:tcW w:w="687" w:type="dxa"/>
          </w:tcPr>
          <w:p w:rsidR="00AE2256" w:rsidRPr="00E547C1" w:rsidRDefault="00AE2256" w:rsidP="0047074D">
            <w:pPr>
              <w:pStyle w:val="naiskr"/>
              <w:spacing w:before="0" w:after="0"/>
            </w:pPr>
            <w:r w:rsidRPr="00E547C1">
              <w:t>2.</w:t>
            </w:r>
          </w:p>
        </w:tc>
        <w:tc>
          <w:tcPr>
            <w:tcW w:w="1440" w:type="dxa"/>
          </w:tcPr>
          <w:p w:rsidR="00AE2256" w:rsidRPr="00E547C1" w:rsidRDefault="00AE2256" w:rsidP="0047074D">
            <w:pPr>
              <w:pStyle w:val="naiskr"/>
              <w:tabs>
                <w:tab w:val="left" w:pos="170"/>
              </w:tabs>
              <w:spacing w:before="0" w:after="0"/>
            </w:pPr>
            <w:r w:rsidRPr="00E547C1">
              <w:t>Pa</w:t>
            </w:r>
            <w:r w:rsidR="002B6FAB" w:rsidRPr="00E547C1">
              <w:t>šreizējā situācija un problēmas, kuru risināšanai tiesību akta projekts izstrādāts, tiesiskā regulējuma mērķis un būtība</w:t>
            </w:r>
          </w:p>
          <w:p w:rsidR="00AE2256" w:rsidRPr="00E547C1" w:rsidRDefault="00AE2256" w:rsidP="0047074D"/>
          <w:p w:rsidR="00AE2256" w:rsidRPr="00E547C1" w:rsidRDefault="00AE2256" w:rsidP="0047074D"/>
          <w:p w:rsidR="00AE2256" w:rsidRPr="00E547C1" w:rsidRDefault="00AE2256" w:rsidP="0047074D">
            <w:pPr>
              <w:ind w:firstLine="720"/>
            </w:pPr>
          </w:p>
        </w:tc>
        <w:tc>
          <w:tcPr>
            <w:tcW w:w="7371" w:type="dxa"/>
          </w:tcPr>
          <w:p w:rsidR="006C4A8D" w:rsidRPr="008E54D9" w:rsidRDefault="006C4A8D" w:rsidP="00EC2484">
            <w:pPr>
              <w:spacing w:before="120" w:after="120"/>
              <w:jc w:val="both"/>
            </w:pPr>
            <w:r>
              <w:t>Regula paredz dalībvalstu centrālo banku pienākumu vākt no kredītiestādēm noteiktu apjomu</w:t>
            </w:r>
            <w:r w:rsidR="00CB075A">
              <w:t xml:space="preserve"> </w:t>
            </w:r>
            <w:r w:rsidRPr="007A3555">
              <w:t xml:space="preserve">kredītu un kredītriska mikrodatu </w:t>
            </w:r>
            <w:r>
              <w:t>un</w:t>
            </w:r>
            <w:r w:rsidR="00D401F8">
              <w:t>,</w:t>
            </w:r>
            <w:r>
              <w:t xml:space="preserve"> sākot ar 2018.gada septembri</w:t>
            </w:r>
            <w:r w:rsidR="00D401F8">
              <w:t>,</w:t>
            </w:r>
            <w:r>
              <w:t xml:space="preserve"> tos regulāri iesniegt Eiropas Centrālajai bankai. </w:t>
            </w:r>
          </w:p>
          <w:p w:rsidR="006C4A8D" w:rsidRDefault="006C4A8D" w:rsidP="00E1487E">
            <w:pPr>
              <w:spacing w:before="120" w:after="120"/>
              <w:jc w:val="both"/>
            </w:pPr>
            <w:r>
              <w:t>Saskaņā ar Regulas 1.apsvērumā minēto š</w:t>
            </w:r>
            <w:r w:rsidRPr="008E54D9">
              <w:t xml:space="preserve">āda detalizēta informācija ir nepieciešama, lai </w:t>
            </w:r>
            <w:r w:rsidRPr="00DA03FB">
              <w:t>E</w:t>
            </w:r>
            <w:r w:rsidR="003F17F9" w:rsidRPr="00DA03FB">
              <w:t>i</w:t>
            </w:r>
            <w:r w:rsidRPr="00DA03FB">
              <w:t>rosistēma</w:t>
            </w:r>
            <w:r w:rsidRPr="008E54D9">
              <w:t>, Eiropas Centrālo banku sistēma un Eiropas Sistēmisko risku kolēģija veiktu savus uzdevumus, t</w:t>
            </w:r>
            <w:r w:rsidR="00DB7080">
              <w:t>.</w:t>
            </w:r>
            <w:r w:rsidRPr="008E54D9">
              <w:t>sk</w:t>
            </w:r>
            <w:r w:rsidR="00DB7080">
              <w:t>.</w:t>
            </w:r>
            <w:r w:rsidRPr="008E54D9">
              <w:t xml:space="preserve"> monetārās politikas analīzi un monetārās politikas operācijas, riska vadību, finanšu stabilitātes uzraudzību un makroprudenciālo politiku un izpēti. Šie dati</w:t>
            </w:r>
            <w:r>
              <w:t xml:space="preserve"> Eiropas Centrālajai bankai</w:t>
            </w:r>
            <w:r w:rsidRPr="008E54D9">
              <w:t xml:space="preserve"> būs noderīgi arī banku uzraudzības mērķiem Vienotā </w:t>
            </w:r>
            <w:r w:rsidRPr="007A3555">
              <w:t>uzraudzības mehānisma kontekstā.</w:t>
            </w:r>
            <w:r w:rsidR="008B6C24">
              <w:t xml:space="preserve"> </w:t>
            </w:r>
            <w:r w:rsidR="00DC0AD0">
              <w:t>Vienlaikus Kredītu reģistrs kopš tā izveides tiek izmantots kā informācijas avots personu kredītspējas vērtēšanai, kā arī finanšu tirgus dalībnieku uzraudzībai un makroekonomis</w:t>
            </w:r>
            <w:r w:rsidR="001A4252">
              <w:t>ka</w:t>
            </w:r>
            <w:r w:rsidR="00DC0AD0">
              <w:t>jai analīzei.</w:t>
            </w:r>
            <w:r w:rsidR="008B6C24">
              <w:t xml:space="preserve"> </w:t>
            </w:r>
            <w:r w:rsidRPr="007A3555">
              <w:t>Kredītu reģistrā šobrīd tiek vāktas ziņas par Kredītu reģistra dalībnieku Latvijā</w:t>
            </w:r>
            <w:r w:rsidR="00CC6941">
              <w:t xml:space="preserve"> </w:t>
            </w:r>
            <w:r w:rsidRPr="007A3555">
              <w:t>sniegtajiem finanšu pakalpojumiem ar kredītrisku. Lai izpildītu Regulas prasības</w:t>
            </w:r>
            <w:r w:rsidR="00C933B4">
              <w:t xml:space="preserve"> un vienlaikus </w:t>
            </w:r>
            <w:r w:rsidR="007B2D43">
              <w:t>nodrošinātu Kredītu reģistr</w:t>
            </w:r>
            <w:r w:rsidR="00374B88">
              <w:t>ā iekļauto</w:t>
            </w:r>
            <w:r w:rsidR="007B2D43">
              <w:t xml:space="preserve"> ziņu pilnīgumu un izmantojamību citiem Kredītu reģistra mērķiem</w:t>
            </w:r>
            <w:r w:rsidR="00C0735D">
              <w:t xml:space="preserve"> (t.sk.</w:t>
            </w:r>
            <w:r w:rsidR="00CC6941">
              <w:t xml:space="preserve"> </w:t>
            </w:r>
            <w:r w:rsidR="002A2EB4">
              <w:t xml:space="preserve">personu kredītspējas vērtēšanai, </w:t>
            </w:r>
            <w:r w:rsidR="00CC6941">
              <w:t>finanšu tirgus dalībnieku uzraudzībai un makroekonomiskajai analīzei</w:t>
            </w:r>
            <w:r w:rsidR="00C0735D">
              <w:t>)</w:t>
            </w:r>
            <w:r w:rsidR="00CC6941">
              <w:t xml:space="preserve">, </w:t>
            </w:r>
            <w:r w:rsidRPr="007A3555">
              <w:t>likumprojekt</w:t>
            </w:r>
            <w:r w:rsidR="00C0735D">
              <w:t>ā</w:t>
            </w:r>
            <w:r w:rsidRPr="007A3555">
              <w:t xml:space="preserve"> </w:t>
            </w:r>
            <w:r w:rsidR="00C0735D">
              <w:t xml:space="preserve">Latvijā reģistrētajām kredītiestādēm </w:t>
            </w:r>
            <w:r w:rsidRPr="007A3555">
              <w:t>paredz</w:t>
            </w:r>
            <w:r w:rsidR="00C0735D">
              <w:t>ēts</w:t>
            </w:r>
            <w:r w:rsidRPr="007A3555">
              <w:t xml:space="preserve"> pienākum</w:t>
            </w:r>
            <w:r w:rsidR="00C0735D">
              <w:t>s</w:t>
            </w:r>
            <w:r w:rsidRPr="007A3555">
              <w:t xml:space="preserve"> </w:t>
            </w:r>
            <w:r w:rsidR="00C0735D">
              <w:t xml:space="preserve">iekļaut </w:t>
            </w:r>
            <w:r w:rsidRPr="007A3555">
              <w:t xml:space="preserve">Kredītu reģistrā ziņas par finanšu pakalpojumiem ar kredītrisku, kas sniegti </w:t>
            </w:r>
            <w:r>
              <w:t xml:space="preserve">visā </w:t>
            </w:r>
            <w:r w:rsidRPr="007A3555">
              <w:t>Eiropas Savienībā</w:t>
            </w:r>
            <w:r>
              <w:t>.</w:t>
            </w:r>
          </w:p>
          <w:p w:rsidR="006C4A8D" w:rsidRDefault="00145B0E" w:rsidP="00EC2484">
            <w:pPr>
              <w:spacing w:before="120" w:after="120"/>
              <w:jc w:val="both"/>
            </w:pPr>
            <w:r>
              <w:t xml:space="preserve">Pašlaik </w:t>
            </w:r>
            <w:r w:rsidR="006C4A8D">
              <w:t>K</w:t>
            </w:r>
            <w:r>
              <w:t>redītu reģistrā netiek vāktas ziņas par kredītiestāžu, k</w:t>
            </w:r>
            <w:r w:rsidR="006C4A8D" w:rsidRPr="007A3555">
              <w:t>rājaizdevu sabiedrīb</w:t>
            </w:r>
            <w:r>
              <w:t>u</w:t>
            </w:r>
            <w:r w:rsidR="006C4A8D" w:rsidRPr="007A3555">
              <w:t>, elektroniskās naudas iestā</w:t>
            </w:r>
            <w:r>
              <w:t>žu</w:t>
            </w:r>
            <w:r w:rsidR="006C4A8D" w:rsidRPr="007A3555">
              <w:t>, naudas tirgus fond</w:t>
            </w:r>
            <w:r>
              <w:t>u</w:t>
            </w:r>
            <w:r w:rsidR="006C4A8D" w:rsidRPr="007A3555">
              <w:t xml:space="preserve"> un sākotnēj</w:t>
            </w:r>
            <w:r w:rsidR="00F026FB">
              <w:t>ā</w:t>
            </w:r>
            <w:r>
              <w:t>s</w:t>
            </w:r>
            <w:r w:rsidR="006C4A8D" w:rsidRPr="007A3555">
              <w:t xml:space="preserve"> publisko tiesību juridiskā</w:t>
            </w:r>
            <w:r>
              <w:t>s</w:t>
            </w:r>
            <w:r w:rsidR="006C4A8D" w:rsidRPr="007A3555">
              <w:t xml:space="preserve"> persona</w:t>
            </w:r>
            <w:r>
              <w:t>s</w:t>
            </w:r>
            <w:r w:rsidR="006C4A8D">
              <w:t xml:space="preserve"> saistībām.</w:t>
            </w:r>
            <w:r w:rsidR="008F1590">
              <w:t xml:space="preserve"> </w:t>
            </w:r>
            <w:r w:rsidR="006C4A8D">
              <w:t xml:space="preserve">Ņemot vērā, ka Regulas prasību izpildei ir nepieciešamas ziņas arī par </w:t>
            </w:r>
            <w:r w:rsidR="00746335">
              <w:t>šo</w:t>
            </w:r>
            <w:r w:rsidR="006C4A8D">
              <w:t xml:space="preserve"> subjektu saistībām</w:t>
            </w:r>
            <w:r w:rsidR="00362BAF">
              <w:t xml:space="preserve"> un lai nodrošinātu Kredītu reģistrā iekļauto ziņu pilnīgumu un izmantojamību citiem Kredītu reģistra mērķiem (t.sk. personu kredītspējas vērtēšanai, finanšu tirgus dalībnieku uzraudzībai un makroekonomiskajai analīzei)</w:t>
            </w:r>
            <w:r w:rsidR="006C4A8D">
              <w:t xml:space="preserve">, </w:t>
            </w:r>
            <w:r w:rsidR="009172C4">
              <w:t>likumprojekt</w:t>
            </w:r>
            <w:r w:rsidR="00362BAF">
              <w:t>ā</w:t>
            </w:r>
            <w:r w:rsidR="009172C4">
              <w:t xml:space="preserve"> paredz</w:t>
            </w:r>
            <w:r w:rsidR="00362BAF">
              <w:t>ēts</w:t>
            </w:r>
            <w:r w:rsidR="009172C4">
              <w:t xml:space="preserve"> </w:t>
            </w:r>
            <w:r w:rsidR="006C4A8D">
              <w:t>minēt</w:t>
            </w:r>
            <w:r w:rsidR="009172C4">
              <w:t>os</w:t>
            </w:r>
            <w:r w:rsidR="006C4A8D">
              <w:t xml:space="preserve"> izņēmum</w:t>
            </w:r>
            <w:r w:rsidR="009172C4">
              <w:t>us</w:t>
            </w:r>
            <w:r w:rsidR="006C4A8D">
              <w:t xml:space="preserve"> </w:t>
            </w:r>
            <w:r w:rsidR="00F026FB">
              <w:t>izslē</w:t>
            </w:r>
            <w:r w:rsidR="009172C4">
              <w:t>gt</w:t>
            </w:r>
            <w:r w:rsidR="006C4A8D">
              <w:t>.</w:t>
            </w:r>
          </w:p>
          <w:p w:rsidR="00A8324F" w:rsidRDefault="0023658E" w:rsidP="0023658E">
            <w:pPr>
              <w:spacing w:before="120" w:after="120"/>
              <w:jc w:val="both"/>
            </w:pPr>
            <w:r>
              <w:t>Vienlaikus, ņ</w:t>
            </w:r>
            <w:r w:rsidR="00A8324F" w:rsidRPr="00A8324F">
              <w:t>emot vērā</w:t>
            </w:r>
            <w:r w:rsidR="002079B4">
              <w:t>, ka</w:t>
            </w:r>
            <w:r w:rsidR="00A8324F" w:rsidRPr="00A8324F">
              <w:t xml:space="preserve"> Kredītu reģistrā iekļaut</w:t>
            </w:r>
            <w:r w:rsidR="002079B4">
              <w:t>ās</w:t>
            </w:r>
            <w:r w:rsidR="00A8324F" w:rsidRPr="00A8324F">
              <w:t xml:space="preserve"> ziņ</w:t>
            </w:r>
            <w:r w:rsidR="002079B4">
              <w:t>as</w:t>
            </w:r>
            <w:r w:rsidR="00A8324F" w:rsidRPr="00A8324F">
              <w:t xml:space="preserve"> </w:t>
            </w:r>
            <w:r w:rsidR="002079B4">
              <w:t>tiks izmantotas</w:t>
            </w:r>
            <w:r w:rsidR="00A8324F" w:rsidRPr="00A8324F">
              <w:t xml:space="preserve"> </w:t>
            </w:r>
            <w:r w:rsidR="00A8324F" w:rsidRPr="00A8324F">
              <w:lastRenderedPageBreak/>
              <w:t>Regulas prasību izpildei, likumprojektā Latvijas Bankai paredzētas tiesības</w:t>
            </w:r>
            <w:r w:rsidR="00A8324F" w:rsidRPr="00A8324F" w:rsidDel="001A3BF6">
              <w:t xml:space="preserve"> </w:t>
            </w:r>
            <w:r w:rsidR="00A8324F" w:rsidRPr="00A8324F">
              <w:t>sniegt Kredītu reģistrā iekļautās ziņas Eiropas Centrālajai bankai atbilstoši Eiropas Savienības tiesību aktos noteiktajām prasībām, t</w:t>
            </w:r>
            <w:r>
              <w:t>.</w:t>
            </w:r>
            <w:r w:rsidR="00A8324F" w:rsidRPr="00A8324F">
              <w:t>sk</w:t>
            </w:r>
            <w:r>
              <w:t>.</w:t>
            </w:r>
            <w:r w:rsidR="00A8324F" w:rsidRPr="00A8324F">
              <w:t xml:space="preserve"> tādā veidā, ka ir iespējams tieši vai netieši identificēt Kredītu reģistra dalībnieku un personu, kas ir tā klients vai klienta galvinieks.</w:t>
            </w:r>
          </w:p>
          <w:p w:rsidR="00F87856" w:rsidRDefault="00F87856" w:rsidP="00EC2484">
            <w:pPr>
              <w:spacing w:before="120" w:after="120"/>
              <w:jc w:val="both"/>
              <w:rPr>
                <w:bCs/>
              </w:rPr>
            </w:pPr>
            <w:r>
              <w:rPr>
                <w:bCs/>
              </w:rPr>
              <w:t xml:space="preserve">Ņemot vērā </w:t>
            </w:r>
            <w:r w:rsidR="009335C1">
              <w:rPr>
                <w:bCs/>
              </w:rPr>
              <w:t>Valsts kases sniegto</w:t>
            </w:r>
            <w:r>
              <w:rPr>
                <w:bCs/>
              </w:rPr>
              <w:t xml:space="preserve"> finanšu pakalpojumu ar kredītrisku</w:t>
            </w:r>
            <w:r w:rsidR="00F833D4">
              <w:rPr>
                <w:bCs/>
              </w:rPr>
              <w:t xml:space="preserve"> (</w:t>
            </w:r>
            <w:r w:rsidR="009335C1">
              <w:rPr>
                <w:bCs/>
              </w:rPr>
              <w:t>gan</w:t>
            </w:r>
            <w:r w:rsidR="00F833D4">
              <w:rPr>
                <w:bCs/>
              </w:rPr>
              <w:t xml:space="preserve"> finansēšanas pakalpojumu, </w:t>
            </w:r>
            <w:r w:rsidR="009335C1">
              <w:rPr>
                <w:bCs/>
              </w:rPr>
              <w:t>gan</w:t>
            </w:r>
            <w:r w:rsidR="00F833D4">
              <w:rPr>
                <w:bCs/>
              </w:rPr>
              <w:t xml:space="preserve"> galvo</w:t>
            </w:r>
            <w:r w:rsidR="00F026FB">
              <w:rPr>
                <w:bCs/>
              </w:rPr>
              <w:t>šanas</w:t>
            </w:r>
            <w:r w:rsidR="00F833D4">
              <w:rPr>
                <w:bCs/>
              </w:rPr>
              <w:t xml:space="preserve"> pakalpojumu)</w:t>
            </w:r>
            <w:r>
              <w:rPr>
                <w:bCs/>
              </w:rPr>
              <w:t xml:space="preserve"> </w:t>
            </w:r>
            <w:r w:rsidR="009335C1">
              <w:rPr>
                <w:bCs/>
              </w:rPr>
              <w:t>apjomu</w:t>
            </w:r>
            <w:r>
              <w:rPr>
                <w:bCs/>
              </w:rPr>
              <w:t xml:space="preserve"> (</w:t>
            </w:r>
            <w:r>
              <w:t xml:space="preserve">saskaņā ar Valsts kases sniegto informāciju </w:t>
            </w:r>
            <w:r w:rsidR="007B2D43" w:rsidRPr="00E547C1">
              <w:t>2016.</w:t>
            </w:r>
            <w:r w:rsidR="007B2D43">
              <w:t>gada 31.decembrī</w:t>
            </w:r>
            <w:r w:rsidR="007B2D43" w:rsidRPr="00E547C1">
              <w:t xml:space="preserve"> </w:t>
            </w:r>
            <w:r>
              <w:t>bija</w:t>
            </w:r>
            <w:r w:rsidR="007B2D43">
              <w:t xml:space="preserve"> apmēram 4000 šādu saistību </w:t>
            </w:r>
            <w:r w:rsidR="0077044D">
              <w:t xml:space="preserve">ar to faktisko </w:t>
            </w:r>
            <w:r w:rsidR="003A307D">
              <w:t>atliku</w:t>
            </w:r>
            <w:r w:rsidR="0077044D">
              <w:t>mu</w:t>
            </w:r>
            <w:r w:rsidRPr="00E547C1">
              <w:t xml:space="preserve"> </w:t>
            </w:r>
            <w:r w:rsidR="001F0B9B">
              <w:t>1.4</w:t>
            </w:r>
            <w:r w:rsidRPr="00E547C1">
              <w:t> miljardi eiro</w:t>
            </w:r>
            <w:r>
              <w:t>)</w:t>
            </w:r>
            <w:r>
              <w:rPr>
                <w:bCs/>
              </w:rPr>
              <w:t xml:space="preserve">, lai nodrošinātu, ka personas kredītspējas vērtēšanas vajadzībām Kredītu reģistra dalībnieki iegūst arī ziņas par personas saistībām </w:t>
            </w:r>
            <w:r w:rsidR="0016720A">
              <w:rPr>
                <w:bCs/>
              </w:rPr>
              <w:t>pret</w:t>
            </w:r>
            <w:r>
              <w:rPr>
                <w:bCs/>
              </w:rPr>
              <w:t xml:space="preserve"> Valsts kasi, savukārt Valsts kase – par personas saistībām </w:t>
            </w:r>
            <w:r w:rsidR="0016720A">
              <w:rPr>
                <w:bCs/>
              </w:rPr>
              <w:t>pret</w:t>
            </w:r>
            <w:r>
              <w:rPr>
                <w:bCs/>
              </w:rPr>
              <w:t xml:space="preserve"> Kredītu reģistra dalībniekiem, likumprojektā paredzēts, ka </w:t>
            </w:r>
            <w:r w:rsidR="0060416D">
              <w:rPr>
                <w:bCs/>
              </w:rPr>
              <w:t xml:space="preserve">no 2018.gada 1.oktobra </w:t>
            </w:r>
            <w:r>
              <w:rPr>
                <w:bCs/>
              </w:rPr>
              <w:t xml:space="preserve">Valsts kase uzsāk līdzdalību Kredītu reģistrā. </w:t>
            </w:r>
          </w:p>
          <w:p w:rsidR="00BB6022" w:rsidRDefault="0016720A" w:rsidP="00BE2E2C">
            <w:pPr>
              <w:spacing w:before="120" w:after="120"/>
              <w:jc w:val="both"/>
              <w:rPr>
                <w:bCs/>
              </w:rPr>
            </w:pPr>
            <w:r>
              <w:t>Sākot ar</w:t>
            </w:r>
            <w:r w:rsidR="006C4A8D">
              <w:t xml:space="preserve"> 2014.gada 12.novembr</w:t>
            </w:r>
            <w:r>
              <w:t>i,</w:t>
            </w:r>
            <w:r w:rsidR="006C4A8D">
              <w:t xml:space="preserve"> Kredītu reģistra dalībnieki ir tiesīgi </w:t>
            </w:r>
            <w:r>
              <w:t xml:space="preserve">personu kredītspējas vērtēšanas vajadzībām </w:t>
            </w:r>
            <w:r w:rsidR="006C4A8D">
              <w:t xml:space="preserve">Kredītu reģistrā iekļautās ziņas saņemt arī </w:t>
            </w:r>
            <w:r w:rsidR="00017776">
              <w:t xml:space="preserve">par </w:t>
            </w:r>
            <w:r w:rsidR="006C4A8D">
              <w:t xml:space="preserve">personām, kuras tiem iesniegušas pieteikumu </w:t>
            </w:r>
            <w:r w:rsidR="00782956">
              <w:t xml:space="preserve">galvošanas pakalpojumu – </w:t>
            </w:r>
            <w:r w:rsidR="006C4A8D" w:rsidRPr="007A3555">
              <w:rPr>
                <w:bCs/>
              </w:rPr>
              <w:t>akreditīv</w:t>
            </w:r>
            <w:r w:rsidR="006C4A8D">
              <w:rPr>
                <w:bCs/>
              </w:rPr>
              <w:t>a</w:t>
            </w:r>
            <w:r w:rsidR="006C4A8D" w:rsidRPr="007A3555">
              <w:rPr>
                <w:bCs/>
              </w:rPr>
              <w:t xml:space="preserve"> (kredītvēstule</w:t>
            </w:r>
            <w:r w:rsidR="006C4A8D">
              <w:rPr>
                <w:bCs/>
              </w:rPr>
              <w:t>s</w:t>
            </w:r>
            <w:r w:rsidR="006C4A8D" w:rsidRPr="007A3555">
              <w:rPr>
                <w:bCs/>
              </w:rPr>
              <w:t xml:space="preserve">) </w:t>
            </w:r>
            <w:r w:rsidR="006C4A8D">
              <w:rPr>
                <w:bCs/>
              </w:rPr>
              <w:t>vai</w:t>
            </w:r>
            <w:r w:rsidR="006C4A8D" w:rsidRPr="007A3555">
              <w:rPr>
                <w:bCs/>
              </w:rPr>
              <w:t xml:space="preserve"> galvojum</w:t>
            </w:r>
            <w:r w:rsidR="006C4A8D">
              <w:rPr>
                <w:bCs/>
              </w:rPr>
              <w:t>a</w:t>
            </w:r>
            <w:r w:rsidR="006C4A8D" w:rsidRPr="007A3555">
              <w:rPr>
                <w:bCs/>
              </w:rPr>
              <w:t xml:space="preserve"> (garantija</w:t>
            </w:r>
            <w:r w:rsidR="006C4A8D">
              <w:rPr>
                <w:bCs/>
              </w:rPr>
              <w:t>s</w:t>
            </w:r>
            <w:r w:rsidR="006C4A8D" w:rsidRPr="007A3555">
              <w:rPr>
                <w:bCs/>
              </w:rPr>
              <w:t>)</w:t>
            </w:r>
            <w:r w:rsidR="00782956">
              <w:rPr>
                <w:bCs/>
              </w:rPr>
              <w:t xml:space="preserve"> –</w:t>
            </w:r>
            <w:r w:rsidR="006C4A8D">
              <w:rPr>
                <w:bCs/>
              </w:rPr>
              <w:t xml:space="preserve"> </w:t>
            </w:r>
            <w:r>
              <w:rPr>
                <w:bCs/>
              </w:rPr>
              <w:t>saņemšanai.</w:t>
            </w:r>
            <w:r w:rsidR="006C4A8D">
              <w:rPr>
                <w:bCs/>
              </w:rPr>
              <w:t xml:space="preserve"> </w:t>
            </w:r>
            <w:r>
              <w:rPr>
                <w:bCs/>
              </w:rPr>
              <w:t xml:space="preserve">Savukārt ziņu par </w:t>
            </w:r>
            <w:r w:rsidR="00F6215A">
              <w:rPr>
                <w:bCs/>
              </w:rPr>
              <w:t xml:space="preserve">saistībām, kas izriet no </w:t>
            </w:r>
            <w:r>
              <w:rPr>
                <w:bCs/>
              </w:rPr>
              <w:t>šādiem finanšu pakalpojumiem ar kredītrisku</w:t>
            </w:r>
            <w:r w:rsidR="00F6215A">
              <w:rPr>
                <w:bCs/>
              </w:rPr>
              <w:t>,</w:t>
            </w:r>
            <w:r w:rsidR="006C4A8D">
              <w:rPr>
                <w:bCs/>
              </w:rPr>
              <w:t xml:space="preserve"> iekļau</w:t>
            </w:r>
            <w:r>
              <w:rPr>
                <w:bCs/>
              </w:rPr>
              <w:t>šana</w:t>
            </w:r>
            <w:r w:rsidR="006C4A8D">
              <w:rPr>
                <w:bCs/>
              </w:rPr>
              <w:t xml:space="preserve"> Kredītu reģistrā</w:t>
            </w:r>
            <w:r>
              <w:rPr>
                <w:bCs/>
              </w:rPr>
              <w:t>,</w:t>
            </w:r>
            <w:r w:rsidR="006C4A8D">
              <w:rPr>
                <w:bCs/>
              </w:rPr>
              <w:t xml:space="preserve"> </w:t>
            </w:r>
            <w:r w:rsidR="00F96D85">
              <w:rPr>
                <w:bCs/>
              </w:rPr>
              <w:t>vienojoties ar Kredītu reģistra dalībniekus pārstāvošajām asociācijām</w:t>
            </w:r>
            <w:r>
              <w:rPr>
                <w:bCs/>
              </w:rPr>
              <w:t>,</w:t>
            </w:r>
            <w:r w:rsidR="00F96D85">
              <w:rPr>
                <w:bCs/>
              </w:rPr>
              <w:t xml:space="preserve"> </w:t>
            </w:r>
            <w:r w:rsidR="006C4A8D">
              <w:rPr>
                <w:bCs/>
              </w:rPr>
              <w:t xml:space="preserve">tika atlikta līdz </w:t>
            </w:r>
            <w:r w:rsidR="00017776">
              <w:rPr>
                <w:bCs/>
              </w:rPr>
              <w:t>plašākai Kredītu reģistra pilnveidei</w:t>
            </w:r>
            <w:r w:rsidR="003F17F9">
              <w:rPr>
                <w:bCs/>
              </w:rPr>
              <w:t>.</w:t>
            </w:r>
            <w:r w:rsidR="00ED0B84">
              <w:rPr>
                <w:bCs/>
              </w:rPr>
              <w:t xml:space="preserve"> </w:t>
            </w:r>
            <w:r>
              <w:rPr>
                <w:bCs/>
              </w:rPr>
              <w:t>Ievērojot minēto, likumprojektā paredzēts, ka, sākot ar 2019.gada 1.aprīli, Kredītu reģistra dalībnieki iekļau</w:t>
            </w:r>
            <w:r w:rsidR="00F6215A">
              <w:rPr>
                <w:bCs/>
              </w:rPr>
              <w:t>j</w:t>
            </w:r>
            <w:r>
              <w:rPr>
                <w:bCs/>
              </w:rPr>
              <w:t xml:space="preserve"> Kredītu reģistrā ziņas arī </w:t>
            </w:r>
            <w:r w:rsidR="002A75B1">
              <w:rPr>
                <w:bCs/>
              </w:rPr>
              <w:t>attiecībā uz</w:t>
            </w:r>
            <w:r w:rsidR="00F6215A">
              <w:rPr>
                <w:bCs/>
              </w:rPr>
              <w:t xml:space="preserve"> </w:t>
            </w:r>
            <w:r>
              <w:rPr>
                <w:bCs/>
              </w:rPr>
              <w:t xml:space="preserve">minētajiem </w:t>
            </w:r>
            <w:r w:rsidR="00F6215A">
              <w:rPr>
                <w:bCs/>
              </w:rPr>
              <w:t xml:space="preserve">finanšu </w:t>
            </w:r>
            <w:r>
              <w:rPr>
                <w:bCs/>
              </w:rPr>
              <w:t>pakalpojumiem</w:t>
            </w:r>
            <w:r w:rsidR="00F6215A">
              <w:rPr>
                <w:bCs/>
              </w:rPr>
              <w:t xml:space="preserve"> ar kredītrisku</w:t>
            </w:r>
            <w:r>
              <w:rPr>
                <w:bCs/>
              </w:rPr>
              <w:t>.</w:t>
            </w:r>
          </w:p>
          <w:p w:rsidR="00841B2A" w:rsidRDefault="003D3B30" w:rsidP="00A15277">
            <w:pPr>
              <w:spacing w:before="120" w:after="120"/>
              <w:jc w:val="both"/>
            </w:pPr>
            <w:r>
              <w:t>Izrietoši, p</w:t>
            </w:r>
            <w:r w:rsidR="00265FC5">
              <w:t xml:space="preserve">aplašinot </w:t>
            </w:r>
            <w:r w:rsidR="00A709A5">
              <w:t xml:space="preserve">Kredītu reģistra dalībnieku sniegto </w:t>
            </w:r>
            <w:r w:rsidR="00265FC5">
              <w:t>finanšu pakalpojumu ar kredītrisku</w:t>
            </w:r>
            <w:r w:rsidR="00A709A5">
              <w:t>, par kuriem iekļaujamas ziņas Kredītu reģistrā,</w:t>
            </w:r>
            <w:r w:rsidR="00265FC5">
              <w:t xml:space="preserve"> loku</w:t>
            </w:r>
            <w:r w:rsidR="008B1649">
              <w:t xml:space="preserve"> ar galvošanas pakalpojumiem, </w:t>
            </w:r>
            <w:r w:rsidR="00ED37ED">
              <w:t xml:space="preserve">precizēta </w:t>
            </w:r>
            <w:r w:rsidR="00841B2A">
              <w:t>Kredītu reģistra likumā lietotā termina "finanšu pakalpojums ar kredītrisku" definīcija</w:t>
            </w:r>
            <w:r w:rsidR="00265FC5">
              <w:t>,</w:t>
            </w:r>
            <w:r w:rsidR="00841B2A">
              <w:t xml:space="preserve"> nosakot, ka </w:t>
            </w:r>
            <w:r w:rsidR="00A709A5">
              <w:t>tas a</w:t>
            </w:r>
            <w:r w:rsidR="00264301">
              <w:t>p</w:t>
            </w:r>
            <w:r w:rsidR="00A709A5">
              <w:t>tver gan savā vai citas personas labā sniegtu finansēšanas pakalpojumu</w:t>
            </w:r>
            <w:r w:rsidR="00CB2C1B">
              <w:t xml:space="preserve"> </w:t>
            </w:r>
            <w:r>
              <w:t>(</w:t>
            </w:r>
            <w:r w:rsidR="00CB2C1B">
              <w:t>kā līdz šim</w:t>
            </w:r>
            <w:r>
              <w:t>)</w:t>
            </w:r>
            <w:r w:rsidR="00CB2C1B">
              <w:t>,</w:t>
            </w:r>
            <w:r w:rsidR="00A709A5">
              <w:t xml:space="preserve"> gan </w:t>
            </w:r>
            <w:r w:rsidR="002B21F7">
              <w:t xml:space="preserve">arī </w:t>
            </w:r>
            <w:r w:rsidR="00A709A5">
              <w:t>galvo</w:t>
            </w:r>
            <w:r w:rsidR="002B21F7">
              <w:t xml:space="preserve">šanas pakalpojumu, </w:t>
            </w:r>
            <w:r w:rsidR="002079B4">
              <w:t xml:space="preserve">vienlaikus likumprojektā </w:t>
            </w:r>
            <w:r w:rsidR="002B21F7">
              <w:t>skaidrojot arī terminu</w:t>
            </w:r>
            <w:r w:rsidR="00A709A5">
              <w:t xml:space="preserve"> </w:t>
            </w:r>
            <w:r w:rsidR="002B21F7">
              <w:t>"finansēšanas pakalpojums" un "galvošanas pakalpojums" saturu.</w:t>
            </w:r>
          </w:p>
          <w:p w:rsidR="00265FC5" w:rsidRDefault="004B368C" w:rsidP="00A15277">
            <w:pPr>
              <w:spacing w:before="120" w:after="120"/>
              <w:jc w:val="both"/>
            </w:pPr>
            <w:r>
              <w:t>Ņ</w:t>
            </w:r>
            <w:r w:rsidR="00AF6716">
              <w:t xml:space="preserve">emot vērā </w:t>
            </w:r>
            <w:r>
              <w:t>finanšu pakalpojumu ar kredītrisku s</w:t>
            </w:r>
            <w:r w:rsidR="00087255">
              <w:t>a</w:t>
            </w:r>
            <w:r>
              <w:t>v</w:t>
            </w:r>
            <w:r w:rsidR="00087255">
              <w:t>s</w:t>
            </w:r>
            <w:r>
              <w:t>t</w:t>
            </w:r>
            <w:r w:rsidR="00087255">
              <w:t>a</w:t>
            </w:r>
            <w:r>
              <w:t>rpējās atšķirības un to</w:t>
            </w:r>
            <w:r w:rsidR="00CE11E8">
              <w:t>, kād</w:t>
            </w:r>
            <w:r w:rsidR="008A568D">
              <w:t>os</w:t>
            </w:r>
            <w:r w:rsidR="00CE11E8">
              <w:t xml:space="preserve"> </w:t>
            </w:r>
            <w:r w:rsidR="008A568D">
              <w:t xml:space="preserve">gadījumos </w:t>
            </w:r>
            <w:r w:rsidR="00CE11E8">
              <w:t>Kredītu reģistra dalībniekam pret klientu rodas kredītrisks</w:t>
            </w:r>
            <w:r w:rsidR="008A568D">
              <w:t>, sniedzot</w:t>
            </w:r>
            <w:r w:rsidR="00242805">
              <w:t xml:space="preserve"> </w:t>
            </w:r>
            <w:r>
              <w:t>katru no šiem</w:t>
            </w:r>
            <w:r w:rsidR="00AF6716">
              <w:t xml:space="preserve"> finanšu pakalpojum</w:t>
            </w:r>
            <w:r>
              <w:t>iem</w:t>
            </w:r>
            <w:r w:rsidR="00AF6716">
              <w:t xml:space="preserve">, </w:t>
            </w:r>
            <w:r w:rsidR="008A568D">
              <w:t xml:space="preserve">likumprojektā paredzēts </w:t>
            </w:r>
            <w:r w:rsidR="002B21F7">
              <w:t>detalizēt arī termina "klienta saistības" satur</w:t>
            </w:r>
            <w:r w:rsidR="008A568D">
              <w:t>u</w:t>
            </w:r>
            <w:r w:rsidR="002B21F7">
              <w:t xml:space="preserve">, </w:t>
            </w:r>
            <w:r>
              <w:t>tieši</w:t>
            </w:r>
            <w:r w:rsidR="002B21F7">
              <w:t xml:space="preserve"> nosakot, kuri klienta pastāvošie vai iespējamie samaksas pienākumi </w:t>
            </w:r>
            <w:r w:rsidR="00040D3B">
              <w:t>veido klienta saistības</w:t>
            </w:r>
            <w:r w:rsidR="00AF6716">
              <w:t>, par kurām iekļaujamas ziņas Kredītu reģistrā.</w:t>
            </w:r>
            <w:r w:rsidR="00E85317">
              <w:t xml:space="preserve"> Vienlaikus paredzēts, ka ziņas par klienta iespējamiem samaksas pienākumiem pret Kredītu reģistra dalībnieku tiek iekļautas Kredītu reģistrā, sākot ar </w:t>
            </w:r>
            <w:r w:rsidR="007D08E5">
              <w:t xml:space="preserve">dienu, kad klients un Kredītu reģistra dalībnieks vienojušies par </w:t>
            </w:r>
            <w:r w:rsidR="00E85317">
              <w:t>attiecīgā finanšu pakalpojuma ar kredītrisku sniegšanu.</w:t>
            </w:r>
          </w:p>
          <w:p w:rsidR="00136B51" w:rsidRPr="0060416D" w:rsidRDefault="00136B51" w:rsidP="00A15277">
            <w:pPr>
              <w:spacing w:before="120" w:after="120"/>
              <w:jc w:val="both"/>
            </w:pPr>
            <w:r>
              <w:t xml:space="preserve">Papildus, lai nodrošinātu, ka </w:t>
            </w:r>
            <w:r w:rsidR="002079B4">
              <w:t xml:space="preserve">vienas un tās pašas </w:t>
            </w:r>
            <w:r>
              <w:t>ziņas par saistībām</w:t>
            </w:r>
            <w:r w:rsidR="00FB67FA">
              <w:t>, kas izriet no galvojumiem (garantijām),</w:t>
            </w:r>
            <w:r>
              <w:t xml:space="preserve"> </w:t>
            </w:r>
            <w:r w:rsidR="00FB67FA">
              <w:t xml:space="preserve">Kredītu reģistrā </w:t>
            </w:r>
            <w:r>
              <w:t>netiek iekļautas d</w:t>
            </w:r>
            <w:r w:rsidR="002079B4">
              <w:t>ivkārši</w:t>
            </w:r>
            <w:r>
              <w:t xml:space="preserve">, likumprojektā paredzēta speciāla kārtība </w:t>
            </w:r>
            <w:r w:rsidR="00FB67FA">
              <w:t>šo</w:t>
            </w:r>
            <w:r w:rsidR="003F75DC">
              <w:t xml:space="preserve"> ziņu</w:t>
            </w:r>
            <w:r w:rsidR="00FB67FA">
              <w:t xml:space="preserve"> </w:t>
            </w:r>
            <w:r>
              <w:t xml:space="preserve">iekļaušanai Kredītu reģistrā, proti, Kredītu reģistra dalībnieks, kas sniedz </w:t>
            </w:r>
            <w:r w:rsidR="00FB67FA">
              <w:t>galvojumu (garantiju)</w:t>
            </w:r>
            <w:r>
              <w:t>,</w:t>
            </w:r>
            <w:r w:rsidR="00FB67FA">
              <w:t xml:space="preserve"> attiecīgās ziņas</w:t>
            </w:r>
            <w:r>
              <w:t xml:space="preserve"> </w:t>
            </w:r>
            <w:r w:rsidR="00FB67FA">
              <w:t xml:space="preserve">iekļauj Kredītu reģistrā </w:t>
            </w:r>
            <w:r>
              <w:t xml:space="preserve">tikai tad, ja </w:t>
            </w:r>
            <w:r w:rsidR="00FB67FA">
              <w:t xml:space="preserve">ar </w:t>
            </w:r>
            <w:r>
              <w:t>š</w:t>
            </w:r>
            <w:r w:rsidR="00FB67FA">
              <w:t>o galvojumu (garantiju)</w:t>
            </w:r>
            <w:r>
              <w:t xml:space="preserve"> Kredītu reģistra dalībnieks nav uzņ</w:t>
            </w:r>
            <w:r w:rsidR="00FB67FA">
              <w:t xml:space="preserve">ēmies </w:t>
            </w:r>
            <w:r w:rsidR="00B47A2B">
              <w:t xml:space="preserve">pienākumu </w:t>
            </w:r>
            <w:r w:rsidR="00B47A2B">
              <w:lastRenderedPageBreak/>
              <w:t xml:space="preserve">atbildēt par </w:t>
            </w:r>
            <w:r>
              <w:t>klienta parādu pret citu Kredītu reģistra dalībnieku, kas šai personai sniedzis citu finanšu pakalpojumu ar kred</w:t>
            </w:r>
            <w:r w:rsidR="008A3D95">
              <w:t>ītrisku</w:t>
            </w:r>
            <w:r>
              <w:t>.</w:t>
            </w:r>
          </w:p>
          <w:p w:rsidR="0008390B" w:rsidRPr="00E547C1" w:rsidRDefault="006C4A8D" w:rsidP="00AE0819">
            <w:pPr>
              <w:spacing w:before="120" w:after="120"/>
              <w:jc w:val="both"/>
            </w:pPr>
            <w:r>
              <w:t>Lai</w:t>
            </w:r>
            <w:r w:rsidR="00355D97">
              <w:t xml:space="preserve"> samazinātu Kredītu reģistrā glabājamo personas datu apjomu un </w:t>
            </w:r>
            <w:r w:rsidR="00925FBC">
              <w:t xml:space="preserve">mazinātu administratīvās izmaksas, </w:t>
            </w:r>
            <w:r w:rsidR="000354F6">
              <w:t xml:space="preserve">likumprojektā </w:t>
            </w:r>
            <w:r w:rsidRPr="00E547C1">
              <w:t>paredzēts samazināt Kredītu reģistrā iekļauto ziņu par klientu, klienta galvinieku un to saistībām glabāš</w:t>
            </w:r>
            <w:r w:rsidR="00925FBC">
              <w:t>anas termiņu no 15 </w:t>
            </w:r>
            <w:r w:rsidRPr="00E547C1">
              <w:t>gadiem uz 10 gadiem pēc klienta</w:t>
            </w:r>
            <w:r w:rsidR="00033BAF">
              <w:t xml:space="preserve"> vai</w:t>
            </w:r>
            <w:r w:rsidRPr="00E547C1">
              <w:t xml:space="preserve"> klienta galvinieka saistību izbeigšanās dienas vai dienas, kad no klienta līguma vai klienta galvinieka līguma izrietošās tiesības un saistības vai prasījuma tiesības nodotas citai personai.</w:t>
            </w:r>
            <w:r w:rsidR="00925FBC">
              <w:t xml:space="preserve"> Saskaņā Kredītu reģistra dalībnieku sniegto informāciju, ziņām par personas</w:t>
            </w:r>
            <w:r w:rsidR="00925FBC" w:rsidRPr="00E547C1">
              <w:t xml:space="preserve"> saistībām</w:t>
            </w:r>
            <w:r w:rsidR="00925FBC">
              <w:t xml:space="preserve">, kas tai izbeigušās pirms vairāk kā </w:t>
            </w:r>
            <w:r w:rsidR="00925FBC" w:rsidRPr="00E547C1">
              <w:t>10 gadiem</w:t>
            </w:r>
            <w:r w:rsidR="00925FBC">
              <w:t xml:space="preserve">, nav nozīmīgas ietekmes uz personas aktuālo kredītspēju, tādēļ dokumentu glabāšanas izdevumi </w:t>
            </w:r>
            <w:r w:rsidR="0035341E">
              <w:t xml:space="preserve">Kredītu reģistrā iekļauto ziņu pamatotības pierādīšanai </w:t>
            </w:r>
            <w:r w:rsidR="00B1004D">
              <w:t>ilgāk par</w:t>
            </w:r>
            <w:r w:rsidR="00925FBC">
              <w:t xml:space="preserve"> 10 </w:t>
            </w:r>
            <w:r w:rsidR="00925FBC" w:rsidRPr="00E547C1">
              <w:t>gad</w:t>
            </w:r>
            <w:r w:rsidR="0035341E">
              <w:t xml:space="preserve">iem pārsniedz iespējamo ieguvumu no </w:t>
            </w:r>
            <w:r w:rsidR="00450432">
              <w:t>informācijas</w:t>
            </w:r>
            <w:r w:rsidR="0035341E">
              <w:t xml:space="preserve"> par šādām</w:t>
            </w:r>
            <w:r w:rsidR="00F96D85">
              <w:t xml:space="preserve"> vēsturiskajām</w:t>
            </w:r>
            <w:r w:rsidR="0035341E">
              <w:t xml:space="preserve"> saistībām.</w:t>
            </w:r>
            <w:r w:rsidR="003A5A2C">
              <w:t xml:space="preserve"> </w:t>
            </w:r>
          </w:p>
          <w:p w:rsidR="008D7AFC" w:rsidRPr="00E547C1" w:rsidRDefault="00474B30" w:rsidP="00E1487E">
            <w:pPr>
              <w:spacing w:before="120" w:after="120"/>
              <w:jc w:val="both"/>
              <w:rPr>
                <w:bCs/>
              </w:rPr>
            </w:pPr>
            <w:r>
              <w:t>Papildus</w:t>
            </w:r>
            <w:r w:rsidR="00F96D85">
              <w:t xml:space="preserve"> likumprojekt</w:t>
            </w:r>
            <w:r>
              <w:t>ā</w:t>
            </w:r>
            <w:r w:rsidR="00F96D85">
              <w:t xml:space="preserve"> paredz</w:t>
            </w:r>
            <w:r>
              <w:t>ēts</w:t>
            </w:r>
            <w:r w:rsidR="00F96D85">
              <w:t xml:space="preserve"> precizēt Kredītu reģistra likumā lietoto terminoloģiju</w:t>
            </w:r>
            <w:r>
              <w:t xml:space="preserve"> atbilstoši</w:t>
            </w:r>
            <w:r w:rsidR="00F96D85">
              <w:t xml:space="preserve"> Kredītiestāžu likumā un Apdrošināšanas un pārapdrošināšanas likumā lietot</w:t>
            </w:r>
            <w:r>
              <w:t>ajai terminoloģijai</w:t>
            </w:r>
            <w:r w:rsidR="00F96D85">
              <w:t>.</w:t>
            </w:r>
          </w:p>
        </w:tc>
      </w:tr>
      <w:tr w:rsidR="00E547C1" w:rsidRPr="00E547C1" w:rsidTr="00E03666">
        <w:trPr>
          <w:trHeight w:val="476"/>
        </w:trPr>
        <w:tc>
          <w:tcPr>
            <w:tcW w:w="687" w:type="dxa"/>
          </w:tcPr>
          <w:p w:rsidR="00262E2B" w:rsidRPr="00E547C1" w:rsidRDefault="002B6FAB" w:rsidP="0047074D">
            <w:pPr>
              <w:pStyle w:val="naiskr"/>
              <w:spacing w:before="0" w:after="0"/>
            </w:pPr>
            <w:r w:rsidRPr="00E547C1">
              <w:lastRenderedPageBreak/>
              <w:t>3</w:t>
            </w:r>
            <w:r w:rsidR="00262E2B" w:rsidRPr="00E547C1">
              <w:t>.</w:t>
            </w:r>
          </w:p>
        </w:tc>
        <w:tc>
          <w:tcPr>
            <w:tcW w:w="1440" w:type="dxa"/>
          </w:tcPr>
          <w:p w:rsidR="00262E2B" w:rsidRPr="00E547C1" w:rsidRDefault="001A4066" w:rsidP="0047074D">
            <w:pPr>
              <w:pStyle w:val="naiskr"/>
              <w:spacing w:before="0" w:after="0"/>
            </w:pPr>
            <w:r w:rsidRPr="00E547C1">
              <w:t>Projekta i</w:t>
            </w:r>
            <w:r w:rsidR="00262E2B" w:rsidRPr="00E547C1">
              <w:t>zstrād</w:t>
            </w:r>
            <w:r w:rsidR="00420870" w:rsidRPr="00E547C1">
              <w:t xml:space="preserve">ē </w:t>
            </w:r>
            <w:r w:rsidR="00262E2B" w:rsidRPr="00E547C1">
              <w:t>iesaistītās institūcijas</w:t>
            </w:r>
          </w:p>
        </w:tc>
        <w:tc>
          <w:tcPr>
            <w:tcW w:w="7371" w:type="dxa"/>
          </w:tcPr>
          <w:p w:rsidR="00262E2B" w:rsidRPr="00E547C1" w:rsidRDefault="00EF6A9B" w:rsidP="00AD53D6">
            <w:pPr>
              <w:pStyle w:val="naiskr"/>
              <w:spacing w:before="0" w:after="0"/>
              <w:jc w:val="both"/>
            </w:pPr>
            <w:r w:rsidRPr="00E547C1">
              <w:t>Finanšu ministrija, Latvijas Banka</w:t>
            </w:r>
            <w:r w:rsidR="00F87856">
              <w:t>,</w:t>
            </w:r>
            <w:r w:rsidRPr="00E547C1">
              <w:t xml:space="preserve"> Finanšu un kapitāla tirgus komisija</w:t>
            </w:r>
            <w:r w:rsidR="00F87856">
              <w:t xml:space="preserve"> un Valsts kase</w:t>
            </w:r>
            <w:r w:rsidRPr="00E547C1">
              <w:t>.</w:t>
            </w:r>
          </w:p>
        </w:tc>
      </w:tr>
      <w:tr w:rsidR="00E547C1" w:rsidRPr="00E547C1" w:rsidTr="00E03666">
        <w:tc>
          <w:tcPr>
            <w:tcW w:w="687" w:type="dxa"/>
          </w:tcPr>
          <w:p w:rsidR="00262E2B" w:rsidRPr="00E547C1" w:rsidRDefault="002B6FAB" w:rsidP="0047074D">
            <w:pPr>
              <w:pStyle w:val="naiskr"/>
              <w:spacing w:before="0" w:after="0"/>
            </w:pPr>
            <w:r w:rsidRPr="00E547C1">
              <w:t>4</w:t>
            </w:r>
            <w:r w:rsidR="00262E2B" w:rsidRPr="00E547C1">
              <w:t>.</w:t>
            </w:r>
          </w:p>
        </w:tc>
        <w:tc>
          <w:tcPr>
            <w:tcW w:w="1440" w:type="dxa"/>
          </w:tcPr>
          <w:p w:rsidR="00262E2B" w:rsidRPr="00E547C1" w:rsidRDefault="00262E2B" w:rsidP="0047074D">
            <w:pPr>
              <w:pStyle w:val="naiskr"/>
              <w:spacing w:before="0" w:after="0"/>
            </w:pPr>
            <w:r w:rsidRPr="00E547C1">
              <w:t>Cita informācija</w:t>
            </w:r>
          </w:p>
        </w:tc>
        <w:tc>
          <w:tcPr>
            <w:tcW w:w="7371" w:type="dxa"/>
          </w:tcPr>
          <w:p w:rsidR="00262E2B" w:rsidRPr="00E547C1" w:rsidRDefault="0053025D" w:rsidP="0047074D">
            <w:pPr>
              <w:pStyle w:val="naiskr"/>
              <w:spacing w:before="0" w:after="0"/>
            </w:pPr>
            <w:r w:rsidRPr="00E547C1">
              <w:t>Nav.</w:t>
            </w:r>
          </w:p>
        </w:tc>
      </w:tr>
    </w:tbl>
    <w:p w:rsidR="00852042" w:rsidRPr="00E547C1" w:rsidRDefault="00852042" w:rsidP="00E547C1"/>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424"/>
        <w:gridCol w:w="5670"/>
      </w:tblGrid>
      <w:tr w:rsidR="00E547C1" w:rsidRPr="00E547C1" w:rsidTr="00E03666">
        <w:tc>
          <w:tcPr>
            <w:tcW w:w="9644" w:type="dxa"/>
            <w:gridSpan w:val="3"/>
            <w:vAlign w:val="center"/>
          </w:tcPr>
          <w:p w:rsidR="0062298A" w:rsidRPr="00E547C1" w:rsidRDefault="0062298A" w:rsidP="00C00322">
            <w:pPr>
              <w:pStyle w:val="naisnod"/>
              <w:keepNext/>
              <w:keepLines/>
              <w:spacing w:before="0" w:after="0"/>
            </w:pPr>
            <w:r w:rsidRPr="00E547C1">
              <w:t>II</w:t>
            </w:r>
            <w:r w:rsidR="000941C5" w:rsidRPr="00E547C1">
              <w:t>.</w:t>
            </w:r>
            <w:r w:rsidRPr="00E547C1">
              <w:t xml:space="preserve"> Tiesību akta projekta ietekme uz sabiedrību</w:t>
            </w:r>
          </w:p>
        </w:tc>
      </w:tr>
      <w:tr w:rsidR="00E547C1" w:rsidRPr="00E547C1" w:rsidTr="00E03666">
        <w:trPr>
          <w:trHeight w:val="467"/>
        </w:trPr>
        <w:tc>
          <w:tcPr>
            <w:tcW w:w="550" w:type="dxa"/>
          </w:tcPr>
          <w:p w:rsidR="0062298A" w:rsidRPr="00E547C1" w:rsidRDefault="0062298A" w:rsidP="00C00322">
            <w:pPr>
              <w:pStyle w:val="naiskr"/>
              <w:keepNext/>
              <w:keepLines/>
              <w:spacing w:before="0" w:after="0"/>
            </w:pPr>
            <w:r w:rsidRPr="00E547C1">
              <w:t>1.</w:t>
            </w:r>
          </w:p>
        </w:tc>
        <w:tc>
          <w:tcPr>
            <w:tcW w:w="3424" w:type="dxa"/>
          </w:tcPr>
          <w:p w:rsidR="0062298A" w:rsidRPr="00E547C1" w:rsidRDefault="00C27A08" w:rsidP="00C00322">
            <w:pPr>
              <w:pStyle w:val="naiskr"/>
              <w:keepNext/>
              <w:keepLines/>
              <w:spacing w:before="0" w:after="0"/>
            </w:pPr>
            <w:r w:rsidRPr="00E547C1">
              <w:t>Sabiedrības mērķgrupa</w:t>
            </w:r>
            <w:r w:rsidR="00CE72B0" w:rsidRPr="00E547C1">
              <w:t>s</w:t>
            </w:r>
            <w:r w:rsidR="00340B5E" w:rsidRPr="00E547C1">
              <w:t>,</w:t>
            </w:r>
            <w:r w:rsidR="00CE72B0" w:rsidRPr="00E547C1">
              <w:t xml:space="preserve"> kuras tiesiskais regulējums arī ietekmē vai varētu ietekmēt</w:t>
            </w:r>
          </w:p>
        </w:tc>
        <w:tc>
          <w:tcPr>
            <w:tcW w:w="5670" w:type="dxa"/>
          </w:tcPr>
          <w:p w:rsidR="00F668FB" w:rsidRDefault="006A62FF" w:rsidP="00C00322">
            <w:pPr>
              <w:pStyle w:val="naiskr"/>
              <w:keepNext/>
              <w:keepLines/>
              <w:spacing w:before="0" w:after="120"/>
              <w:jc w:val="both"/>
            </w:pPr>
            <w:r>
              <w:t xml:space="preserve">2016.gada 31.decembrī </w:t>
            </w:r>
            <w:r w:rsidR="003A307D">
              <w:t>b</w:t>
            </w:r>
            <w:r w:rsidR="00F7428D">
              <w:t>ija</w:t>
            </w:r>
            <w:r w:rsidR="003A307D">
              <w:t xml:space="preserve"> </w:t>
            </w:r>
            <w:r w:rsidR="00492F0C">
              <w:t>98</w:t>
            </w:r>
            <w:r w:rsidR="00CB075A">
              <w:t xml:space="preserve"> </w:t>
            </w:r>
            <w:r w:rsidR="003A307D">
              <w:t>Kredītu reģistra dalībnieki</w:t>
            </w:r>
            <w:r w:rsidR="008E1BEB">
              <w:t>,</w:t>
            </w:r>
            <w:r w:rsidR="003A307D">
              <w:t xml:space="preserve"> </w:t>
            </w:r>
            <w:r w:rsidR="00CE7A04">
              <w:t xml:space="preserve">no </w:t>
            </w:r>
            <w:r w:rsidR="00CF27CC">
              <w:t>t</w:t>
            </w:r>
            <w:r w:rsidR="008E1BEB">
              <w:t>iem</w:t>
            </w:r>
            <w:r w:rsidR="003A307D">
              <w:t xml:space="preserve"> 1</w:t>
            </w:r>
            <w:r w:rsidR="00722767">
              <w:t>6</w:t>
            </w:r>
            <w:r w:rsidR="003A307D">
              <w:t xml:space="preserve"> Latvijā reģistrēt</w:t>
            </w:r>
            <w:r w:rsidR="00CE7A04">
              <w:t>as</w:t>
            </w:r>
            <w:r w:rsidR="003A307D">
              <w:t xml:space="preserve"> kredītiestād</w:t>
            </w:r>
            <w:r w:rsidR="00CE7A04">
              <w:t>es</w:t>
            </w:r>
            <w:r w:rsidR="003A307D">
              <w:t>,</w:t>
            </w:r>
            <w:r w:rsidR="00F7428D">
              <w:t xml:space="preserve"> </w:t>
            </w:r>
            <w:r w:rsidR="00CF27CC">
              <w:t>septiņas</w:t>
            </w:r>
            <w:r w:rsidR="00CB075A">
              <w:t xml:space="preserve"> </w:t>
            </w:r>
            <w:r w:rsidR="003A307D">
              <w:t>ārvalst</w:t>
            </w:r>
            <w:r w:rsidR="00F668FB">
              <w:t>īs reģistrētas</w:t>
            </w:r>
            <w:r w:rsidR="003A307D">
              <w:t xml:space="preserve"> kredītiestā</w:t>
            </w:r>
            <w:r w:rsidR="00F668FB">
              <w:t>des, kas Latvijā atvērušas</w:t>
            </w:r>
            <w:r w:rsidR="003A307D">
              <w:t xml:space="preserve"> filiāl</w:t>
            </w:r>
            <w:r w:rsidR="00F668FB">
              <w:t>i</w:t>
            </w:r>
            <w:r w:rsidR="00CE7A04">
              <w:t>,</w:t>
            </w:r>
            <w:r w:rsidR="00F7428D">
              <w:t xml:space="preserve"> </w:t>
            </w:r>
            <w:r w:rsidR="00722767">
              <w:t>3</w:t>
            </w:r>
            <w:r w:rsidR="00492F0C">
              <w:t>4</w:t>
            </w:r>
            <w:r w:rsidR="00F7428D">
              <w:t> </w:t>
            </w:r>
            <w:r w:rsidR="00CE7A04">
              <w:t>komersanti, kuriem ir ciešas attiecības ar</w:t>
            </w:r>
            <w:r w:rsidR="00CB075A">
              <w:t xml:space="preserve"> </w:t>
            </w:r>
            <w:r w:rsidR="00492F0C">
              <w:t xml:space="preserve">Latvijā reģistrētu kredītiestādi vai </w:t>
            </w:r>
            <w:r w:rsidR="00CE7A04">
              <w:t xml:space="preserve">tai līdzvērtīgu </w:t>
            </w:r>
            <w:r w:rsidR="00492F0C">
              <w:t>citā valstī reģistrētu komersant</w:t>
            </w:r>
            <w:r w:rsidR="00CE7A04">
              <w:t>u</w:t>
            </w:r>
            <w:r w:rsidR="00F7428D">
              <w:t xml:space="preserve">, </w:t>
            </w:r>
            <w:r w:rsidR="00492F0C">
              <w:t xml:space="preserve">34 kooperatīvās krājaizdevu sabiedrības, </w:t>
            </w:r>
            <w:r w:rsidR="00F668FB">
              <w:t>seši</w:t>
            </w:r>
            <w:r w:rsidR="00CB075A">
              <w:t xml:space="preserve"> </w:t>
            </w:r>
            <w:r w:rsidR="00F668FB" w:rsidRPr="00F668FB">
              <w:t>Latvijā reģistrēt</w:t>
            </w:r>
            <w:r w:rsidR="00F668FB">
              <w:t>i</w:t>
            </w:r>
            <w:r w:rsidR="00F668FB" w:rsidRPr="00F668FB">
              <w:t xml:space="preserve"> komersant</w:t>
            </w:r>
            <w:r w:rsidR="00F668FB">
              <w:t>i, kuriem</w:t>
            </w:r>
            <w:r w:rsidR="00F668FB" w:rsidRPr="00F668FB">
              <w:t xml:space="preserve"> ir tiesības veikt apdrošināšanu, un tam līdzvērtīg</w:t>
            </w:r>
            <w:r w:rsidR="00F668FB">
              <w:t>i</w:t>
            </w:r>
            <w:r w:rsidR="00F668FB" w:rsidRPr="00F668FB">
              <w:t xml:space="preserve"> citā valstī reģistrēt</w:t>
            </w:r>
            <w:r w:rsidR="00F668FB">
              <w:t>i</w:t>
            </w:r>
            <w:r w:rsidR="00F668FB" w:rsidRPr="00F668FB">
              <w:t xml:space="preserve"> komersan</w:t>
            </w:r>
            <w:r w:rsidR="00F668FB">
              <w:t>ti, kuri Latvijā atvēruši</w:t>
            </w:r>
            <w:r w:rsidR="00F668FB" w:rsidRPr="00F668FB">
              <w:t xml:space="preserve"> filiāli</w:t>
            </w:r>
            <w:r w:rsidR="009D0894">
              <w:t xml:space="preserve"> (turpmāk – </w:t>
            </w:r>
            <w:r w:rsidR="00CE7A04">
              <w:t>apdrošināšanas sabiedrības</w:t>
            </w:r>
            <w:r w:rsidR="009D0894">
              <w:t>)</w:t>
            </w:r>
            <w:r w:rsidR="00492F0C">
              <w:t xml:space="preserve"> un viena attīstības finanšu institūcija, kā arī</w:t>
            </w:r>
            <w:r w:rsidR="00CE7A04">
              <w:t xml:space="preserve"> </w:t>
            </w:r>
            <w:r w:rsidR="00614BA8">
              <w:t>septiņi</w:t>
            </w:r>
            <w:r w:rsidR="00F7428D">
              <w:t> </w:t>
            </w:r>
            <w:r w:rsidR="00F668FB">
              <w:t xml:space="preserve">Kredītu reģistra </w:t>
            </w:r>
            <w:r w:rsidR="00CE7A04">
              <w:t xml:space="preserve">dalībnieki ar ierobežotu statusu. </w:t>
            </w:r>
          </w:p>
          <w:p w:rsidR="00F668FB" w:rsidRDefault="00F668FB" w:rsidP="00C00322">
            <w:pPr>
              <w:pStyle w:val="naiskr"/>
              <w:keepNext/>
              <w:keepLines/>
              <w:spacing w:before="0" w:after="120"/>
              <w:jc w:val="both"/>
            </w:pPr>
            <w:r>
              <w:t>A</w:t>
            </w:r>
            <w:r w:rsidR="00CE7A04">
              <w:t>r ziņu iekļaušanu Kredītu reģistrā saistītais pien</w:t>
            </w:r>
            <w:r w:rsidR="00F7428D">
              <w:t>ākums, kas saistīts ar Regulas prasību izpildi</w:t>
            </w:r>
            <w:r>
              <w:t xml:space="preserve">, palielināsies Kredītu reģistra dalībniekiem, kas ir kredītiestādes. </w:t>
            </w:r>
          </w:p>
          <w:p w:rsidR="009D0894" w:rsidRDefault="00F668FB" w:rsidP="00C00322">
            <w:pPr>
              <w:pStyle w:val="naiskr"/>
              <w:keepNext/>
              <w:keepLines/>
              <w:spacing w:before="0" w:after="120"/>
              <w:jc w:val="both"/>
            </w:pPr>
            <w:r>
              <w:t>Pienākums</w:t>
            </w:r>
            <w:r w:rsidR="00CB075A">
              <w:t xml:space="preserve"> </w:t>
            </w:r>
            <w:r>
              <w:t xml:space="preserve">iekļaut Kredītu reģistrā </w:t>
            </w:r>
            <w:r w:rsidR="008E1BEB">
              <w:t>ziņ</w:t>
            </w:r>
            <w:r>
              <w:t>as</w:t>
            </w:r>
            <w:r w:rsidR="00F7428D">
              <w:t xml:space="preserve"> </w:t>
            </w:r>
            <w:r w:rsidR="00CE7A04">
              <w:t>par galvo</w:t>
            </w:r>
            <w:r w:rsidR="00DE5519">
              <w:t>šanas pakalpojumiem</w:t>
            </w:r>
            <w:r w:rsidR="00F7428D">
              <w:t xml:space="preserve"> </w:t>
            </w:r>
            <w:r>
              <w:t>būs saistošs visiem Kredītu reģistra dalībniekiem</w:t>
            </w:r>
            <w:r w:rsidR="001F5E6E">
              <w:t xml:space="preserve">, </w:t>
            </w:r>
            <w:r>
              <w:t>tomēr praksē šādu</w:t>
            </w:r>
            <w:r w:rsidR="009D0894">
              <w:t xml:space="preserve">s pakalpojumus pamatā sniedz kredītiestādes un apdrošināšanas sabiedrības, līdz ar to konkrētais pienākums tieši attieksies uz šīm Kredītu reģistra dalībnieku kategorijām. </w:t>
            </w:r>
          </w:p>
          <w:p w:rsidR="00B16121" w:rsidRDefault="00B16121" w:rsidP="00C00322">
            <w:pPr>
              <w:pStyle w:val="naiskr"/>
              <w:keepNext/>
              <w:keepLines/>
              <w:spacing w:before="0" w:after="120"/>
              <w:jc w:val="both"/>
            </w:pPr>
            <w:r>
              <w:t xml:space="preserve">Valsts kase uzsāks līdzdalību Kredītu reģistrā, iekļaujot ziņas par saviem klientiem, klienta galviniekiem, viņu </w:t>
            </w:r>
            <w:r>
              <w:lastRenderedPageBreak/>
              <w:t>saistībām un šo saistību pārkāpumiem.</w:t>
            </w:r>
          </w:p>
          <w:p w:rsidR="008E1BEB" w:rsidRDefault="008E1BEB" w:rsidP="00C00322">
            <w:pPr>
              <w:pStyle w:val="naiskr"/>
              <w:keepNext/>
              <w:keepLines/>
              <w:spacing w:before="0" w:after="120"/>
              <w:jc w:val="both"/>
            </w:pPr>
            <w:r>
              <w:t>Finanšu un kapitāla tirgus komisija un Latvijas Banka</w:t>
            </w:r>
            <w:r w:rsidR="00B16121">
              <w:t xml:space="preserve"> savu uzdevumu izpildes īstenošanai varēs saņemt plašāku ziņu apjomu</w:t>
            </w:r>
            <w:r>
              <w:t>.</w:t>
            </w:r>
          </w:p>
          <w:p w:rsidR="00A75E7F" w:rsidRPr="00E547C1" w:rsidRDefault="006A62FF" w:rsidP="00C00322">
            <w:pPr>
              <w:pStyle w:val="naiskr"/>
              <w:keepNext/>
              <w:keepLines/>
              <w:spacing w:before="0" w:after="120"/>
              <w:jc w:val="both"/>
              <w:rPr>
                <w:iCs/>
              </w:rPr>
            </w:pPr>
            <w:r>
              <w:t>Netieši skartā sabiedrības grupa – fiziskās un juridisk</w:t>
            </w:r>
            <w:r w:rsidR="00AF3D7F">
              <w:t xml:space="preserve">ās personas, kuras </w:t>
            </w:r>
            <w:r w:rsidR="00BB2E13">
              <w:t>ir Kredītu reģistra dalībnieku vai Valsts kases klienti vai klienta galvinieki, vai kuras vērsušās pie Kredītu reģistra dalībniekiem vai Valsts kases ar pieteikumu kļūt par klientu vai klienta galvinieku.</w:t>
            </w:r>
          </w:p>
        </w:tc>
      </w:tr>
      <w:tr w:rsidR="00E547C1" w:rsidRPr="00E547C1" w:rsidTr="00E03666">
        <w:trPr>
          <w:trHeight w:val="517"/>
        </w:trPr>
        <w:tc>
          <w:tcPr>
            <w:tcW w:w="550" w:type="dxa"/>
          </w:tcPr>
          <w:p w:rsidR="0062298A" w:rsidRPr="00E547C1" w:rsidRDefault="00CE72B0" w:rsidP="0047074D">
            <w:pPr>
              <w:pStyle w:val="naiskr"/>
              <w:spacing w:before="0" w:after="0"/>
            </w:pPr>
            <w:r w:rsidRPr="00E547C1">
              <w:lastRenderedPageBreak/>
              <w:t>2</w:t>
            </w:r>
            <w:r w:rsidR="0062298A" w:rsidRPr="00E547C1">
              <w:t>.</w:t>
            </w:r>
          </w:p>
        </w:tc>
        <w:tc>
          <w:tcPr>
            <w:tcW w:w="3424" w:type="dxa"/>
          </w:tcPr>
          <w:p w:rsidR="00C1133D" w:rsidRPr="00E547C1" w:rsidRDefault="000C790C" w:rsidP="0047074D">
            <w:pPr>
              <w:pStyle w:val="naiskr"/>
              <w:spacing w:before="0" w:after="0"/>
            </w:pPr>
            <w:r w:rsidRPr="00E547C1">
              <w:t>Tiesiskā r</w:t>
            </w:r>
            <w:r w:rsidR="003D21FF" w:rsidRPr="00E547C1">
              <w:t>egulējuma</w:t>
            </w:r>
            <w:r w:rsidR="00C27A08" w:rsidRPr="00E547C1">
              <w:t xml:space="preserve"> ietekme</w:t>
            </w:r>
            <w:r w:rsidR="00CE72B0" w:rsidRPr="00E547C1">
              <w:t xml:space="preserve"> uz tautsaimniecību un administratīvo slogu</w:t>
            </w:r>
          </w:p>
        </w:tc>
        <w:tc>
          <w:tcPr>
            <w:tcW w:w="5670" w:type="dxa"/>
          </w:tcPr>
          <w:p w:rsidR="008E1BEB" w:rsidRDefault="008E1BEB" w:rsidP="0047074D">
            <w:pPr>
              <w:pStyle w:val="naiskr"/>
              <w:spacing w:before="0" w:after="120"/>
              <w:jc w:val="both"/>
            </w:pPr>
            <w:r>
              <w:t xml:space="preserve">Kredītu reģistra dalībniekiem </w:t>
            </w:r>
            <w:r w:rsidR="008252BB">
              <w:t xml:space="preserve">un Valsts kasei </w:t>
            </w:r>
            <w:r>
              <w:t xml:space="preserve">saistībā ar likumprojektā noteiktā regulējuma ieviešanu veidosies izmaksas, kas saistītas ar informācijas sistēmu </w:t>
            </w:r>
            <w:r w:rsidR="003A5A2C">
              <w:t>un procedūru</w:t>
            </w:r>
            <w:r w:rsidR="00CB075A">
              <w:t xml:space="preserve"> </w:t>
            </w:r>
            <w:r w:rsidR="00E608A5">
              <w:t xml:space="preserve">pielāgošanu </w:t>
            </w:r>
            <w:r>
              <w:t>no likumprojekta izrietošajām prasībām.</w:t>
            </w:r>
          </w:p>
          <w:p w:rsidR="008E1BEB" w:rsidRDefault="00EF6A9B" w:rsidP="0047074D">
            <w:pPr>
              <w:pStyle w:val="naiskr"/>
              <w:spacing w:before="0" w:after="120"/>
              <w:jc w:val="both"/>
            </w:pPr>
            <w:r w:rsidRPr="00E547C1">
              <w:t>Kredītu reģistra dalībnieki</w:t>
            </w:r>
            <w:r w:rsidR="008E1BEB">
              <w:t>em, k</w:t>
            </w:r>
            <w:r w:rsidR="008E1BEB" w:rsidRPr="007A3555">
              <w:t>as ir Latvijā reģistrētas kredītiestādes,</w:t>
            </w:r>
            <w:r w:rsidR="008E1BEB">
              <w:t xml:space="preserve"> papildu administratīvais slogs veidosies no pienākuma Kredītu reģistrā iekļaut ziņas par </w:t>
            </w:r>
            <w:r w:rsidR="008E1BEB" w:rsidRPr="007A3555">
              <w:t xml:space="preserve">finanšu pakalpojumiem ar kredītrisku, kas sniegti </w:t>
            </w:r>
            <w:r w:rsidR="008E1BEB">
              <w:t xml:space="preserve">visā </w:t>
            </w:r>
            <w:r w:rsidR="008E1BEB" w:rsidRPr="007A3555">
              <w:t>Eiropas Savienībā</w:t>
            </w:r>
            <w:r w:rsidR="008E1BEB">
              <w:t>.</w:t>
            </w:r>
            <w:r w:rsidR="00B16121">
              <w:t xml:space="preserve"> </w:t>
            </w:r>
            <w:r w:rsidR="00B16121" w:rsidRPr="00A37906">
              <w:t>Saskaņā ar pieejamajiem datiem 2016.gada 31.decembrī</w:t>
            </w:r>
            <w:r w:rsidR="00CB075A">
              <w:t xml:space="preserve"> </w:t>
            </w:r>
            <w:r w:rsidR="00B7258F" w:rsidRPr="00A37906">
              <w:t>filiāle</w:t>
            </w:r>
            <w:r w:rsidR="00B7258F">
              <w:t>s</w:t>
            </w:r>
            <w:r w:rsidR="00B7258F" w:rsidRPr="00A37906">
              <w:t xml:space="preserve"> Eiropas Savienībā </w:t>
            </w:r>
            <w:r w:rsidR="006732E7">
              <w:t xml:space="preserve">bija </w:t>
            </w:r>
            <w:r w:rsidR="00B7258F">
              <w:t xml:space="preserve">atvērušas </w:t>
            </w:r>
            <w:r w:rsidR="00B16121" w:rsidRPr="00A37906">
              <w:t>tr</w:t>
            </w:r>
            <w:r w:rsidR="00B7258F">
              <w:t>īs</w:t>
            </w:r>
            <w:r w:rsidR="00B16121" w:rsidRPr="00A37906">
              <w:t xml:space="preserve"> Latvijā reģistrētā</w:t>
            </w:r>
            <w:r w:rsidR="00B7258F">
              <w:t>s</w:t>
            </w:r>
            <w:r w:rsidR="00B16121" w:rsidRPr="00A37906">
              <w:t xml:space="preserve"> kredītiestād</w:t>
            </w:r>
            <w:r w:rsidR="00B7258F">
              <w:t>es</w:t>
            </w:r>
            <w:r w:rsidR="00F7428D" w:rsidRPr="00A37906">
              <w:t xml:space="preserve"> </w:t>
            </w:r>
            <w:r w:rsidR="00B7258F">
              <w:t>(</w:t>
            </w:r>
            <w:r w:rsidR="00F7428D" w:rsidRPr="00A37906">
              <w:t xml:space="preserve">katrai </w:t>
            </w:r>
            <w:r w:rsidR="00B7258F">
              <w:t>kredītiestādei</w:t>
            </w:r>
            <w:r w:rsidR="00F7428D" w:rsidRPr="00A37906">
              <w:t xml:space="preserve"> viena</w:t>
            </w:r>
            <w:r w:rsidR="00B7258F">
              <w:t xml:space="preserve"> filiāle), tomēr šajās filiālēs aktīvu kreditēšanu īstenoja tikai viena kredītiestāde</w:t>
            </w:r>
            <w:r w:rsidR="00B16121" w:rsidRPr="00A37906">
              <w:t>.</w:t>
            </w:r>
          </w:p>
          <w:p w:rsidR="008E1BEB" w:rsidRDefault="008E1BEB" w:rsidP="0047074D">
            <w:pPr>
              <w:pStyle w:val="naiskr"/>
              <w:spacing w:before="0" w:after="120"/>
              <w:jc w:val="both"/>
            </w:pPr>
            <w:r>
              <w:t>Vienlaikus</w:t>
            </w:r>
            <w:r w:rsidR="00E16C5A">
              <w:t>, palielinoties Kredītu reģistrā iekļauto ziņu apjomam,</w:t>
            </w:r>
            <w:r>
              <w:t xml:space="preserve"> Kredītu reģistra dalībniekiem </w:t>
            </w:r>
            <w:r w:rsidR="00B16121">
              <w:t xml:space="preserve">no Kredītu reģistra </w:t>
            </w:r>
            <w:r>
              <w:t>būs pieejama pilnvērtīgāka informācija personu kredītspējas vērtēšanai.</w:t>
            </w:r>
          </w:p>
          <w:p w:rsidR="0062298A" w:rsidRDefault="00E83A97" w:rsidP="0047074D">
            <w:pPr>
              <w:pStyle w:val="naiskr"/>
              <w:spacing w:before="0" w:after="120"/>
              <w:jc w:val="both"/>
            </w:pPr>
            <w:r w:rsidRPr="00E547C1">
              <w:t xml:space="preserve">Finanšu un kapitāla tirgus komisijai un Latvijas Bankai tiesību aktos noteikto uzdevumu </w:t>
            </w:r>
            <w:r w:rsidR="008E1BEB">
              <w:t>izpildes īstenošanai</w:t>
            </w:r>
            <w:r w:rsidR="00B16121">
              <w:t xml:space="preserve"> no Kredītu reģistra būs pieejams plašāks ziņu apjoms, kas veicinās finanšu tirgus dalībnieku uzraudzību, finanšu statistikas apkopošanu un</w:t>
            </w:r>
            <w:r w:rsidR="00CB075A">
              <w:t xml:space="preserve"> </w:t>
            </w:r>
            <w:r w:rsidR="00B16121" w:rsidRPr="00B16121">
              <w:t>makroekonomisk</w:t>
            </w:r>
            <w:r w:rsidR="00B16121">
              <w:t>o</w:t>
            </w:r>
            <w:r w:rsidR="00B16121" w:rsidRPr="00B16121">
              <w:t xml:space="preserve"> analīz</w:t>
            </w:r>
            <w:r w:rsidR="00B16121">
              <w:t>i</w:t>
            </w:r>
            <w:r w:rsidR="00EF6A9B" w:rsidRPr="00E547C1">
              <w:t>.</w:t>
            </w:r>
            <w:r w:rsidRPr="00E547C1">
              <w:t xml:space="preserve"> </w:t>
            </w:r>
          </w:p>
          <w:p w:rsidR="00FD75B5" w:rsidRDefault="002D3C1B" w:rsidP="00F87856">
            <w:pPr>
              <w:spacing w:before="120" w:after="120"/>
              <w:jc w:val="both"/>
            </w:pPr>
            <w:r>
              <w:t>Valsts kasei</w:t>
            </w:r>
            <w:r w:rsidR="00F7428D">
              <w:t>,</w:t>
            </w:r>
            <w:r>
              <w:t xml:space="preserve"> uzsākot līdzdalību Kredītu reģistrā, </w:t>
            </w:r>
            <w:r w:rsidR="00FD75B5">
              <w:t xml:space="preserve">radīsies </w:t>
            </w:r>
            <w:r w:rsidR="007D09DD">
              <w:t xml:space="preserve"> papildu administratīvais slogs nepieciešamo datu sagatavošanas sākumposmā</w:t>
            </w:r>
            <w:r w:rsidR="00C116A8">
              <w:t xml:space="preserve">, lai </w:t>
            </w:r>
            <w:r w:rsidR="00FD75B5">
              <w:t>iekļaut</w:t>
            </w:r>
            <w:r w:rsidR="00C116A8">
              <w:t>u</w:t>
            </w:r>
            <w:r w:rsidR="00FD75B5">
              <w:t xml:space="preserve"> </w:t>
            </w:r>
            <w:r w:rsidR="00E16C5A">
              <w:t xml:space="preserve">Kredītu reģistrā </w:t>
            </w:r>
            <w:r w:rsidR="00FD75B5">
              <w:t>ziņas par saviem klientiem, klienta galviniekiem, viņu saistībām un šo saistību pārkāpumiem.</w:t>
            </w:r>
          </w:p>
          <w:p w:rsidR="00FD75B5" w:rsidRDefault="00FD75B5" w:rsidP="00F87856">
            <w:pPr>
              <w:spacing w:before="120" w:after="120"/>
              <w:jc w:val="both"/>
            </w:pPr>
            <w:r>
              <w:t xml:space="preserve">Vienlaikus </w:t>
            </w:r>
            <w:r w:rsidR="00F87856" w:rsidRPr="00E547C1">
              <w:t xml:space="preserve">tiks </w:t>
            </w:r>
            <w:r w:rsidR="002D3C1B">
              <w:t xml:space="preserve">mazināts </w:t>
            </w:r>
            <w:r w:rsidR="00D52E62">
              <w:t xml:space="preserve">administratīvais slogs tām personām, kuras vēršas pie Valsts kases </w:t>
            </w:r>
            <w:r w:rsidR="00F7428D">
              <w:t xml:space="preserve">ar </w:t>
            </w:r>
            <w:r w:rsidR="00D52E62">
              <w:t xml:space="preserve">pieteikumu kļūt par klientu vai klienta galvinieku, jo šādu </w:t>
            </w:r>
            <w:r w:rsidR="00F87856" w:rsidRPr="00E547C1">
              <w:t xml:space="preserve">personu kredītspējas vērtēšanai nepieciešamo informāciju Valsts kase varēs nepastarpināti iegūt </w:t>
            </w:r>
            <w:r w:rsidR="00F87856">
              <w:t>no Kredītu reģistra</w:t>
            </w:r>
            <w:r w:rsidR="00D52E62">
              <w:t>. Pa</w:t>
            </w:r>
            <w:r w:rsidR="00F87856" w:rsidRPr="00E547C1">
              <w:t xml:space="preserve">šlaik </w:t>
            </w:r>
            <w:r>
              <w:t xml:space="preserve">pašai personai ir jāpieprasa </w:t>
            </w:r>
            <w:r w:rsidR="00D52E62">
              <w:t>Kredītu reģistrā iekļautās ziņas</w:t>
            </w:r>
            <w:r>
              <w:t>, lai tās iesniegtu Valsts kasei</w:t>
            </w:r>
            <w:r w:rsidR="00F87856" w:rsidRPr="00E547C1">
              <w:t>.</w:t>
            </w:r>
            <w:r w:rsidR="00F87856">
              <w:t xml:space="preserve"> </w:t>
            </w:r>
          </w:p>
          <w:p w:rsidR="00ED0B84" w:rsidRDefault="00FD75B5" w:rsidP="00DA03FB">
            <w:pPr>
              <w:spacing w:before="120" w:after="120"/>
              <w:jc w:val="both"/>
            </w:pPr>
            <w:r>
              <w:t>Valsts kase</w:t>
            </w:r>
            <w:r w:rsidR="006732E7">
              <w:t>,</w:t>
            </w:r>
            <w:r>
              <w:t xml:space="preserve"> savukārt</w:t>
            </w:r>
            <w:r w:rsidR="006732E7">
              <w:t>,</w:t>
            </w:r>
            <w:r>
              <w:t xml:space="preserve"> būs tiesīga izmantot Kredītu reģistrā iekļautās ziņas savu klientu un klienta galvinieku kredītspējas vērtēšanai, ko līdz šim tā nebija tiesīga</w:t>
            </w:r>
            <w:r w:rsidR="00A277E3">
              <w:t xml:space="preserve"> darīt</w:t>
            </w:r>
            <w:r>
              <w:t xml:space="preserve">, </w:t>
            </w:r>
            <w:r>
              <w:lastRenderedPageBreak/>
              <w:t xml:space="preserve">kas </w:t>
            </w:r>
            <w:r w:rsidR="00242092">
              <w:t xml:space="preserve">tai ļautu pastāvīgi sekot </w:t>
            </w:r>
            <w:r>
              <w:t xml:space="preserve">valsts kredītu un valsts galvojumu </w:t>
            </w:r>
            <w:r w:rsidR="007543A3">
              <w:t>saņēmēju kredītspējai</w:t>
            </w:r>
            <w:r w:rsidR="00242092">
              <w:t xml:space="preserve"> un veicinātu šo saistību raitu izpildi</w:t>
            </w:r>
            <w:r>
              <w:t>.</w:t>
            </w:r>
            <w:r w:rsidR="00ED0B84">
              <w:t xml:space="preserve"> </w:t>
            </w:r>
            <w:r w:rsidR="00032211" w:rsidRPr="00032211">
              <w:t>Latvijas Banka</w:t>
            </w:r>
            <w:r w:rsidR="00032211">
              <w:t>, pamatojoties uz likumprojektā paredzēto deleģējumu un</w:t>
            </w:r>
            <w:r w:rsidR="00032211" w:rsidRPr="00032211">
              <w:t xml:space="preserve"> vi</w:t>
            </w:r>
            <w:r w:rsidR="00032211">
              <w:t>enojoties ar Valsts kasi, noteiks</w:t>
            </w:r>
            <w:r w:rsidR="00032211" w:rsidRPr="00032211">
              <w:t xml:space="preserve"> Valsts kases </w:t>
            </w:r>
            <w:r w:rsidR="00032211">
              <w:t xml:space="preserve">Kredītu </w:t>
            </w:r>
            <w:r w:rsidR="00032211" w:rsidRPr="00032211">
              <w:t>reģistrā iekļaujam</w:t>
            </w:r>
            <w:r w:rsidR="00BB14DB">
              <w:t xml:space="preserve">o ziņu saturu un apjomu, </w:t>
            </w:r>
            <w:r w:rsidR="00032211" w:rsidRPr="00032211">
              <w:t>termiņu un kārtību, kā</w:t>
            </w:r>
            <w:r w:rsidR="00032211">
              <w:t xml:space="preserve">dā Valsts kasei ziņas </w:t>
            </w:r>
            <w:r w:rsidR="00BB14DB">
              <w:t>jāiekļauj Kredītu reģistrā,</w:t>
            </w:r>
            <w:r w:rsidR="00032211" w:rsidRPr="00032211">
              <w:t xml:space="preserve"> Valsts kasei izsniedzamo </w:t>
            </w:r>
            <w:r w:rsidR="00BB14DB">
              <w:t xml:space="preserve">Kredītu </w:t>
            </w:r>
            <w:r w:rsidR="00032211" w:rsidRPr="00032211">
              <w:t xml:space="preserve">reģistrā iekļaujamo ziņu apjomu, kā </w:t>
            </w:r>
            <w:r w:rsidR="006732E7">
              <w:t xml:space="preserve">arī </w:t>
            </w:r>
            <w:r w:rsidR="00032211" w:rsidRPr="00032211">
              <w:t>ziņu izsnieg</w:t>
            </w:r>
            <w:r w:rsidR="00BB14DB">
              <w:t>šanas termiņu un kārtību.</w:t>
            </w:r>
          </w:p>
          <w:p w:rsidR="00925FBC" w:rsidRPr="00E547C1" w:rsidRDefault="00925FBC" w:rsidP="00DA03FB">
            <w:pPr>
              <w:spacing w:before="120" w:after="120"/>
              <w:jc w:val="both"/>
            </w:pPr>
            <w:r>
              <w:t>Kredītu reģistrā iekļauto ziņu glabāšanas termiņa samazinājums</w:t>
            </w:r>
            <w:r w:rsidRPr="00E547C1">
              <w:t xml:space="preserve"> no 15 gadiem uz 10 gadiem </w:t>
            </w:r>
            <w:r>
              <w:t>atvieglos Kredītu reģistra dalībnieku pienākum</w:t>
            </w:r>
            <w:r w:rsidR="0069131D">
              <w:t>u</w:t>
            </w:r>
            <w:r>
              <w:t xml:space="preserve"> </w:t>
            </w:r>
            <w:r w:rsidR="00FF0150">
              <w:t xml:space="preserve">ilgstoši </w:t>
            </w:r>
            <w:r>
              <w:t>uzglabāt ar klienta vai klienta galvinieka saistībām saistītos dokumentus, kā arī samazinās Kredītu reģistrā iekļauto personas datu apjomu.</w:t>
            </w:r>
          </w:p>
        </w:tc>
      </w:tr>
      <w:tr w:rsidR="00E547C1" w:rsidRPr="00E547C1" w:rsidTr="00E03666">
        <w:trPr>
          <w:trHeight w:val="357"/>
        </w:trPr>
        <w:tc>
          <w:tcPr>
            <w:tcW w:w="550" w:type="dxa"/>
          </w:tcPr>
          <w:p w:rsidR="0062298A" w:rsidRPr="00E547C1" w:rsidRDefault="00CE72B0" w:rsidP="0047074D">
            <w:pPr>
              <w:pStyle w:val="naiskr"/>
              <w:spacing w:before="0" w:after="0"/>
            </w:pPr>
            <w:r w:rsidRPr="00E547C1">
              <w:lastRenderedPageBreak/>
              <w:t>3</w:t>
            </w:r>
            <w:r w:rsidR="0062298A" w:rsidRPr="00E547C1">
              <w:t>.</w:t>
            </w:r>
          </w:p>
        </w:tc>
        <w:tc>
          <w:tcPr>
            <w:tcW w:w="3424" w:type="dxa"/>
          </w:tcPr>
          <w:p w:rsidR="00AE5066" w:rsidRPr="00E547C1" w:rsidRDefault="00C27A08" w:rsidP="0047074D">
            <w:pPr>
              <w:pStyle w:val="naiskr"/>
              <w:spacing w:before="0" w:after="0"/>
            </w:pPr>
            <w:r w:rsidRPr="00E547C1">
              <w:t xml:space="preserve">Administratīvo izmaksu </w:t>
            </w:r>
            <w:r w:rsidR="00502374" w:rsidRPr="00E547C1">
              <w:t xml:space="preserve">monetārs </w:t>
            </w:r>
            <w:r w:rsidRPr="00E547C1">
              <w:t>novērtējums</w:t>
            </w:r>
          </w:p>
        </w:tc>
        <w:tc>
          <w:tcPr>
            <w:tcW w:w="5670" w:type="dxa"/>
          </w:tcPr>
          <w:p w:rsidR="0062298A" w:rsidRPr="00E547C1" w:rsidRDefault="007B18ED" w:rsidP="00A37906">
            <w:pPr>
              <w:pStyle w:val="naiskr"/>
              <w:spacing w:before="0" w:after="0"/>
              <w:jc w:val="both"/>
            </w:pPr>
            <w:r>
              <w:t>Administratīvo</w:t>
            </w:r>
            <w:r w:rsidR="00A277E3" w:rsidRPr="00A37906">
              <w:t xml:space="preserve"> izmaksu monetārs novērtējums</w:t>
            </w:r>
            <w:r>
              <w:t xml:space="preserve"> nav veikts un tas būs atšķirīgs katrai no iesaistītajām sabiedrības mērķgrupām</w:t>
            </w:r>
            <w:r w:rsidR="00C20646" w:rsidRPr="00A37906">
              <w:t>.</w:t>
            </w:r>
          </w:p>
        </w:tc>
      </w:tr>
      <w:tr w:rsidR="00E547C1" w:rsidRPr="00E547C1" w:rsidTr="00E03666">
        <w:tc>
          <w:tcPr>
            <w:tcW w:w="550" w:type="dxa"/>
          </w:tcPr>
          <w:p w:rsidR="0062298A" w:rsidRPr="00E547C1" w:rsidRDefault="00CE72B0" w:rsidP="0047074D">
            <w:pPr>
              <w:pStyle w:val="naiskr"/>
              <w:spacing w:before="0" w:after="0"/>
            </w:pPr>
            <w:r w:rsidRPr="00E547C1">
              <w:t>4</w:t>
            </w:r>
            <w:r w:rsidR="0062298A" w:rsidRPr="00E547C1">
              <w:t>.</w:t>
            </w:r>
          </w:p>
        </w:tc>
        <w:tc>
          <w:tcPr>
            <w:tcW w:w="3424" w:type="dxa"/>
          </w:tcPr>
          <w:p w:rsidR="0062298A" w:rsidRPr="00E547C1" w:rsidRDefault="009E12D7" w:rsidP="0047074D">
            <w:pPr>
              <w:pStyle w:val="naiskr"/>
              <w:spacing w:before="0" w:after="0"/>
            </w:pPr>
            <w:r w:rsidRPr="00E547C1">
              <w:t>Cita informācija</w:t>
            </w:r>
          </w:p>
        </w:tc>
        <w:tc>
          <w:tcPr>
            <w:tcW w:w="5670" w:type="dxa"/>
          </w:tcPr>
          <w:p w:rsidR="0062298A" w:rsidRPr="00E547C1" w:rsidRDefault="001B71CD" w:rsidP="0047074D">
            <w:pPr>
              <w:pStyle w:val="naiskr"/>
              <w:spacing w:before="0" w:after="0"/>
            </w:pPr>
            <w:r w:rsidRPr="00E547C1">
              <w:t>Nav</w:t>
            </w:r>
          </w:p>
        </w:tc>
      </w:tr>
    </w:tbl>
    <w:p w:rsidR="00924023" w:rsidRDefault="00924023" w:rsidP="0047074D">
      <w:pPr>
        <w:pStyle w:val="naiskr"/>
        <w:tabs>
          <w:tab w:val="left" w:pos="2628"/>
        </w:tabs>
        <w:spacing w:before="0" w:after="0"/>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246"/>
        <w:gridCol w:w="1313"/>
        <w:gridCol w:w="1286"/>
        <w:gridCol w:w="1286"/>
        <w:gridCol w:w="1286"/>
        <w:gridCol w:w="1282"/>
      </w:tblGrid>
      <w:tr w:rsidR="00762529" w:rsidRPr="00894C55" w:rsidTr="00122073">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rPr>
                <w:b/>
                <w:bCs/>
              </w:rPr>
            </w:pPr>
            <w:r w:rsidRPr="00762529">
              <w:rPr>
                <w:b/>
                <w:bCs/>
              </w:rPr>
              <w:t>III. Tiesību akta projekta ietekme uz valsts budžetu un pašvaldību budžetiem</w:t>
            </w:r>
          </w:p>
        </w:tc>
      </w:tr>
      <w:tr w:rsidR="000E2BC2" w:rsidRPr="00894C55" w:rsidTr="00F04D32">
        <w:trPr>
          <w:jc w:val="center"/>
        </w:trPr>
        <w:tc>
          <w:tcPr>
            <w:tcW w:w="1673" w:type="pct"/>
            <w:vMerge w:val="restar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rPr>
                <w:b/>
                <w:bCs/>
              </w:rPr>
            </w:pPr>
            <w:r w:rsidRPr="00762529">
              <w:rPr>
                <w:b/>
                <w:bCs/>
              </w:rPr>
              <w:t>Rādītāji</w:t>
            </w:r>
          </w:p>
        </w:tc>
        <w:tc>
          <w:tcPr>
            <w:tcW w:w="134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DA6317" w:rsidP="008B57BA">
            <w:pPr>
              <w:spacing w:before="100" w:beforeAutospacing="1" w:after="100" w:afterAutospacing="1" w:line="293" w:lineRule="atLeast"/>
              <w:jc w:val="center"/>
              <w:rPr>
                <w:b/>
                <w:bCs/>
              </w:rPr>
            </w:pPr>
            <w:r>
              <w:rPr>
                <w:b/>
                <w:bCs/>
              </w:rPr>
              <w:t>2017.</w:t>
            </w:r>
            <w:r w:rsidR="00762529" w:rsidRPr="00762529">
              <w:rPr>
                <w:b/>
                <w:bCs/>
              </w:rPr>
              <w:t xml:space="preserve"> gads</w:t>
            </w:r>
          </w:p>
        </w:tc>
        <w:tc>
          <w:tcPr>
            <w:tcW w:w="1987" w:type="pct"/>
            <w:gridSpan w:val="3"/>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pPr>
            <w:r w:rsidRPr="00762529">
              <w:t>Turpmākie trīs gadi (</w:t>
            </w:r>
            <w:r w:rsidRPr="00762529">
              <w:rPr>
                <w:i/>
                <w:iCs/>
              </w:rPr>
              <w:t>euro</w:t>
            </w:r>
            <w:r w:rsidRPr="00762529">
              <w:t>)</w:t>
            </w:r>
          </w:p>
        </w:tc>
      </w:tr>
      <w:tr w:rsidR="00762529" w:rsidRPr="00894C55"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rPr>
                <w:b/>
                <w:bCs/>
              </w:rPr>
            </w:pPr>
          </w:p>
        </w:tc>
        <w:tc>
          <w:tcPr>
            <w:tcW w:w="1340" w:type="pct"/>
            <w:gridSpan w:val="2"/>
            <w:vMerge/>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rPr>
                <w:b/>
                <w:bCs/>
              </w:rPr>
            </w:pP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DA6317" w:rsidP="008B57BA">
            <w:pPr>
              <w:spacing w:before="100" w:beforeAutospacing="1" w:after="100" w:afterAutospacing="1" w:line="293" w:lineRule="atLeast"/>
              <w:jc w:val="center"/>
              <w:rPr>
                <w:b/>
                <w:bCs/>
              </w:rPr>
            </w:pPr>
            <w:r>
              <w:rPr>
                <w:b/>
                <w:bCs/>
              </w:rPr>
              <w:t>2018</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DA6317" w:rsidP="008B57BA">
            <w:pPr>
              <w:spacing w:before="100" w:beforeAutospacing="1" w:after="100" w:afterAutospacing="1" w:line="293" w:lineRule="atLeast"/>
              <w:jc w:val="center"/>
              <w:rPr>
                <w:b/>
                <w:bCs/>
              </w:rPr>
            </w:pPr>
            <w:r>
              <w:rPr>
                <w:b/>
                <w:bCs/>
              </w:rPr>
              <w:t>2019</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DA6317" w:rsidP="008B57BA">
            <w:pPr>
              <w:spacing w:before="100" w:beforeAutospacing="1" w:after="100" w:afterAutospacing="1" w:line="293" w:lineRule="atLeast"/>
              <w:jc w:val="center"/>
              <w:rPr>
                <w:b/>
                <w:bCs/>
              </w:rPr>
            </w:pPr>
            <w:r>
              <w:rPr>
                <w:b/>
                <w:bCs/>
              </w:rPr>
              <w:t>2020</w:t>
            </w:r>
          </w:p>
        </w:tc>
      </w:tr>
      <w:tr w:rsidR="00903468" w:rsidRPr="00894C55" w:rsidTr="00F04D32">
        <w:trPr>
          <w:jc w:val="center"/>
        </w:trPr>
        <w:tc>
          <w:tcPr>
            <w:tcW w:w="1673" w:type="pct"/>
            <w:vMerge/>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rPr>
                <w:b/>
                <w:bCs/>
              </w:rPr>
            </w:pP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pPr>
            <w:r w:rsidRPr="00762529">
              <w:t>saskaņā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pPr>
            <w:r w:rsidRPr="00762529">
              <w:t>izmaiņas kārtējā gadā, salīdzinot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903468">
            <w:pPr>
              <w:spacing w:before="100" w:beforeAutospacing="1" w:after="100" w:afterAutospacing="1" w:line="293" w:lineRule="atLeast"/>
              <w:jc w:val="center"/>
            </w:pPr>
            <w:r w:rsidRPr="00762529">
              <w:t>izmaiņas, salīdzinot ar kārtējo (</w:t>
            </w:r>
            <w:r w:rsidR="00903468">
              <w:t>2017</w:t>
            </w:r>
            <w:r w:rsidRPr="00762529">
              <w:t>) gadu</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903468">
            <w:pPr>
              <w:spacing w:before="100" w:beforeAutospacing="1" w:after="100" w:afterAutospacing="1" w:line="293" w:lineRule="atLeast"/>
              <w:jc w:val="center"/>
            </w:pPr>
            <w:r w:rsidRPr="00762529">
              <w:t>izmaiņas, salīdzinot ar kārtējo (</w:t>
            </w:r>
            <w:r w:rsidR="00903468">
              <w:t>2017</w:t>
            </w:r>
            <w:r w:rsidRPr="00762529">
              <w:t>)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903468">
            <w:pPr>
              <w:spacing w:before="100" w:beforeAutospacing="1" w:after="100" w:afterAutospacing="1" w:line="293" w:lineRule="atLeast"/>
              <w:jc w:val="center"/>
            </w:pPr>
            <w:r w:rsidRPr="00762529">
              <w:t>izmaiņas, salīdzinot ar kārtējo (</w:t>
            </w:r>
            <w:r w:rsidR="00903468">
              <w:t>2017</w:t>
            </w:r>
            <w:r w:rsidRPr="00762529">
              <w:t>) gadu</w:t>
            </w:r>
          </w:p>
        </w:tc>
      </w:tr>
      <w:tr w:rsidR="00903468"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hideMark/>
          </w:tcPr>
          <w:p w:rsidR="00762529" w:rsidRPr="00A1397A" w:rsidRDefault="00762529" w:rsidP="008B57BA">
            <w:pPr>
              <w:spacing w:before="100" w:beforeAutospacing="1" w:after="100" w:afterAutospacing="1" w:line="293" w:lineRule="atLeast"/>
              <w:jc w:val="center"/>
              <w:rPr>
                <w:sz w:val="20"/>
              </w:rPr>
            </w:pPr>
            <w:r w:rsidRPr="00A1397A">
              <w:rPr>
                <w:sz w:val="20"/>
              </w:rPr>
              <w:t>1</w:t>
            </w:r>
          </w:p>
        </w:tc>
        <w:tc>
          <w:tcPr>
            <w:tcW w:w="677" w:type="pct"/>
            <w:tcBorders>
              <w:top w:val="outset" w:sz="6" w:space="0" w:color="414142"/>
              <w:left w:val="outset" w:sz="6" w:space="0" w:color="414142"/>
              <w:bottom w:val="outset" w:sz="6" w:space="0" w:color="414142"/>
              <w:right w:val="outset" w:sz="6" w:space="0" w:color="414142"/>
            </w:tcBorders>
            <w:vAlign w:val="center"/>
            <w:hideMark/>
          </w:tcPr>
          <w:p w:rsidR="00762529" w:rsidRPr="00A1397A" w:rsidRDefault="00762529" w:rsidP="008B57BA">
            <w:pPr>
              <w:spacing w:before="100" w:beforeAutospacing="1" w:after="100" w:afterAutospacing="1" w:line="293" w:lineRule="atLeast"/>
              <w:jc w:val="center"/>
              <w:rPr>
                <w:sz w:val="20"/>
              </w:rPr>
            </w:pPr>
            <w:r w:rsidRPr="00A1397A">
              <w:rPr>
                <w:sz w:val="20"/>
              </w:rPr>
              <w:t>2</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A1397A" w:rsidRDefault="00762529" w:rsidP="008B57BA">
            <w:pPr>
              <w:spacing w:before="100" w:beforeAutospacing="1" w:after="100" w:afterAutospacing="1" w:line="293" w:lineRule="atLeast"/>
              <w:jc w:val="center"/>
              <w:rPr>
                <w:sz w:val="20"/>
              </w:rPr>
            </w:pPr>
            <w:r w:rsidRPr="00A1397A">
              <w:rPr>
                <w:sz w:val="20"/>
              </w:rPr>
              <w:t>3</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rPr>
                <w:sz w:val="20"/>
              </w:rPr>
            </w:pPr>
            <w:r w:rsidRPr="00762529">
              <w:rPr>
                <w:sz w:val="20"/>
              </w:rPr>
              <w:t>4</w:t>
            </w:r>
          </w:p>
        </w:tc>
        <w:tc>
          <w:tcPr>
            <w:tcW w:w="663"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rPr>
                <w:sz w:val="20"/>
              </w:rPr>
            </w:pPr>
            <w:r w:rsidRPr="00762529">
              <w:rPr>
                <w:sz w:val="20"/>
              </w:rPr>
              <w:t>5</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762529" w:rsidRPr="00762529" w:rsidRDefault="00762529" w:rsidP="008B57BA">
            <w:pPr>
              <w:spacing w:before="100" w:beforeAutospacing="1" w:after="100" w:afterAutospacing="1" w:line="293" w:lineRule="atLeast"/>
              <w:jc w:val="center"/>
              <w:rPr>
                <w:sz w:val="20"/>
              </w:rPr>
            </w:pPr>
            <w:r w:rsidRPr="00762529">
              <w:rPr>
                <w:sz w:val="20"/>
              </w:rPr>
              <w:t>6</w:t>
            </w:r>
          </w:p>
        </w:tc>
      </w:tr>
      <w:tr w:rsidR="0012207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122073" w:rsidRPr="00A1397A" w:rsidRDefault="00122073" w:rsidP="00122073">
            <w:pPr>
              <w:spacing w:before="100" w:beforeAutospacing="1" w:after="100" w:afterAutospacing="1" w:line="293" w:lineRule="atLeast"/>
              <w:rPr>
                <w:sz w:val="20"/>
              </w:rPr>
            </w:pPr>
            <w:r w:rsidRPr="007C1945">
              <w:t>1. Budžeta ieņēmumi:</w:t>
            </w:r>
          </w:p>
        </w:tc>
        <w:tc>
          <w:tcPr>
            <w:tcW w:w="677" w:type="pct"/>
            <w:tcBorders>
              <w:top w:val="outset" w:sz="6" w:space="0" w:color="414142"/>
              <w:left w:val="outset" w:sz="6" w:space="0" w:color="414142"/>
              <w:bottom w:val="outset" w:sz="6" w:space="0" w:color="414142"/>
              <w:right w:val="outset" w:sz="6" w:space="0" w:color="414142"/>
            </w:tcBorders>
            <w:vAlign w:val="center"/>
          </w:tcPr>
          <w:p w:rsidR="00122073" w:rsidRPr="00122073" w:rsidRDefault="00122073" w:rsidP="008B57BA">
            <w:pPr>
              <w:spacing w:before="100" w:beforeAutospacing="1" w:after="100" w:afterAutospacing="1" w:line="293" w:lineRule="atLeast"/>
              <w:jc w:val="center"/>
            </w:pPr>
            <w:r w:rsidRPr="00122073">
              <w:t>0</w:t>
            </w:r>
          </w:p>
        </w:tc>
        <w:tc>
          <w:tcPr>
            <w:tcW w:w="663" w:type="pct"/>
            <w:tcBorders>
              <w:top w:val="outset" w:sz="6" w:space="0" w:color="414142"/>
              <w:left w:val="outset" w:sz="6" w:space="0" w:color="414142"/>
              <w:bottom w:val="outset" w:sz="6" w:space="0" w:color="414142"/>
              <w:right w:val="outset" w:sz="6" w:space="0" w:color="414142"/>
            </w:tcBorders>
            <w:vAlign w:val="center"/>
          </w:tcPr>
          <w:p w:rsidR="00122073" w:rsidRPr="00122073" w:rsidRDefault="00122073" w:rsidP="008B57BA">
            <w:pPr>
              <w:spacing w:before="100" w:beforeAutospacing="1" w:after="100" w:afterAutospacing="1" w:line="293" w:lineRule="atLeast"/>
              <w:jc w:val="center"/>
            </w:pPr>
            <w:r w:rsidRPr="00122073">
              <w:t>0</w:t>
            </w:r>
          </w:p>
        </w:tc>
        <w:tc>
          <w:tcPr>
            <w:tcW w:w="663" w:type="pct"/>
            <w:tcBorders>
              <w:top w:val="outset" w:sz="6" w:space="0" w:color="414142"/>
              <w:left w:val="outset" w:sz="6" w:space="0" w:color="414142"/>
              <w:bottom w:val="outset" w:sz="6" w:space="0" w:color="414142"/>
              <w:right w:val="outset" w:sz="6" w:space="0" w:color="414142"/>
            </w:tcBorders>
            <w:vAlign w:val="center"/>
          </w:tcPr>
          <w:p w:rsidR="00122073" w:rsidRPr="00122073" w:rsidRDefault="00122073" w:rsidP="008B57BA">
            <w:pPr>
              <w:spacing w:before="100" w:beforeAutospacing="1" w:after="100" w:afterAutospacing="1" w:line="293" w:lineRule="atLeast"/>
              <w:jc w:val="center"/>
            </w:pPr>
            <w:r w:rsidRPr="00122073">
              <w:t>0</w:t>
            </w:r>
          </w:p>
        </w:tc>
        <w:tc>
          <w:tcPr>
            <w:tcW w:w="663" w:type="pct"/>
            <w:tcBorders>
              <w:top w:val="outset" w:sz="6" w:space="0" w:color="414142"/>
              <w:left w:val="outset" w:sz="6" w:space="0" w:color="414142"/>
              <w:bottom w:val="outset" w:sz="6" w:space="0" w:color="414142"/>
              <w:right w:val="outset" w:sz="6" w:space="0" w:color="414142"/>
            </w:tcBorders>
            <w:vAlign w:val="center"/>
          </w:tcPr>
          <w:p w:rsidR="00122073" w:rsidRPr="00122073" w:rsidRDefault="00122073" w:rsidP="008B57BA">
            <w:pPr>
              <w:spacing w:before="100" w:beforeAutospacing="1" w:after="100" w:afterAutospacing="1" w:line="293" w:lineRule="atLeast"/>
              <w:jc w:val="center"/>
            </w:pPr>
            <w:r w:rsidRPr="00122073">
              <w:t>0</w:t>
            </w:r>
          </w:p>
        </w:tc>
        <w:tc>
          <w:tcPr>
            <w:tcW w:w="661" w:type="pct"/>
            <w:tcBorders>
              <w:top w:val="outset" w:sz="6" w:space="0" w:color="414142"/>
              <w:left w:val="outset" w:sz="6" w:space="0" w:color="414142"/>
              <w:bottom w:val="outset" w:sz="6" w:space="0" w:color="414142"/>
              <w:right w:val="outset" w:sz="6" w:space="0" w:color="414142"/>
            </w:tcBorders>
            <w:vAlign w:val="center"/>
          </w:tcPr>
          <w:p w:rsidR="00122073" w:rsidRPr="00122073" w:rsidRDefault="00122073" w:rsidP="008B57BA">
            <w:pPr>
              <w:spacing w:before="100" w:beforeAutospacing="1" w:after="100" w:afterAutospacing="1" w:line="293" w:lineRule="atLeast"/>
              <w:jc w:val="center"/>
            </w:pPr>
            <w:r w:rsidRPr="00122073">
              <w:t>0</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1.1. valsts pamatbudžets, tai skaitā ieņēmumi no maksas pakalpojumiem un citi pašu ieņēmumi</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1.2. valsts speciālais budžets</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1.3. pašvaldību budžets</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2. Budžeta izdevumi:</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284454" w:rsidRDefault="005C4DF3" w:rsidP="005C4DF3">
            <w:pPr>
              <w:jc w:val="center"/>
            </w:pPr>
            <w:r w:rsidRPr="005072AB">
              <w:t>N</w:t>
            </w:r>
            <w:r w:rsidRPr="00122073">
              <w:t>av precīzi aprēķināms</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t>N</w:t>
            </w:r>
            <w:r w:rsidRPr="003623D8">
              <w:t>av precīzi 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t>N</w:t>
            </w:r>
            <w:r w:rsidRPr="003623D8">
              <w:t>av precīzi aprēķināms</w:t>
            </w:r>
            <w:r w:rsidRPr="007C1945">
              <w:t xml:space="preserve"> </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2.1. valsts pamatbudžets</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t>N</w:t>
            </w:r>
            <w:r w:rsidRPr="003623D8">
              <w:t>av precīzi aprēķināms</w:t>
            </w:r>
            <w:r w:rsidRPr="007C1945">
              <w:t xml:space="preserve"> </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t>N</w:t>
            </w:r>
            <w:r w:rsidRPr="003623D8">
              <w:t>av precīzi 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t>N</w:t>
            </w:r>
            <w:r w:rsidRPr="003623D8">
              <w:t>av precīzi aprēķināms</w:t>
            </w:r>
            <w:r w:rsidRPr="007C1945">
              <w:t xml:space="preserve"> </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2.2. valsts speciālais budžets</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2.3. pašvaldību budžets</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3. Finansiālā ietekme:</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284454" w:rsidRDefault="005C4DF3" w:rsidP="005C4DF3">
            <w:pPr>
              <w:jc w:val="center"/>
            </w:pPr>
            <w:r w:rsidRPr="005072AB">
              <w:t>N</w:t>
            </w:r>
            <w:r w:rsidRPr="00122073">
              <w:t xml:space="preserve">av precīzi </w:t>
            </w:r>
            <w:r w:rsidRPr="00122073">
              <w:lastRenderedPageBreak/>
              <w:t>aprēķināms</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lastRenderedPageBreak/>
              <w:t>N</w:t>
            </w:r>
            <w:r w:rsidRPr="003623D8">
              <w:t xml:space="preserve">av precīzi </w:t>
            </w:r>
            <w:r w:rsidRPr="003623D8">
              <w:lastRenderedPageBreak/>
              <w:t>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lastRenderedPageBreak/>
              <w:t>N</w:t>
            </w:r>
            <w:r w:rsidRPr="003623D8">
              <w:t xml:space="preserve">av precīzi </w:t>
            </w:r>
            <w:r w:rsidRPr="003623D8">
              <w:lastRenderedPageBreak/>
              <w:t>aprēķināms</w:t>
            </w:r>
            <w:r w:rsidRPr="007C1945">
              <w:t xml:space="preserve"> </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lastRenderedPageBreak/>
              <w:t>3.1. valsts pamatbudžets</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284454" w:rsidRDefault="005C4DF3" w:rsidP="005C4DF3">
            <w:pPr>
              <w:jc w:val="center"/>
            </w:pPr>
            <w:r w:rsidRPr="005072AB">
              <w:t>N</w:t>
            </w:r>
            <w:r w:rsidRPr="00122073">
              <w:t>av precīzi aprēķināms</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t>N</w:t>
            </w:r>
            <w:r w:rsidRPr="003623D8">
              <w:t>av precīzi aprēķināms</w:t>
            </w:r>
            <w:r w:rsidRPr="007C1945">
              <w:t xml:space="preserve"> </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t>N</w:t>
            </w:r>
            <w:r w:rsidRPr="003623D8">
              <w:t>av precīzi aprēķināms</w:t>
            </w:r>
            <w:r w:rsidRPr="007C1945">
              <w:t xml:space="preserve"> </w:t>
            </w:r>
          </w:p>
        </w:tc>
      </w:tr>
      <w:tr w:rsidR="005C4DF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5C4DF3" w:rsidRPr="007C1945" w:rsidRDefault="005C4DF3" w:rsidP="005C4DF3">
            <w:pPr>
              <w:spacing w:before="100" w:beforeAutospacing="1" w:after="100" w:afterAutospacing="1" w:line="293" w:lineRule="atLeast"/>
            </w:pPr>
            <w:r w:rsidRPr="007C1945">
              <w:t>3.2. speciālais budžets</w:t>
            </w:r>
          </w:p>
        </w:tc>
        <w:tc>
          <w:tcPr>
            <w:tcW w:w="677"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rsidR="005C4DF3" w:rsidRPr="007C1945" w:rsidRDefault="005C4DF3" w:rsidP="005C4DF3">
            <w:pPr>
              <w:jc w:val="center"/>
            </w:pPr>
            <w:r w:rsidRPr="007C1945">
              <w:t>0</w:t>
            </w:r>
          </w:p>
        </w:tc>
      </w:tr>
      <w:tr w:rsidR="00221323" w:rsidRPr="00894C55" w:rsidTr="00F04D32">
        <w:trPr>
          <w:jc w:val="center"/>
        </w:trPr>
        <w:tc>
          <w:tcPr>
            <w:tcW w:w="1673" w:type="pct"/>
            <w:tcBorders>
              <w:top w:val="outset" w:sz="6" w:space="0" w:color="414142"/>
              <w:left w:val="outset" w:sz="6" w:space="0" w:color="414142"/>
              <w:bottom w:val="outset" w:sz="6" w:space="0" w:color="414142"/>
              <w:right w:val="outset" w:sz="6" w:space="0" w:color="414142"/>
            </w:tcBorders>
            <w:vAlign w:val="center"/>
          </w:tcPr>
          <w:p w:rsidR="00221323" w:rsidRPr="007C1945" w:rsidRDefault="00221323" w:rsidP="00221323">
            <w:pPr>
              <w:spacing w:before="100" w:beforeAutospacing="1" w:after="100" w:afterAutospacing="1" w:line="293" w:lineRule="atLeast"/>
            </w:pPr>
            <w:r w:rsidRPr="007C1945">
              <w:t>3.3. pašvaldību budžets</w:t>
            </w:r>
          </w:p>
        </w:tc>
        <w:tc>
          <w:tcPr>
            <w:tcW w:w="677" w:type="pct"/>
            <w:tcBorders>
              <w:top w:val="outset" w:sz="6" w:space="0" w:color="414142"/>
              <w:left w:val="outset" w:sz="6" w:space="0" w:color="414142"/>
              <w:bottom w:val="outset" w:sz="6" w:space="0" w:color="414142"/>
              <w:right w:val="outset" w:sz="6" w:space="0" w:color="414142"/>
            </w:tcBorders>
          </w:tcPr>
          <w:p w:rsidR="00221323" w:rsidRPr="007C1945" w:rsidRDefault="00221323" w:rsidP="0022132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221323" w:rsidRPr="007C1945" w:rsidRDefault="00221323" w:rsidP="0022132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221323" w:rsidRPr="007C1945" w:rsidRDefault="00221323" w:rsidP="00221323">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rsidR="00221323" w:rsidRPr="007C1945" w:rsidRDefault="00221323" w:rsidP="00221323">
            <w:pPr>
              <w:jc w:val="center"/>
            </w:pPr>
            <w:r w:rsidRPr="007C1945">
              <w:t>0</w:t>
            </w:r>
          </w:p>
        </w:tc>
        <w:tc>
          <w:tcPr>
            <w:tcW w:w="661" w:type="pct"/>
            <w:tcBorders>
              <w:top w:val="outset" w:sz="6" w:space="0" w:color="414142"/>
              <w:left w:val="outset" w:sz="6" w:space="0" w:color="414142"/>
              <w:bottom w:val="outset" w:sz="6" w:space="0" w:color="414142"/>
              <w:right w:val="outset" w:sz="6" w:space="0" w:color="414142"/>
            </w:tcBorders>
          </w:tcPr>
          <w:p w:rsidR="00221323" w:rsidRPr="007C1945" w:rsidRDefault="00221323" w:rsidP="00221323">
            <w:pPr>
              <w:jc w:val="center"/>
            </w:pPr>
            <w:r w:rsidRPr="007C1945">
              <w:t>0</w:t>
            </w:r>
          </w:p>
        </w:tc>
      </w:tr>
      <w:tr w:rsidR="00F04D32" w:rsidRPr="00894C55" w:rsidTr="00F04D32">
        <w:trPr>
          <w:trHeight w:val="276"/>
          <w:jc w:val="center"/>
        </w:trPr>
        <w:tc>
          <w:tcPr>
            <w:tcW w:w="1673" w:type="pct"/>
            <w:vMerge w:val="restart"/>
            <w:tcBorders>
              <w:top w:val="outset" w:sz="6" w:space="0" w:color="414142"/>
              <w:left w:val="outset" w:sz="6" w:space="0" w:color="414142"/>
              <w:right w:val="outset" w:sz="6" w:space="0" w:color="414142"/>
            </w:tcBorders>
            <w:vAlign w:val="center"/>
          </w:tcPr>
          <w:p w:rsidR="00F04D32" w:rsidRPr="007C1945" w:rsidRDefault="00F04D32" w:rsidP="00345B71">
            <w:pPr>
              <w:spacing w:before="100" w:beforeAutospacing="1" w:after="100" w:afterAutospacing="1" w:line="293" w:lineRule="atLeast"/>
            </w:pPr>
            <w:r w:rsidRPr="007C1945">
              <w:t>4. Finanšu līdzekļi papildu izdevumu finansēšanai (kompensējošu izdevumu samazinājumu norāda ar "+" zīmi)</w:t>
            </w:r>
          </w:p>
        </w:tc>
        <w:tc>
          <w:tcPr>
            <w:tcW w:w="677" w:type="pct"/>
            <w:vMerge w:val="restart"/>
            <w:tcBorders>
              <w:top w:val="outset" w:sz="6" w:space="0" w:color="414142"/>
              <w:left w:val="outset" w:sz="6" w:space="0" w:color="414142"/>
              <w:right w:val="outset" w:sz="6" w:space="0" w:color="414142"/>
            </w:tcBorders>
          </w:tcPr>
          <w:p w:rsidR="00F04D32" w:rsidRPr="007C1945" w:rsidRDefault="00F04D32" w:rsidP="00345B71">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1"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r>
      <w:tr w:rsidR="00F04D32" w:rsidRPr="00894C55" w:rsidTr="00F04D32">
        <w:trPr>
          <w:trHeight w:val="156"/>
          <w:jc w:val="center"/>
        </w:trPr>
        <w:tc>
          <w:tcPr>
            <w:tcW w:w="1673" w:type="pct"/>
            <w:vMerge/>
            <w:tcBorders>
              <w:left w:val="outset" w:sz="6" w:space="0" w:color="414142"/>
              <w:right w:val="outset" w:sz="6" w:space="0" w:color="414142"/>
            </w:tcBorders>
            <w:vAlign w:val="center"/>
          </w:tcPr>
          <w:p w:rsidR="00F04D32" w:rsidRPr="007C1945" w:rsidRDefault="00F04D32" w:rsidP="00345B71">
            <w:pPr>
              <w:spacing w:before="100" w:beforeAutospacing="1" w:after="100" w:afterAutospacing="1" w:line="293" w:lineRule="atLeast"/>
            </w:pPr>
          </w:p>
        </w:tc>
        <w:tc>
          <w:tcPr>
            <w:tcW w:w="677" w:type="pct"/>
            <w:vMerge/>
            <w:tcBorders>
              <w:left w:val="outset" w:sz="6" w:space="0" w:color="414142"/>
              <w:right w:val="outset" w:sz="6" w:space="0" w:color="414142"/>
            </w:tcBorders>
          </w:tcPr>
          <w:p w:rsidR="00F04D32" w:rsidRPr="007C1945" w:rsidRDefault="00F04D32" w:rsidP="00345B71">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1"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r>
      <w:tr w:rsidR="00F04D32" w:rsidRPr="00894C55" w:rsidTr="00A43D18">
        <w:trPr>
          <w:trHeight w:val="490"/>
          <w:jc w:val="center"/>
        </w:trPr>
        <w:tc>
          <w:tcPr>
            <w:tcW w:w="1673" w:type="pct"/>
            <w:vMerge/>
            <w:tcBorders>
              <w:left w:val="outset" w:sz="6" w:space="0" w:color="414142"/>
              <w:bottom w:val="outset" w:sz="6" w:space="0" w:color="414142"/>
              <w:right w:val="outset" w:sz="6" w:space="0" w:color="414142"/>
            </w:tcBorders>
            <w:vAlign w:val="center"/>
          </w:tcPr>
          <w:p w:rsidR="00F04D32" w:rsidRPr="007C1945" w:rsidRDefault="00F04D32" w:rsidP="00345B71">
            <w:pPr>
              <w:spacing w:before="100" w:beforeAutospacing="1" w:after="100" w:afterAutospacing="1" w:line="293" w:lineRule="atLeast"/>
            </w:pPr>
          </w:p>
        </w:tc>
        <w:tc>
          <w:tcPr>
            <w:tcW w:w="677" w:type="pct"/>
            <w:vMerge/>
            <w:tcBorders>
              <w:left w:val="outset" w:sz="6" w:space="0" w:color="414142"/>
              <w:bottom w:val="outset" w:sz="6" w:space="0" w:color="414142"/>
              <w:right w:val="outset" w:sz="6" w:space="0" w:color="414142"/>
            </w:tcBorders>
          </w:tcPr>
          <w:p w:rsidR="00F04D32" w:rsidRPr="007C1945" w:rsidRDefault="00F04D32" w:rsidP="00345B71">
            <w:pPr>
              <w:ind w:firstLine="300"/>
              <w:jc w:val="center"/>
            </w:pP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3"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c>
          <w:tcPr>
            <w:tcW w:w="661" w:type="pct"/>
            <w:tcBorders>
              <w:top w:val="outset" w:sz="6" w:space="0" w:color="414142"/>
              <w:left w:val="outset" w:sz="6" w:space="0" w:color="414142"/>
              <w:bottom w:val="single" w:sz="4" w:space="0" w:color="auto"/>
              <w:right w:val="outset" w:sz="6" w:space="0" w:color="414142"/>
            </w:tcBorders>
          </w:tcPr>
          <w:p w:rsidR="00F04D32" w:rsidRPr="007C1945" w:rsidRDefault="00F04D32" w:rsidP="00345B71">
            <w:pPr>
              <w:jc w:val="center"/>
            </w:pPr>
            <w:r>
              <w:t>0</w:t>
            </w:r>
          </w:p>
        </w:tc>
      </w:tr>
      <w:tr w:rsidR="00A43D18" w:rsidRPr="00894C55" w:rsidTr="00A43D18">
        <w:trPr>
          <w:trHeight w:val="126"/>
          <w:jc w:val="center"/>
        </w:trPr>
        <w:tc>
          <w:tcPr>
            <w:tcW w:w="1673" w:type="pct"/>
            <w:tcBorders>
              <w:left w:val="outset" w:sz="6" w:space="0" w:color="414142"/>
              <w:bottom w:val="outset" w:sz="6" w:space="0" w:color="414142"/>
              <w:right w:val="outset" w:sz="6" w:space="0" w:color="414142"/>
            </w:tcBorders>
            <w:vAlign w:val="center"/>
          </w:tcPr>
          <w:p w:rsidR="00A43D18" w:rsidRPr="007C1945" w:rsidRDefault="00A43D18" w:rsidP="00A43D18">
            <w:pPr>
              <w:spacing w:before="100" w:beforeAutospacing="1" w:after="100" w:afterAutospacing="1" w:line="293" w:lineRule="atLeast"/>
            </w:pPr>
            <w:r w:rsidRPr="007C1945">
              <w:t>5. Precizēta finansiālā ietekme:</w:t>
            </w:r>
          </w:p>
        </w:tc>
        <w:tc>
          <w:tcPr>
            <w:tcW w:w="677" w:type="pct"/>
            <w:vMerge w:val="restart"/>
            <w:tcBorders>
              <w:left w:val="outset" w:sz="6" w:space="0" w:color="414142"/>
              <w:right w:val="single" w:sz="4" w:space="0" w:color="auto"/>
            </w:tcBorders>
          </w:tcPr>
          <w:p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r>
      <w:tr w:rsidR="00A43D18" w:rsidRPr="00894C55" w:rsidTr="00A43D18">
        <w:trPr>
          <w:trHeight w:val="123"/>
          <w:jc w:val="center"/>
        </w:trPr>
        <w:tc>
          <w:tcPr>
            <w:tcW w:w="1673" w:type="pct"/>
            <w:tcBorders>
              <w:left w:val="outset" w:sz="6" w:space="0" w:color="414142"/>
              <w:bottom w:val="outset" w:sz="6" w:space="0" w:color="414142"/>
              <w:right w:val="outset" w:sz="6" w:space="0" w:color="414142"/>
            </w:tcBorders>
            <w:vAlign w:val="center"/>
          </w:tcPr>
          <w:p w:rsidR="00A43D18" w:rsidRPr="007C1945" w:rsidRDefault="00A43D18" w:rsidP="00A43D18">
            <w:pPr>
              <w:spacing w:before="100" w:beforeAutospacing="1" w:after="100" w:afterAutospacing="1" w:line="293" w:lineRule="atLeast"/>
            </w:pPr>
            <w:r w:rsidRPr="007C1945">
              <w:t>5.1. valsts pamatbudžets</w:t>
            </w:r>
          </w:p>
        </w:tc>
        <w:tc>
          <w:tcPr>
            <w:tcW w:w="677" w:type="pct"/>
            <w:vMerge/>
            <w:tcBorders>
              <w:left w:val="outset" w:sz="6" w:space="0" w:color="414142"/>
              <w:right w:val="single" w:sz="4" w:space="0" w:color="auto"/>
            </w:tcBorders>
          </w:tcPr>
          <w:p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r>
      <w:tr w:rsidR="00A43D18" w:rsidRPr="00894C55" w:rsidTr="00A43D18">
        <w:trPr>
          <w:trHeight w:val="123"/>
          <w:jc w:val="center"/>
        </w:trPr>
        <w:tc>
          <w:tcPr>
            <w:tcW w:w="1673" w:type="pct"/>
            <w:tcBorders>
              <w:left w:val="outset" w:sz="6" w:space="0" w:color="414142"/>
              <w:bottom w:val="outset" w:sz="6" w:space="0" w:color="414142"/>
              <w:right w:val="outset" w:sz="6" w:space="0" w:color="414142"/>
            </w:tcBorders>
            <w:vAlign w:val="center"/>
          </w:tcPr>
          <w:p w:rsidR="00A43D18" w:rsidRPr="007C1945" w:rsidRDefault="00A43D18" w:rsidP="00A43D18">
            <w:pPr>
              <w:spacing w:before="100" w:beforeAutospacing="1" w:after="100" w:afterAutospacing="1" w:line="293" w:lineRule="atLeast"/>
            </w:pPr>
            <w:r w:rsidRPr="007C1945">
              <w:t>5.2. speciālais budžets</w:t>
            </w:r>
          </w:p>
        </w:tc>
        <w:tc>
          <w:tcPr>
            <w:tcW w:w="677" w:type="pct"/>
            <w:vMerge/>
            <w:tcBorders>
              <w:left w:val="outset" w:sz="6" w:space="0" w:color="414142"/>
              <w:right w:val="single" w:sz="4" w:space="0" w:color="auto"/>
            </w:tcBorders>
          </w:tcPr>
          <w:p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r>
      <w:tr w:rsidR="00A43D18" w:rsidRPr="00894C55" w:rsidTr="00A43D18">
        <w:trPr>
          <w:trHeight w:val="123"/>
          <w:jc w:val="center"/>
        </w:trPr>
        <w:tc>
          <w:tcPr>
            <w:tcW w:w="1673" w:type="pct"/>
            <w:tcBorders>
              <w:left w:val="outset" w:sz="6" w:space="0" w:color="414142"/>
              <w:bottom w:val="outset" w:sz="6" w:space="0" w:color="414142"/>
              <w:right w:val="outset" w:sz="6" w:space="0" w:color="414142"/>
            </w:tcBorders>
            <w:vAlign w:val="center"/>
          </w:tcPr>
          <w:p w:rsidR="00A43D18" w:rsidRPr="007C1945" w:rsidRDefault="00A43D18" w:rsidP="00A43D18">
            <w:pPr>
              <w:spacing w:before="100" w:beforeAutospacing="1" w:after="100" w:afterAutospacing="1" w:line="293" w:lineRule="atLeast"/>
            </w:pPr>
            <w:r w:rsidRPr="007C1945">
              <w:t>5.3. pašvaldību budžets</w:t>
            </w:r>
          </w:p>
        </w:tc>
        <w:tc>
          <w:tcPr>
            <w:tcW w:w="677" w:type="pct"/>
            <w:vMerge/>
            <w:tcBorders>
              <w:left w:val="outset" w:sz="6" w:space="0" w:color="414142"/>
              <w:bottom w:val="outset" w:sz="6" w:space="0" w:color="414142"/>
              <w:right w:val="single" w:sz="4" w:space="0" w:color="auto"/>
            </w:tcBorders>
          </w:tcPr>
          <w:p w:rsidR="00A43D18" w:rsidRPr="007C1945" w:rsidRDefault="00A43D18" w:rsidP="00A43D18">
            <w:pPr>
              <w:ind w:firstLine="300"/>
              <w:jc w:val="center"/>
            </w:pP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3"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c>
          <w:tcPr>
            <w:tcW w:w="661" w:type="pct"/>
            <w:tcBorders>
              <w:top w:val="single" w:sz="4" w:space="0" w:color="auto"/>
              <w:left w:val="single" w:sz="4" w:space="0" w:color="auto"/>
              <w:bottom w:val="single" w:sz="4" w:space="0" w:color="auto"/>
              <w:right w:val="single" w:sz="4" w:space="0" w:color="auto"/>
            </w:tcBorders>
          </w:tcPr>
          <w:p w:rsidR="00A43D18" w:rsidRPr="007C1945" w:rsidRDefault="00A43D18" w:rsidP="00A43D18">
            <w:pPr>
              <w:jc w:val="center"/>
            </w:pPr>
            <w:r w:rsidRPr="007C1945">
              <w:t>0</w:t>
            </w:r>
          </w:p>
        </w:tc>
      </w:tr>
      <w:tr w:rsidR="00A43D18" w:rsidRPr="00894C55" w:rsidTr="00C62C8E">
        <w:trPr>
          <w:trHeight w:val="100"/>
          <w:jc w:val="center"/>
        </w:trPr>
        <w:tc>
          <w:tcPr>
            <w:tcW w:w="1673" w:type="pct"/>
            <w:tcBorders>
              <w:left w:val="outset" w:sz="6" w:space="0" w:color="414142"/>
              <w:bottom w:val="outset" w:sz="6" w:space="0" w:color="414142"/>
              <w:right w:val="outset" w:sz="6" w:space="0" w:color="414142"/>
            </w:tcBorders>
            <w:vAlign w:val="center"/>
          </w:tcPr>
          <w:p w:rsidR="00A43D18" w:rsidRPr="007C1945" w:rsidRDefault="00A43D18" w:rsidP="00A43D18">
            <w:pPr>
              <w:spacing w:before="100" w:beforeAutospacing="1" w:after="100" w:afterAutospacing="1" w:line="293" w:lineRule="atLeast"/>
            </w:pPr>
            <w:r w:rsidRPr="007C1945">
              <w:t>6. Detalizēts ieņēmumu un izdevumu aprēķins (ja nepieciešams, detalizētu ieņēmumu un izdevumu aprēķinu var pievienot anotācijas pielikumā):</w:t>
            </w:r>
          </w:p>
        </w:tc>
        <w:tc>
          <w:tcPr>
            <w:tcW w:w="3327" w:type="pct"/>
            <w:gridSpan w:val="5"/>
            <w:vMerge w:val="restart"/>
            <w:tcBorders>
              <w:left w:val="outset" w:sz="6" w:space="0" w:color="414142"/>
              <w:right w:val="single" w:sz="4" w:space="0" w:color="auto"/>
            </w:tcBorders>
          </w:tcPr>
          <w:p w:rsidR="00A43D18" w:rsidRPr="007C1945" w:rsidRDefault="00A43D18" w:rsidP="00A43D18">
            <w:r>
              <w:t>N</w:t>
            </w:r>
            <w:r w:rsidRPr="003623D8">
              <w:t>av precīzi aprēķināms</w:t>
            </w:r>
            <w:r>
              <w:t>.</w:t>
            </w:r>
          </w:p>
        </w:tc>
      </w:tr>
      <w:tr w:rsidR="00A43D18" w:rsidRPr="00894C55" w:rsidTr="00C62C8E">
        <w:trPr>
          <w:trHeight w:val="100"/>
          <w:jc w:val="center"/>
        </w:trPr>
        <w:tc>
          <w:tcPr>
            <w:tcW w:w="1673" w:type="pct"/>
            <w:tcBorders>
              <w:left w:val="outset" w:sz="6" w:space="0" w:color="414142"/>
              <w:bottom w:val="outset" w:sz="6" w:space="0" w:color="414142"/>
              <w:right w:val="outset" w:sz="6" w:space="0" w:color="414142"/>
            </w:tcBorders>
            <w:vAlign w:val="center"/>
          </w:tcPr>
          <w:p w:rsidR="00A43D18" w:rsidRPr="007C1945" w:rsidRDefault="00A43D18" w:rsidP="00A43D18">
            <w:pPr>
              <w:spacing w:before="100" w:beforeAutospacing="1" w:after="100" w:afterAutospacing="1" w:line="293" w:lineRule="atLeast"/>
            </w:pPr>
            <w:r w:rsidRPr="007C1945">
              <w:t>6.1. detalizēts ieņēmumu aprēķins</w:t>
            </w:r>
          </w:p>
        </w:tc>
        <w:tc>
          <w:tcPr>
            <w:tcW w:w="3327" w:type="pct"/>
            <w:gridSpan w:val="5"/>
            <w:vMerge/>
            <w:tcBorders>
              <w:left w:val="outset" w:sz="6" w:space="0" w:color="414142"/>
              <w:right w:val="single" w:sz="4" w:space="0" w:color="auto"/>
            </w:tcBorders>
          </w:tcPr>
          <w:p w:rsidR="00A43D18" w:rsidRDefault="00A43D18" w:rsidP="00A43D18"/>
        </w:tc>
      </w:tr>
      <w:tr w:rsidR="00A43D18" w:rsidRPr="00894C55" w:rsidTr="00A43D18">
        <w:trPr>
          <w:trHeight w:val="100"/>
          <w:jc w:val="center"/>
        </w:trPr>
        <w:tc>
          <w:tcPr>
            <w:tcW w:w="1673" w:type="pct"/>
            <w:tcBorders>
              <w:left w:val="outset" w:sz="6" w:space="0" w:color="414142"/>
              <w:bottom w:val="outset" w:sz="6" w:space="0" w:color="414142"/>
              <w:right w:val="outset" w:sz="6" w:space="0" w:color="414142"/>
            </w:tcBorders>
            <w:vAlign w:val="center"/>
          </w:tcPr>
          <w:p w:rsidR="00A43D18" w:rsidRPr="007C1945" w:rsidRDefault="00A43D18" w:rsidP="00A43D18">
            <w:pPr>
              <w:spacing w:before="100" w:beforeAutospacing="1" w:after="100" w:afterAutospacing="1" w:line="293" w:lineRule="atLeast"/>
            </w:pPr>
            <w:r w:rsidRPr="007C1945">
              <w:t>6.2. detalizēts izdevumu aprēķins</w:t>
            </w:r>
          </w:p>
        </w:tc>
        <w:tc>
          <w:tcPr>
            <w:tcW w:w="3327" w:type="pct"/>
            <w:gridSpan w:val="5"/>
            <w:vMerge/>
            <w:tcBorders>
              <w:left w:val="outset" w:sz="6" w:space="0" w:color="414142"/>
              <w:bottom w:val="outset" w:sz="6" w:space="0" w:color="414142"/>
              <w:right w:val="single" w:sz="4" w:space="0" w:color="auto"/>
            </w:tcBorders>
          </w:tcPr>
          <w:p w:rsidR="00A43D18" w:rsidRDefault="00A43D18" w:rsidP="00A43D18"/>
        </w:tc>
      </w:tr>
      <w:tr w:rsidR="00A43D18" w:rsidRPr="00894C55" w:rsidTr="00122073">
        <w:trPr>
          <w:jc w:val="center"/>
        </w:trPr>
        <w:tc>
          <w:tcPr>
            <w:tcW w:w="1673" w:type="pct"/>
            <w:tcBorders>
              <w:top w:val="outset" w:sz="6" w:space="0" w:color="414142"/>
              <w:left w:val="outset" w:sz="6" w:space="0" w:color="414142"/>
              <w:bottom w:val="outset" w:sz="6" w:space="0" w:color="414142"/>
              <w:right w:val="outset" w:sz="6" w:space="0" w:color="414142"/>
            </w:tcBorders>
          </w:tcPr>
          <w:p w:rsidR="00A43D18" w:rsidRPr="00A1397A" w:rsidRDefault="00A43D18" w:rsidP="00A43D18">
            <w:r w:rsidRPr="00A1397A">
              <w:t>7. Cita informācija</w:t>
            </w:r>
          </w:p>
        </w:tc>
        <w:tc>
          <w:tcPr>
            <w:tcW w:w="3327" w:type="pct"/>
            <w:gridSpan w:val="5"/>
            <w:tcBorders>
              <w:top w:val="outset" w:sz="6" w:space="0" w:color="414142"/>
              <w:left w:val="outset" w:sz="6" w:space="0" w:color="414142"/>
              <w:bottom w:val="outset" w:sz="6" w:space="0" w:color="414142"/>
              <w:right w:val="outset" w:sz="6" w:space="0" w:color="414142"/>
            </w:tcBorders>
            <w:vAlign w:val="center"/>
          </w:tcPr>
          <w:p w:rsidR="00A43D18" w:rsidRPr="00A1397A" w:rsidRDefault="00A43D18" w:rsidP="00A43D18"/>
          <w:p w:rsidR="00A43D18" w:rsidRPr="00A1397A" w:rsidRDefault="00A43D18" w:rsidP="0003714E">
            <w:pPr>
              <w:jc w:val="both"/>
            </w:pPr>
            <w:r w:rsidRPr="00A1397A">
              <w:t xml:space="preserve">No 2018. gada 1.oktobra Valsts kases uzsāk līdzdalību Kredītu reģistrā, kas radīs nepieciešamību pielāgot Vienoto valsts budžeta plānošanas un izpildes informācijas sistēmu, nodrošināt datu apkopošanu un sagatavošanu atbilstošā formātā, lai sniegtu  informāciju Kredītu reģistram, kā arī veikt izmaiņas administratīvajos procesos. Minētās darbības radīs ietekmi uz valsts pamatbudžeta izdevumiem, bet tā precīzi nav aprēķināma šī likumprojekta sagatavošanas laikā. Plānotās </w:t>
            </w:r>
            <w:r>
              <w:t xml:space="preserve">izmaksas būs aprēķināmas </w:t>
            </w:r>
            <w:r w:rsidRPr="00A1397A">
              <w:t>pēc visu saistīto normatīvo aktu un informācijas sistēmas izmaiņu izstrādes un administratīvo procesu izmaiņu apzināšanas.</w:t>
            </w:r>
            <w:r>
              <w:t xml:space="preserve"> Valsts kase</w:t>
            </w:r>
            <w:r w:rsidRPr="00B40361">
              <w:t xml:space="preserve"> izvērtē</w:t>
            </w:r>
            <w:r>
              <w:t>s</w:t>
            </w:r>
            <w:r w:rsidRPr="00B40361">
              <w:t xml:space="preserve"> iespēj</w:t>
            </w:r>
            <w:r>
              <w:t xml:space="preserve">u </w:t>
            </w:r>
            <w:r w:rsidRPr="00A1397A">
              <w:t>līdzdalību Kredītu reģistrā</w:t>
            </w:r>
            <w:r>
              <w:t xml:space="preserve"> </w:t>
            </w:r>
            <w:r w:rsidRPr="00B40361">
              <w:t xml:space="preserve">nodrošināt tai piešķirto līdzekļu ietvaros, savukārt, ja  tomēr būs nepieciešams papildu finansējums, tad </w:t>
            </w:r>
            <w:r w:rsidR="0003714E">
              <w:t>jautājums skatāms</w:t>
            </w:r>
            <w:r w:rsidRPr="00B40361">
              <w:t xml:space="preserve"> Ministru kabinetā likumprojekta “Par valsts budžetu 2018.gadam” un likumprojekta “Par vidēja termiņa budžeta ietvaru 2018., 2019. un 2020.gadam” sagatavošanas procesā</w:t>
            </w:r>
            <w:r w:rsidR="0003714E">
              <w:t>, ievērojot valsts budžeta finansiālās iespējas</w:t>
            </w:r>
            <w:r>
              <w:t>.</w:t>
            </w:r>
          </w:p>
        </w:tc>
      </w:tr>
    </w:tbl>
    <w:p w:rsidR="00762529" w:rsidRDefault="00762529" w:rsidP="0047074D">
      <w:pPr>
        <w:pStyle w:val="naiskr"/>
        <w:tabs>
          <w:tab w:val="left" w:pos="2628"/>
        </w:tabs>
        <w:spacing w:before="0" w:after="0"/>
      </w:pPr>
    </w:p>
    <w:p w:rsidR="00EB4050" w:rsidRDefault="00EB4050" w:rsidP="0047074D">
      <w:pPr>
        <w:pStyle w:val="naiskr"/>
        <w:tabs>
          <w:tab w:val="left" w:pos="2628"/>
        </w:tabs>
        <w:spacing w:before="0" w:after="0"/>
      </w:pPr>
    </w:p>
    <w:p w:rsidR="00EB4050" w:rsidRDefault="00EB4050" w:rsidP="0047074D">
      <w:pPr>
        <w:pStyle w:val="naiskr"/>
        <w:tabs>
          <w:tab w:val="left" w:pos="2628"/>
        </w:tabs>
        <w:spacing w:before="0" w:after="0"/>
      </w:pPr>
    </w:p>
    <w:p w:rsidR="00EB4050" w:rsidRDefault="00EB4050" w:rsidP="0047074D">
      <w:pPr>
        <w:pStyle w:val="naiskr"/>
        <w:tabs>
          <w:tab w:val="left" w:pos="2628"/>
        </w:tabs>
        <w:spacing w:before="0" w:after="0"/>
      </w:pPr>
    </w:p>
    <w:p w:rsidR="00EB4050" w:rsidRDefault="00EB4050" w:rsidP="0047074D">
      <w:pPr>
        <w:pStyle w:val="naiskr"/>
        <w:tabs>
          <w:tab w:val="left" w:pos="2628"/>
        </w:tabs>
        <w:spacing w:before="0" w:after="0"/>
      </w:pPr>
    </w:p>
    <w:p w:rsidR="00EB4050" w:rsidRPr="00762529" w:rsidRDefault="00EB4050" w:rsidP="0047074D">
      <w:pPr>
        <w:pStyle w:val="naiskr"/>
        <w:tabs>
          <w:tab w:val="left" w:pos="2628"/>
        </w:tabs>
        <w:spacing w:before="0" w:after="0"/>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84"/>
        <w:gridCol w:w="4990"/>
      </w:tblGrid>
      <w:tr w:rsidR="00E547C1" w:rsidRPr="00E547C1" w:rsidTr="0053367B">
        <w:trPr>
          <w:jc w:val="center"/>
        </w:trPr>
        <w:tc>
          <w:tcPr>
            <w:tcW w:w="9670" w:type="dxa"/>
            <w:gridSpan w:val="3"/>
          </w:tcPr>
          <w:p w:rsidR="00924023" w:rsidRPr="00E547C1" w:rsidRDefault="00924023" w:rsidP="0047074D">
            <w:pPr>
              <w:pStyle w:val="naisnod"/>
              <w:spacing w:before="0" w:after="0"/>
            </w:pPr>
            <w:r w:rsidRPr="00E547C1">
              <w:t>IV</w:t>
            </w:r>
            <w:r w:rsidR="000941C5" w:rsidRPr="00E547C1">
              <w:t>.</w:t>
            </w:r>
            <w:r w:rsidRPr="00E547C1">
              <w:t xml:space="preserve"> Tiesību akta projekta ietekme uz</w:t>
            </w:r>
            <w:r w:rsidR="005060A1" w:rsidRPr="00E547C1">
              <w:t xml:space="preserve"> </w:t>
            </w:r>
            <w:r w:rsidRPr="00E547C1">
              <w:t>spēkā esošo tiesību normu sistēmu</w:t>
            </w:r>
          </w:p>
        </w:tc>
      </w:tr>
      <w:tr w:rsidR="00E547C1" w:rsidRPr="00E547C1" w:rsidTr="0053367B">
        <w:trPr>
          <w:jc w:val="center"/>
        </w:trPr>
        <w:tc>
          <w:tcPr>
            <w:tcW w:w="396" w:type="dxa"/>
          </w:tcPr>
          <w:p w:rsidR="00924023" w:rsidRPr="00E547C1" w:rsidRDefault="00924023" w:rsidP="0047074D">
            <w:pPr>
              <w:pStyle w:val="naiskr"/>
              <w:tabs>
                <w:tab w:val="left" w:pos="2628"/>
              </w:tabs>
              <w:spacing w:before="0" w:after="0"/>
              <w:rPr>
                <w:iCs/>
              </w:rPr>
            </w:pPr>
            <w:r w:rsidRPr="00E547C1">
              <w:rPr>
                <w:iCs/>
              </w:rPr>
              <w:t>1.</w:t>
            </w:r>
          </w:p>
        </w:tc>
        <w:tc>
          <w:tcPr>
            <w:tcW w:w="4284" w:type="dxa"/>
          </w:tcPr>
          <w:p w:rsidR="00924023" w:rsidRPr="00E547C1" w:rsidRDefault="00924023" w:rsidP="0047074D">
            <w:pPr>
              <w:pStyle w:val="naiskr"/>
              <w:tabs>
                <w:tab w:val="left" w:pos="2628"/>
              </w:tabs>
              <w:spacing w:before="0" w:after="0"/>
              <w:rPr>
                <w:iCs/>
              </w:rPr>
            </w:pPr>
            <w:r w:rsidRPr="00E547C1">
              <w:t>Nepieciešamie saistītie tiesību akt</w:t>
            </w:r>
            <w:r w:rsidR="00DD1020" w:rsidRPr="00E547C1">
              <w:t>u</w:t>
            </w:r>
            <w:r w:rsidRPr="00E547C1">
              <w:t xml:space="preserve"> projekti</w:t>
            </w:r>
          </w:p>
        </w:tc>
        <w:tc>
          <w:tcPr>
            <w:tcW w:w="4990" w:type="dxa"/>
          </w:tcPr>
          <w:p w:rsidR="00B4661D" w:rsidRPr="00E547C1" w:rsidRDefault="0035341E" w:rsidP="00E1487E">
            <w:pPr>
              <w:pStyle w:val="naiskr"/>
              <w:tabs>
                <w:tab w:val="left" w:pos="427"/>
                <w:tab w:val="left" w:pos="2628"/>
              </w:tabs>
              <w:spacing w:before="0" w:after="0"/>
              <w:ind w:left="1"/>
              <w:jc w:val="both"/>
              <w:rPr>
                <w:iCs/>
              </w:rPr>
            </w:pPr>
            <w:r>
              <w:t xml:space="preserve">Līdz likumprojektā paredzētajai likuma spēkā stāšanās dienai nepieciešams veikt grozījumus </w:t>
            </w:r>
            <w:r w:rsidR="00B4661D" w:rsidRPr="00E547C1">
              <w:t>Latvijas Bankas noteikumos, kas regulē Kredītu reģistra darbību.</w:t>
            </w:r>
          </w:p>
        </w:tc>
      </w:tr>
      <w:tr w:rsidR="00E547C1" w:rsidRPr="00E547C1" w:rsidTr="0053367B">
        <w:trPr>
          <w:trHeight w:val="321"/>
          <w:jc w:val="center"/>
        </w:trPr>
        <w:tc>
          <w:tcPr>
            <w:tcW w:w="396" w:type="dxa"/>
          </w:tcPr>
          <w:p w:rsidR="00EE337A" w:rsidRPr="00E547C1" w:rsidRDefault="00EE337A" w:rsidP="0047074D">
            <w:pPr>
              <w:pStyle w:val="naiskr"/>
              <w:tabs>
                <w:tab w:val="left" w:pos="2628"/>
              </w:tabs>
              <w:spacing w:before="0" w:after="0"/>
              <w:rPr>
                <w:iCs/>
              </w:rPr>
            </w:pPr>
            <w:r w:rsidRPr="00E547C1">
              <w:rPr>
                <w:iCs/>
              </w:rPr>
              <w:t xml:space="preserve">2. </w:t>
            </w:r>
          </w:p>
        </w:tc>
        <w:tc>
          <w:tcPr>
            <w:tcW w:w="4284" w:type="dxa"/>
          </w:tcPr>
          <w:p w:rsidR="00EE337A" w:rsidRPr="00E547C1" w:rsidRDefault="00EE337A" w:rsidP="0047074D">
            <w:pPr>
              <w:pStyle w:val="naiskr"/>
              <w:tabs>
                <w:tab w:val="left" w:pos="2628"/>
              </w:tabs>
              <w:spacing w:before="0" w:after="0"/>
            </w:pPr>
            <w:r w:rsidRPr="00E547C1">
              <w:t>Atbildīgā institūcija</w:t>
            </w:r>
          </w:p>
        </w:tc>
        <w:tc>
          <w:tcPr>
            <w:tcW w:w="4990" w:type="dxa"/>
          </w:tcPr>
          <w:p w:rsidR="00EE337A" w:rsidRPr="00E547C1" w:rsidRDefault="00EE337A" w:rsidP="0047074D">
            <w:pPr>
              <w:pStyle w:val="naiskr"/>
              <w:tabs>
                <w:tab w:val="left" w:pos="427"/>
                <w:tab w:val="left" w:pos="2628"/>
              </w:tabs>
              <w:spacing w:before="0" w:after="120"/>
              <w:rPr>
                <w:iCs/>
              </w:rPr>
            </w:pPr>
            <w:r w:rsidRPr="00E547C1">
              <w:rPr>
                <w:iCs/>
              </w:rPr>
              <w:t>Latvijas Banka</w:t>
            </w:r>
          </w:p>
        </w:tc>
      </w:tr>
      <w:tr w:rsidR="00924023" w:rsidRPr="00E547C1" w:rsidTr="0053367B">
        <w:trPr>
          <w:trHeight w:val="321"/>
          <w:jc w:val="center"/>
        </w:trPr>
        <w:tc>
          <w:tcPr>
            <w:tcW w:w="396" w:type="dxa"/>
          </w:tcPr>
          <w:p w:rsidR="00924023" w:rsidRPr="00E547C1" w:rsidRDefault="00EE337A" w:rsidP="0047074D">
            <w:pPr>
              <w:pStyle w:val="naiskr"/>
              <w:tabs>
                <w:tab w:val="left" w:pos="2628"/>
              </w:tabs>
              <w:spacing w:before="0" w:after="0"/>
              <w:rPr>
                <w:iCs/>
              </w:rPr>
            </w:pPr>
            <w:r w:rsidRPr="00E547C1">
              <w:rPr>
                <w:iCs/>
              </w:rPr>
              <w:t>3</w:t>
            </w:r>
            <w:r w:rsidR="00924023" w:rsidRPr="00E547C1">
              <w:rPr>
                <w:iCs/>
              </w:rPr>
              <w:t>.</w:t>
            </w:r>
          </w:p>
        </w:tc>
        <w:tc>
          <w:tcPr>
            <w:tcW w:w="4284" w:type="dxa"/>
          </w:tcPr>
          <w:p w:rsidR="00924023" w:rsidRPr="00E547C1" w:rsidRDefault="00924023" w:rsidP="0047074D">
            <w:pPr>
              <w:pStyle w:val="naiskr"/>
              <w:tabs>
                <w:tab w:val="left" w:pos="2628"/>
              </w:tabs>
              <w:spacing w:before="0" w:after="0"/>
              <w:rPr>
                <w:iCs/>
              </w:rPr>
            </w:pPr>
            <w:r w:rsidRPr="00E547C1">
              <w:t>Cita informācija</w:t>
            </w:r>
          </w:p>
        </w:tc>
        <w:tc>
          <w:tcPr>
            <w:tcW w:w="4990" w:type="dxa"/>
          </w:tcPr>
          <w:p w:rsidR="00924023" w:rsidRPr="00E547C1" w:rsidRDefault="008E5A64" w:rsidP="0047074D">
            <w:pPr>
              <w:pStyle w:val="naiskr"/>
              <w:tabs>
                <w:tab w:val="left" w:pos="427"/>
                <w:tab w:val="left" w:pos="2628"/>
              </w:tabs>
              <w:spacing w:before="0" w:after="120"/>
              <w:rPr>
                <w:iCs/>
              </w:rPr>
            </w:pPr>
            <w:r w:rsidRPr="00E547C1">
              <w:rPr>
                <w:iCs/>
              </w:rPr>
              <w:t>Nav</w:t>
            </w:r>
          </w:p>
        </w:tc>
      </w:tr>
    </w:tbl>
    <w:p w:rsidR="00AE5066" w:rsidRPr="00E547C1" w:rsidRDefault="00AE5066" w:rsidP="0047074D">
      <w:pPr>
        <w:pStyle w:val="naiskr"/>
        <w:tabs>
          <w:tab w:val="left" w:pos="2628"/>
        </w:tabs>
        <w:spacing w:before="0" w:after="0"/>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224"/>
        <w:gridCol w:w="5039"/>
      </w:tblGrid>
      <w:tr w:rsidR="00E547C1" w:rsidRPr="00E547C1" w:rsidTr="0053367B">
        <w:trPr>
          <w:jc w:val="center"/>
        </w:trPr>
        <w:tc>
          <w:tcPr>
            <w:tcW w:w="9659" w:type="dxa"/>
            <w:gridSpan w:val="3"/>
          </w:tcPr>
          <w:p w:rsidR="000F4794" w:rsidRPr="00E547C1" w:rsidRDefault="000F4794" w:rsidP="005F79EF">
            <w:pPr>
              <w:pStyle w:val="naisnod"/>
              <w:spacing w:before="0" w:after="0"/>
            </w:pPr>
            <w:r w:rsidRPr="00E547C1">
              <w:t>V</w:t>
            </w:r>
            <w:r w:rsidR="000941C5" w:rsidRPr="00E547C1">
              <w:t>.</w:t>
            </w:r>
            <w:r w:rsidRPr="00E547C1">
              <w:t xml:space="preserve"> Tiesību akta projekta atbilstība Latvijas Republikas starptautiskajām saistībām</w:t>
            </w:r>
          </w:p>
        </w:tc>
      </w:tr>
      <w:tr w:rsidR="00E547C1" w:rsidRPr="00E547C1" w:rsidTr="005F79EF">
        <w:trPr>
          <w:jc w:val="center"/>
        </w:trPr>
        <w:tc>
          <w:tcPr>
            <w:tcW w:w="396" w:type="dxa"/>
          </w:tcPr>
          <w:p w:rsidR="008C6112" w:rsidRPr="00E547C1" w:rsidRDefault="008C6112" w:rsidP="0047074D">
            <w:pPr>
              <w:pStyle w:val="naiskr"/>
              <w:tabs>
                <w:tab w:val="left" w:pos="2628"/>
              </w:tabs>
              <w:spacing w:before="0" w:after="0"/>
              <w:rPr>
                <w:iCs/>
              </w:rPr>
            </w:pPr>
            <w:r w:rsidRPr="00E547C1">
              <w:rPr>
                <w:iCs/>
              </w:rPr>
              <w:t>1.</w:t>
            </w:r>
          </w:p>
        </w:tc>
        <w:tc>
          <w:tcPr>
            <w:tcW w:w="4224" w:type="dxa"/>
          </w:tcPr>
          <w:p w:rsidR="008C6112" w:rsidRPr="00E547C1" w:rsidRDefault="008C6112" w:rsidP="0047074D">
            <w:pPr>
              <w:pStyle w:val="naiskr"/>
              <w:tabs>
                <w:tab w:val="left" w:pos="2628"/>
              </w:tabs>
              <w:spacing w:before="0" w:after="0"/>
              <w:rPr>
                <w:iCs/>
              </w:rPr>
            </w:pPr>
            <w:r w:rsidRPr="00E547C1">
              <w:rPr>
                <w:szCs w:val="28"/>
              </w:rPr>
              <w:t>Saistības pret Eiropas Savienību</w:t>
            </w:r>
          </w:p>
        </w:tc>
        <w:tc>
          <w:tcPr>
            <w:tcW w:w="5039" w:type="dxa"/>
          </w:tcPr>
          <w:p w:rsidR="008C6112" w:rsidRPr="00E547C1" w:rsidRDefault="001E1803" w:rsidP="00DE0DC5">
            <w:pPr>
              <w:pStyle w:val="naiskr"/>
              <w:tabs>
                <w:tab w:val="left" w:pos="427"/>
                <w:tab w:val="left" w:pos="2628"/>
              </w:tabs>
              <w:spacing w:before="0" w:after="0"/>
              <w:ind w:left="1"/>
              <w:jc w:val="both"/>
              <w:rPr>
                <w:iCs/>
              </w:rPr>
            </w:pPr>
            <w:r w:rsidRPr="00E547C1">
              <w:rPr>
                <w:szCs w:val="28"/>
              </w:rPr>
              <w:t xml:space="preserve">Tiks </w:t>
            </w:r>
            <w:r w:rsidR="0035341E">
              <w:rPr>
                <w:szCs w:val="28"/>
              </w:rPr>
              <w:t xml:space="preserve">veicināta </w:t>
            </w:r>
            <w:r w:rsidR="0035341E">
              <w:t>R</w:t>
            </w:r>
            <w:r w:rsidRPr="00E547C1">
              <w:t>egulas prasīb</w:t>
            </w:r>
            <w:r w:rsidR="0035341E">
              <w:t>u izpilde</w:t>
            </w:r>
            <w:r w:rsidRPr="00E547C1">
              <w:t>.</w:t>
            </w:r>
          </w:p>
        </w:tc>
      </w:tr>
      <w:tr w:rsidR="00E547C1" w:rsidRPr="00E547C1" w:rsidTr="005F79EF">
        <w:trPr>
          <w:trHeight w:val="321"/>
          <w:jc w:val="center"/>
        </w:trPr>
        <w:tc>
          <w:tcPr>
            <w:tcW w:w="396" w:type="dxa"/>
          </w:tcPr>
          <w:p w:rsidR="008C6112" w:rsidRPr="00E547C1" w:rsidRDefault="008C6112" w:rsidP="0047074D">
            <w:pPr>
              <w:pStyle w:val="naiskr"/>
              <w:tabs>
                <w:tab w:val="left" w:pos="2628"/>
              </w:tabs>
              <w:spacing w:before="0" w:after="0"/>
              <w:rPr>
                <w:iCs/>
              </w:rPr>
            </w:pPr>
            <w:r w:rsidRPr="00E547C1">
              <w:rPr>
                <w:iCs/>
              </w:rPr>
              <w:t>2.</w:t>
            </w:r>
          </w:p>
        </w:tc>
        <w:tc>
          <w:tcPr>
            <w:tcW w:w="4224" w:type="dxa"/>
          </w:tcPr>
          <w:p w:rsidR="008C6112" w:rsidRPr="00E547C1" w:rsidRDefault="008C6112" w:rsidP="0047074D">
            <w:pPr>
              <w:pStyle w:val="naiskr"/>
              <w:tabs>
                <w:tab w:val="left" w:pos="2628"/>
              </w:tabs>
              <w:spacing w:before="0" w:after="0"/>
            </w:pPr>
            <w:r w:rsidRPr="00E547C1">
              <w:t>Citas starptautiskās saistības</w:t>
            </w:r>
          </w:p>
        </w:tc>
        <w:tc>
          <w:tcPr>
            <w:tcW w:w="5039" w:type="dxa"/>
          </w:tcPr>
          <w:p w:rsidR="008C6112" w:rsidRPr="00E547C1" w:rsidRDefault="008C6112" w:rsidP="0047074D">
            <w:pPr>
              <w:pStyle w:val="naiskr"/>
              <w:tabs>
                <w:tab w:val="left" w:pos="427"/>
                <w:tab w:val="left" w:pos="2628"/>
              </w:tabs>
              <w:spacing w:before="0" w:after="120"/>
              <w:rPr>
                <w:iCs/>
              </w:rPr>
            </w:pPr>
            <w:r w:rsidRPr="00E547C1">
              <w:rPr>
                <w:iCs/>
              </w:rPr>
              <w:t>Nav</w:t>
            </w:r>
          </w:p>
        </w:tc>
      </w:tr>
      <w:tr w:rsidR="008C6112" w:rsidRPr="00E547C1" w:rsidTr="005F79EF">
        <w:trPr>
          <w:trHeight w:val="321"/>
          <w:jc w:val="center"/>
        </w:trPr>
        <w:tc>
          <w:tcPr>
            <w:tcW w:w="396" w:type="dxa"/>
          </w:tcPr>
          <w:p w:rsidR="008C6112" w:rsidRPr="00E547C1" w:rsidRDefault="008C6112" w:rsidP="0047074D">
            <w:pPr>
              <w:pStyle w:val="naiskr"/>
              <w:tabs>
                <w:tab w:val="left" w:pos="2628"/>
              </w:tabs>
              <w:spacing w:before="0" w:after="0"/>
              <w:rPr>
                <w:iCs/>
              </w:rPr>
            </w:pPr>
            <w:r w:rsidRPr="00E547C1">
              <w:rPr>
                <w:iCs/>
              </w:rPr>
              <w:t>3.</w:t>
            </w:r>
          </w:p>
        </w:tc>
        <w:tc>
          <w:tcPr>
            <w:tcW w:w="4224" w:type="dxa"/>
          </w:tcPr>
          <w:p w:rsidR="008C6112" w:rsidRPr="00E547C1" w:rsidRDefault="008C6112" w:rsidP="0047074D">
            <w:pPr>
              <w:pStyle w:val="naiskr"/>
              <w:tabs>
                <w:tab w:val="left" w:pos="2628"/>
              </w:tabs>
              <w:spacing w:before="0" w:after="0"/>
              <w:rPr>
                <w:iCs/>
              </w:rPr>
            </w:pPr>
            <w:r w:rsidRPr="00E547C1">
              <w:t>Cita informācija</w:t>
            </w:r>
          </w:p>
        </w:tc>
        <w:tc>
          <w:tcPr>
            <w:tcW w:w="5039" w:type="dxa"/>
          </w:tcPr>
          <w:p w:rsidR="008C6112" w:rsidRPr="00E547C1" w:rsidRDefault="008C6112" w:rsidP="0047074D">
            <w:pPr>
              <w:pStyle w:val="naiskr"/>
              <w:tabs>
                <w:tab w:val="left" w:pos="427"/>
                <w:tab w:val="left" w:pos="2628"/>
              </w:tabs>
              <w:spacing w:before="0" w:after="120"/>
              <w:rPr>
                <w:iCs/>
              </w:rPr>
            </w:pPr>
            <w:r w:rsidRPr="00E547C1">
              <w:rPr>
                <w:iCs/>
              </w:rPr>
              <w:t>Nav</w:t>
            </w:r>
          </w:p>
        </w:tc>
      </w:tr>
    </w:tbl>
    <w:p w:rsidR="00EB4050" w:rsidRDefault="00EB4050" w:rsidP="0047074D"/>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7"/>
        <w:gridCol w:w="4536"/>
        <w:gridCol w:w="3412"/>
      </w:tblGrid>
      <w:tr w:rsidR="00E547C1" w:rsidRPr="00E547C1" w:rsidTr="00EB4050">
        <w:trPr>
          <w:jc w:val="center"/>
        </w:trPr>
        <w:tc>
          <w:tcPr>
            <w:tcW w:w="9625" w:type="dxa"/>
            <w:gridSpan w:val="3"/>
          </w:tcPr>
          <w:p w:rsidR="007067D6" w:rsidRPr="00E547C1" w:rsidRDefault="00277929" w:rsidP="007067D6">
            <w:pPr>
              <w:pStyle w:val="naisnod"/>
              <w:keepNext/>
              <w:keepLines/>
              <w:spacing w:before="0" w:after="0"/>
              <w:ind w:left="57" w:right="57"/>
            </w:pPr>
            <w:r w:rsidRPr="00E547C1">
              <w:lastRenderedPageBreak/>
              <w:t>VI</w:t>
            </w:r>
            <w:r w:rsidR="000941C5" w:rsidRPr="00E547C1">
              <w:t>.</w:t>
            </w:r>
            <w:r w:rsidRPr="00E547C1">
              <w:t xml:space="preserve"> Sabiedrības līdzdalība un </w:t>
            </w:r>
            <w:r w:rsidR="00EE337A" w:rsidRPr="00E547C1">
              <w:t>komunikācijas aktivitātes</w:t>
            </w:r>
          </w:p>
        </w:tc>
      </w:tr>
      <w:tr w:rsidR="00EB4050" w:rsidRPr="00E547C1" w:rsidTr="00EB4050">
        <w:trPr>
          <w:jc w:val="center"/>
        </w:trPr>
        <w:tc>
          <w:tcPr>
            <w:tcW w:w="1677" w:type="dxa"/>
          </w:tcPr>
          <w:p w:rsidR="00EB4050" w:rsidRPr="00EB4050" w:rsidRDefault="00EB4050" w:rsidP="00EB4050">
            <w:pPr>
              <w:pStyle w:val="naisnod"/>
              <w:keepNext/>
              <w:keepLines/>
              <w:spacing w:before="0" w:after="0"/>
              <w:ind w:left="57" w:right="57"/>
              <w:jc w:val="left"/>
              <w:rPr>
                <w:b w:val="0"/>
              </w:rPr>
            </w:pPr>
            <w:r w:rsidRPr="00EB4050">
              <w:rPr>
                <w:b w:val="0"/>
              </w:rPr>
              <w:t>1.</w:t>
            </w:r>
          </w:p>
        </w:tc>
        <w:tc>
          <w:tcPr>
            <w:tcW w:w="4536" w:type="dxa"/>
          </w:tcPr>
          <w:p w:rsidR="00EB4050" w:rsidRPr="00EB4050" w:rsidRDefault="00EB4050" w:rsidP="00EB4050">
            <w:pPr>
              <w:pStyle w:val="naisnod"/>
              <w:keepNext/>
              <w:keepLines/>
              <w:spacing w:before="0" w:after="0"/>
              <w:ind w:left="57" w:right="57"/>
              <w:jc w:val="both"/>
              <w:rPr>
                <w:b w:val="0"/>
              </w:rPr>
            </w:pPr>
            <w:r w:rsidRPr="00EB4050">
              <w:rPr>
                <w:b w:val="0"/>
              </w:rPr>
              <w:t>Plānotās sabiedrības līdzdalības un komunikācijas aktivitātes saistībā ar projektu</w:t>
            </w:r>
          </w:p>
        </w:tc>
        <w:tc>
          <w:tcPr>
            <w:tcW w:w="3412" w:type="dxa"/>
          </w:tcPr>
          <w:p w:rsidR="00EB4050" w:rsidRDefault="00EB4050" w:rsidP="00EB4050">
            <w:pPr>
              <w:pStyle w:val="naisf"/>
              <w:keepNext/>
              <w:keepLines/>
              <w:ind w:firstLine="0"/>
            </w:pPr>
            <w:r>
              <w:t>Par normatīvā akta izstrādi Kredītu reģistra dalībnieki un tos pārstāvošās asociācijas tika informētas tikšanās reizēs Latvijas Bankā, kurās apspriesti ar Kredītu reģistra pilnveidi saistītie jautājumi.</w:t>
            </w:r>
          </w:p>
          <w:p w:rsidR="00EB4050" w:rsidRDefault="00EB4050" w:rsidP="00EB4050">
            <w:pPr>
              <w:pStyle w:val="naisf"/>
              <w:keepNext/>
              <w:keepLines/>
              <w:ind w:firstLine="0"/>
            </w:pPr>
            <w:r w:rsidRPr="00076138">
              <w:t xml:space="preserve">Sabiedrība pēc normatīvā akta pieņemšanas tiks informēta ar publikāciju laikrakstā "Latvijas Vēstnesis", kā arī ievietojot to bezmaksas normatīvo aktu datu bāzē </w:t>
            </w:r>
            <w:r w:rsidRPr="00E547C1">
              <w:t xml:space="preserve">www.likumi.lv. </w:t>
            </w:r>
          </w:p>
          <w:p w:rsidR="00EB4050" w:rsidRPr="00EB4050" w:rsidRDefault="00EB4050" w:rsidP="00EB4050">
            <w:pPr>
              <w:pStyle w:val="naisnod"/>
              <w:keepNext/>
              <w:keepLines/>
              <w:spacing w:before="0" w:after="0"/>
              <w:ind w:left="57" w:right="57"/>
              <w:jc w:val="both"/>
              <w:rPr>
                <w:b w:val="0"/>
              </w:rPr>
            </w:pPr>
            <w:r w:rsidRPr="00EB4050">
              <w:rPr>
                <w:b w:val="0"/>
              </w:rPr>
              <w:t>Saite uz likumu tiks ievietota arī Latvijas Bankas interneta vietnē.</w:t>
            </w:r>
          </w:p>
        </w:tc>
      </w:tr>
      <w:tr w:rsidR="00EB4050" w:rsidRPr="00E547C1" w:rsidTr="00EB4050">
        <w:trPr>
          <w:jc w:val="center"/>
        </w:trPr>
        <w:tc>
          <w:tcPr>
            <w:tcW w:w="1677" w:type="dxa"/>
          </w:tcPr>
          <w:p w:rsidR="00EB4050" w:rsidRPr="00EB4050" w:rsidRDefault="00EB4050" w:rsidP="00EB4050">
            <w:pPr>
              <w:pStyle w:val="naisnod"/>
              <w:keepNext/>
              <w:keepLines/>
              <w:spacing w:before="0" w:after="0"/>
              <w:ind w:left="57" w:right="57"/>
              <w:jc w:val="left"/>
              <w:rPr>
                <w:b w:val="0"/>
              </w:rPr>
            </w:pPr>
            <w:r>
              <w:rPr>
                <w:b w:val="0"/>
              </w:rPr>
              <w:t>2.</w:t>
            </w:r>
          </w:p>
        </w:tc>
        <w:tc>
          <w:tcPr>
            <w:tcW w:w="4536" w:type="dxa"/>
          </w:tcPr>
          <w:p w:rsidR="00EB4050" w:rsidRPr="00EB4050" w:rsidRDefault="00EB4050" w:rsidP="00EB4050">
            <w:pPr>
              <w:pStyle w:val="naisnod"/>
              <w:keepNext/>
              <w:keepLines/>
              <w:spacing w:before="0" w:after="0"/>
              <w:ind w:left="57" w:right="57"/>
              <w:jc w:val="both"/>
              <w:rPr>
                <w:b w:val="0"/>
              </w:rPr>
            </w:pPr>
            <w:r w:rsidRPr="00EB4050">
              <w:rPr>
                <w:b w:val="0"/>
              </w:rPr>
              <w:t>Sabiedrības līdzdalība projekta izstrādē</w:t>
            </w:r>
          </w:p>
        </w:tc>
        <w:tc>
          <w:tcPr>
            <w:tcW w:w="3412" w:type="dxa"/>
          </w:tcPr>
          <w:p w:rsidR="00EB4050" w:rsidRPr="00587D99" w:rsidRDefault="00EB4050" w:rsidP="00EB4050">
            <w:pPr>
              <w:pStyle w:val="naisf"/>
              <w:ind w:firstLine="0"/>
            </w:pPr>
            <w:r w:rsidRPr="00587D99">
              <w:t xml:space="preserve">Latvijas Banka par likumprojektā paredzētajām prasībām Kredītu reģistra dalībniekus </w:t>
            </w:r>
            <w:r>
              <w:t xml:space="preserve">regulāri </w:t>
            </w:r>
            <w:r w:rsidRPr="00587D99">
              <w:t>tika informējusi</w:t>
            </w:r>
            <w:r>
              <w:t xml:space="preserve">, sākot </w:t>
            </w:r>
            <w:r w:rsidRPr="00587D99">
              <w:t>no 2012.gada</w:t>
            </w:r>
            <w:r>
              <w:t xml:space="preserve"> </w:t>
            </w:r>
            <w:r w:rsidRPr="00587D99">
              <w:t>– 2012.gada 29.oktobr</w:t>
            </w:r>
            <w:r>
              <w:t>ī</w:t>
            </w:r>
            <w:r w:rsidRPr="00587D99">
              <w:t>, 2014.gada 14.mart</w:t>
            </w:r>
            <w:r>
              <w:t>ā</w:t>
            </w:r>
            <w:r w:rsidRPr="00587D99">
              <w:t>, 2015.gada 28.aprī</w:t>
            </w:r>
            <w:r>
              <w:t>lī</w:t>
            </w:r>
            <w:r w:rsidRPr="00587D99">
              <w:t>, 2016.gada 1.jūlij</w:t>
            </w:r>
            <w:r>
              <w:t>ā</w:t>
            </w:r>
            <w:r w:rsidRPr="00587D99">
              <w:t>, 2016.gada 14.septembr</w:t>
            </w:r>
            <w:r>
              <w:t>ī</w:t>
            </w:r>
            <w:r w:rsidRPr="00587D99">
              <w:t>, 2017.gada 9.</w:t>
            </w:r>
            <w:r>
              <w:t xml:space="preserve"> </w:t>
            </w:r>
            <w:r w:rsidRPr="00587D99">
              <w:t>un 11.janvār</w:t>
            </w:r>
            <w:r>
              <w:t xml:space="preserve">ī rīkotajās </w:t>
            </w:r>
            <w:r w:rsidRPr="00587D99">
              <w:t xml:space="preserve">tikšanās reizēs </w:t>
            </w:r>
            <w:r>
              <w:t xml:space="preserve">sākotnēji Kredītu reģistra dalībnieku un to intereses pārstāvošo asociāciju pārstāvjiem </w:t>
            </w:r>
            <w:r w:rsidRPr="00587D99">
              <w:t>tika sniegta informācija</w:t>
            </w:r>
            <w:r>
              <w:t xml:space="preserve"> </w:t>
            </w:r>
            <w:r w:rsidRPr="00587D99">
              <w:t>par</w:t>
            </w:r>
            <w:r>
              <w:t xml:space="preserve"> </w:t>
            </w:r>
            <w:r w:rsidRPr="00587D99">
              <w:t>plānotajām Regulas prasībām</w:t>
            </w:r>
            <w:r>
              <w:t>, pēc Regulas pieņemšanas – par regulējuma ieviešanas laika plānu,</w:t>
            </w:r>
            <w:r w:rsidRPr="00587D99">
              <w:t xml:space="preserve"> </w:t>
            </w:r>
            <w:r>
              <w:t xml:space="preserve">kā arī par paredzamo Kredītu reģistra dalībnieku pienākumu iekļaut Kredītu reģistrā </w:t>
            </w:r>
            <w:r w:rsidRPr="00587D99">
              <w:t>ziņ</w:t>
            </w:r>
            <w:r>
              <w:t>as</w:t>
            </w:r>
            <w:r w:rsidRPr="00587D99">
              <w:t xml:space="preserve"> par</w:t>
            </w:r>
            <w:r>
              <w:t xml:space="preserve"> tādiem finanšu pakalpojumiem ar kredītrisku kā</w:t>
            </w:r>
            <w:r w:rsidRPr="00587D99">
              <w:t xml:space="preserve"> </w:t>
            </w:r>
            <w:r>
              <w:t xml:space="preserve">pircējam sniegti </w:t>
            </w:r>
            <w:r w:rsidRPr="00587D99">
              <w:t>akreditīv</w:t>
            </w:r>
            <w:r>
              <w:t>a</w:t>
            </w:r>
            <w:r w:rsidRPr="00587D99">
              <w:t xml:space="preserve"> (kredītvēstul</w:t>
            </w:r>
            <w:r>
              <w:t>es</w:t>
            </w:r>
            <w:r w:rsidRPr="00587D99">
              <w:t>)</w:t>
            </w:r>
            <w:r>
              <w:t xml:space="preserve"> pakalpojumi un</w:t>
            </w:r>
            <w:r w:rsidRPr="00587D99">
              <w:t xml:space="preserve"> galvojumi (garantij</w:t>
            </w:r>
            <w:r>
              <w:t>as</w:t>
            </w:r>
            <w:r w:rsidRPr="00587D99">
              <w:t xml:space="preserve">). </w:t>
            </w:r>
          </w:p>
          <w:p w:rsidR="00EB4050" w:rsidRPr="00A00418" w:rsidRDefault="00EB4050" w:rsidP="00EB4050">
            <w:pPr>
              <w:pStyle w:val="naisf"/>
              <w:ind w:firstLine="0"/>
            </w:pPr>
            <w:r w:rsidRPr="00587D99">
              <w:t>Tikšanās ar</w:t>
            </w:r>
            <w:r>
              <w:t xml:space="preserve"> </w:t>
            </w:r>
            <w:r w:rsidRPr="00587D99">
              <w:t xml:space="preserve">Valsts kases pārstāvjiem par plānoto </w:t>
            </w:r>
            <w:r>
              <w:t>Valsts kases līdz</w:t>
            </w:r>
            <w:r w:rsidRPr="00587D99">
              <w:t>dalību Kredītu reģistrā</w:t>
            </w:r>
            <w:r>
              <w:t xml:space="preserve"> tika rīkotas</w:t>
            </w:r>
            <w:r w:rsidRPr="00587D99">
              <w:t xml:space="preserve"> 2016.gada </w:t>
            </w:r>
            <w:r>
              <w:t xml:space="preserve">28.septembrī, </w:t>
            </w:r>
            <w:r w:rsidRPr="00587D99">
              <w:t>29.oktobrī un 17.novembrī</w:t>
            </w:r>
            <w:r>
              <w:t xml:space="preserve"> un</w:t>
            </w:r>
            <w:r w:rsidRPr="00587D99">
              <w:t xml:space="preserve"> 2017.gada 11.janvārī</w:t>
            </w:r>
            <w:r>
              <w:t>, vienojoties par līdzdalības veidu un kārtību</w:t>
            </w:r>
            <w:r w:rsidRPr="00587D99">
              <w:t>.</w:t>
            </w:r>
            <w:r w:rsidRPr="00A00418">
              <w:t xml:space="preserve"> </w:t>
            </w:r>
          </w:p>
          <w:p w:rsidR="00EB4050" w:rsidRDefault="00EB4050" w:rsidP="00EB4050">
            <w:pPr>
              <w:pStyle w:val="naisf"/>
              <w:keepNext/>
              <w:keepLines/>
              <w:ind w:firstLine="0"/>
            </w:pPr>
            <w:r w:rsidRPr="00E547C1">
              <w:t>Latvijas Banka</w:t>
            </w:r>
            <w:r>
              <w:t xml:space="preserve"> 2016.gada </w:t>
            </w:r>
            <w:r>
              <w:lastRenderedPageBreak/>
              <w:t>19.decembrī</w:t>
            </w:r>
            <w:r w:rsidRPr="00E547C1">
              <w:t xml:space="preserve"> nosūtīja likumprojektu Latvijas Komercbanku asociācijai, </w:t>
            </w:r>
            <w:r>
              <w:t>S</w:t>
            </w:r>
            <w:r w:rsidRPr="00E547C1">
              <w:t>abiedriskajai organizācijai "Latvijas Līzinga devēju asociācija", Latvijas Kooperatīvo krājaizdevu sabiedrību savienībai, biedrībai "Krājaizdevu apvienība", Latvijas Apdrošinātāju asociācijai, ārpus minētajām sabiedrībām esošajiem Kredītu reģistra dalībniekiem</w:t>
            </w:r>
            <w:r>
              <w:t>, Finanšu un kapitāla tirgus komisijai,</w:t>
            </w:r>
            <w:r w:rsidRPr="00E547C1">
              <w:t xml:space="preserve"> Valsts kasei </w:t>
            </w:r>
            <w:r>
              <w:t xml:space="preserve">un Datu valsts inspekcijai </w:t>
            </w:r>
            <w:r w:rsidRPr="00E547C1">
              <w:t>atzinumu sniegšanai.</w:t>
            </w:r>
          </w:p>
        </w:tc>
      </w:tr>
      <w:tr w:rsidR="00EB4050" w:rsidRPr="00E547C1" w:rsidTr="00EB4050">
        <w:trPr>
          <w:jc w:val="center"/>
        </w:trPr>
        <w:tc>
          <w:tcPr>
            <w:tcW w:w="1677" w:type="dxa"/>
          </w:tcPr>
          <w:p w:rsidR="00EB4050" w:rsidRDefault="00EB4050" w:rsidP="00EB4050">
            <w:pPr>
              <w:pStyle w:val="naisnod"/>
              <w:keepNext/>
              <w:keepLines/>
              <w:spacing w:before="0" w:after="0"/>
              <w:ind w:left="57" w:right="57"/>
              <w:jc w:val="left"/>
              <w:rPr>
                <w:b w:val="0"/>
              </w:rPr>
            </w:pPr>
            <w:r>
              <w:rPr>
                <w:b w:val="0"/>
              </w:rPr>
              <w:lastRenderedPageBreak/>
              <w:t>3.</w:t>
            </w:r>
          </w:p>
        </w:tc>
        <w:tc>
          <w:tcPr>
            <w:tcW w:w="4536" w:type="dxa"/>
          </w:tcPr>
          <w:p w:rsidR="00EB4050" w:rsidRPr="00EB4050" w:rsidRDefault="00EB4050" w:rsidP="00EB4050">
            <w:pPr>
              <w:pStyle w:val="naisnod"/>
              <w:keepNext/>
              <w:keepLines/>
              <w:spacing w:before="0" w:after="0"/>
              <w:ind w:left="57" w:right="57"/>
              <w:jc w:val="both"/>
              <w:rPr>
                <w:b w:val="0"/>
              </w:rPr>
            </w:pPr>
            <w:r w:rsidRPr="00EB4050">
              <w:rPr>
                <w:b w:val="0"/>
              </w:rPr>
              <w:t>Sabiedrības līdzdalības rezultāti</w:t>
            </w:r>
          </w:p>
        </w:tc>
        <w:tc>
          <w:tcPr>
            <w:tcW w:w="3412" w:type="dxa"/>
          </w:tcPr>
          <w:p w:rsidR="00EB4050" w:rsidRPr="00E547C1" w:rsidRDefault="00EB4050" w:rsidP="00EB4050">
            <w:pPr>
              <w:pStyle w:val="naisf"/>
              <w:ind w:firstLine="0"/>
            </w:pPr>
            <w:r w:rsidRPr="00E547C1">
              <w:t>Latvijas Komercbanku asociācija, Sabiedriskā organizācija "Latvijas Līzinga devēju asociācija", Latvijas Kooperatīvo krājaizdevu sabiedrību savienība, biedrība "Krājaizdevu apvienība", Latvijas Apdrošinātāju asociācija, ārpus minētajām sabiedrībām esošie Kredītu reģistra dalībnieki</w:t>
            </w:r>
            <w:r>
              <w:t xml:space="preserve">, Finanšu un kapitāla tirgus komisija, </w:t>
            </w:r>
            <w:r w:rsidRPr="00E547C1">
              <w:t xml:space="preserve">Valsts kase </w:t>
            </w:r>
            <w:r>
              <w:t xml:space="preserve">un Datu valsts inspekcija </w:t>
            </w:r>
            <w:r w:rsidRPr="00E547C1">
              <w:t>iztei</w:t>
            </w:r>
            <w:r>
              <w:t>ca</w:t>
            </w:r>
            <w:r w:rsidRPr="00E547C1">
              <w:t xml:space="preserve"> atbalstu likumprojekta</w:t>
            </w:r>
            <w:r>
              <w:t xml:space="preserve"> tālākai virzībai</w:t>
            </w:r>
            <w:r w:rsidRPr="00E547C1">
              <w:t>.</w:t>
            </w:r>
          </w:p>
        </w:tc>
      </w:tr>
      <w:tr w:rsidR="00EB4050" w:rsidRPr="00E547C1" w:rsidTr="00EB4050">
        <w:trPr>
          <w:jc w:val="center"/>
        </w:trPr>
        <w:tc>
          <w:tcPr>
            <w:tcW w:w="1677" w:type="dxa"/>
          </w:tcPr>
          <w:p w:rsidR="00EB4050" w:rsidRDefault="00EB4050" w:rsidP="00EB4050">
            <w:pPr>
              <w:pStyle w:val="naisnod"/>
              <w:keepNext/>
              <w:keepLines/>
              <w:spacing w:before="0" w:after="0"/>
              <w:ind w:left="57" w:right="57"/>
              <w:jc w:val="left"/>
              <w:rPr>
                <w:b w:val="0"/>
              </w:rPr>
            </w:pPr>
            <w:r>
              <w:rPr>
                <w:b w:val="0"/>
              </w:rPr>
              <w:t>4.</w:t>
            </w:r>
          </w:p>
        </w:tc>
        <w:tc>
          <w:tcPr>
            <w:tcW w:w="4536" w:type="dxa"/>
          </w:tcPr>
          <w:p w:rsidR="00EB4050" w:rsidRPr="00EB4050" w:rsidRDefault="00EB4050" w:rsidP="00EB4050">
            <w:pPr>
              <w:pStyle w:val="naisnod"/>
              <w:keepNext/>
              <w:keepLines/>
              <w:spacing w:before="0" w:after="0"/>
              <w:ind w:left="57" w:right="57"/>
              <w:jc w:val="both"/>
              <w:rPr>
                <w:b w:val="0"/>
              </w:rPr>
            </w:pPr>
            <w:r w:rsidRPr="00EB4050">
              <w:rPr>
                <w:b w:val="0"/>
              </w:rPr>
              <w:t>Cita informācija</w:t>
            </w:r>
          </w:p>
        </w:tc>
        <w:tc>
          <w:tcPr>
            <w:tcW w:w="3412" w:type="dxa"/>
          </w:tcPr>
          <w:p w:rsidR="00EB4050" w:rsidRPr="00E547C1" w:rsidRDefault="00EB4050" w:rsidP="00EB4050">
            <w:pPr>
              <w:pStyle w:val="naisf"/>
              <w:ind w:firstLine="0"/>
            </w:pPr>
            <w:r>
              <w:t>Nav</w:t>
            </w:r>
          </w:p>
        </w:tc>
      </w:tr>
    </w:tbl>
    <w:p w:rsidR="00DC5289" w:rsidRPr="00E547C1" w:rsidRDefault="00DC5289" w:rsidP="00EB4050">
      <w:pPr>
        <w:pStyle w:val="naisf"/>
        <w:spacing w:before="0" w:after="0"/>
        <w:ind w:firstLine="0"/>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299"/>
        <w:gridCol w:w="4915"/>
      </w:tblGrid>
      <w:tr w:rsidR="00E547C1" w:rsidRPr="00E547C1" w:rsidTr="0053367B">
        <w:tc>
          <w:tcPr>
            <w:tcW w:w="9640" w:type="dxa"/>
            <w:gridSpan w:val="3"/>
            <w:tcBorders>
              <w:top w:val="single" w:sz="4" w:space="0" w:color="auto"/>
            </w:tcBorders>
          </w:tcPr>
          <w:p w:rsidR="0023436E" w:rsidRPr="00E547C1" w:rsidRDefault="0023436E" w:rsidP="0047074D">
            <w:pPr>
              <w:pStyle w:val="naisnod"/>
              <w:spacing w:before="0" w:after="0"/>
              <w:ind w:left="57" w:right="57"/>
            </w:pPr>
            <w:r w:rsidRPr="00E547C1">
              <w:t>VII</w:t>
            </w:r>
            <w:r w:rsidR="000941C5" w:rsidRPr="00E547C1">
              <w:t>.</w:t>
            </w:r>
            <w:r w:rsidRPr="00E547C1">
              <w:t xml:space="preserve"> Tiesību akta projekta izpildes nodrošināšana un tās ietekme uz institūcijām</w:t>
            </w:r>
          </w:p>
        </w:tc>
      </w:tr>
      <w:tr w:rsidR="00E547C1" w:rsidRPr="00E547C1" w:rsidTr="00DC5289">
        <w:trPr>
          <w:trHeight w:val="427"/>
        </w:trPr>
        <w:tc>
          <w:tcPr>
            <w:tcW w:w="426" w:type="dxa"/>
          </w:tcPr>
          <w:p w:rsidR="0023436E" w:rsidRPr="00E547C1" w:rsidRDefault="0023436E" w:rsidP="0047074D">
            <w:pPr>
              <w:pStyle w:val="naisnod"/>
              <w:spacing w:before="0" w:after="0"/>
              <w:ind w:left="57" w:right="57"/>
              <w:jc w:val="left"/>
              <w:rPr>
                <w:b w:val="0"/>
              </w:rPr>
            </w:pPr>
            <w:r w:rsidRPr="00E547C1">
              <w:rPr>
                <w:b w:val="0"/>
              </w:rPr>
              <w:t>1.</w:t>
            </w:r>
          </w:p>
        </w:tc>
        <w:tc>
          <w:tcPr>
            <w:tcW w:w="4299" w:type="dxa"/>
          </w:tcPr>
          <w:p w:rsidR="0023436E" w:rsidRPr="00E547C1" w:rsidRDefault="001A4066" w:rsidP="0047074D">
            <w:pPr>
              <w:pStyle w:val="naisf"/>
              <w:spacing w:before="0" w:after="0"/>
              <w:ind w:left="57" w:right="57" w:firstLine="0"/>
              <w:jc w:val="left"/>
            </w:pPr>
            <w:r w:rsidRPr="00E547C1">
              <w:t>P</w:t>
            </w:r>
            <w:r w:rsidR="0023436E" w:rsidRPr="00E547C1">
              <w:t xml:space="preserve">rojekta izpildē iesaistītās institūcijas </w:t>
            </w:r>
          </w:p>
        </w:tc>
        <w:tc>
          <w:tcPr>
            <w:tcW w:w="4915" w:type="dxa"/>
          </w:tcPr>
          <w:p w:rsidR="0023436E" w:rsidRPr="00E547C1" w:rsidRDefault="00054D69" w:rsidP="0047074D">
            <w:pPr>
              <w:pStyle w:val="naiskr"/>
              <w:tabs>
                <w:tab w:val="left" w:pos="427"/>
                <w:tab w:val="left" w:pos="2628"/>
              </w:tabs>
              <w:spacing w:before="0" w:after="120"/>
              <w:ind w:left="70"/>
              <w:jc w:val="both"/>
              <w:rPr>
                <w:iCs/>
              </w:rPr>
            </w:pPr>
            <w:r w:rsidRPr="00DA55E3">
              <w:rPr>
                <w:iCs/>
              </w:rPr>
              <w:t>Latvijas B</w:t>
            </w:r>
            <w:r w:rsidR="00D8574C" w:rsidRPr="00DA55E3">
              <w:rPr>
                <w:iCs/>
              </w:rPr>
              <w:t>anka</w:t>
            </w:r>
            <w:r w:rsidR="00DA55E3" w:rsidRPr="00DA55E3">
              <w:rPr>
                <w:iCs/>
              </w:rPr>
              <w:t xml:space="preserve"> un Valsts kase.</w:t>
            </w:r>
          </w:p>
        </w:tc>
      </w:tr>
      <w:tr w:rsidR="00E547C1" w:rsidRPr="00E547C1" w:rsidTr="00DC5289">
        <w:trPr>
          <w:trHeight w:val="463"/>
        </w:trPr>
        <w:tc>
          <w:tcPr>
            <w:tcW w:w="426" w:type="dxa"/>
          </w:tcPr>
          <w:p w:rsidR="0023436E" w:rsidRPr="00E547C1" w:rsidRDefault="0023436E" w:rsidP="0047074D">
            <w:pPr>
              <w:pStyle w:val="naisnod"/>
              <w:spacing w:before="0" w:after="0"/>
              <w:ind w:left="57" w:right="57"/>
              <w:jc w:val="left"/>
              <w:rPr>
                <w:b w:val="0"/>
              </w:rPr>
            </w:pPr>
            <w:r w:rsidRPr="00E547C1">
              <w:rPr>
                <w:b w:val="0"/>
              </w:rPr>
              <w:t>2.</w:t>
            </w:r>
          </w:p>
        </w:tc>
        <w:tc>
          <w:tcPr>
            <w:tcW w:w="4299" w:type="dxa"/>
          </w:tcPr>
          <w:p w:rsidR="0023436E" w:rsidRPr="00E547C1" w:rsidRDefault="001A4066" w:rsidP="0047074D">
            <w:pPr>
              <w:pStyle w:val="naisf"/>
              <w:spacing w:before="0" w:after="0"/>
              <w:ind w:left="57" w:right="57" w:firstLine="0"/>
              <w:jc w:val="left"/>
            </w:pPr>
            <w:r w:rsidRPr="00E547C1">
              <w:t>Projekta i</w:t>
            </w:r>
            <w:r w:rsidR="0023436E" w:rsidRPr="00E547C1">
              <w:t xml:space="preserve">zpildes ietekme uz pārvaldes funkcijām </w:t>
            </w:r>
            <w:r w:rsidR="0053367B" w:rsidRPr="00E547C1">
              <w:t xml:space="preserve">un institucionālo struktūru. </w:t>
            </w:r>
          </w:p>
          <w:p w:rsidR="0053367B" w:rsidRPr="00E547C1" w:rsidRDefault="0053367B" w:rsidP="0047074D">
            <w:pPr>
              <w:pStyle w:val="naisf"/>
              <w:spacing w:before="0" w:after="0"/>
              <w:ind w:left="57" w:right="57" w:firstLine="0"/>
              <w:jc w:val="left"/>
            </w:pPr>
            <w:r w:rsidRPr="00E547C1">
              <w:rPr>
                <w:szCs w:val="28"/>
              </w:rPr>
              <w:t>Jaunu institūciju izveide, esošu institūciju likvidācija vai reorganizācija, to ietekme uz institūcijas cilvēkresursiem</w:t>
            </w:r>
          </w:p>
        </w:tc>
        <w:tc>
          <w:tcPr>
            <w:tcW w:w="4915" w:type="dxa"/>
          </w:tcPr>
          <w:p w:rsidR="00F7668C" w:rsidRDefault="00F7668C" w:rsidP="005F79EF">
            <w:pPr>
              <w:pStyle w:val="naisnod"/>
              <w:spacing w:before="0" w:after="120"/>
              <w:ind w:left="57" w:right="57"/>
              <w:jc w:val="both"/>
              <w:rPr>
                <w:b w:val="0"/>
              </w:rPr>
            </w:pPr>
            <w:r w:rsidRPr="00A37906">
              <w:rPr>
                <w:b w:val="0"/>
              </w:rPr>
              <w:t>Likumprojekta izpildei nav nepieciešams paplašināt Latvijas Bankas funkcijas un uzdevumus</w:t>
            </w:r>
            <w:r w:rsidRPr="00A00418">
              <w:rPr>
                <w:b w:val="0"/>
              </w:rPr>
              <w:t>.</w:t>
            </w:r>
          </w:p>
          <w:p w:rsidR="0023436E" w:rsidRPr="005F79EF" w:rsidRDefault="0023436E" w:rsidP="005F79EF">
            <w:pPr>
              <w:pStyle w:val="naisnod"/>
              <w:spacing w:before="0" w:after="120"/>
              <w:ind w:left="57" w:right="57"/>
              <w:jc w:val="both"/>
              <w:rPr>
                <w:b w:val="0"/>
              </w:rPr>
            </w:pPr>
          </w:p>
        </w:tc>
      </w:tr>
      <w:tr w:rsidR="00E547C1" w:rsidRPr="00E547C1" w:rsidTr="00DC5289">
        <w:trPr>
          <w:trHeight w:val="476"/>
        </w:trPr>
        <w:tc>
          <w:tcPr>
            <w:tcW w:w="426" w:type="dxa"/>
          </w:tcPr>
          <w:p w:rsidR="0023436E" w:rsidRPr="00E547C1" w:rsidRDefault="0053367B" w:rsidP="0047074D">
            <w:pPr>
              <w:pStyle w:val="naiskr"/>
              <w:spacing w:before="0" w:after="0"/>
              <w:ind w:left="57" w:right="57"/>
            </w:pPr>
            <w:r w:rsidRPr="00E547C1">
              <w:t>3</w:t>
            </w:r>
            <w:r w:rsidR="0023436E" w:rsidRPr="00E547C1">
              <w:t>.</w:t>
            </w:r>
          </w:p>
        </w:tc>
        <w:tc>
          <w:tcPr>
            <w:tcW w:w="4299" w:type="dxa"/>
          </w:tcPr>
          <w:p w:rsidR="0023436E" w:rsidRPr="00E547C1" w:rsidRDefault="006C4607" w:rsidP="0047074D">
            <w:pPr>
              <w:pStyle w:val="naiskr"/>
              <w:spacing w:before="0" w:after="0"/>
              <w:ind w:left="57" w:right="57"/>
            </w:pPr>
            <w:r w:rsidRPr="00E547C1">
              <w:t>Cita informācija</w:t>
            </w:r>
          </w:p>
        </w:tc>
        <w:tc>
          <w:tcPr>
            <w:tcW w:w="4915" w:type="dxa"/>
          </w:tcPr>
          <w:p w:rsidR="0023436E" w:rsidRPr="00E547C1" w:rsidRDefault="0023436E" w:rsidP="0047074D">
            <w:pPr>
              <w:pStyle w:val="naiskr"/>
              <w:spacing w:before="0" w:after="0"/>
              <w:ind w:left="57" w:right="57"/>
            </w:pPr>
            <w:r w:rsidRPr="00E547C1">
              <w:t>Nav</w:t>
            </w:r>
          </w:p>
        </w:tc>
      </w:tr>
    </w:tbl>
    <w:p w:rsidR="00BF40ED" w:rsidRPr="00E547C1" w:rsidRDefault="00BF40ED" w:rsidP="0047074D">
      <w:pPr>
        <w:pStyle w:val="naisf"/>
        <w:tabs>
          <w:tab w:val="left" w:pos="6804"/>
        </w:tabs>
        <w:spacing w:before="0" w:after="0"/>
        <w:ind w:firstLine="0"/>
      </w:pPr>
    </w:p>
    <w:p w:rsidR="004550C6" w:rsidRPr="00076138" w:rsidRDefault="004550C6" w:rsidP="004550C6">
      <w:pPr>
        <w:pStyle w:val="BodyText"/>
        <w:spacing w:before="240"/>
        <w:rPr>
          <w:color w:val="auto"/>
          <w:szCs w:val="28"/>
        </w:rPr>
      </w:pPr>
      <w:r w:rsidRPr="00076138">
        <w:rPr>
          <w:color w:val="auto"/>
          <w:szCs w:val="28"/>
        </w:rPr>
        <w:t>Finanšu ministre</w:t>
      </w:r>
      <w:r w:rsidRPr="00076138">
        <w:rPr>
          <w:color w:val="auto"/>
          <w:szCs w:val="28"/>
        </w:rPr>
        <w:tab/>
      </w:r>
      <w:r w:rsidRPr="00076138">
        <w:rPr>
          <w:color w:val="auto"/>
          <w:szCs w:val="28"/>
        </w:rPr>
        <w:tab/>
      </w:r>
      <w:r w:rsidRPr="00076138">
        <w:rPr>
          <w:color w:val="auto"/>
          <w:szCs w:val="28"/>
        </w:rPr>
        <w:tab/>
      </w:r>
      <w:r w:rsidRPr="00076138">
        <w:rPr>
          <w:color w:val="auto"/>
          <w:szCs w:val="28"/>
        </w:rPr>
        <w:tab/>
      </w:r>
      <w:r w:rsidRPr="00076138">
        <w:rPr>
          <w:color w:val="auto"/>
          <w:szCs w:val="28"/>
        </w:rPr>
        <w:tab/>
      </w:r>
      <w:r w:rsidRPr="00076138">
        <w:rPr>
          <w:color w:val="auto"/>
          <w:szCs w:val="28"/>
        </w:rPr>
        <w:tab/>
      </w:r>
      <w:r w:rsidR="00CB075A">
        <w:rPr>
          <w:color w:val="auto"/>
          <w:szCs w:val="28"/>
        </w:rPr>
        <w:t xml:space="preserve"> </w:t>
      </w:r>
      <w:r w:rsidR="00BE2E2C">
        <w:rPr>
          <w:color w:val="auto"/>
          <w:szCs w:val="28"/>
        </w:rPr>
        <w:t xml:space="preserve">     </w:t>
      </w:r>
      <w:r w:rsidRPr="00076138">
        <w:rPr>
          <w:color w:val="auto"/>
          <w:szCs w:val="28"/>
        </w:rPr>
        <w:t>D. Reizniece-Ozola</w:t>
      </w:r>
    </w:p>
    <w:p w:rsidR="004550C6" w:rsidRDefault="004550C6" w:rsidP="004550C6">
      <w:pPr>
        <w:rPr>
          <w:sz w:val="20"/>
          <w:szCs w:val="20"/>
        </w:rPr>
      </w:pPr>
    </w:p>
    <w:p w:rsidR="00427968" w:rsidRDefault="00427968" w:rsidP="004550C6">
      <w:pPr>
        <w:rPr>
          <w:sz w:val="20"/>
          <w:szCs w:val="20"/>
        </w:rPr>
      </w:pPr>
    </w:p>
    <w:p w:rsidR="00EB4050" w:rsidRDefault="00EB4050" w:rsidP="00427968">
      <w:pPr>
        <w:rPr>
          <w:sz w:val="20"/>
          <w:szCs w:val="20"/>
        </w:rPr>
      </w:pPr>
    </w:p>
    <w:p w:rsidR="00427968" w:rsidRDefault="00427968" w:rsidP="00427968">
      <w:pPr>
        <w:rPr>
          <w:color w:val="000000" w:themeColor="text1"/>
          <w:sz w:val="20"/>
          <w:szCs w:val="20"/>
        </w:rPr>
      </w:pPr>
      <w:r w:rsidRPr="004B378F">
        <w:rPr>
          <w:color w:val="000000" w:themeColor="text1"/>
          <w:sz w:val="20"/>
          <w:szCs w:val="20"/>
        </w:rPr>
        <w:t>Hammers, 67095441</w:t>
      </w:r>
    </w:p>
    <w:p w:rsidR="00427968" w:rsidRPr="004B378F" w:rsidRDefault="00427968" w:rsidP="00427968">
      <w:pPr>
        <w:rPr>
          <w:rStyle w:val="Hyperlink"/>
          <w:sz w:val="20"/>
          <w:szCs w:val="20"/>
        </w:rPr>
      </w:pPr>
      <w:r w:rsidRPr="004B378F">
        <w:rPr>
          <w:rStyle w:val="Hyperlink"/>
          <w:sz w:val="20"/>
          <w:szCs w:val="20"/>
        </w:rPr>
        <w:t>aivis.hammers@fm.gov.lv</w:t>
      </w:r>
    </w:p>
    <w:p w:rsidR="004550C6" w:rsidRPr="00FB37AF" w:rsidRDefault="004550C6" w:rsidP="00427968">
      <w:pPr>
        <w:rPr>
          <w:sz w:val="20"/>
        </w:rPr>
      </w:pPr>
    </w:p>
    <w:sectPr w:rsidR="004550C6" w:rsidRPr="00FB37AF" w:rsidSect="00845811">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B5" w:rsidRDefault="003108B5">
      <w:r>
        <w:separator/>
      </w:r>
    </w:p>
  </w:endnote>
  <w:endnote w:type="continuationSeparator" w:id="0">
    <w:p w:rsidR="003108B5" w:rsidRDefault="003108B5">
      <w:r>
        <w:continuationSeparator/>
      </w:r>
    </w:p>
  </w:endnote>
  <w:endnote w:type="continuationNotice" w:id="1">
    <w:p w:rsidR="003108B5" w:rsidRDefault="00310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3A" w:rsidRPr="0045502B" w:rsidRDefault="00F23D3A" w:rsidP="00F23D3A">
    <w:pPr>
      <w:pStyle w:val="Footer"/>
      <w:rPr>
        <w:sz w:val="20"/>
        <w:szCs w:val="20"/>
      </w:rPr>
    </w:pPr>
    <w:r w:rsidRPr="00D607C0">
      <w:rPr>
        <w:sz w:val="20"/>
        <w:szCs w:val="20"/>
      </w:rPr>
      <w:t>FMAnot_</w:t>
    </w:r>
    <w:r>
      <w:rPr>
        <w:sz w:val="20"/>
        <w:szCs w:val="20"/>
      </w:rPr>
      <w:t>1003</w:t>
    </w:r>
    <w:r w:rsidRPr="00D607C0">
      <w:rPr>
        <w:sz w:val="20"/>
        <w:szCs w:val="20"/>
      </w:rPr>
      <w:t>1</w:t>
    </w:r>
    <w:r>
      <w:rPr>
        <w:sz w:val="20"/>
        <w:szCs w:val="20"/>
      </w:rPr>
      <w:t>7</w:t>
    </w:r>
    <w:r w:rsidRPr="00D607C0">
      <w:rPr>
        <w:sz w:val="20"/>
        <w:szCs w:val="20"/>
      </w:rPr>
      <w:t>_KRL</w:t>
    </w:r>
  </w:p>
  <w:p w:rsidR="007323F5" w:rsidRDefault="00732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3A" w:rsidRPr="0045502B" w:rsidRDefault="00F23D3A" w:rsidP="00F23D3A">
    <w:pPr>
      <w:pStyle w:val="Footer"/>
      <w:rPr>
        <w:sz w:val="20"/>
        <w:szCs w:val="20"/>
      </w:rPr>
    </w:pPr>
    <w:r w:rsidRPr="00D607C0">
      <w:rPr>
        <w:sz w:val="20"/>
        <w:szCs w:val="20"/>
      </w:rPr>
      <w:t>FMAnot_</w:t>
    </w:r>
    <w:r>
      <w:rPr>
        <w:sz w:val="20"/>
        <w:szCs w:val="20"/>
      </w:rPr>
      <w:t>1003</w:t>
    </w:r>
    <w:r w:rsidRPr="00D607C0">
      <w:rPr>
        <w:sz w:val="20"/>
        <w:szCs w:val="20"/>
      </w:rPr>
      <w:t>1</w:t>
    </w:r>
    <w:r>
      <w:rPr>
        <w:sz w:val="20"/>
        <w:szCs w:val="20"/>
      </w:rPr>
      <w:t>7</w:t>
    </w:r>
    <w:r w:rsidRPr="00D607C0">
      <w:rPr>
        <w:sz w:val="20"/>
        <w:szCs w:val="20"/>
      </w:rPr>
      <w:t>_KRL</w:t>
    </w:r>
  </w:p>
  <w:p w:rsidR="007323F5" w:rsidRDefault="007323F5">
    <w:pPr>
      <w:pStyle w:val="Footer"/>
    </w:pPr>
  </w:p>
  <w:p w:rsidR="007323F5" w:rsidRPr="009B42E5" w:rsidRDefault="007323F5" w:rsidP="001B71C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B5" w:rsidRDefault="003108B5">
      <w:r>
        <w:separator/>
      </w:r>
    </w:p>
  </w:footnote>
  <w:footnote w:type="continuationSeparator" w:id="0">
    <w:p w:rsidR="003108B5" w:rsidRDefault="003108B5">
      <w:r>
        <w:continuationSeparator/>
      </w:r>
    </w:p>
  </w:footnote>
  <w:footnote w:type="continuationNotice" w:id="1">
    <w:p w:rsidR="003108B5" w:rsidRDefault="003108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7AD">
      <w:rPr>
        <w:rStyle w:val="PageNumber"/>
        <w:noProof/>
      </w:rPr>
      <w:t>9</w:t>
    </w:r>
    <w:r>
      <w:rPr>
        <w:rStyle w:val="PageNumber"/>
      </w:rPr>
      <w:fldChar w:fldCharType="end"/>
    </w:r>
  </w:p>
  <w:p w:rsidR="007323F5" w:rsidRDefault="00732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D44">
      <w:rPr>
        <w:rStyle w:val="PageNumber"/>
        <w:noProof/>
      </w:rPr>
      <w:t>2</w:t>
    </w:r>
    <w:r>
      <w:rPr>
        <w:rStyle w:val="PageNumber"/>
      </w:rPr>
      <w:fldChar w:fldCharType="end"/>
    </w:r>
  </w:p>
  <w:p w:rsidR="007323F5" w:rsidRDefault="00732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4"/>
  </w:num>
  <w:num w:numId="3">
    <w:abstractNumId w:val="7"/>
  </w:num>
  <w:num w:numId="4">
    <w:abstractNumId w:val="4"/>
  </w:num>
  <w:num w:numId="5">
    <w:abstractNumId w:val="1"/>
  </w:num>
  <w:num w:numId="6">
    <w:abstractNumId w:val="20"/>
  </w:num>
  <w:num w:numId="7">
    <w:abstractNumId w:val="25"/>
  </w:num>
  <w:num w:numId="8">
    <w:abstractNumId w:val="16"/>
  </w:num>
  <w:num w:numId="9">
    <w:abstractNumId w:val="5"/>
  </w:num>
  <w:num w:numId="10">
    <w:abstractNumId w:val="17"/>
  </w:num>
  <w:num w:numId="11">
    <w:abstractNumId w:val="18"/>
  </w:num>
  <w:num w:numId="12">
    <w:abstractNumId w:val="22"/>
  </w:num>
  <w:num w:numId="13">
    <w:abstractNumId w:val="23"/>
  </w:num>
  <w:num w:numId="14">
    <w:abstractNumId w:val="27"/>
  </w:num>
  <w:num w:numId="15">
    <w:abstractNumId w:val="6"/>
  </w:num>
  <w:num w:numId="16">
    <w:abstractNumId w:val="28"/>
  </w:num>
  <w:num w:numId="17">
    <w:abstractNumId w:val="0"/>
  </w:num>
  <w:num w:numId="18">
    <w:abstractNumId w:val="8"/>
  </w:num>
  <w:num w:numId="19">
    <w:abstractNumId w:val="2"/>
  </w:num>
  <w:num w:numId="20">
    <w:abstractNumId w:val="26"/>
  </w:num>
  <w:num w:numId="21">
    <w:abstractNumId w:val="15"/>
  </w:num>
  <w:num w:numId="22">
    <w:abstractNumId w:val="13"/>
  </w:num>
  <w:num w:numId="23">
    <w:abstractNumId w:val="14"/>
  </w:num>
  <w:num w:numId="24">
    <w:abstractNumId w:val="21"/>
  </w:num>
  <w:num w:numId="25">
    <w:abstractNumId w:val="3"/>
  </w:num>
  <w:num w:numId="26">
    <w:abstractNumId w:val="9"/>
  </w:num>
  <w:num w:numId="27">
    <w:abstractNumId w:val="19"/>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E6A"/>
    <w:rsid w:val="000048C9"/>
    <w:rsid w:val="00006E86"/>
    <w:rsid w:val="00007996"/>
    <w:rsid w:val="00011D24"/>
    <w:rsid w:val="00013FF4"/>
    <w:rsid w:val="00014D57"/>
    <w:rsid w:val="00017776"/>
    <w:rsid w:val="00020FE1"/>
    <w:rsid w:val="00022E13"/>
    <w:rsid w:val="0002322C"/>
    <w:rsid w:val="00026BF9"/>
    <w:rsid w:val="00027A66"/>
    <w:rsid w:val="00032211"/>
    <w:rsid w:val="00032388"/>
    <w:rsid w:val="00033BAF"/>
    <w:rsid w:val="000354F6"/>
    <w:rsid w:val="00035CE2"/>
    <w:rsid w:val="0003714E"/>
    <w:rsid w:val="00040D3B"/>
    <w:rsid w:val="00054D69"/>
    <w:rsid w:val="0005553B"/>
    <w:rsid w:val="00056AA4"/>
    <w:rsid w:val="00056D81"/>
    <w:rsid w:val="000604D2"/>
    <w:rsid w:val="00061448"/>
    <w:rsid w:val="00062A9A"/>
    <w:rsid w:val="00062E0C"/>
    <w:rsid w:val="00064B73"/>
    <w:rsid w:val="0007394A"/>
    <w:rsid w:val="00076138"/>
    <w:rsid w:val="00080756"/>
    <w:rsid w:val="000824C6"/>
    <w:rsid w:val="0008268A"/>
    <w:rsid w:val="0008390B"/>
    <w:rsid w:val="000845F7"/>
    <w:rsid w:val="00084751"/>
    <w:rsid w:val="00087255"/>
    <w:rsid w:val="0009005E"/>
    <w:rsid w:val="00092A8C"/>
    <w:rsid w:val="000941C5"/>
    <w:rsid w:val="00095D58"/>
    <w:rsid w:val="000A0078"/>
    <w:rsid w:val="000A2092"/>
    <w:rsid w:val="000A325D"/>
    <w:rsid w:val="000A6451"/>
    <w:rsid w:val="000B064E"/>
    <w:rsid w:val="000B1894"/>
    <w:rsid w:val="000B69CF"/>
    <w:rsid w:val="000B790F"/>
    <w:rsid w:val="000C24FA"/>
    <w:rsid w:val="000C4101"/>
    <w:rsid w:val="000C7199"/>
    <w:rsid w:val="000C790C"/>
    <w:rsid w:val="000D3C06"/>
    <w:rsid w:val="000D4847"/>
    <w:rsid w:val="000D5940"/>
    <w:rsid w:val="000E2BC2"/>
    <w:rsid w:val="000E55D0"/>
    <w:rsid w:val="000E671D"/>
    <w:rsid w:val="000F061D"/>
    <w:rsid w:val="000F4794"/>
    <w:rsid w:val="0011193F"/>
    <w:rsid w:val="00114D72"/>
    <w:rsid w:val="00122073"/>
    <w:rsid w:val="0012409D"/>
    <w:rsid w:val="00124F12"/>
    <w:rsid w:val="00136B51"/>
    <w:rsid w:val="00136C22"/>
    <w:rsid w:val="001379C9"/>
    <w:rsid w:val="00140901"/>
    <w:rsid w:val="001416D6"/>
    <w:rsid w:val="00144A1B"/>
    <w:rsid w:val="00144E3A"/>
    <w:rsid w:val="00145B0E"/>
    <w:rsid w:val="0015060C"/>
    <w:rsid w:val="001568D5"/>
    <w:rsid w:val="00157F32"/>
    <w:rsid w:val="0016018A"/>
    <w:rsid w:val="00161814"/>
    <w:rsid w:val="00161F0E"/>
    <w:rsid w:val="00163466"/>
    <w:rsid w:val="00166A1F"/>
    <w:rsid w:val="0016720A"/>
    <w:rsid w:val="00170D44"/>
    <w:rsid w:val="00170E2A"/>
    <w:rsid w:val="001728EC"/>
    <w:rsid w:val="00172EF2"/>
    <w:rsid w:val="0017371B"/>
    <w:rsid w:val="00175482"/>
    <w:rsid w:val="00177394"/>
    <w:rsid w:val="00181E4C"/>
    <w:rsid w:val="00182C18"/>
    <w:rsid w:val="00183CC2"/>
    <w:rsid w:val="00183E35"/>
    <w:rsid w:val="001843F8"/>
    <w:rsid w:val="001900E4"/>
    <w:rsid w:val="00190F88"/>
    <w:rsid w:val="00191865"/>
    <w:rsid w:val="001968B0"/>
    <w:rsid w:val="00196C91"/>
    <w:rsid w:val="00197367"/>
    <w:rsid w:val="001A3BF6"/>
    <w:rsid w:val="001A4066"/>
    <w:rsid w:val="001A4252"/>
    <w:rsid w:val="001A5132"/>
    <w:rsid w:val="001A60A7"/>
    <w:rsid w:val="001A6AE4"/>
    <w:rsid w:val="001B01FD"/>
    <w:rsid w:val="001B18D2"/>
    <w:rsid w:val="001B203C"/>
    <w:rsid w:val="001B315A"/>
    <w:rsid w:val="001B4A71"/>
    <w:rsid w:val="001B71AB"/>
    <w:rsid w:val="001B71CD"/>
    <w:rsid w:val="001C5F71"/>
    <w:rsid w:val="001C6135"/>
    <w:rsid w:val="001C6309"/>
    <w:rsid w:val="001D5B54"/>
    <w:rsid w:val="001E06FA"/>
    <w:rsid w:val="001E0FC7"/>
    <w:rsid w:val="001E1803"/>
    <w:rsid w:val="001E1DBF"/>
    <w:rsid w:val="001E3A84"/>
    <w:rsid w:val="001E4639"/>
    <w:rsid w:val="001E4A7D"/>
    <w:rsid w:val="001E76DD"/>
    <w:rsid w:val="001F0B9B"/>
    <w:rsid w:val="001F28FC"/>
    <w:rsid w:val="001F43A8"/>
    <w:rsid w:val="001F4E7E"/>
    <w:rsid w:val="001F554C"/>
    <w:rsid w:val="001F58C7"/>
    <w:rsid w:val="001F5CD6"/>
    <w:rsid w:val="001F5E6E"/>
    <w:rsid w:val="001F6FF1"/>
    <w:rsid w:val="001F7F52"/>
    <w:rsid w:val="0020435B"/>
    <w:rsid w:val="002079B4"/>
    <w:rsid w:val="00210BD8"/>
    <w:rsid w:val="002113D9"/>
    <w:rsid w:val="0021263D"/>
    <w:rsid w:val="00213D4B"/>
    <w:rsid w:val="00213F0C"/>
    <w:rsid w:val="00214094"/>
    <w:rsid w:val="0021592D"/>
    <w:rsid w:val="00217D8C"/>
    <w:rsid w:val="00220F23"/>
    <w:rsid w:val="00221323"/>
    <w:rsid w:val="00221999"/>
    <w:rsid w:val="00222660"/>
    <w:rsid w:val="00222D76"/>
    <w:rsid w:val="00223EB1"/>
    <w:rsid w:val="00231344"/>
    <w:rsid w:val="0023436E"/>
    <w:rsid w:val="002347C0"/>
    <w:rsid w:val="0023533C"/>
    <w:rsid w:val="002362E4"/>
    <w:rsid w:val="0023658E"/>
    <w:rsid w:val="002368A5"/>
    <w:rsid w:val="00237FA2"/>
    <w:rsid w:val="00241A6C"/>
    <w:rsid w:val="00242092"/>
    <w:rsid w:val="00242805"/>
    <w:rsid w:val="00242D2B"/>
    <w:rsid w:val="002446B7"/>
    <w:rsid w:val="00250220"/>
    <w:rsid w:val="002537CF"/>
    <w:rsid w:val="00255591"/>
    <w:rsid w:val="00262E2B"/>
    <w:rsid w:val="00264301"/>
    <w:rsid w:val="00264B7A"/>
    <w:rsid w:val="00265FC5"/>
    <w:rsid w:val="00270429"/>
    <w:rsid w:val="002720EB"/>
    <w:rsid w:val="002723E9"/>
    <w:rsid w:val="00277929"/>
    <w:rsid w:val="00277AB3"/>
    <w:rsid w:val="00283B82"/>
    <w:rsid w:val="00284454"/>
    <w:rsid w:val="002846E9"/>
    <w:rsid w:val="00284C34"/>
    <w:rsid w:val="0029066C"/>
    <w:rsid w:val="002966AD"/>
    <w:rsid w:val="002A2167"/>
    <w:rsid w:val="002A224C"/>
    <w:rsid w:val="002A2EB4"/>
    <w:rsid w:val="002A42E3"/>
    <w:rsid w:val="002A48E8"/>
    <w:rsid w:val="002A75B1"/>
    <w:rsid w:val="002B200B"/>
    <w:rsid w:val="002B21F7"/>
    <w:rsid w:val="002B334B"/>
    <w:rsid w:val="002B50DB"/>
    <w:rsid w:val="002B6FAB"/>
    <w:rsid w:val="002B7C00"/>
    <w:rsid w:val="002C12AB"/>
    <w:rsid w:val="002C34C6"/>
    <w:rsid w:val="002C382E"/>
    <w:rsid w:val="002C7CAC"/>
    <w:rsid w:val="002D0431"/>
    <w:rsid w:val="002D3306"/>
    <w:rsid w:val="002D3C1B"/>
    <w:rsid w:val="002D48AA"/>
    <w:rsid w:val="002D677D"/>
    <w:rsid w:val="002D7BAA"/>
    <w:rsid w:val="002D7F54"/>
    <w:rsid w:val="002E0B38"/>
    <w:rsid w:val="002E1D89"/>
    <w:rsid w:val="002E3E05"/>
    <w:rsid w:val="002E3FF4"/>
    <w:rsid w:val="002E497A"/>
    <w:rsid w:val="002F4671"/>
    <w:rsid w:val="002F78C8"/>
    <w:rsid w:val="00300CEA"/>
    <w:rsid w:val="0030165D"/>
    <w:rsid w:val="00301CF3"/>
    <w:rsid w:val="00305BBD"/>
    <w:rsid w:val="0030705C"/>
    <w:rsid w:val="00307D9B"/>
    <w:rsid w:val="003108B5"/>
    <w:rsid w:val="0031105D"/>
    <w:rsid w:val="0032715C"/>
    <w:rsid w:val="003272E6"/>
    <w:rsid w:val="003333D4"/>
    <w:rsid w:val="00337CA5"/>
    <w:rsid w:val="00340B5E"/>
    <w:rsid w:val="003431A9"/>
    <w:rsid w:val="00344B65"/>
    <w:rsid w:val="00345B71"/>
    <w:rsid w:val="0034622F"/>
    <w:rsid w:val="00351F03"/>
    <w:rsid w:val="0035341E"/>
    <w:rsid w:val="00355D97"/>
    <w:rsid w:val="00360CCC"/>
    <w:rsid w:val="00362478"/>
    <w:rsid w:val="003624CB"/>
    <w:rsid w:val="00362BAF"/>
    <w:rsid w:val="003646F7"/>
    <w:rsid w:val="0036582C"/>
    <w:rsid w:val="003661FA"/>
    <w:rsid w:val="00370649"/>
    <w:rsid w:val="0037272E"/>
    <w:rsid w:val="003732F3"/>
    <w:rsid w:val="00373C07"/>
    <w:rsid w:val="00374B88"/>
    <w:rsid w:val="0037541E"/>
    <w:rsid w:val="00375B25"/>
    <w:rsid w:val="00380998"/>
    <w:rsid w:val="00380B4C"/>
    <w:rsid w:val="00385B77"/>
    <w:rsid w:val="00385D1E"/>
    <w:rsid w:val="00387E07"/>
    <w:rsid w:val="003931C0"/>
    <w:rsid w:val="00396542"/>
    <w:rsid w:val="0039685B"/>
    <w:rsid w:val="00397955"/>
    <w:rsid w:val="003A16BE"/>
    <w:rsid w:val="003A2487"/>
    <w:rsid w:val="003A307D"/>
    <w:rsid w:val="003A31A6"/>
    <w:rsid w:val="003A5A2C"/>
    <w:rsid w:val="003A7F0C"/>
    <w:rsid w:val="003A7F79"/>
    <w:rsid w:val="003B33FD"/>
    <w:rsid w:val="003B6404"/>
    <w:rsid w:val="003C098F"/>
    <w:rsid w:val="003C2392"/>
    <w:rsid w:val="003C449B"/>
    <w:rsid w:val="003C52A4"/>
    <w:rsid w:val="003C53C2"/>
    <w:rsid w:val="003C7390"/>
    <w:rsid w:val="003C7B68"/>
    <w:rsid w:val="003D21FF"/>
    <w:rsid w:val="003D2588"/>
    <w:rsid w:val="003D2A9C"/>
    <w:rsid w:val="003D3B30"/>
    <w:rsid w:val="003D7443"/>
    <w:rsid w:val="003E2179"/>
    <w:rsid w:val="003E26FE"/>
    <w:rsid w:val="003E32BC"/>
    <w:rsid w:val="003F0112"/>
    <w:rsid w:val="003F071A"/>
    <w:rsid w:val="003F127A"/>
    <w:rsid w:val="003F160B"/>
    <w:rsid w:val="003F17F9"/>
    <w:rsid w:val="003F1B3E"/>
    <w:rsid w:val="003F75DC"/>
    <w:rsid w:val="00400032"/>
    <w:rsid w:val="00400B5B"/>
    <w:rsid w:val="00405A00"/>
    <w:rsid w:val="00405B8C"/>
    <w:rsid w:val="00406B5E"/>
    <w:rsid w:val="00406E17"/>
    <w:rsid w:val="00417F48"/>
    <w:rsid w:val="0042063A"/>
    <w:rsid w:val="00420870"/>
    <w:rsid w:val="00422E6D"/>
    <w:rsid w:val="00423E2C"/>
    <w:rsid w:val="00423F05"/>
    <w:rsid w:val="00427968"/>
    <w:rsid w:val="00430254"/>
    <w:rsid w:val="004338B6"/>
    <w:rsid w:val="004356CC"/>
    <w:rsid w:val="0043791B"/>
    <w:rsid w:val="00441483"/>
    <w:rsid w:val="00441BCB"/>
    <w:rsid w:val="004453C8"/>
    <w:rsid w:val="00445988"/>
    <w:rsid w:val="00450432"/>
    <w:rsid w:val="0045176A"/>
    <w:rsid w:val="004550C6"/>
    <w:rsid w:val="004552BD"/>
    <w:rsid w:val="00455928"/>
    <w:rsid w:val="00456332"/>
    <w:rsid w:val="00457C0D"/>
    <w:rsid w:val="00460DAC"/>
    <w:rsid w:val="00461826"/>
    <w:rsid w:val="00462A51"/>
    <w:rsid w:val="0046402C"/>
    <w:rsid w:val="0046472D"/>
    <w:rsid w:val="0047074D"/>
    <w:rsid w:val="004719BE"/>
    <w:rsid w:val="004744C6"/>
    <w:rsid w:val="00474B30"/>
    <w:rsid w:val="00474BF5"/>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BFD"/>
    <w:rsid w:val="004B56DD"/>
    <w:rsid w:val="004C020F"/>
    <w:rsid w:val="004C1AFD"/>
    <w:rsid w:val="004C1B47"/>
    <w:rsid w:val="004C558B"/>
    <w:rsid w:val="004C5778"/>
    <w:rsid w:val="004C64BC"/>
    <w:rsid w:val="004D5832"/>
    <w:rsid w:val="004E5371"/>
    <w:rsid w:val="004E7AE9"/>
    <w:rsid w:val="004F1331"/>
    <w:rsid w:val="004F1F88"/>
    <w:rsid w:val="004F239E"/>
    <w:rsid w:val="004F5F1B"/>
    <w:rsid w:val="004F5F21"/>
    <w:rsid w:val="004F6EEC"/>
    <w:rsid w:val="00501A36"/>
    <w:rsid w:val="00502374"/>
    <w:rsid w:val="005040B2"/>
    <w:rsid w:val="005060A1"/>
    <w:rsid w:val="005072AB"/>
    <w:rsid w:val="00507312"/>
    <w:rsid w:val="00516072"/>
    <w:rsid w:val="00521B0B"/>
    <w:rsid w:val="005233C2"/>
    <w:rsid w:val="00526FE9"/>
    <w:rsid w:val="0053025D"/>
    <w:rsid w:val="00532DDB"/>
    <w:rsid w:val="005332EC"/>
    <w:rsid w:val="0053367B"/>
    <w:rsid w:val="00534418"/>
    <w:rsid w:val="005344CA"/>
    <w:rsid w:val="005353AB"/>
    <w:rsid w:val="00535D86"/>
    <w:rsid w:val="00541A3B"/>
    <w:rsid w:val="00541FEA"/>
    <w:rsid w:val="00552444"/>
    <w:rsid w:val="00554AC2"/>
    <w:rsid w:val="00555308"/>
    <w:rsid w:val="005560BC"/>
    <w:rsid w:val="005573BE"/>
    <w:rsid w:val="0056263A"/>
    <w:rsid w:val="00572700"/>
    <w:rsid w:val="00580437"/>
    <w:rsid w:val="00580468"/>
    <w:rsid w:val="00581184"/>
    <w:rsid w:val="0058603B"/>
    <w:rsid w:val="005863AD"/>
    <w:rsid w:val="00587568"/>
    <w:rsid w:val="00587D99"/>
    <w:rsid w:val="0059232A"/>
    <w:rsid w:val="0059431B"/>
    <w:rsid w:val="00595CB7"/>
    <w:rsid w:val="00597C7E"/>
    <w:rsid w:val="005A0AC4"/>
    <w:rsid w:val="005A39CC"/>
    <w:rsid w:val="005B2183"/>
    <w:rsid w:val="005B401B"/>
    <w:rsid w:val="005B4730"/>
    <w:rsid w:val="005C02E9"/>
    <w:rsid w:val="005C0C52"/>
    <w:rsid w:val="005C1ECE"/>
    <w:rsid w:val="005C4DF3"/>
    <w:rsid w:val="005C57DF"/>
    <w:rsid w:val="005C7AB5"/>
    <w:rsid w:val="005D4ECE"/>
    <w:rsid w:val="005D624F"/>
    <w:rsid w:val="005D7E17"/>
    <w:rsid w:val="005E05D7"/>
    <w:rsid w:val="005E1387"/>
    <w:rsid w:val="005E41E7"/>
    <w:rsid w:val="005E450F"/>
    <w:rsid w:val="005E596F"/>
    <w:rsid w:val="005F1A9F"/>
    <w:rsid w:val="005F65CB"/>
    <w:rsid w:val="005F79EF"/>
    <w:rsid w:val="005F7C1D"/>
    <w:rsid w:val="0060085D"/>
    <w:rsid w:val="0060416D"/>
    <w:rsid w:val="0060554D"/>
    <w:rsid w:val="006077F5"/>
    <w:rsid w:val="00614B8B"/>
    <w:rsid w:val="00614BA8"/>
    <w:rsid w:val="00617BC7"/>
    <w:rsid w:val="0062298A"/>
    <w:rsid w:val="00626514"/>
    <w:rsid w:val="00626589"/>
    <w:rsid w:val="006334AB"/>
    <w:rsid w:val="006339A0"/>
    <w:rsid w:val="006413A8"/>
    <w:rsid w:val="00642E56"/>
    <w:rsid w:val="00645B07"/>
    <w:rsid w:val="00651E00"/>
    <w:rsid w:val="006540EA"/>
    <w:rsid w:val="00654B68"/>
    <w:rsid w:val="006557D6"/>
    <w:rsid w:val="006620AA"/>
    <w:rsid w:val="0066511F"/>
    <w:rsid w:val="00666465"/>
    <w:rsid w:val="00670692"/>
    <w:rsid w:val="006732E7"/>
    <w:rsid w:val="00674572"/>
    <w:rsid w:val="0067764C"/>
    <w:rsid w:val="00682282"/>
    <w:rsid w:val="0068642B"/>
    <w:rsid w:val="00687763"/>
    <w:rsid w:val="0069131D"/>
    <w:rsid w:val="0069152A"/>
    <w:rsid w:val="006928E7"/>
    <w:rsid w:val="00692B0D"/>
    <w:rsid w:val="00693E0E"/>
    <w:rsid w:val="00696A69"/>
    <w:rsid w:val="006A1AE3"/>
    <w:rsid w:val="006A1C32"/>
    <w:rsid w:val="006A50FB"/>
    <w:rsid w:val="006A62FF"/>
    <w:rsid w:val="006B0105"/>
    <w:rsid w:val="006B1E0B"/>
    <w:rsid w:val="006B20CC"/>
    <w:rsid w:val="006C1EFF"/>
    <w:rsid w:val="006C30E1"/>
    <w:rsid w:val="006C4607"/>
    <w:rsid w:val="006C4A8D"/>
    <w:rsid w:val="006D48F1"/>
    <w:rsid w:val="006D60D2"/>
    <w:rsid w:val="006E1407"/>
    <w:rsid w:val="006E7222"/>
    <w:rsid w:val="006F0091"/>
    <w:rsid w:val="006F36D6"/>
    <w:rsid w:val="006F45BE"/>
    <w:rsid w:val="006F6551"/>
    <w:rsid w:val="006F6579"/>
    <w:rsid w:val="006F667C"/>
    <w:rsid w:val="007004FC"/>
    <w:rsid w:val="00706670"/>
    <w:rsid w:val="007067D6"/>
    <w:rsid w:val="007105C4"/>
    <w:rsid w:val="007120F6"/>
    <w:rsid w:val="00713D5A"/>
    <w:rsid w:val="00715CFA"/>
    <w:rsid w:val="00716A76"/>
    <w:rsid w:val="00722767"/>
    <w:rsid w:val="0072417C"/>
    <w:rsid w:val="007244D0"/>
    <w:rsid w:val="0072599A"/>
    <w:rsid w:val="00726DE2"/>
    <w:rsid w:val="00731318"/>
    <w:rsid w:val="007323F5"/>
    <w:rsid w:val="00734211"/>
    <w:rsid w:val="00734450"/>
    <w:rsid w:val="0073516A"/>
    <w:rsid w:val="00737664"/>
    <w:rsid w:val="00745C48"/>
    <w:rsid w:val="00745F67"/>
    <w:rsid w:val="00746084"/>
    <w:rsid w:val="00746335"/>
    <w:rsid w:val="0075039E"/>
    <w:rsid w:val="00750FAA"/>
    <w:rsid w:val="00752D9D"/>
    <w:rsid w:val="007543A3"/>
    <w:rsid w:val="00754784"/>
    <w:rsid w:val="00757C6E"/>
    <w:rsid w:val="00762529"/>
    <w:rsid w:val="00762BDA"/>
    <w:rsid w:val="00763484"/>
    <w:rsid w:val="0076378A"/>
    <w:rsid w:val="00766503"/>
    <w:rsid w:val="0077044D"/>
    <w:rsid w:val="00773A44"/>
    <w:rsid w:val="007805FD"/>
    <w:rsid w:val="00781E6E"/>
    <w:rsid w:val="00782956"/>
    <w:rsid w:val="00782AE8"/>
    <w:rsid w:val="00784422"/>
    <w:rsid w:val="00787A61"/>
    <w:rsid w:val="00790B92"/>
    <w:rsid w:val="00792C50"/>
    <w:rsid w:val="00797F7B"/>
    <w:rsid w:val="007A096E"/>
    <w:rsid w:val="007A2A02"/>
    <w:rsid w:val="007A530E"/>
    <w:rsid w:val="007A6D22"/>
    <w:rsid w:val="007A741B"/>
    <w:rsid w:val="007B18ED"/>
    <w:rsid w:val="007B2D43"/>
    <w:rsid w:val="007B3B54"/>
    <w:rsid w:val="007B3FA0"/>
    <w:rsid w:val="007B5CB5"/>
    <w:rsid w:val="007B6EE1"/>
    <w:rsid w:val="007C0F2C"/>
    <w:rsid w:val="007C2BCC"/>
    <w:rsid w:val="007C4EF0"/>
    <w:rsid w:val="007C6FD0"/>
    <w:rsid w:val="007D08E5"/>
    <w:rsid w:val="007D099D"/>
    <w:rsid w:val="007D09DD"/>
    <w:rsid w:val="007D2C8E"/>
    <w:rsid w:val="007D3806"/>
    <w:rsid w:val="007D426A"/>
    <w:rsid w:val="007E2664"/>
    <w:rsid w:val="007E3ABF"/>
    <w:rsid w:val="007E5509"/>
    <w:rsid w:val="007E577C"/>
    <w:rsid w:val="007E5BFA"/>
    <w:rsid w:val="007E6689"/>
    <w:rsid w:val="007E731C"/>
    <w:rsid w:val="007F0A03"/>
    <w:rsid w:val="007F6093"/>
    <w:rsid w:val="007F67E0"/>
    <w:rsid w:val="007F70B8"/>
    <w:rsid w:val="00800BD2"/>
    <w:rsid w:val="00810040"/>
    <w:rsid w:val="0081105D"/>
    <w:rsid w:val="00811EA6"/>
    <w:rsid w:val="0081583D"/>
    <w:rsid w:val="0082023A"/>
    <w:rsid w:val="00821246"/>
    <w:rsid w:val="00821A7A"/>
    <w:rsid w:val="008252BB"/>
    <w:rsid w:val="008253F8"/>
    <w:rsid w:val="00827D03"/>
    <w:rsid w:val="00830130"/>
    <w:rsid w:val="008311D0"/>
    <w:rsid w:val="008325E4"/>
    <w:rsid w:val="00832A2B"/>
    <w:rsid w:val="008332BA"/>
    <w:rsid w:val="008334B5"/>
    <w:rsid w:val="00840495"/>
    <w:rsid w:val="00841B2A"/>
    <w:rsid w:val="00845811"/>
    <w:rsid w:val="00846994"/>
    <w:rsid w:val="00850451"/>
    <w:rsid w:val="00852042"/>
    <w:rsid w:val="008522EC"/>
    <w:rsid w:val="00852641"/>
    <w:rsid w:val="008534C9"/>
    <w:rsid w:val="00853A64"/>
    <w:rsid w:val="008555FD"/>
    <w:rsid w:val="0085599D"/>
    <w:rsid w:val="008578AF"/>
    <w:rsid w:val="008608E2"/>
    <w:rsid w:val="0086381B"/>
    <w:rsid w:val="008677AD"/>
    <w:rsid w:val="00874741"/>
    <w:rsid w:val="00874FD4"/>
    <w:rsid w:val="0087510C"/>
    <w:rsid w:val="00882AB0"/>
    <w:rsid w:val="00882F6C"/>
    <w:rsid w:val="008832EF"/>
    <w:rsid w:val="00887A21"/>
    <w:rsid w:val="00887A61"/>
    <w:rsid w:val="0089401C"/>
    <w:rsid w:val="0089738E"/>
    <w:rsid w:val="008A28E7"/>
    <w:rsid w:val="008A3D95"/>
    <w:rsid w:val="008A41DF"/>
    <w:rsid w:val="008A568D"/>
    <w:rsid w:val="008A69E2"/>
    <w:rsid w:val="008A6A58"/>
    <w:rsid w:val="008B1649"/>
    <w:rsid w:val="008B2E81"/>
    <w:rsid w:val="008B51C6"/>
    <w:rsid w:val="008B5FDB"/>
    <w:rsid w:val="008B6C24"/>
    <w:rsid w:val="008C0194"/>
    <w:rsid w:val="008C50F4"/>
    <w:rsid w:val="008C54AF"/>
    <w:rsid w:val="008C5649"/>
    <w:rsid w:val="008C6112"/>
    <w:rsid w:val="008D25B0"/>
    <w:rsid w:val="008D519B"/>
    <w:rsid w:val="008D7AFC"/>
    <w:rsid w:val="008E1BEB"/>
    <w:rsid w:val="008E44A2"/>
    <w:rsid w:val="008E54D9"/>
    <w:rsid w:val="008E5A64"/>
    <w:rsid w:val="008E697D"/>
    <w:rsid w:val="008E7E03"/>
    <w:rsid w:val="008F1590"/>
    <w:rsid w:val="008F5ED2"/>
    <w:rsid w:val="008F7E15"/>
    <w:rsid w:val="00903263"/>
    <w:rsid w:val="00903468"/>
    <w:rsid w:val="009036E5"/>
    <w:rsid w:val="00904A49"/>
    <w:rsid w:val="00906A21"/>
    <w:rsid w:val="009079C3"/>
    <w:rsid w:val="00910462"/>
    <w:rsid w:val="00910FAA"/>
    <w:rsid w:val="009142F2"/>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47F"/>
    <w:rsid w:val="009335C1"/>
    <w:rsid w:val="00935DF1"/>
    <w:rsid w:val="0093647D"/>
    <w:rsid w:val="0094387E"/>
    <w:rsid w:val="00944770"/>
    <w:rsid w:val="00946801"/>
    <w:rsid w:val="009476A3"/>
    <w:rsid w:val="0095334F"/>
    <w:rsid w:val="00955811"/>
    <w:rsid w:val="00962DC3"/>
    <w:rsid w:val="00965897"/>
    <w:rsid w:val="00966A6D"/>
    <w:rsid w:val="0096765C"/>
    <w:rsid w:val="009727E4"/>
    <w:rsid w:val="00975447"/>
    <w:rsid w:val="00981C38"/>
    <w:rsid w:val="0099022F"/>
    <w:rsid w:val="00990D6A"/>
    <w:rsid w:val="009933D7"/>
    <w:rsid w:val="009934C5"/>
    <w:rsid w:val="00994C0F"/>
    <w:rsid w:val="00995CEE"/>
    <w:rsid w:val="00997C34"/>
    <w:rsid w:val="009A3CA4"/>
    <w:rsid w:val="009B22D7"/>
    <w:rsid w:val="009B2AA7"/>
    <w:rsid w:val="009B3E34"/>
    <w:rsid w:val="009B42E5"/>
    <w:rsid w:val="009B72ED"/>
    <w:rsid w:val="009C5435"/>
    <w:rsid w:val="009C6DEB"/>
    <w:rsid w:val="009C7761"/>
    <w:rsid w:val="009D0894"/>
    <w:rsid w:val="009D1944"/>
    <w:rsid w:val="009D3309"/>
    <w:rsid w:val="009D3888"/>
    <w:rsid w:val="009D4BA0"/>
    <w:rsid w:val="009D59DA"/>
    <w:rsid w:val="009D6504"/>
    <w:rsid w:val="009E12D7"/>
    <w:rsid w:val="009E58EA"/>
    <w:rsid w:val="009E661A"/>
    <w:rsid w:val="009E775E"/>
    <w:rsid w:val="009F78BC"/>
    <w:rsid w:val="00A00418"/>
    <w:rsid w:val="00A0251E"/>
    <w:rsid w:val="00A02E68"/>
    <w:rsid w:val="00A047AC"/>
    <w:rsid w:val="00A06781"/>
    <w:rsid w:val="00A074C3"/>
    <w:rsid w:val="00A100D9"/>
    <w:rsid w:val="00A12D5A"/>
    <w:rsid w:val="00A12E52"/>
    <w:rsid w:val="00A1397A"/>
    <w:rsid w:val="00A1509C"/>
    <w:rsid w:val="00A15277"/>
    <w:rsid w:val="00A16200"/>
    <w:rsid w:val="00A277E3"/>
    <w:rsid w:val="00A30C68"/>
    <w:rsid w:val="00A34260"/>
    <w:rsid w:val="00A37906"/>
    <w:rsid w:val="00A42E83"/>
    <w:rsid w:val="00A43D18"/>
    <w:rsid w:val="00A43DE9"/>
    <w:rsid w:val="00A50CE2"/>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50C5"/>
    <w:rsid w:val="00AA14F9"/>
    <w:rsid w:val="00AA1D25"/>
    <w:rsid w:val="00AA38A8"/>
    <w:rsid w:val="00AA51B3"/>
    <w:rsid w:val="00AA75BD"/>
    <w:rsid w:val="00AB2B1A"/>
    <w:rsid w:val="00AB397F"/>
    <w:rsid w:val="00AB42ED"/>
    <w:rsid w:val="00AB5705"/>
    <w:rsid w:val="00AB5832"/>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F35E4"/>
    <w:rsid w:val="00AF3D7F"/>
    <w:rsid w:val="00AF5CDE"/>
    <w:rsid w:val="00AF6716"/>
    <w:rsid w:val="00B1004D"/>
    <w:rsid w:val="00B11A57"/>
    <w:rsid w:val="00B12997"/>
    <w:rsid w:val="00B12C38"/>
    <w:rsid w:val="00B16121"/>
    <w:rsid w:val="00B211C3"/>
    <w:rsid w:val="00B23B35"/>
    <w:rsid w:val="00B25597"/>
    <w:rsid w:val="00B267B9"/>
    <w:rsid w:val="00B31738"/>
    <w:rsid w:val="00B33E09"/>
    <w:rsid w:val="00B35D1B"/>
    <w:rsid w:val="00B36380"/>
    <w:rsid w:val="00B40361"/>
    <w:rsid w:val="00B4661D"/>
    <w:rsid w:val="00B47569"/>
    <w:rsid w:val="00B47A2B"/>
    <w:rsid w:val="00B47BCA"/>
    <w:rsid w:val="00B47DE1"/>
    <w:rsid w:val="00B50708"/>
    <w:rsid w:val="00B50C68"/>
    <w:rsid w:val="00B51293"/>
    <w:rsid w:val="00B52B1E"/>
    <w:rsid w:val="00B544A7"/>
    <w:rsid w:val="00B55481"/>
    <w:rsid w:val="00B56C32"/>
    <w:rsid w:val="00B57ACF"/>
    <w:rsid w:val="00B62436"/>
    <w:rsid w:val="00B64BB1"/>
    <w:rsid w:val="00B65318"/>
    <w:rsid w:val="00B66B5F"/>
    <w:rsid w:val="00B67189"/>
    <w:rsid w:val="00B70DAE"/>
    <w:rsid w:val="00B7258F"/>
    <w:rsid w:val="00B73166"/>
    <w:rsid w:val="00B73BE1"/>
    <w:rsid w:val="00B7455C"/>
    <w:rsid w:val="00B77DE2"/>
    <w:rsid w:val="00B80E9F"/>
    <w:rsid w:val="00B8426C"/>
    <w:rsid w:val="00B87CC7"/>
    <w:rsid w:val="00B91B8D"/>
    <w:rsid w:val="00B94E90"/>
    <w:rsid w:val="00B95C35"/>
    <w:rsid w:val="00B95D06"/>
    <w:rsid w:val="00BA5BC1"/>
    <w:rsid w:val="00BA7CAA"/>
    <w:rsid w:val="00BB0A82"/>
    <w:rsid w:val="00BB14DB"/>
    <w:rsid w:val="00BB2E13"/>
    <w:rsid w:val="00BB6022"/>
    <w:rsid w:val="00BB766D"/>
    <w:rsid w:val="00BB7C94"/>
    <w:rsid w:val="00BC0A9D"/>
    <w:rsid w:val="00BC1E72"/>
    <w:rsid w:val="00BC369D"/>
    <w:rsid w:val="00BD129B"/>
    <w:rsid w:val="00BD1D2B"/>
    <w:rsid w:val="00BE2E2C"/>
    <w:rsid w:val="00BE32D0"/>
    <w:rsid w:val="00BE4981"/>
    <w:rsid w:val="00BE6A0D"/>
    <w:rsid w:val="00BE7190"/>
    <w:rsid w:val="00BF40ED"/>
    <w:rsid w:val="00BF5BC2"/>
    <w:rsid w:val="00BF6160"/>
    <w:rsid w:val="00BF7303"/>
    <w:rsid w:val="00C00322"/>
    <w:rsid w:val="00C0735D"/>
    <w:rsid w:val="00C1133D"/>
    <w:rsid w:val="00C116A8"/>
    <w:rsid w:val="00C13F6C"/>
    <w:rsid w:val="00C17F45"/>
    <w:rsid w:val="00C20646"/>
    <w:rsid w:val="00C21732"/>
    <w:rsid w:val="00C2317A"/>
    <w:rsid w:val="00C24147"/>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6040E"/>
    <w:rsid w:val="00C656D5"/>
    <w:rsid w:val="00C65A97"/>
    <w:rsid w:val="00C67103"/>
    <w:rsid w:val="00C70386"/>
    <w:rsid w:val="00C71BB9"/>
    <w:rsid w:val="00C754CC"/>
    <w:rsid w:val="00C83765"/>
    <w:rsid w:val="00C842AE"/>
    <w:rsid w:val="00C85AAA"/>
    <w:rsid w:val="00C903F1"/>
    <w:rsid w:val="00C929AF"/>
    <w:rsid w:val="00C92A52"/>
    <w:rsid w:val="00C933B4"/>
    <w:rsid w:val="00C94C28"/>
    <w:rsid w:val="00C96C04"/>
    <w:rsid w:val="00CA31FC"/>
    <w:rsid w:val="00CA6C46"/>
    <w:rsid w:val="00CB0247"/>
    <w:rsid w:val="00CB075A"/>
    <w:rsid w:val="00CB2C1B"/>
    <w:rsid w:val="00CB3440"/>
    <w:rsid w:val="00CB4BF9"/>
    <w:rsid w:val="00CB74B5"/>
    <w:rsid w:val="00CC0350"/>
    <w:rsid w:val="00CC1692"/>
    <w:rsid w:val="00CC257A"/>
    <w:rsid w:val="00CC3152"/>
    <w:rsid w:val="00CC6449"/>
    <w:rsid w:val="00CC6941"/>
    <w:rsid w:val="00CD138B"/>
    <w:rsid w:val="00CD2759"/>
    <w:rsid w:val="00CD3E31"/>
    <w:rsid w:val="00CD46D0"/>
    <w:rsid w:val="00CD6AF7"/>
    <w:rsid w:val="00CD74A3"/>
    <w:rsid w:val="00CE04F1"/>
    <w:rsid w:val="00CE0527"/>
    <w:rsid w:val="00CE11E8"/>
    <w:rsid w:val="00CE5772"/>
    <w:rsid w:val="00CE5B23"/>
    <w:rsid w:val="00CE72B0"/>
    <w:rsid w:val="00CE76F7"/>
    <w:rsid w:val="00CE7A04"/>
    <w:rsid w:val="00CF14B1"/>
    <w:rsid w:val="00CF1C2F"/>
    <w:rsid w:val="00CF1E1A"/>
    <w:rsid w:val="00CF27CC"/>
    <w:rsid w:val="00CF70AD"/>
    <w:rsid w:val="00CF7729"/>
    <w:rsid w:val="00CF77A8"/>
    <w:rsid w:val="00D00059"/>
    <w:rsid w:val="00D107FA"/>
    <w:rsid w:val="00D113EA"/>
    <w:rsid w:val="00D12073"/>
    <w:rsid w:val="00D12275"/>
    <w:rsid w:val="00D12766"/>
    <w:rsid w:val="00D129B5"/>
    <w:rsid w:val="00D20FF4"/>
    <w:rsid w:val="00D2421A"/>
    <w:rsid w:val="00D24D2C"/>
    <w:rsid w:val="00D30DE0"/>
    <w:rsid w:val="00D35881"/>
    <w:rsid w:val="00D401F8"/>
    <w:rsid w:val="00D4043C"/>
    <w:rsid w:val="00D41329"/>
    <w:rsid w:val="00D52E62"/>
    <w:rsid w:val="00D543DB"/>
    <w:rsid w:val="00D55560"/>
    <w:rsid w:val="00D5764C"/>
    <w:rsid w:val="00D607C0"/>
    <w:rsid w:val="00D66D08"/>
    <w:rsid w:val="00D713BD"/>
    <w:rsid w:val="00D73336"/>
    <w:rsid w:val="00D73EB0"/>
    <w:rsid w:val="00D76EF3"/>
    <w:rsid w:val="00D80273"/>
    <w:rsid w:val="00D81982"/>
    <w:rsid w:val="00D8574C"/>
    <w:rsid w:val="00D866B5"/>
    <w:rsid w:val="00D87512"/>
    <w:rsid w:val="00D92C68"/>
    <w:rsid w:val="00D9673E"/>
    <w:rsid w:val="00D97D8A"/>
    <w:rsid w:val="00DA013A"/>
    <w:rsid w:val="00DA03FB"/>
    <w:rsid w:val="00DA0B1E"/>
    <w:rsid w:val="00DA40A9"/>
    <w:rsid w:val="00DA55E3"/>
    <w:rsid w:val="00DA6317"/>
    <w:rsid w:val="00DA7DA5"/>
    <w:rsid w:val="00DB073B"/>
    <w:rsid w:val="00DB172E"/>
    <w:rsid w:val="00DB2A01"/>
    <w:rsid w:val="00DB383F"/>
    <w:rsid w:val="00DB5119"/>
    <w:rsid w:val="00DB7080"/>
    <w:rsid w:val="00DB78F0"/>
    <w:rsid w:val="00DC05EB"/>
    <w:rsid w:val="00DC0AD0"/>
    <w:rsid w:val="00DC1D8F"/>
    <w:rsid w:val="00DC2E43"/>
    <w:rsid w:val="00DC39C0"/>
    <w:rsid w:val="00DC49E7"/>
    <w:rsid w:val="00DC5289"/>
    <w:rsid w:val="00DC5E12"/>
    <w:rsid w:val="00DD095C"/>
    <w:rsid w:val="00DD1020"/>
    <w:rsid w:val="00DD1330"/>
    <w:rsid w:val="00DE0B83"/>
    <w:rsid w:val="00DE0DC5"/>
    <w:rsid w:val="00DE1A81"/>
    <w:rsid w:val="00DE1C13"/>
    <w:rsid w:val="00DE4E10"/>
    <w:rsid w:val="00DE5519"/>
    <w:rsid w:val="00DF14AA"/>
    <w:rsid w:val="00DF2997"/>
    <w:rsid w:val="00E00B99"/>
    <w:rsid w:val="00E02ABF"/>
    <w:rsid w:val="00E03666"/>
    <w:rsid w:val="00E043CC"/>
    <w:rsid w:val="00E057D5"/>
    <w:rsid w:val="00E114F5"/>
    <w:rsid w:val="00E135B1"/>
    <w:rsid w:val="00E13817"/>
    <w:rsid w:val="00E1487E"/>
    <w:rsid w:val="00E14995"/>
    <w:rsid w:val="00E14C58"/>
    <w:rsid w:val="00E155B3"/>
    <w:rsid w:val="00E16C32"/>
    <w:rsid w:val="00E16C5A"/>
    <w:rsid w:val="00E179CD"/>
    <w:rsid w:val="00E17EC7"/>
    <w:rsid w:val="00E225AB"/>
    <w:rsid w:val="00E23E8D"/>
    <w:rsid w:val="00E243EB"/>
    <w:rsid w:val="00E307D6"/>
    <w:rsid w:val="00E34404"/>
    <w:rsid w:val="00E3583B"/>
    <w:rsid w:val="00E36314"/>
    <w:rsid w:val="00E37F98"/>
    <w:rsid w:val="00E41AA7"/>
    <w:rsid w:val="00E4502A"/>
    <w:rsid w:val="00E46559"/>
    <w:rsid w:val="00E517F2"/>
    <w:rsid w:val="00E51BED"/>
    <w:rsid w:val="00E547C1"/>
    <w:rsid w:val="00E60222"/>
    <w:rsid w:val="00E608A5"/>
    <w:rsid w:val="00E66595"/>
    <w:rsid w:val="00E6670C"/>
    <w:rsid w:val="00E70CA5"/>
    <w:rsid w:val="00E76A1B"/>
    <w:rsid w:val="00E776E8"/>
    <w:rsid w:val="00E81D81"/>
    <w:rsid w:val="00E83A97"/>
    <w:rsid w:val="00E85317"/>
    <w:rsid w:val="00E866EA"/>
    <w:rsid w:val="00E86758"/>
    <w:rsid w:val="00E8679B"/>
    <w:rsid w:val="00E92C1F"/>
    <w:rsid w:val="00E95D4B"/>
    <w:rsid w:val="00EA2CA8"/>
    <w:rsid w:val="00EA5E78"/>
    <w:rsid w:val="00EA78B3"/>
    <w:rsid w:val="00EB199F"/>
    <w:rsid w:val="00EB4050"/>
    <w:rsid w:val="00EB6CC6"/>
    <w:rsid w:val="00EC23F7"/>
    <w:rsid w:val="00EC2484"/>
    <w:rsid w:val="00EC404C"/>
    <w:rsid w:val="00EC4A0E"/>
    <w:rsid w:val="00EC4BD8"/>
    <w:rsid w:val="00EC63EB"/>
    <w:rsid w:val="00ED03E5"/>
    <w:rsid w:val="00ED0B84"/>
    <w:rsid w:val="00ED37ED"/>
    <w:rsid w:val="00ED412F"/>
    <w:rsid w:val="00ED5BF2"/>
    <w:rsid w:val="00ED7ED6"/>
    <w:rsid w:val="00EE337A"/>
    <w:rsid w:val="00EE407C"/>
    <w:rsid w:val="00EE78A6"/>
    <w:rsid w:val="00EF10BF"/>
    <w:rsid w:val="00EF36B2"/>
    <w:rsid w:val="00EF6A9B"/>
    <w:rsid w:val="00F026FB"/>
    <w:rsid w:val="00F031FB"/>
    <w:rsid w:val="00F04D32"/>
    <w:rsid w:val="00F0770A"/>
    <w:rsid w:val="00F11F8D"/>
    <w:rsid w:val="00F17625"/>
    <w:rsid w:val="00F201EC"/>
    <w:rsid w:val="00F208A9"/>
    <w:rsid w:val="00F2176D"/>
    <w:rsid w:val="00F218E5"/>
    <w:rsid w:val="00F23D3A"/>
    <w:rsid w:val="00F26319"/>
    <w:rsid w:val="00F30AE2"/>
    <w:rsid w:val="00F30D28"/>
    <w:rsid w:val="00F31CB5"/>
    <w:rsid w:val="00F33962"/>
    <w:rsid w:val="00F37013"/>
    <w:rsid w:val="00F41D75"/>
    <w:rsid w:val="00F44338"/>
    <w:rsid w:val="00F4705E"/>
    <w:rsid w:val="00F5139D"/>
    <w:rsid w:val="00F6215A"/>
    <w:rsid w:val="00F63DAC"/>
    <w:rsid w:val="00F641D8"/>
    <w:rsid w:val="00F65CAF"/>
    <w:rsid w:val="00F65EB8"/>
    <w:rsid w:val="00F668FB"/>
    <w:rsid w:val="00F66A37"/>
    <w:rsid w:val="00F710DD"/>
    <w:rsid w:val="00F7428D"/>
    <w:rsid w:val="00F7454F"/>
    <w:rsid w:val="00F7668C"/>
    <w:rsid w:val="00F76A55"/>
    <w:rsid w:val="00F77988"/>
    <w:rsid w:val="00F77F48"/>
    <w:rsid w:val="00F802E2"/>
    <w:rsid w:val="00F833D4"/>
    <w:rsid w:val="00F839ED"/>
    <w:rsid w:val="00F83AD2"/>
    <w:rsid w:val="00F83B4D"/>
    <w:rsid w:val="00F87856"/>
    <w:rsid w:val="00F90D90"/>
    <w:rsid w:val="00F921F8"/>
    <w:rsid w:val="00F96D85"/>
    <w:rsid w:val="00FA11EC"/>
    <w:rsid w:val="00FA17E5"/>
    <w:rsid w:val="00FA52D1"/>
    <w:rsid w:val="00FB30F1"/>
    <w:rsid w:val="00FB37AF"/>
    <w:rsid w:val="00FB387D"/>
    <w:rsid w:val="00FB53E7"/>
    <w:rsid w:val="00FB67FA"/>
    <w:rsid w:val="00FB77E6"/>
    <w:rsid w:val="00FC0F2D"/>
    <w:rsid w:val="00FD3432"/>
    <w:rsid w:val="00FD71D6"/>
    <w:rsid w:val="00FD75B5"/>
    <w:rsid w:val="00FE0DF3"/>
    <w:rsid w:val="00FE2EE6"/>
    <w:rsid w:val="00FE30E3"/>
    <w:rsid w:val="00FE6810"/>
    <w:rsid w:val="00FE6828"/>
    <w:rsid w:val="00FE79F8"/>
    <w:rsid w:val="00FF0150"/>
    <w:rsid w:val="00FF0331"/>
    <w:rsid w:val="00FF4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55B1F-46EB-46E8-9E90-A9D402F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character" w:styleId="FollowedHyperlink">
    <w:name w:val="FollowedHyperlink"/>
    <w:basedOn w:val="DefaultParagraphFont"/>
    <w:semiHidden/>
    <w:unhideWhenUsed/>
    <w:rsid w:val="000E6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077">
      <w:bodyDiv w:val="1"/>
      <w:marLeft w:val="0"/>
      <w:marRight w:val="0"/>
      <w:marTop w:val="0"/>
      <w:marBottom w:val="0"/>
      <w:divBdr>
        <w:top w:val="none" w:sz="0" w:space="0" w:color="auto"/>
        <w:left w:val="none" w:sz="0" w:space="0" w:color="auto"/>
        <w:bottom w:val="none" w:sz="0" w:space="0" w:color="auto"/>
        <w:right w:val="none" w:sz="0" w:space="0" w:color="auto"/>
      </w:divBdr>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79</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0C0B-6643-462B-9DB5-DF76DDE12DEB}"/>
</file>

<file path=customXml/itemProps2.xml><?xml version="1.0" encoding="utf-8"?>
<ds:datastoreItem xmlns:ds="http://schemas.openxmlformats.org/officeDocument/2006/customXml" ds:itemID="{F9DAEEDB-20D9-4166-AEE2-BBA7D8164E97}"/>
</file>

<file path=customXml/itemProps3.xml><?xml version="1.0" encoding="utf-8"?>
<ds:datastoreItem xmlns:ds="http://schemas.openxmlformats.org/officeDocument/2006/customXml" ds:itemID="{2573176D-7834-4498-8531-AC37A59BDB0E}"/>
</file>

<file path=customXml/itemProps4.xml><?xml version="1.0" encoding="utf-8"?>
<ds:datastoreItem xmlns:ds="http://schemas.openxmlformats.org/officeDocument/2006/customXml" ds:itemID="{43643B76-BBBC-407A-AD42-5B1510B394C9}"/>
</file>

<file path=customXml/itemProps5.xml><?xml version="1.0" encoding="utf-8"?>
<ds:datastoreItem xmlns:ds="http://schemas.openxmlformats.org/officeDocument/2006/customXml" ds:itemID="{37B511DE-36B0-49DD-9D88-CAB266A81B5C}"/>
</file>

<file path=docProps/app.xml><?xml version="1.0" encoding="utf-8"?>
<Properties xmlns="http://schemas.openxmlformats.org/officeDocument/2006/extended-properties" xmlns:vt="http://schemas.openxmlformats.org/officeDocument/2006/docPropsVTypes">
  <Template>Normal.dotm</Template>
  <TotalTime>132</TotalTime>
  <Pages>9</Pages>
  <Words>12035</Words>
  <Characters>6860</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Kredītu reģistra likumā</vt:lpstr>
      <vt:lpstr>Likumprojekta "Grozījums Kredītu reģistra likumā" sākotnējās ietekmes novērtējuma ziņojums (anotācija)</vt:lpstr>
    </vt:vector>
  </TitlesOfParts>
  <Company>Finanšu ministrija</Company>
  <LinksUpToDate>false</LinksUpToDate>
  <CharactersWithSpaces>18858</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 "Grozījumi Kredītu reģistra likumā"</dc:title>
  <dc:subject>Likumprojekts</dc:subject>
  <dc:creator>Ieva Bloma</dc:creator>
  <dc:description>67095441, aivis.hammers@fm.gov.lv</dc:description>
  <cp:lastModifiedBy>Aivis Hammers</cp:lastModifiedBy>
  <cp:revision>21</cp:revision>
  <cp:lastPrinted>2017-02-27T13:37:00Z</cp:lastPrinted>
  <dcterms:created xsi:type="dcterms:W3CDTF">2017-03-10T09:58:00Z</dcterms:created>
  <dcterms:modified xsi:type="dcterms:W3CDTF">2017-03-29T11:57:00Z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